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FD5" w:rsidRPr="00250FD5" w:rsidRDefault="00250FD5" w:rsidP="00250FD5">
      <w:pPr>
        <w:spacing w:after="240"/>
        <w:jc w:val="center"/>
        <w:rPr>
          <w:rFonts w:eastAsia="Times New Roman"/>
          <w:szCs w:val="20"/>
          <w:lang w:val="fr-FR" w:eastAsia="en-GB"/>
        </w:rPr>
      </w:pPr>
      <w:r w:rsidRPr="00250FD5">
        <w:rPr>
          <w:rFonts w:eastAsia="Times New Roman"/>
          <w:b/>
          <w:szCs w:val="20"/>
          <w:lang w:val="fr-FR" w:eastAsia="en-GB"/>
        </w:rPr>
        <w:t>PROCÉDURE LÉGISLATIVE ORDINAIRE</w:t>
      </w:r>
    </w:p>
    <w:p w:rsidR="00250FD5" w:rsidRPr="00250FD5" w:rsidRDefault="00250FD5" w:rsidP="00250FD5">
      <w:pPr>
        <w:spacing w:after="600"/>
        <w:jc w:val="center"/>
        <w:rPr>
          <w:rFonts w:eastAsia="Times New Roman"/>
          <w:b/>
          <w:bCs/>
          <w:lang w:val="fr-FR" w:eastAsia="en-GB"/>
        </w:rPr>
      </w:pPr>
      <w:bookmarkStart w:id="0" w:name="equal"/>
      <w:r w:rsidRPr="00250FD5">
        <w:rPr>
          <w:rFonts w:eastAsia="Times New Roman"/>
          <w:b/>
          <w:szCs w:val="20"/>
          <w:lang w:val="fr-FR" w:eastAsia="en-GB"/>
        </w:rPr>
        <w:t>Suite donnée à la résolution législative du Parlement européen sur la proposition de directive du Parlement européen et du Conseil relative aux normes applicables aux organismes pour l’égalité de traitement dans le domaine de l’égalité de traitement et de l’égalité des chances entre les femmes et les hommes en matière d’emploi et de travail, et supprimant l’article 20 de la directive 2006/54/CE et l’article 11 de la directive 2010/41/UE</w:t>
      </w:r>
    </w:p>
    <w:bookmarkEnd w:id="0"/>
    <w:p w:rsidR="00250FD5" w:rsidRPr="00250FD5" w:rsidRDefault="00250FD5" w:rsidP="00250FD5">
      <w:pPr>
        <w:spacing w:after="240" w:line="240" w:lineRule="atLeast"/>
        <w:ind w:left="567" w:hanging="567"/>
        <w:jc w:val="left"/>
        <w:rPr>
          <w:rFonts w:eastAsia="Times New Roman"/>
          <w:szCs w:val="20"/>
          <w:lang w:val="fr-FR" w:eastAsia="en-GB"/>
        </w:rPr>
      </w:pPr>
      <w:r w:rsidRPr="00250FD5">
        <w:rPr>
          <w:rFonts w:eastAsia="Times New Roman"/>
          <w:b/>
          <w:szCs w:val="20"/>
          <w:lang w:val="fr-FR" w:eastAsia="en-GB"/>
        </w:rPr>
        <w:t>1.</w:t>
      </w:r>
      <w:r w:rsidRPr="00250FD5">
        <w:rPr>
          <w:rFonts w:eastAsia="Times New Roman"/>
          <w:b/>
          <w:szCs w:val="20"/>
          <w:lang w:val="fr-FR" w:eastAsia="en-GB"/>
        </w:rPr>
        <w:tab/>
        <w:t xml:space="preserve">Rapporteur(e)(s): </w:t>
      </w:r>
      <w:r w:rsidRPr="00250FD5">
        <w:rPr>
          <w:rFonts w:eastAsia="Times New Roman"/>
          <w:szCs w:val="20"/>
          <w:lang w:val="fr-FR" w:eastAsia="en-GB"/>
        </w:rPr>
        <w:t>Sirpa PIETIKÄINEN (PPE/FI), Marc ANGEL (S&amp;D/LU)</w:t>
      </w:r>
    </w:p>
    <w:p w:rsidR="00250FD5" w:rsidRPr="00250FD5" w:rsidRDefault="00250FD5" w:rsidP="00250FD5">
      <w:pPr>
        <w:spacing w:after="240" w:line="240" w:lineRule="atLeast"/>
        <w:ind w:left="567" w:hanging="567"/>
        <w:rPr>
          <w:rFonts w:eastAsia="Times New Roman"/>
          <w:szCs w:val="20"/>
          <w:lang w:val="fr-FR" w:eastAsia="en-GB"/>
        </w:rPr>
      </w:pPr>
      <w:r w:rsidRPr="00250FD5">
        <w:rPr>
          <w:rFonts w:eastAsia="Times New Roman"/>
          <w:b/>
          <w:szCs w:val="20"/>
          <w:lang w:val="fr-FR" w:eastAsia="en-GB"/>
        </w:rPr>
        <w:t>2.</w:t>
      </w:r>
      <w:r w:rsidRPr="00250FD5">
        <w:rPr>
          <w:rFonts w:eastAsia="Times New Roman"/>
          <w:b/>
          <w:szCs w:val="20"/>
          <w:lang w:val="fr-FR" w:eastAsia="en-GB"/>
        </w:rPr>
        <w:tab/>
        <w:t>Numéros de référence:</w:t>
      </w:r>
      <w:r w:rsidRPr="00250FD5">
        <w:rPr>
          <w:rFonts w:eastAsia="Times New Roman"/>
          <w:szCs w:val="20"/>
          <w:lang w:val="fr-FR" w:eastAsia="en-GB"/>
        </w:rPr>
        <w:t xml:space="preserve"> 2022/0400 (COD) / A9-0354/2023 / P9_TA(2024)0196</w:t>
      </w:r>
    </w:p>
    <w:p w:rsidR="00250FD5" w:rsidRPr="00250FD5" w:rsidRDefault="00250FD5" w:rsidP="00250FD5">
      <w:pPr>
        <w:spacing w:after="240" w:line="240" w:lineRule="atLeast"/>
        <w:ind w:left="567" w:hanging="567"/>
        <w:jc w:val="left"/>
        <w:rPr>
          <w:rFonts w:eastAsia="Times New Roman"/>
          <w:szCs w:val="20"/>
          <w:lang w:val="fr-FR" w:eastAsia="en-GB"/>
        </w:rPr>
      </w:pPr>
      <w:r w:rsidRPr="00250FD5">
        <w:rPr>
          <w:rFonts w:eastAsia="Times New Roman"/>
          <w:b/>
          <w:szCs w:val="20"/>
          <w:lang w:val="fr-FR" w:eastAsia="en-GB"/>
        </w:rPr>
        <w:t>3.</w:t>
      </w:r>
      <w:r w:rsidRPr="00250FD5">
        <w:rPr>
          <w:rFonts w:eastAsia="Times New Roman"/>
          <w:b/>
          <w:szCs w:val="20"/>
          <w:lang w:val="fr-FR" w:eastAsia="en-GB"/>
        </w:rPr>
        <w:tab/>
        <w:t>Date d’adoption de la résolution:</w:t>
      </w:r>
      <w:r w:rsidRPr="00250FD5">
        <w:rPr>
          <w:rFonts w:eastAsia="Times New Roman"/>
          <w:szCs w:val="20"/>
          <w:lang w:val="fr-FR" w:eastAsia="en-GB"/>
        </w:rPr>
        <w:t xml:space="preserve"> 10 avril 2024</w:t>
      </w:r>
    </w:p>
    <w:p w:rsidR="00250FD5" w:rsidRPr="00250FD5" w:rsidRDefault="00250FD5" w:rsidP="00250FD5">
      <w:pPr>
        <w:spacing w:after="240" w:line="240" w:lineRule="atLeast"/>
        <w:ind w:left="567" w:hanging="567"/>
        <w:rPr>
          <w:rFonts w:eastAsia="Times New Roman"/>
          <w:szCs w:val="20"/>
          <w:lang w:val="fr-FR" w:eastAsia="en-GB"/>
        </w:rPr>
      </w:pPr>
      <w:r w:rsidRPr="00250FD5">
        <w:rPr>
          <w:rFonts w:eastAsia="Times New Roman"/>
          <w:b/>
          <w:szCs w:val="20"/>
          <w:lang w:val="fr-FR" w:eastAsia="en-GB"/>
        </w:rPr>
        <w:t>4.</w:t>
      </w:r>
      <w:r w:rsidRPr="00250FD5">
        <w:rPr>
          <w:rFonts w:eastAsia="Times New Roman"/>
          <w:b/>
          <w:szCs w:val="20"/>
          <w:lang w:val="fr-FR" w:eastAsia="en-GB"/>
        </w:rPr>
        <w:tab/>
        <w:t xml:space="preserve">Base juridique: </w:t>
      </w:r>
      <w:r w:rsidRPr="00250FD5">
        <w:rPr>
          <w:rFonts w:eastAsia="Times New Roman"/>
          <w:szCs w:val="20"/>
          <w:lang w:val="fr-FR" w:eastAsia="en-GB"/>
        </w:rPr>
        <w:t>article 157, paragraphe 3, du traité sur le fonctionnement de l'Union européenne</w:t>
      </w:r>
    </w:p>
    <w:p w:rsidR="00250FD5" w:rsidRPr="00250FD5" w:rsidRDefault="00250FD5" w:rsidP="00250FD5">
      <w:pPr>
        <w:spacing w:after="240" w:line="240" w:lineRule="atLeast"/>
        <w:ind w:left="567" w:hanging="567"/>
        <w:rPr>
          <w:rFonts w:eastAsia="Times New Roman"/>
          <w:lang w:val="fr-FR" w:eastAsia="en-GB"/>
        </w:rPr>
      </w:pPr>
      <w:r w:rsidRPr="00250FD5">
        <w:rPr>
          <w:rFonts w:eastAsia="Times New Roman"/>
          <w:b/>
          <w:szCs w:val="20"/>
          <w:lang w:val="fr-FR" w:eastAsia="en-GB"/>
        </w:rPr>
        <w:t>5.</w:t>
      </w:r>
      <w:r w:rsidRPr="00250FD5">
        <w:rPr>
          <w:rFonts w:eastAsia="Times New Roman"/>
          <w:b/>
          <w:szCs w:val="20"/>
          <w:lang w:val="fr-FR" w:eastAsia="en-GB"/>
        </w:rPr>
        <w:tab/>
        <w:t>Commission parlementaire compétente:</w:t>
      </w:r>
      <w:r w:rsidRPr="00250FD5">
        <w:rPr>
          <w:rFonts w:eastAsia="Times New Roman"/>
          <w:szCs w:val="20"/>
          <w:lang w:val="fr-FR" w:eastAsia="en-GB"/>
        </w:rPr>
        <w:t xml:space="preserve"> commission des droits des femmes et de l’égalité des genres (FEMM), commission de l’emploi et des affaires sociales (EMPL)</w:t>
      </w:r>
    </w:p>
    <w:p w:rsidR="008765BE" w:rsidRDefault="00250FD5" w:rsidP="00250FD5">
      <w:r w:rsidRPr="00250FD5">
        <w:rPr>
          <w:rFonts w:eastAsia="Times New Roman"/>
          <w:b/>
          <w:szCs w:val="20"/>
          <w:lang w:val="fr-FR" w:eastAsia="en-GB"/>
        </w:rPr>
        <w:t>6.</w:t>
      </w:r>
      <w:r w:rsidRPr="00250FD5">
        <w:rPr>
          <w:rFonts w:eastAsia="Times New Roman"/>
          <w:b/>
          <w:szCs w:val="20"/>
          <w:lang w:val="fr-FR" w:eastAsia="en-GB"/>
        </w:rPr>
        <w:tab/>
        <w:t>Position de la Commission:</w:t>
      </w:r>
      <w:r w:rsidRPr="00250FD5">
        <w:rPr>
          <w:rFonts w:eastAsia="Times New Roman"/>
          <w:color w:val="000000"/>
          <w:sz w:val="22"/>
          <w:szCs w:val="20"/>
          <w:lang w:val="fr-FR" w:eastAsia="en-GB"/>
        </w:rPr>
        <w:t xml:space="preserve"> </w:t>
      </w:r>
      <w:r w:rsidRPr="00250FD5">
        <w:rPr>
          <w:rFonts w:eastAsia="Times New Roman"/>
          <w:color w:val="000000"/>
          <w:szCs w:val="20"/>
          <w:lang w:val="fr-FR" w:eastAsia="en-GB"/>
        </w:rPr>
        <w:t>la Commission accepte tous les amendements.</w:t>
      </w:r>
      <w:bookmarkStart w:id="1" w:name="_GoBack"/>
      <w:bookmarkEnd w:id="1"/>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D5"/>
    <w:rsid w:val="00250FD5"/>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A2BD2-06B1-4F04-8113-613125F5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European Parliament</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2024-08-09T09:23:00Z</dcterms:created>
  <dcterms:modified xsi:type="dcterms:W3CDTF">2024-08-09T09:23:00Z</dcterms:modified>
</cp:coreProperties>
</file>