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4A773" w14:textId="77777777" w:rsidR="00331DB9" w:rsidRPr="0052603A" w:rsidRDefault="004A6C66" w:rsidP="002367FA">
      <w:pPr>
        <w:spacing w:after="600"/>
        <w:ind w:left="624" w:hanging="624"/>
        <w:jc w:val="center"/>
        <w:rPr>
          <w:rFonts w:ascii="Times New Roman" w:hAnsi="Times New Roman"/>
          <w:b/>
          <w:szCs w:val="24"/>
        </w:rPr>
      </w:pPr>
      <w:r>
        <w:rPr>
          <w:rFonts w:ascii="Times New Roman" w:hAnsi="Times New Roman"/>
          <w:b/>
        </w:rPr>
        <w:t>Suite donnée à la résolution non législative du Parlement européen sur l’adoption de la mesure spéciale en faveur de la Tunisie pour 2023</w:t>
      </w:r>
    </w:p>
    <w:p w14:paraId="5508D239" w14:textId="77777777" w:rsidR="004A6C66" w:rsidRPr="00522048" w:rsidRDefault="004A6C66" w:rsidP="00370959">
      <w:pPr>
        <w:numPr>
          <w:ilvl w:val="0"/>
          <w:numId w:val="27"/>
        </w:numPr>
        <w:ind w:left="624" w:hanging="624"/>
        <w:rPr>
          <w:rFonts w:ascii="Times New Roman" w:hAnsi="Times New Roman"/>
          <w:b/>
          <w:szCs w:val="24"/>
        </w:rPr>
      </w:pPr>
      <w:r>
        <w:rPr>
          <w:rFonts w:ascii="Times New Roman" w:hAnsi="Times New Roman"/>
          <w:b/>
        </w:rPr>
        <w:t xml:space="preserve">Résolution présentée conformément à l’article 136, paragraphe 5, du règlement intérieur du Parlement européen </w:t>
      </w:r>
    </w:p>
    <w:p w14:paraId="4E75C0AE" w14:textId="77777777" w:rsidR="004A6C66" w:rsidRPr="00522048" w:rsidRDefault="00535D4D" w:rsidP="00370959">
      <w:pPr>
        <w:numPr>
          <w:ilvl w:val="0"/>
          <w:numId w:val="27"/>
        </w:numPr>
        <w:ind w:left="624" w:hanging="624"/>
        <w:rPr>
          <w:rFonts w:ascii="Times New Roman" w:hAnsi="Times New Roman"/>
          <w:i/>
          <w:szCs w:val="24"/>
        </w:rPr>
      </w:pPr>
      <w:r>
        <w:rPr>
          <w:rFonts w:ascii="Times New Roman" w:hAnsi="Times New Roman"/>
          <w:b/>
        </w:rPr>
        <w:t xml:space="preserve">Numéros de </w:t>
      </w:r>
      <w:proofErr w:type="gramStart"/>
      <w:r>
        <w:rPr>
          <w:rFonts w:ascii="Times New Roman" w:hAnsi="Times New Roman"/>
          <w:b/>
        </w:rPr>
        <w:t>référence:</w:t>
      </w:r>
      <w:proofErr w:type="gramEnd"/>
      <w:r>
        <w:rPr>
          <w:rFonts w:ascii="Times New Roman" w:hAnsi="Times New Roman"/>
          <w:b/>
        </w:rPr>
        <w:t xml:space="preserve"> </w:t>
      </w:r>
      <w:r>
        <w:rPr>
          <w:rFonts w:ascii="Times New Roman" w:hAnsi="Times New Roman"/>
        </w:rPr>
        <w:t>2024</w:t>
      </w:r>
      <w:hyperlink r:id="rId8" w:history="1">
        <w:r>
          <w:rPr>
            <w:rFonts w:ascii="Times New Roman" w:hAnsi="Times New Roman"/>
          </w:rPr>
          <w:t xml:space="preserve"> /2573 (RSP)</w:t>
        </w:r>
      </w:hyperlink>
      <w:r>
        <w:rPr>
          <w:rFonts w:ascii="Times New Roman" w:hAnsi="Times New Roman"/>
        </w:rPr>
        <w:t xml:space="preserve"> / B9-0173/2024 / P9_TA(2024)0175</w:t>
      </w:r>
    </w:p>
    <w:p w14:paraId="166DA33D" w14:textId="45980BF5" w:rsidR="005A00C3" w:rsidRPr="00370959" w:rsidRDefault="004A6C66" w:rsidP="00370959">
      <w:pPr>
        <w:numPr>
          <w:ilvl w:val="0"/>
          <w:numId w:val="27"/>
        </w:numPr>
        <w:ind w:left="624" w:hanging="624"/>
        <w:rPr>
          <w:rFonts w:ascii="Times New Roman" w:hAnsi="Times New Roman"/>
          <w:bCs/>
          <w:szCs w:val="24"/>
        </w:rPr>
      </w:pPr>
      <w:r>
        <w:rPr>
          <w:rFonts w:ascii="Times New Roman" w:hAnsi="Times New Roman"/>
          <w:b/>
        </w:rPr>
        <w:t xml:space="preserve">Date d’adoption de la </w:t>
      </w:r>
      <w:proofErr w:type="gramStart"/>
      <w:r>
        <w:rPr>
          <w:rFonts w:ascii="Times New Roman" w:hAnsi="Times New Roman"/>
          <w:b/>
        </w:rPr>
        <w:t>résolution:</w:t>
      </w:r>
      <w:proofErr w:type="gramEnd"/>
      <w:r>
        <w:rPr>
          <w:rFonts w:ascii="Times New Roman" w:hAnsi="Times New Roman"/>
          <w:b/>
        </w:rPr>
        <w:t xml:space="preserve"> </w:t>
      </w:r>
      <w:r>
        <w:rPr>
          <w:rFonts w:ascii="Times New Roman" w:hAnsi="Times New Roman"/>
        </w:rPr>
        <w:t>14 mars 2024</w:t>
      </w:r>
    </w:p>
    <w:p w14:paraId="071C0E57" w14:textId="77777777" w:rsidR="00EC0A27" w:rsidRPr="00522048" w:rsidRDefault="00EC0A27" w:rsidP="00370959">
      <w:pPr>
        <w:numPr>
          <w:ilvl w:val="0"/>
          <w:numId w:val="27"/>
        </w:numPr>
        <w:ind w:left="624" w:hanging="624"/>
        <w:rPr>
          <w:rFonts w:ascii="Times New Roman" w:hAnsi="Times New Roman"/>
          <w:i/>
          <w:szCs w:val="24"/>
        </w:rPr>
      </w:pPr>
      <w:r>
        <w:rPr>
          <w:rFonts w:ascii="Times New Roman" w:hAnsi="Times New Roman"/>
          <w:b/>
        </w:rPr>
        <w:t xml:space="preserve">Commission parlementaire </w:t>
      </w:r>
      <w:proofErr w:type="gramStart"/>
      <w:r>
        <w:rPr>
          <w:rFonts w:ascii="Times New Roman" w:hAnsi="Times New Roman"/>
          <w:b/>
        </w:rPr>
        <w:t>compétente:</w:t>
      </w:r>
      <w:proofErr w:type="gramEnd"/>
      <w:r>
        <w:rPr>
          <w:rFonts w:ascii="Times New Roman" w:hAnsi="Times New Roman"/>
        </w:rPr>
        <w:t xml:space="preserve"> commission des affaires étrangères (AFET)</w:t>
      </w:r>
    </w:p>
    <w:p w14:paraId="5A5ED567" w14:textId="77777777" w:rsidR="004A6C66" w:rsidRPr="00FE3F6E" w:rsidRDefault="004A6C66" w:rsidP="00370959">
      <w:pPr>
        <w:widowControl w:val="0"/>
        <w:numPr>
          <w:ilvl w:val="0"/>
          <w:numId w:val="27"/>
        </w:numPr>
        <w:ind w:left="624" w:hanging="624"/>
        <w:rPr>
          <w:rFonts w:ascii="Times New Roman" w:hAnsi="Times New Roman"/>
          <w:szCs w:val="24"/>
        </w:rPr>
      </w:pPr>
      <w:r>
        <w:rPr>
          <w:rFonts w:ascii="Times New Roman" w:hAnsi="Times New Roman"/>
          <w:b/>
        </w:rPr>
        <w:t xml:space="preserve">Analyse/évaluation succincte de la résolution et des demandes qu’elle </w:t>
      </w:r>
      <w:proofErr w:type="gramStart"/>
      <w:r>
        <w:rPr>
          <w:rFonts w:ascii="Times New Roman" w:hAnsi="Times New Roman"/>
          <w:b/>
        </w:rPr>
        <w:t>contient:</w:t>
      </w:r>
      <w:proofErr w:type="gramEnd"/>
      <w:r>
        <w:rPr>
          <w:rFonts w:ascii="Times New Roman" w:hAnsi="Times New Roman"/>
        </w:rPr>
        <w:t xml:space="preserve"> </w:t>
      </w:r>
    </w:p>
    <w:p w14:paraId="032DBA4C" w14:textId="77777777" w:rsidR="00CA5094" w:rsidRPr="00FE3F6E" w:rsidRDefault="00CA5094" w:rsidP="005D7F0B">
      <w:pPr>
        <w:pStyle w:val="Text1"/>
        <w:spacing w:after="120"/>
        <w:ind w:left="0"/>
        <w:rPr>
          <w:rFonts w:ascii="Times New Roman" w:hAnsi="Times New Roman"/>
          <w:szCs w:val="24"/>
        </w:rPr>
      </w:pPr>
      <w:r>
        <w:rPr>
          <w:rFonts w:ascii="Times New Roman" w:hAnsi="Times New Roman"/>
        </w:rPr>
        <w:t xml:space="preserve">Le Parlement européen soulève plusieurs questions relatives à l’appui budgétaire de 150 000 000 EUR en faveur de la Tunisie (programme d’appui aux réformes macroéconomiques), une mesure spéciale adoptée le 20 décembre 2023 au titre de l’instrument de voisinage, de coopération au développement et de coopération internationale — Europe dans le monde (IVCDCI — Europe dans le monde). Les questions portent sur </w:t>
      </w:r>
      <w:bookmarkStart w:id="0" w:name="_Hlk161752891"/>
      <w:r>
        <w:rPr>
          <w:rFonts w:ascii="Times New Roman" w:hAnsi="Times New Roman"/>
        </w:rPr>
        <w:t>la nécessité de recourir à une procédure écrite d’urgence pour la mesure spéciale, de respecter le contrôle parlementaire et la procédure de comité, d’engager un dialogue informel avec le Parlement européen et de mettre à disposition de manière proactive la convention de financement correspondante.</w:t>
      </w:r>
    </w:p>
    <w:p w14:paraId="0C509BFA" w14:textId="77777777" w:rsidR="00CA5094" w:rsidRPr="00340705" w:rsidRDefault="003F6078" w:rsidP="005D7F0B">
      <w:pPr>
        <w:pStyle w:val="Text1"/>
        <w:spacing w:after="120"/>
        <w:ind w:left="0"/>
        <w:rPr>
          <w:rFonts w:ascii="Times New Roman" w:hAnsi="Times New Roman"/>
          <w:szCs w:val="24"/>
        </w:rPr>
      </w:pPr>
      <w:r>
        <w:rPr>
          <w:rFonts w:ascii="Times New Roman" w:hAnsi="Times New Roman"/>
        </w:rPr>
        <w:t>Le Parlement s’interroge également sur l’évaluation menée par la Commission en termes de valeurs fondamentales pour justifier l’adoption du programme et de la base de référence pour l’évaluation de la situation des droits fondamentaux; sur la conditionnalité appliquée au programme et à son évaluation; sur le choix d’un programme en une seule tranche et sur l’engagement politique pris dans le mémorandum d’entente de verser l’appui budgétaire «dans sa totalité»; sur la contribution de l’action à l’amélioration du climat des affaires et des investissements; sur les raisons du rejet par Tunis du récent versement de 60 000 000 EUR d’appui budgétaire; et, enfin, sur les garanties formelles reçues de la part de la Commission pour que le Parlement se rende sur le site de projets financés par l’Union.</w:t>
      </w:r>
    </w:p>
    <w:bookmarkEnd w:id="0"/>
    <w:p w14:paraId="0B7C794D" w14:textId="77777777" w:rsidR="00FA6DED" w:rsidRPr="00FE3F6E" w:rsidRDefault="00FA6DED" w:rsidP="005D7F0B">
      <w:pPr>
        <w:pStyle w:val="Text1"/>
        <w:spacing w:after="120"/>
        <w:ind w:left="0"/>
        <w:rPr>
          <w:rFonts w:ascii="Times New Roman" w:hAnsi="Times New Roman"/>
          <w:szCs w:val="24"/>
        </w:rPr>
      </w:pPr>
      <w:r>
        <w:rPr>
          <w:rFonts w:ascii="Times New Roman" w:hAnsi="Times New Roman"/>
        </w:rPr>
        <w:t>Dans sa résolution, le Parlement a reposé les cinq questions précédentes (questions orales), qui ont été examinées avec les commissaires Reynders et Johansson lors de la plénière du 12 mars, a élargi le champ d’application de trois d’entre elles et en a ajouté deux nouvelles. Le Parlement a demandé à la Commission de lui fournir des éclaircissements dans le cadre du dialogue géopolitique à haut niveau mené avec elle, le 9 avril, ainsi que par écrit, ce qui fait l’objet de la présente réponse.</w:t>
      </w:r>
    </w:p>
    <w:p w14:paraId="41464146" w14:textId="77777777" w:rsidR="000A05FD" w:rsidRDefault="00CA5094" w:rsidP="005D7F0B">
      <w:pPr>
        <w:pStyle w:val="Text1"/>
        <w:spacing w:after="120"/>
        <w:ind w:left="0"/>
        <w:rPr>
          <w:rFonts w:ascii="Times New Roman" w:hAnsi="Times New Roman"/>
          <w:szCs w:val="24"/>
        </w:rPr>
      </w:pPr>
      <w:bookmarkStart w:id="1" w:name="_Hlk162013345"/>
      <w:r>
        <w:rPr>
          <w:rFonts w:ascii="Times New Roman" w:hAnsi="Times New Roman"/>
        </w:rPr>
        <w:t>Les questions sont soulevées dans le cadre du mémorandum d’entente sur un partenariat stratégique et global entre l’Union européenne et la Tunisie, signé le 16 juillet 2023. L’adoption de ce programme d’appui budgétaire est l’une des principales mesures de suivi opérationnel du mémorandum d’entente.</w:t>
      </w:r>
    </w:p>
    <w:bookmarkEnd w:id="1"/>
    <w:p w14:paraId="3F4301DC" w14:textId="77777777" w:rsidR="00FE3F6E" w:rsidRPr="00FE3F6E" w:rsidRDefault="004A6C66" w:rsidP="005D7F0B">
      <w:pPr>
        <w:widowControl w:val="0"/>
        <w:numPr>
          <w:ilvl w:val="0"/>
          <w:numId w:val="27"/>
        </w:numPr>
        <w:ind w:left="567" w:hanging="567"/>
        <w:rPr>
          <w:rFonts w:ascii="Times New Roman" w:hAnsi="Times New Roman"/>
          <w:szCs w:val="24"/>
        </w:rPr>
      </w:pPr>
      <w:r>
        <w:rPr>
          <w:rFonts w:ascii="Times New Roman" w:hAnsi="Times New Roman"/>
          <w:b/>
        </w:rPr>
        <w:t xml:space="preserve">Réponse à ces demandes et aperçu des mesures que la Commission a prises ou envisage de </w:t>
      </w:r>
      <w:proofErr w:type="gramStart"/>
      <w:r>
        <w:rPr>
          <w:rFonts w:ascii="Times New Roman" w:hAnsi="Times New Roman"/>
          <w:b/>
        </w:rPr>
        <w:t>prendre:</w:t>
      </w:r>
      <w:proofErr w:type="gramEnd"/>
      <w:r>
        <w:rPr>
          <w:rFonts w:ascii="Times New Roman" w:hAnsi="Times New Roman"/>
        </w:rPr>
        <w:t xml:space="preserve"> </w:t>
      </w:r>
    </w:p>
    <w:p w14:paraId="6D8FFC5E" w14:textId="77777777" w:rsidR="00B1116D" w:rsidRDefault="00B1116D" w:rsidP="005D7F0B">
      <w:pPr>
        <w:widowControl w:val="0"/>
        <w:spacing w:after="120"/>
        <w:rPr>
          <w:rFonts w:ascii="Times New Roman" w:hAnsi="Times New Roman"/>
          <w:b/>
          <w:u w:val="single"/>
        </w:rPr>
      </w:pPr>
    </w:p>
    <w:p w14:paraId="46928579" w14:textId="77777777" w:rsidR="00B1116D" w:rsidRDefault="00B1116D" w:rsidP="005D7F0B">
      <w:pPr>
        <w:widowControl w:val="0"/>
        <w:spacing w:after="120"/>
        <w:rPr>
          <w:rFonts w:ascii="Times New Roman" w:hAnsi="Times New Roman"/>
          <w:b/>
          <w:u w:val="single"/>
        </w:rPr>
      </w:pPr>
    </w:p>
    <w:p w14:paraId="08AB294B" w14:textId="6A1F1C6E" w:rsidR="00CB18D1" w:rsidRPr="00FE3F6E" w:rsidRDefault="005D635A" w:rsidP="005D7F0B">
      <w:pPr>
        <w:widowControl w:val="0"/>
        <w:spacing w:after="120"/>
        <w:rPr>
          <w:rFonts w:ascii="Times New Roman" w:hAnsi="Times New Roman"/>
          <w:szCs w:val="24"/>
        </w:rPr>
      </w:pPr>
      <w:r>
        <w:rPr>
          <w:rFonts w:ascii="Times New Roman" w:hAnsi="Times New Roman"/>
          <w:b/>
          <w:u w:val="single"/>
        </w:rPr>
        <w:lastRenderedPageBreak/>
        <w:t>En ce qui concerne les paragraphes 1, 2 et </w:t>
      </w:r>
      <w:proofErr w:type="gramStart"/>
      <w:r>
        <w:rPr>
          <w:rFonts w:ascii="Times New Roman" w:hAnsi="Times New Roman"/>
          <w:b/>
          <w:u w:val="single"/>
        </w:rPr>
        <w:t>4:</w:t>
      </w:r>
      <w:proofErr w:type="gramEnd"/>
    </w:p>
    <w:p w14:paraId="295BE9F4" w14:textId="77777777" w:rsidR="00522048" w:rsidRDefault="00AA4562" w:rsidP="005D7F0B">
      <w:pPr>
        <w:pStyle w:val="itemList"/>
        <w:spacing w:after="120"/>
        <w:ind w:left="0" w:firstLine="0"/>
        <w:jc w:val="both"/>
        <w:rPr>
          <w:rFonts w:ascii="Times New Roman" w:hAnsi="Times New Roman"/>
          <w:sz w:val="24"/>
          <w:szCs w:val="24"/>
        </w:rPr>
      </w:pPr>
      <w:r>
        <w:rPr>
          <w:rFonts w:ascii="Times New Roman" w:hAnsi="Times New Roman"/>
          <w:sz w:val="24"/>
        </w:rPr>
        <w:t>Le programme s’inscrit dans le cadre de l’engagement de l’UE à continuer de soutenir la stabilité macroéconomique et les réformes de la Tunisie, conformément au pilier 1 du mémorandum d’entente. Le facteur temporel — à savoir l’octroi d’un soutien à la Tunisie au cours de l’exercice budgétaire tunisien 2023 encore — était un paramètre crucial afin d’opter pour une procédure d’urgence et de faire en sorte que la décision de financement soit adoptée avant la fin de l’année 2023.</w:t>
      </w:r>
    </w:p>
    <w:p w14:paraId="462B08F6" w14:textId="461FC91E" w:rsidR="00AA4562" w:rsidRPr="00522048" w:rsidRDefault="00AA4562" w:rsidP="005D7F0B">
      <w:pPr>
        <w:pStyle w:val="itemList"/>
        <w:spacing w:after="120"/>
        <w:ind w:left="0" w:firstLine="0"/>
        <w:jc w:val="both"/>
        <w:rPr>
          <w:rFonts w:ascii="Times New Roman" w:hAnsi="Times New Roman"/>
          <w:sz w:val="24"/>
          <w:szCs w:val="24"/>
        </w:rPr>
      </w:pPr>
      <w:r>
        <w:rPr>
          <w:rFonts w:ascii="Times New Roman" w:hAnsi="Times New Roman"/>
          <w:sz w:val="24"/>
        </w:rPr>
        <w:t>Outre les quatre conditions générales toujours appliquées à l’appui budgétaire, la Commission a négocié trois conditions spécifiques supplémentaires pour veiller à ce que le programme favorise les progrès en matière de stabilité macroéconomique, conformément au mémorandum d’entente. Les négociations relatives au programme ont pris fin le 30 novembre 2023. Le recours à la procédure d’urgence a permis de conclure la procédure de comité dans un délai de 15 jours (du 5 au 20 décembre 2023), alors qu’elle n’aurait pas été conclue avant début février dans le cadre de la procédure d’adoption standard. Celle-ci n’aurait permis l’adoption du dossier que le 12 février 2024.</w:t>
      </w:r>
    </w:p>
    <w:p w14:paraId="7C039E9A" w14:textId="3A949DC9" w:rsidR="00AA4562" w:rsidRPr="00FE3F6E" w:rsidRDefault="008764B3" w:rsidP="005D7F0B">
      <w:pPr>
        <w:pStyle w:val="itemList"/>
        <w:spacing w:after="120"/>
        <w:ind w:left="0" w:firstLine="0"/>
        <w:jc w:val="both"/>
        <w:rPr>
          <w:rFonts w:ascii="Times New Roman" w:hAnsi="Times New Roman"/>
          <w:sz w:val="24"/>
          <w:szCs w:val="24"/>
        </w:rPr>
      </w:pPr>
      <w:r>
        <w:rPr>
          <w:rFonts w:ascii="Times New Roman" w:hAnsi="Times New Roman"/>
          <w:sz w:val="24"/>
        </w:rPr>
        <w:t>La Commission a procédé à la consultation habituelle des États membres lors de la réunion du comité de l’IVCDCI le 12 décembre 2023. Le Parlement a reçu les informations relatives à la mesure spéciale avant son adoption (en date du 20 décembre 2023), comme indiqué dans la procédure (qu’il s’agisse d’une procédure</w:t>
      </w:r>
      <w:proofErr w:type="gramStart"/>
      <w:r>
        <w:rPr>
          <w:rFonts w:ascii="Times New Roman" w:hAnsi="Times New Roman"/>
          <w:sz w:val="24"/>
        </w:rPr>
        <w:t xml:space="preserve"> «normale</w:t>
      </w:r>
      <w:proofErr w:type="gramEnd"/>
      <w:r>
        <w:rPr>
          <w:rFonts w:ascii="Times New Roman" w:hAnsi="Times New Roman"/>
          <w:sz w:val="24"/>
        </w:rPr>
        <w:t>» ou urgente): le secrétariat général de la Commission a transmis le document d’action du programme au Parlement par l’intermédiaire du registre de comitologie, le 13 décembre 2023, ainsi que le résultat des votes du comité de l’IVCDCI, le 18 décembre 2023. La Commission n’a, pour l’heure, pas reçu de retour d’information de la part du Parlement.</w:t>
      </w:r>
    </w:p>
    <w:p w14:paraId="31E886F6" w14:textId="1FA1C686" w:rsidR="00AA4562" w:rsidRPr="00FE3F6E" w:rsidRDefault="00AA4562" w:rsidP="005D7F0B">
      <w:pPr>
        <w:pStyle w:val="itemList"/>
        <w:spacing w:after="120"/>
        <w:ind w:left="0" w:firstLine="0"/>
        <w:jc w:val="both"/>
        <w:rPr>
          <w:rFonts w:ascii="Times New Roman" w:hAnsi="Times New Roman"/>
          <w:sz w:val="24"/>
          <w:szCs w:val="24"/>
        </w:rPr>
      </w:pPr>
      <w:r>
        <w:rPr>
          <w:rFonts w:ascii="Times New Roman" w:hAnsi="Times New Roman"/>
          <w:sz w:val="24"/>
        </w:rPr>
        <w:t xml:space="preserve">De plus, plusieurs échanges sur le mémorandum d’entente ont eu lieu entre le Parlement et la Commission, avec la commission des affaires étrangères (AFET), mais aussi avec la commission du développement (DEVE), la sous-commission des droits de l’homme (DROI) et la commission des libertés civiles, de la justice et des affaires intérieures (LIBE), entre juin et novembre 2023, et en plénière, à plusieurs reprises, entre septembre et novembre 2023. Les commissaires </w:t>
      </w:r>
      <w:proofErr w:type="spellStart"/>
      <w:r>
        <w:rPr>
          <w:rFonts w:ascii="Times New Roman" w:hAnsi="Times New Roman"/>
          <w:sz w:val="24"/>
        </w:rPr>
        <w:t>Olivér</w:t>
      </w:r>
      <w:proofErr w:type="spellEnd"/>
      <w:r>
        <w:rPr>
          <w:rFonts w:ascii="Times New Roman" w:hAnsi="Times New Roman"/>
          <w:sz w:val="24"/>
        </w:rPr>
        <w:t xml:space="preserve"> </w:t>
      </w:r>
      <w:proofErr w:type="spellStart"/>
      <w:r>
        <w:rPr>
          <w:rFonts w:ascii="Times New Roman" w:hAnsi="Times New Roman"/>
          <w:sz w:val="24"/>
        </w:rPr>
        <w:t>Várhelyi</w:t>
      </w:r>
      <w:proofErr w:type="spellEnd"/>
      <w:r>
        <w:rPr>
          <w:rFonts w:ascii="Times New Roman" w:hAnsi="Times New Roman"/>
          <w:sz w:val="24"/>
        </w:rPr>
        <w:t xml:space="preserve"> et </w:t>
      </w:r>
      <w:proofErr w:type="spellStart"/>
      <w:r>
        <w:rPr>
          <w:rFonts w:ascii="Times New Roman" w:hAnsi="Times New Roman"/>
          <w:sz w:val="24"/>
        </w:rPr>
        <w:t>Ylva</w:t>
      </w:r>
      <w:proofErr w:type="spellEnd"/>
      <w:r>
        <w:rPr>
          <w:rFonts w:ascii="Times New Roman" w:hAnsi="Times New Roman"/>
          <w:sz w:val="24"/>
        </w:rPr>
        <w:t xml:space="preserve"> Johannson, le directeur général de la direction générale du voisinage et des négociations d’élargissement (DG NEAR), Gert-Jan </w:t>
      </w:r>
      <w:proofErr w:type="spellStart"/>
      <w:r>
        <w:rPr>
          <w:rFonts w:ascii="Times New Roman" w:hAnsi="Times New Roman"/>
          <w:sz w:val="24"/>
        </w:rPr>
        <w:t>Koopman</w:t>
      </w:r>
      <w:proofErr w:type="spellEnd"/>
      <w:r>
        <w:rPr>
          <w:rFonts w:ascii="Times New Roman" w:hAnsi="Times New Roman"/>
          <w:sz w:val="24"/>
        </w:rPr>
        <w:t>, et l’ambassadeur de l’Union européenne en Tunisie, Marcus Cornaro, sont intervenus au Parlement à propos du mémorandum d’entente. Le programme, d’un montant de 150 000 000 EUR, a été mentionné et/ou examiné à la plupart de ces occasions.</w:t>
      </w:r>
    </w:p>
    <w:p w14:paraId="408E5F83" w14:textId="77777777" w:rsidR="00AA4562" w:rsidRPr="00FE3F6E" w:rsidRDefault="00AA4562" w:rsidP="005D7F0B">
      <w:pPr>
        <w:pStyle w:val="itemList"/>
        <w:spacing w:after="120"/>
        <w:ind w:left="0" w:firstLine="0"/>
        <w:jc w:val="both"/>
        <w:rPr>
          <w:rFonts w:ascii="Times New Roman" w:hAnsi="Times New Roman"/>
          <w:sz w:val="24"/>
          <w:szCs w:val="24"/>
        </w:rPr>
      </w:pPr>
      <w:bookmarkStart w:id="2" w:name="_Hlk162014898"/>
      <w:r>
        <w:rPr>
          <w:rFonts w:ascii="Times New Roman" w:hAnsi="Times New Roman"/>
          <w:sz w:val="24"/>
        </w:rPr>
        <w:t>Il convient de noter que, dans les procédures actuelles de l’IVCDCI (voir le règlement financier</w:t>
      </w:r>
      <w:r w:rsidR="00340705">
        <w:rPr>
          <w:rStyle w:val="FootnoteReference"/>
          <w:rFonts w:ascii="Times New Roman" w:hAnsi="Times New Roman"/>
          <w:sz w:val="24"/>
          <w:szCs w:val="24"/>
        </w:rPr>
        <w:footnoteReference w:id="1"/>
      </w:r>
      <w:r>
        <w:rPr>
          <w:rFonts w:ascii="Times New Roman" w:hAnsi="Times New Roman"/>
          <w:sz w:val="24"/>
        </w:rPr>
        <w:t xml:space="preserve"> et le règlement IVCDCI — Europe dans le monde</w:t>
      </w:r>
      <w:r w:rsidR="00340705">
        <w:rPr>
          <w:rStyle w:val="FootnoteReference"/>
          <w:rFonts w:ascii="Times New Roman" w:hAnsi="Times New Roman"/>
          <w:sz w:val="24"/>
          <w:szCs w:val="24"/>
        </w:rPr>
        <w:footnoteReference w:id="2"/>
      </w:r>
      <w:r>
        <w:rPr>
          <w:rFonts w:ascii="Times New Roman" w:hAnsi="Times New Roman"/>
          <w:sz w:val="24"/>
        </w:rPr>
        <w:t>, tous deux votés par le Parlement européen), le Parlement n’est pas associé en tant que partie prenante juridique lors de l’adoption des décisions de financement, indépendamment de la modalité d’aide choisie (appui budgétaire ou autre). Il est néanmoins informé au préalable, conformément à la procédure relative aux actes d’exécution</w:t>
      </w:r>
      <w:r w:rsidR="00B84C82">
        <w:rPr>
          <w:rStyle w:val="FootnoteReference"/>
          <w:rFonts w:ascii="Times New Roman" w:hAnsi="Times New Roman"/>
          <w:sz w:val="24"/>
          <w:szCs w:val="24"/>
        </w:rPr>
        <w:footnoteReference w:id="3"/>
      </w:r>
      <w:r>
        <w:rPr>
          <w:rFonts w:ascii="Times New Roman" w:hAnsi="Times New Roman"/>
          <w:sz w:val="24"/>
        </w:rPr>
        <w:t>.</w:t>
      </w:r>
    </w:p>
    <w:bookmarkEnd w:id="2"/>
    <w:p w14:paraId="30F2FDC1" w14:textId="77777777" w:rsidR="00CB18D1" w:rsidRPr="00FE3F6E" w:rsidRDefault="00BC3EB3" w:rsidP="005D7F0B">
      <w:pPr>
        <w:widowControl w:val="0"/>
        <w:tabs>
          <w:tab w:val="left" w:pos="425"/>
          <w:tab w:val="left" w:pos="851"/>
          <w:tab w:val="left" w:pos="1276"/>
        </w:tabs>
        <w:spacing w:after="120"/>
        <w:rPr>
          <w:rFonts w:ascii="Times New Roman" w:hAnsi="Times New Roman"/>
          <w:szCs w:val="24"/>
        </w:rPr>
      </w:pPr>
      <w:r>
        <w:rPr>
          <w:rFonts w:ascii="Times New Roman" w:hAnsi="Times New Roman"/>
        </w:rPr>
        <w:t>Enfin, en ce qui concerne la convention de financement, la Commission l’a communiquée au Parlement le 12 février 2024.</w:t>
      </w:r>
    </w:p>
    <w:p w14:paraId="5D1E1479" w14:textId="77777777" w:rsidR="00B1116D" w:rsidRDefault="00B1116D" w:rsidP="005D7F0B">
      <w:pPr>
        <w:pStyle w:val="Text1"/>
        <w:spacing w:after="120"/>
        <w:ind w:left="0"/>
        <w:rPr>
          <w:rFonts w:ascii="Times New Roman" w:hAnsi="Times New Roman"/>
          <w:b/>
          <w:u w:val="single"/>
        </w:rPr>
      </w:pPr>
    </w:p>
    <w:p w14:paraId="74FDB4CB" w14:textId="7E1740CE" w:rsidR="00CB18D1" w:rsidRPr="00FE3F6E" w:rsidRDefault="00402747" w:rsidP="005D7F0B">
      <w:pPr>
        <w:pStyle w:val="Text1"/>
        <w:spacing w:after="120"/>
        <w:ind w:left="0"/>
        <w:rPr>
          <w:rFonts w:ascii="Times New Roman" w:hAnsi="Times New Roman"/>
          <w:szCs w:val="24"/>
        </w:rPr>
      </w:pPr>
      <w:r>
        <w:rPr>
          <w:rFonts w:ascii="Times New Roman" w:hAnsi="Times New Roman"/>
          <w:b/>
          <w:u w:val="single"/>
        </w:rPr>
        <w:lastRenderedPageBreak/>
        <w:t>En ce qui concerne les paragraphes 6 et </w:t>
      </w:r>
      <w:proofErr w:type="gramStart"/>
      <w:r>
        <w:rPr>
          <w:rFonts w:ascii="Times New Roman" w:hAnsi="Times New Roman"/>
          <w:b/>
          <w:u w:val="single"/>
        </w:rPr>
        <w:t>8:</w:t>
      </w:r>
      <w:proofErr w:type="gramEnd"/>
    </w:p>
    <w:p w14:paraId="440DCE3A" w14:textId="77777777" w:rsidR="00AA4562" w:rsidRPr="00350D8C" w:rsidRDefault="00AA4562" w:rsidP="005D7F0B">
      <w:pPr>
        <w:spacing w:after="120"/>
        <w:rPr>
          <w:rFonts w:ascii="Times New Roman" w:hAnsi="Times New Roman"/>
          <w:szCs w:val="24"/>
        </w:rPr>
      </w:pPr>
      <w:r>
        <w:rPr>
          <w:rFonts w:ascii="Times New Roman" w:hAnsi="Times New Roman"/>
        </w:rPr>
        <w:t>Le programme est conçu comme un contrat d’appui à la consolidation de l’État et de la résilience, un type de programme d’appui budgétaire utilisé dans les pays en situation de crise ou de transition.</w:t>
      </w:r>
    </w:p>
    <w:p w14:paraId="60AD51EC" w14:textId="77777777" w:rsidR="00AA4562" w:rsidRPr="00350D8C" w:rsidRDefault="00AA4562" w:rsidP="005D7F0B">
      <w:pPr>
        <w:spacing w:after="120"/>
        <w:rPr>
          <w:rFonts w:ascii="Times New Roman" w:hAnsi="Times New Roman"/>
          <w:szCs w:val="24"/>
        </w:rPr>
      </w:pPr>
      <w:r>
        <w:rPr>
          <w:rFonts w:ascii="Times New Roman" w:hAnsi="Times New Roman"/>
        </w:rPr>
        <w:t>Le respect des valeurs fondamentales demeure une condition essentielle pour ce type de contrat et est évalué et pris en compte comme faisant partie du cadre de gestion des risques (catégorie</w:t>
      </w:r>
      <w:proofErr w:type="gramStart"/>
      <w:r>
        <w:rPr>
          <w:rFonts w:ascii="Times New Roman" w:hAnsi="Times New Roman"/>
        </w:rPr>
        <w:t xml:space="preserve"> «risques</w:t>
      </w:r>
      <w:proofErr w:type="gramEnd"/>
      <w:r>
        <w:rPr>
          <w:rFonts w:ascii="Times New Roman" w:hAnsi="Times New Roman"/>
        </w:rPr>
        <w:t xml:space="preserve"> politiques»), ainsi qu’indiqué dans les lignes directrices sur l’appui budgétaire. Cette évaluation comprend également la définition des mesures d’atténuation à des fins de suivi dans le cadre du dialogue politique en cours. </w:t>
      </w:r>
    </w:p>
    <w:p w14:paraId="742CB62E" w14:textId="77777777" w:rsidR="00AA4562" w:rsidRPr="00350D8C" w:rsidRDefault="00AA4562" w:rsidP="005D7F0B">
      <w:pPr>
        <w:spacing w:after="120"/>
        <w:rPr>
          <w:rFonts w:ascii="Times New Roman" w:hAnsi="Times New Roman"/>
          <w:szCs w:val="24"/>
        </w:rPr>
      </w:pPr>
      <w:r>
        <w:rPr>
          <w:rFonts w:ascii="Times New Roman" w:hAnsi="Times New Roman"/>
        </w:rPr>
        <w:t>La décision de la Commission relative à l’utilisation de l’appui budgétaire comme modalité de mise en œuvre est prise au cas par cas, en tenant compte des avantages du maintien de l’engagement dans le pays, du risque pour la réputation de l’UE, de l’influence exercée par l’UE pour stimuler les réformes et des risques politiques et économiques liés à l’absence d’intervention.</w:t>
      </w:r>
    </w:p>
    <w:p w14:paraId="7255EEAE" w14:textId="77777777" w:rsidR="00943B17" w:rsidRPr="006F0392" w:rsidRDefault="00AA4562" w:rsidP="005D7F0B">
      <w:pPr>
        <w:pStyle w:val="Bodytext11"/>
        <w:spacing w:after="120" w:line="240" w:lineRule="auto"/>
        <w:jc w:val="both"/>
        <w:rPr>
          <w:rFonts w:ascii="Times New Roman" w:hAnsi="Times New Roman" w:cs="Times New Roman"/>
          <w:color w:val="auto"/>
          <w:sz w:val="24"/>
          <w:szCs w:val="24"/>
        </w:rPr>
      </w:pPr>
      <w:r>
        <w:rPr>
          <w:rFonts w:ascii="Times New Roman" w:hAnsi="Times New Roman"/>
          <w:color w:val="auto"/>
          <w:sz w:val="24"/>
        </w:rPr>
        <w:t xml:space="preserve">Dans le cas de la Tunisie, la Commission a suivi une approche proportionnelle et progressive en matière d’appui budgétaire depuis 2021, conformément aux lignes directrices de l’UE sur l’appui budgétaire. En 2021, la Commission s’est engagée à mettre en place un nouveau programme d’appui budgétaire pour accompagner la Tunisie dans sa relance économique après la COVID-19. En 2022, </w:t>
      </w:r>
      <w:bookmarkStart w:id="3" w:name="_Hlk160616367"/>
      <w:r>
        <w:rPr>
          <w:rFonts w:ascii="Times New Roman" w:hAnsi="Times New Roman"/>
          <w:color w:val="auto"/>
          <w:sz w:val="24"/>
        </w:rPr>
        <w:t>aucun nouvel appui budgétaire n’a été fourni, alors que les paiements des programmes sectoriels en cours ont été exécutés conformément aux objectifs sectoriels atteints.</w:t>
      </w:r>
      <w:bookmarkEnd w:id="3"/>
    </w:p>
    <w:p w14:paraId="65B27FAC" w14:textId="77777777" w:rsidR="001F1E12" w:rsidRPr="00FE3F6E" w:rsidRDefault="001F1E12" w:rsidP="005D7F0B">
      <w:pPr>
        <w:spacing w:after="120"/>
        <w:rPr>
          <w:rFonts w:ascii="Times New Roman" w:hAnsi="Times New Roman"/>
          <w:szCs w:val="24"/>
        </w:rPr>
      </w:pPr>
      <w:r>
        <w:rPr>
          <w:rStyle w:val="normaltextrun"/>
          <w:rFonts w:ascii="Times New Roman" w:hAnsi="Times New Roman"/>
          <w:shd w:val="clear" w:color="auto" w:fill="FFFFFF"/>
        </w:rPr>
        <w:t>Le respect et la protection des droits de l’homme et des libertés fondamentales sont au cœur des relations entre l’UE et la Tunisie, conformément à l’article 2 de l’accord d’association entre l’UE et la Tunisie</w:t>
      </w:r>
      <w:r w:rsidR="003107FB">
        <w:rPr>
          <w:rStyle w:val="FootnoteReference"/>
          <w:rFonts w:ascii="Times New Roman" w:hAnsi="Times New Roman"/>
          <w:szCs w:val="24"/>
          <w:shd w:val="clear" w:color="auto" w:fill="FFFFFF"/>
        </w:rPr>
        <w:footnoteReference w:id="4"/>
      </w:r>
      <w:r>
        <w:rPr>
          <w:rStyle w:val="normaltextrun"/>
          <w:rFonts w:ascii="Times New Roman" w:hAnsi="Times New Roman"/>
          <w:shd w:val="clear" w:color="auto" w:fill="FFFFFF"/>
        </w:rPr>
        <w:t xml:space="preserve">, </w:t>
      </w:r>
      <w:r>
        <w:rPr>
          <w:rFonts w:ascii="Times New Roman" w:hAnsi="Times New Roman"/>
        </w:rPr>
        <w:t xml:space="preserve">et la Commission entretient un dialogue politique régulier avec le gouvernement, y compris sur les valeurs fondamentales. Ces dernières sont également </w:t>
      </w:r>
      <w:r>
        <w:rPr>
          <w:rStyle w:val="normaltextrun"/>
          <w:rFonts w:ascii="Times New Roman" w:hAnsi="Times New Roman"/>
          <w:shd w:val="clear" w:color="auto" w:fill="FFFFFF"/>
        </w:rPr>
        <w:t>soutenues au moyen d’une importante aide financière ciblée de l’UE, avec un portefeuille de programmes en cours destinés à aider les organisations de la société civile d’un montant de 62 000 000 EUR</w:t>
      </w:r>
      <w:proofErr w:type="gramStart"/>
      <w:r>
        <w:rPr>
          <w:rStyle w:val="normaltextrun"/>
          <w:rFonts w:ascii="Times New Roman" w:hAnsi="Times New Roman"/>
          <w:shd w:val="clear" w:color="auto" w:fill="FFFFFF"/>
        </w:rPr>
        <w:t>, .</w:t>
      </w:r>
      <w:proofErr w:type="gramEnd"/>
    </w:p>
    <w:p w14:paraId="0BD8CA12" w14:textId="77777777" w:rsidR="00CB18D1" w:rsidRPr="00FE3F6E" w:rsidRDefault="00CB18D1" w:rsidP="005D7F0B">
      <w:pPr>
        <w:pStyle w:val="Text1"/>
        <w:spacing w:after="120"/>
        <w:ind w:left="0"/>
        <w:rPr>
          <w:rFonts w:ascii="Times New Roman" w:hAnsi="Times New Roman"/>
          <w:szCs w:val="24"/>
        </w:rPr>
      </w:pPr>
      <w:r>
        <w:rPr>
          <w:rFonts w:ascii="Times New Roman" w:hAnsi="Times New Roman"/>
          <w:b/>
          <w:u w:val="single"/>
        </w:rPr>
        <w:t>En ce qui concerne les paragraphes 5 et </w:t>
      </w:r>
      <w:proofErr w:type="gramStart"/>
      <w:r>
        <w:rPr>
          <w:rFonts w:ascii="Times New Roman" w:hAnsi="Times New Roman"/>
          <w:b/>
          <w:u w:val="single"/>
        </w:rPr>
        <w:t>7:</w:t>
      </w:r>
      <w:proofErr w:type="gramEnd"/>
    </w:p>
    <w:p w14:paraId="16CCCD30" w14:textId="77777777" w:rsidR="00AA4562" w:rsidRPr="00FE3F6E" w:rsidRDefault="00AA4562" w:rsidP="005D7F0B">
      <w:pPr>
        <w:pStyle w:val="itemList"/>
        <w:spacing w:after="120"/>
        <w:ind w:left="0" w:firstLine="0"/>
        <w:jc w:val="both"/>
        <w:rPr>
          <w:rFonts w:ascii="Times New Roman" w:hAnsi="Times New Roman"/>
          <w:sz w:val="24"/>
          <w:szCs w:val="24"/>
        </w:rPr>
      </w:pPr>
      <w:r>
        <w:rPr>
          <w:rFonts w:ascii="Times New Roman" w:hAnsi="Times New Roman"/>
          <w:sz w:val="24"/>
        </w:rPr>
        <w:t>Les conditions de la convention de financement du programme, qui ont été convenues d’un commun accord, sont les suivantes: 1) progresser sur les quatre conditions générales habituelles de l’appui budgétaire [mise en œuvre de la politique publique appropriée; politique macroéconomique axée sur la stabilité; bonne gestion des finances publiques (GFP); transparence et contrôle du budget]; et 2) respecter trois conditions spécifiques supplémentaires: i) publication de la loi de finances pour 2024 et de ses annexes, ii) adoption du plan d’action de GFP par le Conseil des ministres et iii) proposition par la Tunisie d’une date pour organiser une discussion macroéconomique.</w:t>
      </w:r>
    </w:p>
    <w:p w14:paraId="49E86A34" w14:textId="77777777" w:rsidR="00AA4562" w:rsidRPr="00871D40" w:rsidRDefault="00AA4562" w:rsidP="005D7F0B">
      <w:pPr>
        <w:pStyle w:val="ListParagraph"/>
        <w:spacing w:after="120" w:line="240" w:lineRule="auto"/>
        <w:ind w:left="0"/>
        <w:jc w:val="both"/>
        <w:rPr>
          <w:rFonts w:ascii="Times New Roman" w:hAnsi="Times New Roman"/>
          <w:sz w:val="24"/>
          <w:szCs w:val="24"/>
        </w:rPr>
      </w:pPr>
      <w:r>
        <w:rPr>
          <w:rFonts w:ascii="Times New Roman" w:hAnsi="Times New Roman"/>
          <w:sz w:val="24"/>
        </w:rPr>
        <w:t>L’évaluation des conditions de la convention de financement a été effectuée de manière approfondie, conformément aux lignes directrices sur l’appui budgétaire [demande de décaissement par le gouvernement tunisien, analyse par la délégation de l’Union, examen technique par tous les services compétents de la Commission et par le Service européen pour l’action extérieure (SEAE), évaluation positive et conclusions par les services, autorisation de paiement].</w:t>
      </w:r>
    </w:p>
    <w:p w14:paraId="349092A0" w14:textId="77777777" w:rsidR="00B1116D" w:rsidRDefault="00B1116D" w:rsidP="005D7F0B">
      <w:pPr>
        <w:pStyle w:val="Text1"/>
        <w:spacing w:after="120"/>
        <w:ind w:left="0"/>
        <w:rPr>
          <w:rFonts w:ascii="Times New Roman" w:hAnsi="Times New Roman"/>
          <w:b/>
          <w:u w:val="single"/>
        </w:rPr>
      </w:pPr>
    </w:p>
    <w:p w14:paraId="5BC9FA14" w14:textId="77777777" w:rsidR="00B1116D" w:rsidRDefault="00B1116D" w:rsidP="005D7F0B">
      <w:pPr>
        <w:pStyle w:val="Text1"/>
        <w:spacing w:after="120"/>
        <w:ind w:left="0"/>
        <w:rPr>
          <w:rFonts w:ascii="Times New Roman" w:hAnsi="Times New Roman"/>
          <w:b/>
          <w:u w:val="single"/>
        </w:rPr>
      </w:pPr>
    </w:p>
    <w:p w14:paraId="743F1678" w14:textId="2955CDEE" w:rsidR="00CB18D1" w:rsidRPr="00FE3F6E" w:rsidRDefault="00871D40" w:rsidP="005D7F0B">
      <w:pPr>
        <w:pStyle w:val="Text1"/>
        <w:spacing w:after="120"/>
        <w:ind w:left="0"/>
        <w:rPr>
          <w:rFonts w:ascii="Times New Roman" w:hAnsi="Times New Roman"/>
          <w:szCs w:val="24"/>
        </w:rPr>
      </w:pPr>
      <w:r>
        <w:rPr>
          <w:rFonts w:ascii="Times New Roman" w:hAnsi="Times New Roman"/>
          <w:b/>
          <w:u w:val="single"/>
        </w:rPr>
        <w:lastRenderedPageBreak/>
        <w:t>En ce qui concerne les paragraphes 3 et </w:t>
      </w:r>
      <w:proofErr w:type="gramStart"/>
      <w:r>
        <w:rPr>
          <w:rFonts w:ascii="Times New Roman" w:hAnsi="Times New Roman"/>
          <w:b/>
          <w:u w:val="single"/>
        </w:rPr>
        <w:t>9:</w:t>
      </w:r>
      <w:proofErr w:type="gramEnd"/>
    </w:p>
    <w:p w14:paraId="334DE1AC" w14:textId="77777777" w:rsidR="00213DE1" w:rsidRPr="00BF0B11" w:rsidRDefault="00213DE1" w:rsidP="005D7F0B">
      <w:pPr>
        <w:spacing w:after="120"/>
        <w:rPr>
          <w:rFonts w:ascii="Times New Roman" w:hAnsi="Times New Roman"/>
          <w:szCs w:val="24"/>
        </w:rPr>
      </w:pPr>
      <w:r>
        <w:rPr>
          <w:rFonts w:ascii="Times New Roman" w:hAnsi="Times New Roman"/>
        </w:rPr>
        <w:t>Le mémorandum d’entente est un instrument non contraignant qui fait référence à des engagements politiques.</w:t>
      </w:r>
    </w:p>
    <w:p w14:paraId="4DD74280" w14:textId="77777777" w:rsidR="00436949" w:rsidRDefault="00BA1656" w:rsidP="005D7F0B">
      <w:pPr>
        <w:pStyle w:val="ListParagraph"/>
        <w:spacing w:after="120" w:line="240" w:lineRule="auto"/>
        <w:ind w:left="0"/>
        <w:jc w:val="both"/>
        <w:rPr>
          <w:rFonts w:ascii="Times New Roman" w:hAnsi="Times New Roman"/>
          <w:sz w:val="24"/>
          <w:szCs w:val="24"/>
        </w:rPr>
      </w:pPr>
      <w:r>
        <w:rPr>
          <w:rFonts w:ascii="Times New Roman" w:hAnsi="Times New Roman"/>
          <w:sz w:val="24"/>
        </w:rPr>
        <w:t>Une approche en une seule tranche a été considérée comme l’option la plus appropriée, au bénéfice de l’exercice budgétaire tunisien 2023, sous réserve du respect de trois conditions spécifiques supplémentaires considérées comme déterminantes pour inciter la Tunisie aux réformes, à la stabilité économique et à la transparence, conformément également à l’objectif du mémorandum d’entente de contribuer à la stabilité macroéconomique de la Tunisie.</w:t>
      </w:r>
    </w:p>
    <w:p w14:paraId="561EF91F" w14:textId="77777777" w:rsidR="00CB18D1" w:rsidRPr="00FE3F6E" w:rsidRDefault="00CB18D1" w:rsidP="005D7F0B">
      <w:pPr>
        <w:pStyle w:val="Text1"/>
        <w:spacing w:after="120"/>
        <w:ind w:left="0"/>
        <w:rPr>
          <w:rFonts w:ascii="Times New Roman" w:hAnsi="Times New Roman"/>
          <w:szCs w:val="24"/>
        </w:rPr>
      </w:pPr>
      <w:r>
        <w:rPr>
          <w:rFonts w:ascii="Times New Roman" w:hAnsi="Times New Roman"/>
          <w:b/>
          <w:u w:val="single"/>
        </w:rPr>
        <w:t>En ce qui concerne le paragraphe </w:t>
      </w:r>
      <w:proofErr w:type="gramStart"/>
      <w:r>
        <w:rPr>
          <w:rFonts w:ascii="Times New Roman" w:hAnsi="Times New Roman"/>
          <w:b/>
          <w:u w:val="single"/>
        </w:rPr>
        <w:t>10:</w:t>
      </w:r>
      <w:proofErr w:type="gramEnd"/>
    </w:p>
    <w:p w14:paraId="7D48052E" w14:textId="77777777" w:rsidR="00F43FC0" w:rsidRPr="0062228E" w:rsidRDefault="00E06DB8" w:rsidP="005D7F0B">
      <w:pPr>
        <w:pStyle w:val="Text1"/>
        <w:spacing w:after="120"/>
        <w:ind w:left="0"/>
        <w:rPr>
          <w:rFonts w:ascii="Times New Roman" w:hAnsi="Times New Roman"/>
          <w:szCs w:val="24"/>
        </w:rPr>
      </w:pPr>
      <w:r>
        <w:rPr>
          <w:rFonts w:ascii="Times New Roman" w:hAnsi="Times New Roman"/>
        </w:rPr>
        <w:t>L’action a contribué à aider la Tunisie à améliorer le climat des affaires et des investissements de trois manières. Premièrement, les conditions générales de l’appui budgétaire exigent une politique crédible et pertinente dans ce secteur. Deuxièmement, les conditions supplémentaires exigeaient la publication d’un budget et de ses annexes, ainsi qu’une nouvelle stratégie de GFP, tous deux salués par les partenaires internationaux en tant que piliers d’un nouveau cadre favorable à l’investissement et à la croissance fondée sur les entreprises. Troisièmement, l’UE et la Tunisie ont tenu, en février 2024, des discussions approfondies sur les priorités relatives au développement, à la fiscalité, au budget et à la politique monétaire, qui ont récemment montré de nets progrès en matière de réformes ainsi qu’une tendance positive.</w:t>
      </w:r>
    </w:p>
    <w:p w14:paraId="4EFBBDA1" w14:textId="77777777" w:rsidR="00CB18D1" w:rsidRPr="0062228E" w:rsidRDefault="00666F38" w:rsidP="005D7F0B">
      <w:pPr>
        <w:pStyle w:val="Text1"/>
        <w:spacing w:after="120"/>
        <w:ind w:left="0"/>
        <w:rPr>
          <w:rFonts w:ascii="Times New Roman" w:hAnsi="Times New Roman"/>
          <w:szCs w:val="24"/>
        </w:rPr>
      </w:pPr>
      <w:r>
        <w:rPr>
          <w:rFonts w:ascii="Times New Roman" w:hAnsi="Times New Roman"/>
        </w:rPr>
        <w:t>En outre, le gouvernement a adopté son plan de développement 2023-2025 et a travaillé à la mise en œuvre de sa stratégie en matière de climat des affaires, qui a été adoptée en janvier 2023. À la mi-février 2024, le gouvernement avait mis en œuvre 46 de ses 189 actions, dont l’inclusion financière dans les petites et moyennes entreprises (PME), l’incitation à l’épargne et la promotion des investissements, tandis que d’autres actions seront mises en œuvre une fois que le Parlement aura approuvé le code des changes, qui a été adopté par le Conseil des ministres à la mi-mars 2024. Le gouvernement a également travaillé à l’élaboration d’une nouvelle loi sur les investissements. Enfin, la Commission continue de dialoguer avec la Tunisie pour présenter de nouveaux progrès lors de la conférence d’affaires UE-Tunisie en 2024.</w:t>
      </w:r>
    </w:p>
    <w:p w14:paraId="2AA6B683" w14:textId="77777777" w:rsidR="00CB18D1" w:rsidRPr="00FE3F6E" w:rsidRDefault="00CB18D1" w:rsidP="005D7F0B">
      <w:pPr>
        <w:pStyle w:val="Text1"/>
        <w:spacing w:after="120"/>
        <w:ind w:left="0"/>
        <w:rPr>
          <w:rFonts w:ascii="Times New Roman" w:hAnsi="Times New Roman"/>
          <w:szCs w:val="24"/>
        </w:rPr>
      </w:pPr>
      <w:r>
        <w:rPr>
          <w:rFonts w:ascii="Times New Roman" w:hAnsi="Times New Roman"/>
          <w:b/>
          <w:u w:val="single"/>
        </w:rPr>
        <w:t>En ce qui concerne le paragraphe </w:t>
      </w:r>
      <w:proofErr w:type="gramStart"/>
      <w:r>
        <w:rPr>
          <w:rFonts w:ascii="Times New Roman" w:hAnsi="Times New Roman"/>
          <w:b/>
          <w:u w:val="single"/>
        </w:rPr>
        <w:t>11:</w:t>
      </w:r>
      <w:proofErr w:type="gramEnd"/>
    </w:p>
    <w:p w14:paraId="58B47E14" w14:textId="77777777" w:rsidR="007C3A63" w:rsidRPr="00FE3F6E" w:rsidRDefault="007C3A63" w:rsidP="005D7F0B">
      <w:pPr>
        <w:pStyle w:val="LTTBullet"/>
        <w:tabs>
          <w:tab w:val="clear" w:pos="720"/>
        </w:tabs>
        <w:spacing w:after="120"/>
        <w:ind w:left="0" w:firstLine="0"/>
        <w:jc w:val="both"/>
        <w:rPr>
          <w:rFonts w:ascii="Times New Roman" w:hAnsi="Times New Roman" w:cs="Times New Roman"/>
          <w:sz w:val="24"/>
          <w:szCs w:val="24"/>
        </w:rPr>
      </w:pPr>
      <w:r>
        <w:rPr>
          <w:rFonts w:ascii="Times New Roman" w:hAnsi="Times New Roman"/>
          <w:sz w:val="24"/>
        </w:rPr>
        <w:t>Le 10 octobre 2023, la Tunisie a restitué un versement de 60 000 000 EUR. Il s’agissait du seul versement d’appui budgétaire effectué en 2023. Ce montant faisait partie d’un programme d’appui budgétaire en cours, adopté en 2021 et axé sur la reprise économique après la COVID-19. Ce versement n’était pas lié au mémorandum d’entente.</w:t>
      </w:r>
    </w:p>
    <w:p w14:paraId="1F55B1D7" w14:textId="77777777" w:rsidR="00CB18D1" w:rsidRPr="00FE3F6E" w:rsidRDefault="00CB18D1" w:rsidP="005D7F0B">
      <w:pPr>
        <w:pStyle w:val="Text1"/>
        <w:spacing w:after="120"/>
        <w:ind w:left="0"/>
        <w:rPr>
          <w:rFonts w:ascii="Times New Roman" w:hAnsi="Times New Roman"/>
          <w:szCs w:val="24"/>
        </w:rPr>
      </w:pPr>
      <w:r>
        <w:rPr>
          <w:rFonts w:ascii="Times New Roman" w:hAnsi="Times New Roman"/>
          <w:b/>
          <w:u w:val="single"/>
        </w:rPr>
        <w:t>En ce qui concerne le paragraphe </w:t>
      </w:r>
      <w:proofErr w:type="gramStart"/>
      <w:r>
        <w:rPr>
          <w:rFonts w:ascii="Times New Roman" w:hAnsi="Times New Roman"/>
          <w:b/>
          <w:u w:val="single"/>
        </w:rPr>
        <w:t>12:</w:t>
      </w:r>
      <w:proofErr w:type="gramEnd"/>
      <w:r>
        <w:rPr>
          <w:rFonts w:ascii="Times New Roman" w:hAnsi="Times New Roman"/>
          <w:b/>
        </w:rPr>
        <w:t xml:space="preserve"> </w:t>
      </w:r>
    </w:p>
    <w:p w14:paraId="35944026" w14:textId="77777777" w:rsidR="00AD5534" w:rsidRPr="00350D8C" w:rsidRDefault="0092233B" w:rsidP="005D7F0B">
      <w:pPr>
        <w:spacing w:after="120"/>
        <w:rPr>
          <w:rFonts w:ascii="Times New Roman" w:hAnsi="Times New Roman"/>
        </w:rPr>
      </w:pPr>
      <w:bookmarkStart w:id="4" w:name="_Hlk162015492"/>
      <w:r>
        <w:rPr>
          <w:rFonts w:ascii="Times New Roman" w:hAnsi="Times New Roman"/>
        </w:rPr>
        <w:t>La Commission soutient pleinement le rôle du Parlement conformément à l’article 14 du traité sur l’Union européenne. La coopération avec le Parlement est un élément important de la coopération de l’UE avec la Tunisie.</w:t>
      </w:r>
      <w:bookmarkEnd w:id="4"/>
    </w:p>
    <w:p w14:paraId="136DD0BE" w14:textId="77777777" w:rsidR="00153693" w:rsidRPr="00350D8C" w:rsidRDefault="00153693" w:rsidP="005D7F0B">
      <w:pPr>
        <w:spacing w:after="120"/>
        <w:rPr>
          <w:rFonts w:ascii="Times New Roman" w:hAnsi="Times New Roman"/>
        </w:rPr>
      </w:pPr>
      <w:r>
        <w:rPr>
          <w:rFonts w:ascii="Times New Roman" w:hAnsi="Times New Roman"/>
        </w:rPr>
        <w:t xml:space="preserve">En conclusion, </w:t>
      </w:r>
      <w:bookmarkStart w:id="5" w:name="_Hlk162013314"/>
      <w:r>
        <w:rPr>
          <w:rFonts w:ascii="Times New Roman" w:hAnsi="Times New Roman"/>
        </w:rPr>
        <w:t>cet appui budgétaire a été adopté conformément au règlement financier, au règlement IVCDCI — Europe dans le monde et aux lignes directrices de l’UE sur l’appui budgétaire. La Commission a veillé à consulter les parties concernées (services de la Commission/SEAE et États membres) et a informé le Parlement de manière formelle et informelle.</w:t>
      </w:r>
    </w:p>
    <w:p w14:paraId="76EDC1D1" w14:textId="77777777" w:rsidR="00153693" w:rsidRPr="00870C99" w:rsidRDefault="00153693" w:rsidP="005D7F0B">
      <w:pPr>
        <w:spacing w:after="120"/>
        <w:rPr>
          <w:rFonts w:ascii="Times New Roman" w:hAnsi="Times New Roman"/>
          <w:b/>
          <w:i/>
          <w:szCs w:val="24"/>
        </w:rPr>
      </w:pPr>
      <w:r>
        <w:rPr>
          <w:rFonts w:ascii="Times New Roman" w:hAnsi="Times New Roman"/>
        </w:rPr>
        <w:t xml:space="preserve">La Commission est prête à poursuivre le dialogue avec le Parlement. Elle est également disposée à répondre à toute question concernant la mise en œuvre du mémorandum d’entente. </w:t>
      </w:r>
      <w:bookmarkEnd w:id="5"/>
    </w:p>
    <w:sectPr w:rsidR="00153693" w:rsidRPr="00870C99" w:rsidSect="000A07D2">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2F396" w14:textId="77777777" w:rsidR="004B694C" w:rsidRDefault="004B694C">
      <w:r>
        <w:separator/>
      </w:r>
    </w:p>
  </w:endnote>
  <w:endnote w:type="continuationSeparator" w:id="0">
    <w:p w14:paraId="5D2D2819" w14:textId="77777777" w:rsidR="004B694C" w:rsidRDefault="004B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4469C"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7095C74E"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93DF"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246D">
      <w:rPr>
        <w:rStyle w:val="PageNumber"/>
      </w:rPr>
      <w:t>2</w:t>
    </w:r>
    <w:r>
      <w:rPr>
        <w:rStyle w:val="PageNumber"/>
      </w:rPr>
      <w:fldChar w:fldCharType="end"/>
    </w:r>
  </w:p>
  <w:p w14:paraId="4840815E"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0F32" w14:textId="77777777" w:rsidR="005E6EC2" w:rsidRPr="00370959" w:rsidRDefault="005E6EC2" w:rsidP="00370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D31D8" w14:textId="77777777" w:rsidR="004B694C" w:rsidRDefault="004B694C">
      <w:r>
        <w:separator/>
      </w:r>
    </w:p>
  </w:footnote>
  <w:footnote w:type="continuationSeparator" w:id="0">
    <w:p w14:paraId="77DC4BCA" w14:textId="77777777" w:rsidR="004B694C" w:rsidRDefault="004B694C">
      <w:r>
        <w:continuationSeparator/>
      </w:r>
    </w:p>
  </w:footnote>
  <w:footnote w:id="1">
    <w:p w14:paraId="60D03BA0" w14:textId="1C49C885" w:rsidR="00340705" w:rsidRPr="00370959" w:rsidRDefault="00340705" w:rsidP="00370959">
      <w:pPr>
        <w:pStyle w:val="FootnoteText"/>
        <w:spacing w:after="0"/>
        <w:rPr>
          <w:rFonts w:ascii="Times New Roman" w:hAnsi="Times New Roman"/>
        </w:rPr>
      </w:pPr>
      <w:r>
        <w:rPr>
          <w:rStyle w:val="FootnoteReference"/>
        </w:rPr>
        <w:footnoteRef/>
      </w:r>
      <w:r>
        <w:t xml:space="preserve"> </w:t>
      </w:r>
      <w:r>
        <w:tab/>
      </w:r>
      <w:r>
        <w:rPr>
          <w:rFonts w:ascii="Times New Roman" w:hAnsi="Times New Roman"/>
        </w:rPr>
        <w:t xml:space="preserve">Règlement financier nº 2018/1046 (JO L 193 du 30.7.2018)  </w:t>
      </w:r>
    </w:p>
  </w:footnote>
  <w:footnote w:id="2">
    <w:p w14:paraId="2F8C56F9" w14:textId="559E4585" w:rsidR="00340705" w:rsidRPr="00370959" w:rsidRDefault="00340705" w:rsidP="00370959">
      <w:pPr>
        <w:pStyle w:val="FootnoteText"/>
        <w:spacing w:after="0"/>
        <w:rPr>
          <w:rFonts w:ascii="Times New Roman" w:hAnsi="Times New Roman"/>
        </w:rPr>
      </w:pPr>
      <w:r>
        <w:rPr>
          <w:rStyle w:val="FootnoteReference"/>
          <w:rFonts w:ascii="Times New Roman" w:hAnsi="Times New Roman"/>
        </w:rPr>
        <w:footnoteRef/>
      </w:r>
      <w:r>
        <w:t xml:space="preserve"> </w:t>
      </w:r>
      <w:r>
        <w:tab/>
      </w:r>
      <w:r>
        <w:rPr>
          <w:rFonts w:ascii="Times New Roman" w:hAnsi="Times New Roman"/>
        </w:rPr>
        <w:t>Règlement (UE) 2021/947 de l’IVCDCI — Europe dans le monde (JO L 209 du 14.6.2021)</w:t>
      </w:r>
    </w:p>
  </w:footnote>
  <w:footnote w:id="3">
    <w:p w14:paraId="35F14CE0" w14:textId="77777777" w:rsidR="00B84C82" w:rsidRPr="00370959" w:rsidRDefault="00B84C82" w:rsidP="00370959">
      <w:pPr>
        <w:pStyle w:val="FootnoteText"/>
        <w:spacing w:after="0"/>
        <w:rPr>
          <w:rFonts w:ascii="Times New Roman" w:hAnsi="Times New Roman"/>
        </w:rPr>
      </w:pPr>
      <w:r>
        <w:rPr>
          <w:rStyle w:val="FootnoteReference"/>
          <w:rFonts w:ascii="Times New Roman" w:hAnsi="Times New Roman"/>
        </w:rPr>
        <w:footnoteRef/>
      </w:r>
      <w:r>
        <w:t xml:space="preserve"> </w:t>
      </w:r>
      <w:r>
        <w:tab/>
      </w:r>
      <w:r>
        <w:rPr>
          <w:rFonts w:ascii="Times New Roman" w:hAnsi="Times New Roman"/>
        </w:rPr>
        <w:t>Règlement (UE) nº 182/2011 du Parlement européen et du Conseil du 16 février 2011 établissant les règles et principes généraux relatifs aux modalités de contrôle par les États membres de l’exercice des compétences d’exécution par la Commission (JO L 55 du 28.2.2011, p. 13).</w:t>
      </w:r>
    </w:p>
  </w:footnote>
  <w:footnote w:id="4">
    <w:p w14:paraId="051EEC9E" w14:textId="77777777" w:rsidR="003107FB" w:rsidRPr="00370959" w:rsidRDefault="003107FB" w:rsidP="00370959">
      <w:pPr>
        <w:pStyle w:val="FootnoteText"/>
        <w:spacing w:after="0"/>
        <w:rPr>
          <w:rFonts w:ascii="Times New Roman" w:hAnsi="Times New Roman"/>
        </w:rPr>
      </w:pPr>
      <w:r>
        <w:rPr>
          <w:rFonts w:ascii="Times New Roman" w:hAnsi="Times New Roman"/>
          <w:sz w:val="18"/>
          <w:szCs w:val="18"/>
        </w:rPr>
        <w:footnoteRef/>
      </w:r>
      <w:r>
        <w:t xml:space="preserve"> </w:t>
      </w:r>
      <w:r>
        <w:tab/>
      </w:r>
      <w:r>
        <w:rPr>
          <w:rFonts w:ascii="Times New Roman" w:hAnsi="Times New Roman"/>
        </w:rPr>
        <w:t>JO L 97 du 30.3.1998,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F5F4F" w14:textId="77777777" w:rsidR="00370959" w:rsidRDefault="00370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2A0A" w14:textId="77777777" w:rsidR="00370959" w:rsidRDefault="003709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E509" w14:textId="77777777" w:rsidR="00370959" w:rsidRDefault="00370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D56"/>
    <w:multiLevelType w:val="hybridMultilevel"/>
    <w:tmpl w:val="F21EF2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0C82B8B"/>
    <w:multiLevelType w:val="hybridMultilevel"/>
    <w:tmpl w:val="63BE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4" w15:restartNumberingAfterBreak="0">
    <w:nsid w:val="03476EEE"/>
    <w:multiLevelType w:val="hybridMultilevel"/>
    <w:tmpl w:val="652600DE"/>
    <w:lvl w:ilvl="0" w:tplc="1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9"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0"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3" w15:restartNumberingAfterBreak="0">
    <w:nsid w:val="1CCB5A30"/>
    <w:multiLevelType w:val="hybridMultilevel"/>
    <w:tmpl w:val="7C2E8BA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5" w15:restartNumberingAfterBreak="0">
    <w:nsid w:val="1DC3099D"/>
    <w:multiLevelType w:val="hybridMultilevel"/>
    <w:tmpl w:val="BD30703E"/>
    <w:lvl w:ilvl="0" w:tplc="1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1DF03F27"/>
    <w:multiLevelType w:val="hybridMultilevel"/>
    <w:tmpl w:val="34C0039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9"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2" w15:restartNumberingAfterBreak="0">
    <w:nsid w:val="375F6C38"/>
    <w:multiLevelType w:val="hybridMultilevel"/>
    <w:tmpl w:val="DC3EF882"/>
    <w:lvl w:ilvl="0" w:tplc="18090001">
      <w:start w:val="1"/>
      <w:numFmt w:val="bullet"/>
      <w:lvlText w:val=""/>
      <w:lvlJc w:val="left"/>
      <w:pPr>
        <w:ind w:left="420" w:hanging="42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37109D3"/>
    <w:multiLevelType w:val="hybridMultilevel"/>
    <w:tmpl w:val="1F0094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E2C38AD"/>
    <w:multiLevelType w:val="hybridMultilevel"/>
    <w:tmpl w:val="16B21D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7"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30" w15:restartNumberingAfterBreak="0">
    <w:nsid w:val="5FCF5054"/>
    <w:multiLevelType w:val="hybridMultilevel"/>
    <w:tmpl w:val="8E20E16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77024F"/>
    <w:multiLevelType w:val="hybridMultilevel"/>
    <w:tmpl w:val="30D255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6" w15:restartNumberingAfterBreak="0">
    <w:nsid w:val="746C1691"/>
    <w:multiLevelType w:val="hybridMultilevel"/>
    <w:tmpl w:val="014C1D4E"/>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6697DF3"/>
    <w:multiLevelType w:val="hybridMultilevel"/>
    <w:tmpl w:val="2B2459CE"/>
    <w:lvl w:ilvl="0" w:tplc="18090001">
      <w:start w:val="1"/>
      <w:numFmt w:val="bullet"/>
      <w:lvlText w:val=""/>
      <w:lvlJc w:val="left"/>
      <w:pPr>
        <w:ind w:left="780" w:hanging="4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BB3B73"/>
    <w:multiLevelType w:val="hybridMultilevel"/>
    <w:tmpl w:val="D2D0F50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4"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5" w15:restartNumberingAfterBreak="0">
    <w:nsid w:val="78193088"/>
    <w:multiLevelType w:val="hybridMultilevel"/>
    <w:tmpl w:val="2230F7F2"/>
    <w:lvl w:ilvl="0" w:tplc="D9A0607E">
      <w:start w:val="1"/>
      <w:numFmt w:val="decimal"/>
      <w:lvlText w:val="%1)"/>
      <w:lvlJc w:val="left"/>
      <w:pPr>
        <w:ind w:left="1146" w:hanging="360"/>
      </w:pPr>
      <w:rPr>
        <w:rFonts w:hint="default"/>
      </w:r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46" w15:restartNumberingAfterBreak="0">
    <w:nsid w:val="7B4C6124"/>
    <w:multiLevelType w:val="hybridMultilevel"/>
    <w:tmpl w:val="852C80D4"/>
    <w:lvl w:ilvl="0" w:tplc="18090001">
      <w:start w:val="1"/>
      <w:numFmt w:val="bullet"/>
      <w:lvlText w:val=""/>
      <w:lvlJc w:val="left"/>
      <w:pPr>
        <w:ind w:left="360" w:hanging="360"/>
      </w:pPr>
      <w:rPr>
        <w:rFonts w:ascii="Symbol" w:hAnsi="Symbol" w:hint="default"/>
      </w:rPr>
    </w:lvl>
    <w:lvl w:ilvl="1" w:tplc="08090003">
      <w:start w:val="1"/>
      <w:numFmt w:val="bullet"/>
      <w:lvlText w:val="o"/>
      <w:lvlJc w:val="left"/>
      <w:pPr>
        <w:ind w:left="1157" w:hanging="360"/>
      </w:pPr>
      <w:rPr>
        <w:rFonts w:ascii="Courier New" w:hAnsi="Courier New" w:cs="Courier New" w:hint="default"/>
      </w:rPr>
    </w:lvl>
    <w:lvl w:ilvl="2" w:tplc="08090005">
      <w:start w:val="1"/>
      <w:numFmt w:val="bullet"/>
      <w:lvlText w:val=""/>
      <w:lvlJc w:val="left"/>
      <w:pPr>
        <w:ind w:left="1877" w:hanging="360"/>
      </w:pPr>
      <w:rPr>
        <w:rFonts w:ascii="Wingdings" w:hAnsi="Wingdings" w:hint="default"/>
      </w:rPr>
    </w:lvl>
    <w:lvl w:ilvl="3" w:tplc="08090001">
      <w:start w:val="1"/>
      <w:numFmt w:val="bullet"/>
      <w:lvlText w:val=""/>
      <w:lvlJc w:val="left"/>
      <w:pPr>
        <w:ind w:left="2597" w:hanging="360"/>
      </w:pPr>
      <w:rPr>
        <w:rFonts w:ascii="Symbol" w:hAnsi="Symbol" w:hint="default"/>
      </w:rPr>
    </w:lvl>
    <w:lvl w:ilvl="4" w:tplc="08090003">
      <w:start w:val="1"/>
      <w:numFmt w:val="bullet"/>
      <w:lvlText w:val="o"/>
      <w:lvlJc w:val="left"/>
      <w:pPr>
        <w:ind w:left="3317" w:hanging="360"/>
      </w:pPr>
      <w:rPr>
        <w:rFonts w:ascii="Courier New" w:hAnsi="Courier New" w:cs="Courier New" w:hint="default"/>
      </w:rPr>
    </w:lvl>
    <w:lvl w:ilvl="5" w:tplc="08090005">
      <w:start w:val="1"/>
      <w:numFmt w:val="bullet"/>
      <w:lvlText w:val=""/>
      <w:lvlJc w:val="left"/>
      <w:pPr>
        <w:ind w:left="4037" w:hanging="360"/>
      </w:pPr>
      <w:rPr>
        <w:rFonts w:ascii="Wingdings" w:hAnsi="Wingdings" w:hint="default"/>
      </w:rPr>
    </w:lvl>
    <w:lvl w:ilvl="6" w:tplc="08090001">
      <w:start w:val="1"/>
      <w:numFmt w:val="bullet"/>
      <w:lvlText w:val=""/>
      <w:lvlJc w:val="left"/>
      <w:pPr>
        <w:ind w:left="4757" w:hanging="360"/>
      </w:pPr>
      <w:rPr>
        <w:rFonts w:ascii="Symbol" w:hAnsi="Symbol" w:hint="default"/>
      </w:rPr>
    </w:lvl>
    <w:lvl w:ilvl="7" w:tplc="08090003">
      <w:start w:val="1"/>
      <w:numFmt w:val="bullet"/>
      <w:lvlText w:val="o"/>
      <w:lvlJc w:val="left"/>
      <w:pPr>
        <w:ind w:left="5477" w:hanging="360"/>
      </w:pPr>
      <w:rPr>
        <w:rFonts w:ascii="Courier New" w:hAnsi="Courier New" w:cs="Courier New" w:hint="default"/>
      </w:rPr>
    </w:lvl>
    <w:lvl w:ilvl="8" w:tplc="08090005">
      <w:start w:val="1"/>
      <w:numFmt w:val="bullet"/>
      <w:lvlText w:val=""/>
      <w:lvlJc w:val="left"/>
      <w:pPr>
        <w:ind w:left="6197" w:hanging="360"/>
      </w:pPr>
      <w:rPr>
        <w:rFonts w:ascii="Wingdings" w:hAnsi="Wingdings" w:hint="default"/>
      </w:rPr>
    </w:lvl>
  </w:abstractNum>
  <w:abstractNum w:abstractNumId="47"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656061377">
    <w:abstractNumId w:val="9"/>
  </w:num>
  <w:num w:numId="2" w16cid:durableId="639532559">
    <w:abstractNumId w:val="3"/>
  </w:num>
  <w:num w:numId="3" w16cid:durableId="1701272882">
    <w:abstractNumId w:val="44"/>
  </w:num>
  <w:num w:numId="4" w16cid:durableId="394552129">
    <w:abstractNumId w:val="18"/>
  </w:num>
  <w:num w:numId="5" w16cid:durableId="61568489">
    <w:abstractNumId w:val="35"/>
  </w:num>
  <w:num w:numId="6" w16cid:durableId="887301675">
    <w:abstractNumId w:val="14"/>
  </w:num>
  <w:num w:numId="7" w16cid:durableId="200486448">
    <w:abstractNumId w:val="8"/>
  </w:num>
  <w:num w:numId="8" w16cid:durableId="636109705">
    <w:abstractNumId w:val="21"/>
  </w:num>
  <w:num w:numId="9" w16cid:durableId="671880440">
    <w:abstractNumId w:val="43"/>
  </w:num>
  <w:num w:numId="10" w16cid:durableId="552078518">
    <w:abstractNumId w:val="29"/>
  </w:num>
  <w:num w:numId="11" w16cid:durableId="1448619344">
    <w:abstractNumId w:val="33"/>
  </w:num>
  <w:num w:numId="12" w16cid:durableId="113982239">
    <w:abstractNumId w:val="17"/>
  </w:num>
  <w:num w:numId="13" w16cid:durableId="1713533371">
    <w:abstractNumId w:val="23"/>
  </w:num>
  <w:num w:numId="14" w16cid:durableId="1379743722">
    <w:abstractNumId w:val="37"/>
  </w:num>
  <w:num w:numId="15" w16cid:durableId="1571693460">
    <w:abstractNumId w:val="20"/>
  </w:num>
  <w:num w:numId="16" w16cid:durableId="416174439">
    <w:abstractNumId w:val="47"/>
  </w:num>
  <w:num w:numId="17" w16cid:durableId="743600221">
    <w:abstractNumId w:val="41"/>
  </w:num>
  <w:num w:numId="18" w16cid:durableId="1838304681">
    <w:abstractNumId w:val="27"/>
  </w:num>
  <w:num w:numId="19" w16cid:durableId="48501658">
    <w:abstractNumId w:val="28"/>
  </w:num>
  <w:num w:numId="20" w16cid:durableId="615136523">
    <w:abstractNumId w:val="34"/>
  </w:num>
  <w:num w:numId="21" w16cid:durableId="230121785">
    <w:abstractNumId w:val="6"/>
  </w:num>
  <w:num w:numId="22" w16cid:durableId="284047670">
    <w:abstractNumId w:val="7"/>
  </w:num>
  <w:num w:numId="23" w16cid:durableId="2136292160">
    <w:abstractNumId w:val="26"/>
  </w:num>
  <w:num w:numId="24" w16cid:durableId="1372339790">
    <w:abstractNumId w:val="38"/>
  </w:num>
  <w:num w:numId="25" w16cid:durableId="2012022036">
    <w:abstractNumId w:val="12"/>
  </w:num>
  <w:num w:numId="26" w16cid:durableId="303973067">
    <w:abstractNumId w:val="40"/>
  </w:num>
  <w:num w:numId="27" w16cid:durableId="923104782">
    <w:abstractNumId w:val="11"/>
  </w:num>
  <w:num w:numId="28" w16cid:durableId="1510022094">
    <w:abstractNumId w:val="5"/>
  </w:num>
  <w:num w:numId="29" w16cid:durableId="1823891132">
    <w:abstractNumId w:val="19"/>
  </w:num>
  <w:num w:numId="30" w16cid:durableId="771321760">
    <w:abstractNumId w:val="31"/>
  </w:num>
  <w:num w:numId="31" w16cid:durableId="601882827">
    <w:abstractNumId w:val="44"/>
  </w:num>
  <w:num w:numId="32" w16cid:durableId="374935847">
    <w:abstractNumId w:val="36"/>
  </w:num>
  <w:num w:numId="33" w16cid:durableId="882331725">
    <w:abstractNumId w:val="45"/>
  </w:num>
  <w:num w:numId="34" w16cid:durableId="1570070100">
    <w:abstractNumId w:val="4"/>
  </w:num>
  <w:num w:numId="35" w16cid:durableId="1999651028">
    <w:abstractNumId w:val="22"/>
  </w:num>
  <w:num w:numId="36" w16cid:durableId="924726336">
    <w:abstractNumId w:val="46"/>
  </w:num>
  <w:num w:numId="37" w16cid:durableId="1085998232">
    <w:abstractNumId w:val="0"/>
  </w:num>
  <w:num w:numId="38" w16cid:durableId="2090611076">
    <w:abstractNumId w:val="15"/>
  </w:num>
  <w:num w:numId="39" w16cid:durableId="1184055880">
    <w:abstractNumId w:val="39"/>
  </w:num>
  <w:num w:numId="40" w16cid:durableId="1964115587">
    <w:abstractNumId w:val="16"/>
  </w:num>
  <w:num w:numId="41" w16cid:durableId="2079328412">
    <w:abstractNumId w:val="32"/>
  </w:num>
  <w:num w:numId="42" w16cid:durableId="1798185369">
    <w:abstractNumId w:val="30"/>
  </w:num>
  <w:num w:numId="43" w16cid:durableId="532613202">
    <w:abstractNumId w:val="13"/>
  </w:num>
  <w:num w:numId="44" w16cid:durableId="1510832663">
    <w:abstractNumId w:val="24"/>
  </w:num>
  <w:num w:numId="45" w16cid:durableId="690645358">
    <w:abstractNumId w:val="25"/>
  </w:num>
  <w:num w:numId="46" w16cid:durableId="1659575022">
    <w:abstractNumId w:val="42"/>
  </w:num>
  <w:num w:numId="47" w16cid:durableId="1402406247">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1E7"/>
    <w:rsid w:val="00040281"/>
    <w:rsid w:val="00040A13"/>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2D3"/>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88"/>
    <w:rsid w:val="000845D7"/>
    <w:rsid w:val="000846F8"/>
    <w:rsid w:val="00084B71"/>
    <w:rsid w:val="00084D1E"/>
    <w:rsid w:val="00084DFB"/>
    <w:rsid w:val="0008526A"/>
    <w:rsid w:val="000853EB"/>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266"/>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5FD"/>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4A"/>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DA1"/>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786"/>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67"/>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54B2"/>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693"/>
    <w:rsid w:val="001538A6"/>
    <w:rsid w:val="00153952"/>
    <w:rsid w:val="00153AD9"/>
    <w:rsid w:val="00153C3E"/>
    <w:rsid w:val="00153F3C"/>
    <w:rsid w:val="001540D4"/>
    <w:rsid w:val="00154153"/>
    <w:rsid w:val="001541B9"/>
    <w:rsid w:val="00154223"/>
    <w:rsid w:val="00154492"/>
    <w:rsid w:val="001545E0"/>
    <w:rsid w:val="00154908"/>
    <w:rsid w:val="00154E3C"/>
    <w:rsid w:val="00155050"/>
    <w:rsid w:val="00155265"/>
    <w:rsid w:val="001559B7"/>
    <w:rsid w:val="00155DAE"/>
    <w:rsid w:val="00155FC8"/>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9C0"/>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B2B"/>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17"/>
    <w:rsid w:val="00193FA0"/>
    <w:rsid w:val="0019484D"/>
    <w:rsid w:val="00194A0F"/>
    <w:rsid w:val="00194B51"/>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8A4"/>
    <w:rsid w:val="001B296B"/>
    <w:rsid w:val="001B2A14"/>
    <w:rsid w:val="001B31D0"/>
    <w:rsid w:val="001B31FB"/>
    <w:rsid w:val="001B35F9"/>
    <w:rsid w:val="001B3705"/>
    <w:rsid w:val="001B3734"/>
    <w:rsid w:val="001B38C8"/>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5EFF"/>
    <w:rsid w:val="001B627A"/>
    <w:rsid w:val="001B6448"/>
    <w:rsid w:val="001B6B7E"/>
    <w:rsid w:val="001B6BAD"/>
    <w:rsid w:val="001B6F81"/>
    <w:rsid w:val="001B70A1"/>
    <w:rsid w:val="001B76B5"/>
    <w:rsid w:val="001B7802"/>
    <w:rsid w:val="001B7D87"/>
    <w:rsid w:val="001B7E7B"/>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A2D"/>
    <w:rsid w:val="001F0C8D"/>
    <w:rsid w:val="001F1458"/>
    <w:rsid w:val="001F1A7E"/>
    <w:rsid w:val="001F1ACF"/>
    <w:rsid w:val="001F1E12"/>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4D0"/>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DE1"/>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454"/>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A01"/>
    <w:rsid w:val="00231DFE"/>
    <w:rsid w:val="00232166"/>
    <w:rsid w:val="00232359"/>
    <w:rsid w:val="00232BAA"/>
    <w:rsid w:val="00232DF2"/>
    <w:rsid w:val="00232E14"/>
    <w:rsid w:val="00232E5E"/>
    <w:rsid w:val="00232E96"/>
    <w:rsid w:val="0023356F"/>
    <w:rsid w:val="00233656"/>
    <w:rsid w:val="00233749"/>
    <w:rsid w:val="002338E8"/>
    <w:rsid w:val="00233B5C"/>
    <w:rsid w:val="00233E26"/>
    <w:rsid w:val="00233E5C"/>
    <w:rsid w:val="00233ED8"/>
    <w:rsid w:val="00233FD6"/>
    <w:rsid w:val="00234569"/>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67FA"/>
    <w:rsid w:val="00237015"/>
    <w:rsid w:val="00237507"/>
    <w:rsid w:val="0023752E"/>
    <w:rsid w:val="0023757C"/>
    <w:rsid w:val="00237677"/>
    <w:rsid w:val="00237701"/>
    <w:rsid w:val="00237C25"/>
    <w:rsid w:val="00237C85"/>
    <w:rsid w:val="00237D02"/>
    <w:rsid w:val="00237EEE"/>
    <w:rsid w:val="0024005F"/>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8CF"/>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BA1"/>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7ED"/>
    <w:rsid w:val="0029098C"/>
    <w:rsid w:val="00290AAD"/>
    <w:rsid w:val="00290B60"/>
    <w:rsid w:val="00290E98"/>
    <w:rsid w:val="002910BF"/>
    <w:rsid w:val="002910E0"/>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634"/>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499"/>
    <w:rsid w:val="002B05FE"/>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97C"/>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7FB"/>
    <w:rsid w:val="00310AF2"/>
    <w:rsid w:val="00310CE4"/>
    <w:rsid w:val="0031100E"/>
    <w:rsid w:val="00311194"/>
    <w:rsid w:val="0031125F"/>
    <w:rsid w:val="0031136C"/>
    <w:rsid w:val="0031167A"/>
    <w:rsid w:val="0031177F"/>
    <w:rsid w:val="00311B7B"/>
    <w:rsid w:val="00311F51"/>
    <w:rsid w:val="003122E8"/>
    <w:rsid w:val="00312635"/>
    <w:rsid w:val="00312B96"/>
    <w:rsid w:val="00312BA3"/>
    <w:rsid w:val="00313B7C"/>
    <w:rsid w:val="00313C32"/>
    <w:rsid w:val="00314017"/>
    <w:rsid w:val="00314034"/>
    <w:rsid w:val="00314397"/>
    <w:rsid w:val="003144BA"/>
    <w:rsid w:val="00314523"/>
    <w:rsid w:val="00314645"/>
    <w:rsid w:val="003149A3"/>
    <w:rsid w:val="00314B2A"/>
    <w:rsid w:val="00315000"/>
    <w:rsid w:val="003153D9"/>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E1"/>
    <w:rsid w:val="003250DD"/>
    <w:rsid w:val="003257CD"/>
    <w:rsid w:val="00325B0D"/>
    <w:rsid w:val="00325B56"/>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1D58"/>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05"/>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A35"/>
    <w:rsid w:val="00350D13"/>
    <w:rsid w:val="00350D8C"/>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DCC"/>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4F0"/>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5A3"/>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959"/>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D"/>
    <w:rsid w:val="003B3A56"/>
    <w:rsid w:val="003B3D10"/>
    <w:rsid w:val="003B3E21"/>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9B"/>
    <w:rsid w:val="003F110B"/>
    <w:rsid w:val="003F1299"/>
    <w:rsid w:val="003F1C0F"/>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07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FCB"/>
    <w:rsid w:val="0040203A"/>
    <w:rsid w:val="00402747"/>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22D4"/>
    <w:rsid w:val="00432570"/>
    <w:rsid w:val="0043269D"/>
    <w:rsid w:val="00432A76"/>
    <w:rsid w:val="00432C25"/>
    <w:rsid w:val="00432F05"/>
    <w:rsid w:val="004330BC"/>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49"/>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171"/>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259"/>
    <w:rsid w:val="004477EF"/>
    <w:rsid w:val="00447895"/>
    <w:rsid w:val="00447A16"/>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331"/>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036"/>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60E"/>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94C"/>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D7FD2"/>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730"/>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D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48"/>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3A"/>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45C"/>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41"/>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84"/>
    <w:rsid w:val="005833D3"/>
    <w:rsid w:val="00583454"/>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017"/>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7D4"/>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6D"/>
    <w:rsid w:val="005D2072"/>
    <w:rsid w:val="005D221A"/>
    <w:rsid w:val="005D2333"/>
    <w:rsid w:val="005D234F"/>
    <w:rsid w:val="005D246D"/>
    <w:rsid w:val="005D24AF"/>
    <w:rsid w:val="005D289E"/>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35A"/>
    <w:rsid w:val="005D660C"/>
    <w:rsid w:val="005D678B"/>
    <w:rsid w:val="005D6C8E"/>
    <w:rsid w:val="005D73A6"/>
    <w:rsid w:val="005D7574"/>
    <w:rsid w:val="005D77C7"/>
    <w:rsid w:val="005D790D"/>
    <w:rsid w:val="005D7951"/>
    <w:rsid w:val="005D7F0B"/>
    <w:rsid w:val="005E018B"/>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D6D"/>
    <w:rsid w:val="00621E7D"/>
    <w:rsid w:val="00622278"/>
    <w:rsid w:val="0062228E"/>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3F9E"/>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4B"/>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4C3"/>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168"/>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185"/>
    <w:rsid w:val="0066118C"/>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6F38"/>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1CE"/>
    <w:rsid w:val="006B7254"/>
    <w:rsid w:val="006B7408"/>
    <w:rsid w:val="006B7501"/>
    <w:rsid w:val="006B7513"/>
    <w:rsid w:val="006B760E"/>
    <w:rsid w:val="006B7837"/>
    <w:rsid w:val="006B785A"/>
    <w:rsid w:val="006B7910"/>
    <w:rsid w:val="006B7A59"/>
    <w:rsid w:val="006B7D98"/>
    <w:rsid w:val="006C0002"/>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E8F"/>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0F8"/>
    <w:rsid w:val="006E0258"/>
    <w:rsid w:val="006E06B3"/>
    <w:rsid w:val="006E09ED"/>
    <w:rsid w:val="006E0BB8"/>
    <w:rsid w:val="006E0D37"/>
    <w:rsid w:val="006E0FB9"/>
    <w:rsid w:val="006E14B3"/>
    <w:rsid w:val="006E175D"/>
    <w:rsid w:val="006E191C"/>
    <w:rsid w:val="006E1963"/>
    <w:rsid w:val="006E1EAC"/>
    <w:rsid w:val="006E1F52"/>
    <w:rsid w:val="006E22E1"/>
    <w:rsid w:val="006E2653"/>
    <w:rsid w:val="006E27DA"/>
    <w:rsid w:val="006E2875"/>
    <w:rsid w:val="006E2D3E"/>
    <w:rsid w:val="006E2EFE"/>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392"/>
    <w:rsid w:val="006F03B0"/>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6A32"/>
    <w:rsid w:val="006F7055"/>
    <w:rsid w:val="006F7093"/>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4FC6"/>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3F"/>
    <w:rsid w:val="0073489F"/>
    <w:rsid w:val="007349EC"/>
    <w:rsid w:val="00734C92"/>
    <w:rsid w:val="00734ED8"/>
    <w:rsid w:val="007352FB"/>
    <w:rsid w:val="0073538B"/>
    <w:rsid w:val="00735467"/>
    <w:rsid w:val="007354B7"/>
    <w:rsid w:val="00735528"/>
    <w:rsid w:val="00735553"/>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3F5E"/>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1FF"/>
    <w:rsid w:val="007735A3"/>
    <w:rsid w:val="007735FD"/>
    <w:rsid w:val="0077367E"/>
    <w:rsid w:val="007736A6"/>
    <w:rsid w:val="00773830"/>
    <w:rsid w:val="007738D3"/>
    <w:rsid w:val="00773FF9"/>
    <w:rsid w:val="00774581"/>
    <w:rsid w:val="00774779"/>
    <w:rsid w:val="00774A0D"/>
    <w:rsid w:val="00774AAA"/>
    <w:rsid w:val="00774FCC"/>
    <w:rsid w:val="0077510C"/>
    <w:rsid w:val="00775273"/>
    <w:rsid w:val="00775284"/>
    <w:rsid w:val="00775886"/>
    <w:rsid w:val="00775934"/>
    <w:rsid w:val="00775974"/>
    <w:rsid w:val="00775CBC"/>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6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83A"/>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00D"/>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E2"/>
    <w:rsid w:val="00807CE5"/>
    <w:rsid w:val="008111F2"/>
    <w:rsid w:val="0081147E"/>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392"/>
    <w:rsid w:val="0084348B"/>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2F8C"/>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C5E"/>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1095"/>
    <w:rsid w:val="008714E6"/>
    <w:rsid w:val="0087151E"/>
    <w:rsid w:val="00871A9E"/>
    <w:rsid w:val="00871AF3"/>
    <w:rsid w:val="00871B95"/>
    <w:rsid w:val="00871D40"/>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4B3"/>
    <w:rsid w:val="0087659D"/>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2CA"/>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6DC"/>
    <w:rsid w:val="008A5761"/>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A79"/>
    <w:rsid w:val="008B2FAB"/>
    <w:rsid w:val="008B31D5"/>
    <w:rsid w:val="008B3498"/>
    <w:rsid w:val="008B3A18"/>
    <w:rsid w:val="008B3A4A"/>
    <w:rsid w:val="008B3D66"/>
    <w:rsid w:val="008B411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07E"/>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789"/>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33B"/>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B17"/>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471"/>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0C"/>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A4"/>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9FB"/>
    <w:rsid w:val="009B2B3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0FA2"/>
    <w:rsid w:val="009C11F9"/>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F0"/>
    <w:rsid w:val="009D10A2"/>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4A85"/>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3CF"/>
    <w:rsid w:val="00A0752A"/>
    <w:rsid w:val="00A078F4"/>
    <w:rsid w:val="00A07980"/>
    <w:rsid w:val="00A07D10"/>
    <w:rsid w:val="00A102E4"/>
    <w:rsid w:val="00A10649"/>
    <w:rsid w:val="00A10808"/>
    <w:rsid w:val="00A1084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900"/>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005"/>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3A"/>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480"/>
    <w:rsid w:val="00A928CC"/>
    <w:rsid w:val="00A92B1E"/>
    <w:rsid w:val="00A92DBF"/>
    <w:rsid w:val="00A9343B"/>
    <w:rsid w:val="00A939CC"/>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562"/>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6E"/>
    <w:rsid w:val="00AD4872"/>
    <w:rsid w:val="00AD4DB2"/>
    <w:rsid w:val="00AD500B"/>
    <w:rsid w:val="00AD51AB"/>
    <w:rsid w:val="00AD5205"/>
    <w:rsid w:val="00AD5534"/>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F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6D"/>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0D1"/>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682"/>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9"/>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C8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9E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656"/>
    <w:rsid w:val="00BA17E4"/>
    <w:rsid w:val="00BA1A10"/>
    <w:rsid w:val="00BA1B35"/>
    <w:rsid w:val="00BA1B99"/>
    <w:rsid w:val="00BA1C72"/>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EB3"/>
    <w:rsid w:val="00BC3FD0"/>
    <w:rsid w:val="00BC4609"/>
    <w:rsid w:val="00BC473C"/>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11"/>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89A"/>
    <w:rsid w:val="00C23C8C"/>
    <w:rsid w:val="00C23EC1"/>
    <w:rsid w:val="00C240BF"/>
    <w:rsid w:val="00C24245"/>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538"/>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B04"/>
    <w:rsid w:val="00C41D69"/>
    <w:rsid w:val="00C41F7A"/>
    <w:rsid w:val="00C42042"/>
    <w:rsid w:val="00C423DB"/>
    <w:rsid w:val="00C4265D"/>
    <w:rsid w:val="00C42674"/>
    <w:rsid w:val="00C428A6"/>
    <w:rsid w:val="00C42D3F"/>
    <w:rsid w:val="00C43908"/>
    <w:rsid w:val="00C43B4A"/>
    <w:rsid w:val="00C43C91"/>
    <w:rsid w:val="00C43DF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6AB"/>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B0"/>
    <w:rsid w:val="00C941E2"/>
    <w:rsid w:val="00C942CD"/>
    <w:rsid w:val="00C945E1"/>
    <w:rsid w:val="00C94A82"/>
    <w:rsid w:val="00C95083"/>
    <w:rsid w:val="00C953CB"/>
    <w:rsid w:val="00C95639"/>
    <w:rsid w:val="00C95761"/>
    <w:rsid w:val="00C95ED5"/>
    <w:rsid w:val="00C9615A"/>
    <w:rsid w:val="00C9653E"/>
    <w:rsid w:val="00C966AC"/>
    <w:rsid w:val="00C969DE"/>
    <w:rsid w:val="00C96B9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4AF"/>
    <w:rsid w:val="00CA463C"/>
    <w:rsid w:val="00CA474B"/>
    <w:rsid w:val="00CA4760"/>
    <w:rsid w:val="00CA4863"/>
    <w:rsid w:val="00CA4C2D"/>
    <w:rsid w:val="00CA4C6A"/>
    <w:rsid w:val="00CA5094"/>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18D1"/>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823"/>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4B99"/>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C9B"/>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3F8"/>
    <w:rsid w:val="00D265C6"/>
    <w:rsid w:val="00D268BE"/>
    <w:rsid w:val="00D2691A"/>
    <w:rsid w:val="00D26C51"/>
    <w:rsid w:val="00D26FA2"/>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8E4"/>
    <w:rsid w:val="00D46AE2"/>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4A7"/>
    <w:rsid w:val="00D634E9"/>
    <w:rsid w:val="00D636AA"/>
    <w:rsid w:val="00D63CDA"/>
    <w:rsid w:val="00D643C5"/>
    <w:rsid w:val="00D64791"/>
    <w:rsid w:val="00D64A1D"/>
    <w:rsid w:val="00D64A46"/>
    <w:rsid w:val="00D64B5A"/>
    <w:rsid w:val="00D64CE8"/>
    <w:rsid w:val="00D64F53"/>
    <w:rsid w:val="00D65064"/>
    <w:rsid w:val="00D6563A"/>
    <w:rsid w:val="00D656B9"/>
    <w:rsid w:val="00D65BA6"/>
    <w:rsid w:val="00D65E4D"/>
    <w:rsid w:val="00D66132"/>
    <w:rsid w:val="00D66287"/>
    <w:rsid w:val="00D662C9"/>
    <w:rsid w:val="00D665A3"/>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D3A"/>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4F7C"/>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BF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0BCA"/>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ECB"/>
    <w:rsid w:val="00DD2F61"/>
    <w:rsid w:val="00DD30B6"/>
    <w:rsid w:val="00DD3279"/>
    <w:rsid w:val="00DD3386"/>
    <w:rsid w:val="00DD3534"/>
    <w:rsid w:val="00DD38C7"/>
    <w:rsid w:val="00DD3AB4"/>
    <w:rsid w:val="00DD3AEB"/>
    <w:rsid w:val="00DD3C15"/>
    <w:rsid w:val="00DD3C23"/>
    <w:rsid w:val="00DD3E6B"/>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4A6"/>
    <w:rsid w:val="00E045EB"/>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DB8"/>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CB4"/>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1D3"/>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E93"/>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659"/>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08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3F14"/>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80B"/>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07F93"/>
    <w:rsid w:val="00F102C5"/>
    <w:rsid w:val="00F104E1"/>
    <w:rsid w:val="00F10541"/>
    <w:rsid w:val="00F109AA"/>
    <w:rsid w:val="00F10DA5"/>
    <w:rsid w:val="00F110EE"/>
    <w:rsid w:val="00F11159"/>
    <w:rsid w:val="00F11195"/>
    <w:rsid w:val="00F11230"/>
    <w:rsid w:val="00F11A18"/>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44C"/>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3F24"/>
    <w:rsid w:val="00F34561"/>
    <w:rsid w:val="00F34AA8"/>
    <w:rsid w:val="00F34ADB"/>
    <w:rsid w:val="00F35160"/>
    <w:rsid w:val="00F35188"/>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ABF"/>
    <w:rsid w:val="00F43C91"/>
    <w:rsid w:val="00F43E2F"/>
    <w:rsid w:val="00F43EB1"/>
    <w:rsid w:val="00F43FC0"/>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15F"/>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462"/>
    <w:rsid w:val="00FA35E8"/>
    <w:rsid w:val="00FA3A0A"/>
    <w:rsid w:val="00FA4329"/>
    <w:rsid w:val="00FA47DA"/>
    <w:rsid w:val="00FA4906"/>
    <w:rsid w:val="00FA4C39"/>
    <w:rsid w:val="00FA4F7A"/>
    <w:rsid w:val="00FA5078"/>
    <w:rsid w:val="00FA5244"/>
    <w:rsid w:val="00FA55DB"/>
    <w:rsid w:val="00FA583B"/>
    <w:rsid w:val="00FA5BB7"/>
    <w:rsid w:val="00FA624C"/>
    <w:rsid w:val="00FA6446"/>
    <w:rsid w:val="00FA6547"/>
    <w:rsid w:val="00FA6565"/>
    <w:rsid w:val="00FA657E"/>
    <w:rsid w:val="00FA67D1"/>
    <w:rsid w:val="00FA68D3"/>
    <w:rsid w:val="00FA6D4F"/>
    <w:rsid w:val="00FA6DED"/>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8F2"/>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85F"/>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3F6E"/>
    <w:rsid w:val="00FE4108"/>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D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1">
    <w:name w:val="Char Char Char1"/>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1">
    <w:name w:val="Char1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Bullets,Numbered List Paragraph,Dot pt,F5 List Paragraph,List Paragraph1,No Spacing1,List Paragraph Char Char Char,Indicator Text,Numbered Para 1,Bullet 1,Bullet Points,List Paragraph2,MAIN CONTENT,ANNEX,EC,L,2,6"/>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1">
    <w:name w:val="Znak Znak1"/>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paragraph" w:customStyle="1" w:styleId="itemList">
    <w:name w:val="itemList"/>
    <w:qFormat/>
    <w:rsid w:val="00CB18D1"/>
    <w:pPr>
      <w:tabs>
        <w:tab w:val="left" w:pos="425"/>
        <w:tab w:val="left" w:pos="851"/>
        <w:tab w:val="left" w:pos="1276"/>
      </w:tabs>
      <w:spacing w:after="240"/>
      <w:ind w:left="425" w:hanging="425"/>
    </w:pPr>
    <w:rPr>
      <w:rFonts w:ascii="Arial" w:hAnsi="Arial"/>
      <w:lang w:eastAsia="en-GB"/>
    </w:rPr>
  </w:style>
  <w:style w:type="character" w:customStyle="1" w:styleId="Bodytext10">
    <w:name w:val="Body text|1_"/>
    <w:link w:val="Bodytext11"/>
    <w:rsid w:val="00CB18D1"/>
    <w:rPr>
      <w:rFonts w:ascii="Arial" w:eastAsia="Arial" w:hAnsi="Arial" w:cs="Arial"/>
      <w:color w:val="414042"/>
      <w:sz w:val="16"/>
      <w:szCs w:val="16"/>
    </w:rPr>
  </w:style>
  <w:style w:type="paragraph" w:customStyle="1" w:styleId="Bodytext11">
    <w:name w:val="Body text|1"/>
    <w:basedOn w:val="Normal"/>
    <w:link w:val="Bodytext10"/>
    <w:rsid w:val="00CB18D1"/>
    <w:pPr>
      <w:widowControl w:val="0"/>
      <w:spacing w:after="180" w:line="314" w:lineRule="auto"/>
      <w:jc w:val="left"/>
    </w:pPr>
    <w:rPr>
      <w:rFonts w:ascii="Arial" w:eastAsia="Arial" w:hAnsi="Arial" w:cs="Arial"/>
      <w:color w:val="414042"/>
      <w:sz w:val="16"/>
      <w:szCs w:val="16"/>
    </w:rPr>
  </w:style>
  <w:style w:type="character" w:customStyle="1" w:styleId="ListParagraphChar">
    <w:name w:val="List Paragraph Char"/>
    <w:aliases w:val="Bullets Char,Numbered List Paragraph Char,Dot pt Char,F5 List Paragraph Char,List Paragraph1 Char,No Spacing1 Char,List Paragraph Char Char Char Char,Indicator Text Char,Numbered Para 1 Char,Bullet 1 Char,Bullet Points Char,EC Char"/>
    <w:link w:val="ListParagraph"/>
    <w:uiPriority w:val="34"/>
    <w:qFormat/>
    <w:locked/>
    <w:rsid w:val="00CB18D1"/>
    <w:rPr>
      <w:rFonts w:ascii="Calibri" w:eastAsia="Calibri" w:hAnsi="Calibri"/>
      <w:sz w:val="22"/>
      <w:szCs w:val="22"/>
      <w:lang w:val="fr-FR" w:eastAsia="en-US"/>
    </w:rPr>
  </w:style>
  <w:style w:type="paragraph" w:customStyle="1" w:styleId="LTTBullet">
    <w:name w:val="LTT Bullet"/>
    <w:basedOn w:val="Normal"/>
    <w:qFormat/>
    <w:rsid w:val="007C3A63"/>
    <w:pPr>
      <w:tabs>
        <w:tab w:val="num" w:pos="720"/>
      </w:tabs>
      <w:spacing w:after="0"/>
      <w:ind w:left="720" w:hanging="720"/>
      <w:jc w:val="left"/>
    </w:pPr>
    <w:rPr>
      <w:rFonts w:ascii="Calibri" w:hAnsi="Calibri" w:cs="Calibri"/>
      <w:sz w:val="28"/>
      <w:szCs w:val="28"/>
    </w:rPr>
  </w:style>
  <w:style w:type="paragraph" w:customStyle="1" w:styleId="LTTQuestion">
    <w:name w:val="LTT Question"/>
    <w:basedOn w:val="Normal"/>
    <w:next w:val="LTTBullet"/>
    <w:qFormat/>
    <w:rsid w:val="007C3A63"/>
    <w:pPr>
      <w:keepNext/>
      <w:keepLines/>
      <w:spacing w:after="0"/>
      <w:jc w:val="left"/>
    </w:pPr>
    <w:rPr>
      <w:rFonts w:ascii="Calibri" w:hAnsi="Calibri" w:cs="Calibri"/>
      <w:b/>
      <w:sz w:val="28"/>
      <w:szCs w:val="28"/>
    </w:rPr>
  </w:style>
  <w:style w:type="paragraph" w:customStyle="1" w:styleId="INTheadingSP1">
    <w:name w:val="INT heading SP 1"/>
    <w:basedOn w:val="Normal"/>
    <w:next w:val="Normal"/>
    <w:qFormat/>
    <w:rsid w:val="007C3A63"/>
    <w:pPr>
      <w:keepNext/>
      <w:spacing w:after="0"/>
      <w:jc w:val="left"/>
    </w:pPr>
    <w:rPr>
      <w:rFonts w:ascii="Arial" w:hAnsi="Arial" w:cs="Arial"/>
      <w:b/>
      <w:i/>
      <w:sz w:val="40"/>
      <w:szCs w:val="24"/>
    </w:rPr>
  </w:style>
  <w:style w:type="character" w:customStyle="1" w:styleId="normaltextrun">
    <w:name w:val="normaltextrun"/>
    <w:basedOn w:val="DefaultParagraphFont"/>
    <w:rsid w:val="00AA4562"/>
  </w:style>
  <w:style w:type="character" w:customStyle="1" w:styleId="eop">
    <w:name w:val="eop"/>
    <w:basedOn w:val="DefaultParagraphFont"/>
    <w:rsid w:val="00AA4562"/>
  </w:style>
  <w:style w:type="character" w:styleId="UnresolvedMention">
    <w:name w:val="Unresolved Mention"/>
    <w:uiPriority w:val="99"/>
    <w:semiHidden/>
    <w:unhideWhenUsed/>
    <w:rsid w:val="00857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494591">
      <w:bodyDiv w:val="1"/>
      <w:marLeft w:val="0"/>
      <w:marRight w:val="0"/>
      <w:marTop w:val="0"/>
      <w:marBottom w:val="0"/>
      <w:divBdr>
        <w:top w:val="none" w:sz="0" w:space="0" w:color="auto"/>
        <w:left w:val="none" w:sz="0" w:space="0" w:color="auto"/>
        <w:bottom w:val="none" w:sz="0" w:space="0" w:color="auto"/>
        <w:right w:val="none" w:sz="0" w:space="0" w:color="auto"/>
      </w:divBdr>
    </w:div>
    <w:div w:id="12503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oparl.europa.eu/oeil/popups/ficheprocedure.do?lang=en&amp;reference=2016/2891(RS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59425-B64B-438E-BF7F-B63175A47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2014</Words>
  <Characters>11179</Characters>
  <Application>Microsoft Office Word</Application>
  <DocSecurity>0</DocSecurity>
  <PresentationFormat>Microsoft Word 8.0b</PresentationFormat>
  <Lines>183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13138</CharactersWithSpaces>
  <SharedDoc>false</SharedDoc>
  <HLinks>
    <vt:vector size="6" baseType="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2024-07-03T12:25:00Z</dcterms:created>
  <dcterms:modified xsi:type="dcterms:W3CDTF">2024-07-03T12:25:00Z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2024-05-02T20:18:08Z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88675d9e-91f2-41d0-86fa-43a6a6355651</vt:lpwstr>
  </property>
  <property fmtid="{D5CDD505-2E9C-101B-9397-08002B2CF9AE}" pid="8" name="MSIP_Label_6bd9ddd1-4d20-43f6-abfa-fc3c07406f94_ContentBits">
    <vt:lpwstr>0</vt:lpwstr>
  </property>
</Properties>
</file>