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A5C6" w14:textId="084DBC85" w:rsidR="00331DB9" w:rsidRPr="00331DB9" w:rsidRDefault="004A6C66" w:rsidP="00140FD3">
      <w:pPr>
        <w:spacing w:after="600"/>
        <w:jc w:val="center"/>
        <w:rPr>
          <w:rFonts w:ascii="Times New Roman" w:hAnsi="Times New Roman"/>
          <w:b/>
        </w:rPr>
      </w:pPr>
      <w:r>
        <w:rPr>
          <w:rFonts w:ascii="Times New Roman" w:hAnsi="Times New Roman"/>
          <w:b/>
        </w:rPr>
        <w:t>Suite donnée à la résolution non législative du Parlement européen sur le rapport 2023 de la Commission sur l’état de droit</w:t>
      </w:r>
    </w:p>
    <w:p w14:paraId="06B2A1DC" w14:textId="5696EF11" w:rsidR="00064BB2" w:rsidRPr="00AE4E0E" w:rsidRDefault="0029074D" w:rsidP="00064BB2">
      <w:pPr>
        <w:numPr>
          <w:ilvl w:val="0"/>
          <w:numId w:val="27"/>
        </w:numPr>
        <w:ind w:left="567" w:hanging="567"/>
        <w:rPr>
          <w:rFonts w:ascii="Times New Roman" w:hAnsi="Times New Roman"/>
          <w:b/>
          <w:szCs w:val="24"/>
        </w:rPr>
      </w:pPr>
      <w:r>
        <w:rPr>
          <w:rFonts w:ascii="Times New Roman" w:hAnsi="Times New Roman"/>
          <w:b/>
        </w:rPr>
        <w:t xml:space="preserve">Rapporteure: </w:t>
      </w:r>
      <w:r>
        <w:rPr>
          <w:rFonts w:ascii="Times New Roman" w:hAnsi="Times New Roman"/>
        </w:rPr>
        <w:t>Sophia in ‘t Veld (Renew/NL)</w:t>
      </w:r>
    </w:p>
    <w:p w14:paraId="3DEACE26" w14:textId="6C969A6B" w:rsidR="00655D8F" w:rsidRPr="00AE4E0E" w:rsidRDefault="00535D4D" w:rsidP="00064BB2">
      <w:pPr>
        <w:numPr>
          <w:ilvl w:val="0"/>
          <w:numId w:val="27"/>
        </w:numPr>
        <w:ind w:left="567" w:hanging="567"/>
        <w:rPr>
          <w:rFonts w:ascii="Times New Roman" w:hAnsi="Times New Roman"/>
          <w:b/>
          <w:szCs w:val="24"/>
        </w:rPr>
      </w:pPr>
      <w:r>
        <w:rPr>
          <w:rFonts w:ascii="Times New Roman" w:hAnsi="Times New Roman"/>
          <w:b/>
        </w:rPr>
        <w:t xml:space="preserve">Numéros de référence: </w:t>
      </w:r>
      <w:hyperlink r:id="rId8" w:history="1">
        <w:r>
          <w:rPr>
            <w:rFonts w:ascii="Times New Roman" w:hAnsi="Times New Roman"/>
          </w:rPr>
          <w:t>2023/2113 (INI)</w:t>
        </w:r>
      </w:hyperlink>
      <w:r>
        <w:rPr>
          <w:rFonts w:ascii="Times New Roman" w:hAnsi="Times New Roman"/>
        </w:rPr>
        <w:t xml:space="preserve"> / A9-0025/2024 / P9_TA(2024)0108</w:t>
      </w:r>
    </w:p>
    <w:p w14:paraId="597D6B65" w14:textId="77777777" w:rsidR="00064BB2" w:rsidRPr="00AE4E0E" w:rsidRDefault="004A6C66" w:rsidP="00064BB2">
      <w:pPr>
        <w:numPr>
          <w:ilvl w:val="0"/>
          <w:numId w:val="27"/>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28 février 2024</w:t>
      </w:r>
    </w:p>
    <w:p w14:paraId="0B0F26B7" w14:textId="18463C21" w:rsidR="00EC0A27" w:rsidRPr="00AE4E0E" w:rsidRDefault="00EC0A27" w:rsidP="00064BB2">
      <w:pPr>
        <w:numPr>
          <w:ilvl w:val="0"/>
          <w:numId w:val="27"/>
        </w:numPr>
        <w:ind w:left="567" w:hanging="567"/>
        <w:rPr>
          <w:rFonts w:ascii="Times New Roman" w:hAnsi="Times New Roman"/>
          <w:szCs w:val="24"/>
        </w:rPr>
      </w:pPr>
      <w:r>
        <w:rPr>
          <w:rFonts w:ascii="Times New Roman" w:hAnsi="Times New Roman"/>
          <w:b/>
        </w:rPr>
        <w:t>Commission parlementaire compétente:</w:t>
      </w:r>
      <w:r>
        <w:rPr>
          <w:rFonts w:ascii="Times New Roman" w:hAnsi="Times New Roman"/>
        </w:rPr>
        <w:t xml:space="preserve"> commission des libertés civiles, de la justice et des affaires intérieures (LIBE)</w:t>
      </w:r>
    </w:p>
    <w:p w14:paraId="5F4CFA9E" w14:textId="68AEFA66" w:rsidR="004A6C66" w:rsidRPr="00655D8F" w:rsidRDefault="004A6C66" w:rsidP="00A824B4">
      <w:pPr>
        <w:widowControl w:val="0"/>
        <w:numPr>
          <w:ilvl w:val="0"/>
          <w:numId w:val="27"/>
        </w:numPr>
        <w:ind w:left="567" w:hanging="567"/>
        <w:rPr>
          <w:rFonts w:ascii="Times New Roman" w:hAnsi="Times New Roman"/>
          <w:szCs w:val="24"/>
        </w:rPr>
      </w:pPr>
      <w:r>
        <w:rPr>
          <w:rFonts w:ascii="Times New Roman" w:hAnsi="Times New Roman"/>
          <w:b/>
        </w:rPr>
        <w:t>Analyse/évaluation succincte de la résolution et des demandes qu’elle contient:</w:t>
      </w:r>
    </w:p>
    <w:p w14:paraId="409E4267" w14:textId="42D46AF2" w:rsidR="00064BB2" w:rsidRPr="001D4003" w:rsidRDefault="08DC69EA" w:rsidP="2EF3081C">
      <w:pPr>
        <w:widowControl w:val="0"/>
        <w:spacing w:after="120"/>
        <w:rPr>
          <w:rFonts w:ascii="Times New Roman" w:hAnsi="Times New Roman"/>
        </w:rPr>
      </w:pPr>
      <w:r>
        <w:rPr>
          <w:rFonts w:ascii="Times New Roman" w:hAnsi="Times New Roman"/>
        </w:rPr>
        <w:t xml:space="preserve">La résolution fait suite au rapport 2023 de la Commission sur l’état de droit, publié en juillet 2023, et le Parlement européen y </w:t>
      </w:r>
      <w:r>
        <w:rPr>
          <w:rFonts w:ascii="Times New Roman" w:hAnsi="Times New Roman"/>
          <w:b/>
        </w:rPr>
        <w:t>examine de manière détaillée les quatre piliers de ce rapport</w:t>
      </w:r>
      <w:r>
        <w:rPr>
          <w:rFonts w:ascii="Times New Roman" w:hAnsi="Times New Roman"/>
        </w:rPr>
        <w:t xml:space="preserve">. Le Parlement </w:t>
      </w:r>
      <w:r>
        <w:rPr>
          <w:rFonts w:ascii="Times New Roman" w:hAnsi="Times New Roman"/>
          <w:b/>
        </w:rPr>
        <w:t>salue</w:t>
      </w:r>
      <w:r>
        <w:rPr>
          <w:rFonts w:ascii="Times New Roman" w:hAnsi="Times New Roman"/>
        </w:rPr>
        <w:t xml:space="preserve"> le rapport, y compris les chapitres par pays et les recommandations par pays, mais </w:t>
      </w:r>
      <w:r>
        <w:rPr>
          <w:rFonts w:ascii="Times New Roman" w:hAnsi="Times New Roman"/>
          <w:b/>
        </w:rPr>
        <w:t>critique</w:t>
      </w:r>
      <w:r>
        <w:rPr>
          <w:rFonts w:ascii="Times New Roman" w:hAnsi="Times New Roman"/>
        </w:rPr>
        <w:t xml:space="preserve"> le fait qu’il n’ait pas été pleinement donné suite aux recommandations formulées dans ses résolutions précédentes. En ce qui concerne la portée du rapport, le Parlement demande une nouvelle fois que ce dernier </w:t>
      </w:r>
      <w:r>
        <w:rPr>
          <w:rFonts w:ascii="Times New Roman" w:hAnsi="Times New Roman"/>
          <w:b/>
        </w:rPr>
        <w:t>couvre l’ensemble des valeurs énoncées à l’article 2</w:t>
      </w:r>
      <w:r>
        <w:rPr>
          <w:rFonts w:ascii="Times New Roman" w:hAnsi="Times New Roman"/>
        </w:rPr>
        <w:t xml:space="preserve"> du traité sur l’Union européenne (traité UE) et contienne des chapitres distincts consacrés à l’</w:t>
      </w:r>
      <w:r>
        <w:rPr>
          <w:rFonts w:ascii="Times New Roman" w:hAnsi="Times New Roman"/>
          <w:b/>
        </w:rPr>
        <w:t>égalité</w:t>
      </w:r>
      <w:r>
        <w:rPr>
          <w:rFonts w:ascii="Times New Roman" w:hAnsi="Times New Roman"/>
        </w:rPr>
        <w:t xml:space="preserve"> et à la non-discrimination, à l’</w:t>
      </w:r>
      <w:r>
        <w:rPr>
          <w:rFonts w:ascii="Times New Roman" w:hAnsi="Times New Roman"/>
          <w:b/>
        </w:rPr>
        <w:t>espace dévolu à la société civile</w:t>
      </w:r>
      <w:r>
        <w:rPr>
          <w:rFonts w:ascii="Times New Roman" w:hAnsi="Times New Roman"/>
        </w:rPr>
        <w:t xml:space="preserve"> et aux </w:t>
      </w:r>
      <w:r>
        <w:rPr>
          <w:rFonts w:ascii="Times New Roman" w:hAnsi="Times New Roman"/>
          <w:b/>
        </w:rPr>
        <w:t>institutions de l’Union</w:t>
      </w:r>
      <w:r>
        <w:rPr>
          <w:rFonts w:ascii="Times New Roman" w:hAnsi="Times New Roman"/>
        </w:rPr>
        <w:t xml:space="preserve">. Il demande l’inclusion, dans le rapport, d’éléments absents de la </w:t>
      </w:r>
      <w:r>
        <w:rPr>
          <w:rFonts w:ascii="Times New Roman" w:hAnsi="Times New Roman"/>
          <w:b/>
        </w:rPr>
        <w:t>liste des critères de l’état de droit</w:t>
      </w:r>
      <w:r>
        <w:rPr>
          <w:rFonts w:ascii="Times New Roman" w:hAnsi="Times New Roman"/>
        </w:rPr>
        <w:t xml:space="preserve"> adoptée en 2016 par la Commission de Venise, tels que la prévention des abus de pouvoir, l’égalité devant la loi et la non-discrimination. En outre, le Parlement invite la Commission à suivre de près le niveau de coopération des États membres avec le </w:t>
      </w:r>
      <w:r>
        <w:rPr>
          <w:rFonts w:ascii="Times New Roman" w:hAnsi="Times New Roman"/>
          <w:b/>
        </w:rPr>
        <w:t>Parquet européen</w:t>
      </w:r>
      <w:r>
        <w:rPr>
          <w:rFonts w:ascii="Times New Roman" w:hAnsi="Times New Roman"/>
        </w:rPr>
        <w:t xml:space="preserve"> et à inclure dans le prochain rapport une évaluation de l’application de l’acquis de l’Union concernant l’</w:t>
      </w:r>
      <w:r>
        <w:rPr>
          <w:rFonts w:ascii="Times New Roman" w:hAnsi="Times New Roman"/>
          <w:b/>
        </w:rPr>
        <w:t>aide juridictionnelle</w:t>
      </w:r>
      <w:r>
        <w:rPr>
          <w:rFonts w:ascii="Times New Roman" w:hAnsi="Times New Roman"/>
        </w:rPr>
        <w:t xml:space="preserve"> en matière civile et pénale ainsi qu’un suivi, au moyen d’un tableau de bord, de l’</w:t>
      </w:r>
      <w:r>
        <w:rPr>
          <w:rFonts w:ascii="Times New Roman" w:hAnsi="Times New Roman"/>
          <w:b/>
        </w:rPr>
        <w:t>exécution des arrêts de la Cour européenne des droits de l’homme (CEDH) et de la Cour de justice de l’Union européenne (CJUE)</w:t>
      </w:r>
      <w:r>
        <w:rPr>
          <w:rFonts w:ascii="Times New Roman" w:hAnsi="Times New Roman"/>
        </w:rPr>
        <w:t xml:space="preserve"> au niveau national. Il invite la Commission à mettre en place un suivi spécifique par pays et à formuler dans le rapport sur l’état de droit des recommandations relatives à l’utilisation illégale de </w:t>
      </w:r>
      <w:r>
        <w:rPr>
          <w:rFonts w:ascii="Times New Roman" w:hAnsi="Times New Roman"/>
          <w:b/>
        </w:rPr>
        <w:t>logiciels espions</w:t>
      </w:r>
      <w:r>
        <w:rPr>
          <w:rFonts w:ascii="Times New Roman" w:hAnsi="Times New Roman"/>
        </w:rPr>
        <w:t xml:space="preserve"> par les États membres. Enfin, il invite la Commission à accorder une plus grande attention à la </w:t>
      </w:r>
      <w:r>
        <w:rPr>
          <w:rFonts w:ascii="Times New Roman" w:hAnsi="Times New Roman"/>
          <w:b/>
        </w:rPr>
        <w:t>dimension économique</w:t>
      </w:r>
      <w:r>
        <w:rPr>
          <w:rFonts w:ascii="Times New Roman" w:hAnsi="Times New Roman"/>
        </w:rPr>
        <w:t xml:space="preserve"> et à la considérer de manière spécifique dans le rapport sur l’état de droit, en soulignant notamment l’incidence sur la compétitivité et le marché unique.</w:t>
      </w:r>
    </w:p>
    <w:p w14:paraId="1D94614F" w14:textId="356DEB28" w:rsidR="00064BB2" w:rsidRPr="001D4003" w:rsidRDefault="7D19B7FC" w:rsidP="2EF3081C">
      <w:pPr>
        <w:widowControl w:val="0"/>
        <w:spacing w:after="120"/>
        <w:rPr>
          <w:rFonts w:ascii="Times New Roman" w:hAnsi="Times New Roman"/>
        </w:rPr>
      </w:pPr>
      <w:r>
        <w:rPr>
          <w:rFonts w:ascii="Times New Roman" w:hAnsi="Times New Roman"/>
        </w:rPr>
        <w:t xml:space="preserve">En ce qui concerne la </w:t>
      </w:r>
      <w:r>
        <w:rPr>
          <w:rFonts w:ascii="Times New Roman" w:hAnsi="Times New Roman"/>
          <w:b/>
        </w:rPr>
        <w:t>méthode</w:t>
      </w:r>
      <w:r>
        <w:rPr>
          <w:rFonts w:ascii="Times New Roman" w:hAnsi="Times New Roman"/>
        </w:rPr>
        <w:t xml:space="preserve">, le Parlement invite la Commission à approfondir sa participation aux </w:t>
      </w:r>
      <w:r>
        <w:rPr>
          <w:rFonts w:ascii="Times New Roman" w:hAnsi="Times New Roman"/>
          <w:b/>
        </w:rPr>
        <w:t>débats au niveau national</w:t>
      </w:r>
      <w:r>
        <w:rPr>
          <w:rFonts w:ascii="Times New Roman" w:hAnsi="Times New Roman"/>
        </w:rPr>
        <w:t xml:space="preserve">, à investir davantage dans la </w:t>
      </w:r>
      <w:r>
        <w:rPr>
          <w:rFonts w:ascii="Times New Roman" w:hAnsi="Times New Roman"/>
          <w:b/>
        </w:rPr>
        <w:t>sensibilisation</w:t>
      </w:r>
      <w:r>
        <w:rPr>
          <w:rFonts w:ascii="Times New Roman" w:hAnsi="Times New Roman"/>
        </w:rPr>
        <w:t xml:space="preserve"> et à consacrer plus de temps aux inspections sur place dans les États membres. Tout en saluant les </w:t>
      </w:r>
      <w:r>
        <w:rPr>
          <w:rFonts w:ascii="Times New Roman" w:hAnsi="Times New Roman"/>
          <w:b/>
        </w:rPr>
        <w:t>recommandations</w:t>
      </w:r>
      <w:r>
        <w:rPr>
          <w:rFonts w:ascii="Times New Roman" w:hAnsi="Times New Roman"/>
        </w:rPr>
        <w:t xml:space="preserve">, le Parlement regrette qu’elles ne soient pas </w:t>
      </w:r>
      <w:r>
        <w:rPr>
          <w:rFonts w:ascii="Times New Roman" w:hAnsi="Times New Roman"/>
          <w:b/>
        </w:rPr>
        <w:t>contraignantes</w:t>
      </w:r>
      <w:r>
        <w:rPr>
          <w:rFonts w:ascii="Times New Roman" w:hAnsi="Times New Roman"/>
        </w:rPr>
        <w:t xml:space="preserve"> et demande qu’elles soient évaluées dans le prochain rapport sur la base de critères de référence spécifiques et d’un calendrier de mise en œuvre précis. Le Parlement demande également qu’il existe un lien clair entre les préoccupations exprimées et les recommandations formulées. En outre, il réitère ses appels restés sans réponse à </w:t>
      </w:r>
      <w:r>
        <w:rPr>
          <w:rFonts w:ascii="Times New Roman" w:hAnsi="Times New Roman"/>
          <w:b/>
        </w:rPr>
        <w:t>établir une distinction entre violations systémiques et violations isolées</w:t>
      </w:r>
      <w:r>
        <w:rPr>
          <w:rFonts w:ascii="Times New Roman" w:hAnsi="Times New Roman"/>
        </w:rPr>
        <w:t xml:space="preserve"> et rappelle la nécessité d’un </w:t>
      </w:r>
      <w:r>
        <w:rPr>
          <w:rFonts w:ascii="Times New Roman" w:hAnsi="Times New Roman"/>
          <w:b/>
        </w:rPr>
        <w:t>lien direct</w:t>
      </w:r>
      <w:r>
        <w:rPr>
          <w:rFonts w:ascii="Times New Roman" w:hAnsi="Times New Roman"/>
        </w:rPr>
        <w:t xml:space="preserve"> entre le rapport et l’activation d’autres instruments (comme l’</w:t>
      </w:r>
      <w:r>
        <w:rPr>
          <w:rFonts w:ascii="Times New Roman" w:hAnsi="Times New Roman"/>
          <w:b/>
        </w:rPr>
        <w:t>article 7 du traité UE</w:t>
      </w:r>
      <w:r>
        <w:rPr>
          <w:rFonts w:ascii="Times New Roman" w:hAnsi="Times New Roman"/>
        </w:rPr>
        <w:t xml:space="preserve">, le </w:t>
      </w:r>
      <w:r>
        <w:rPr>
          <w:rFonts w:ascii="Times New Roman" w:hAnsi="Times New Roman"/>
          <w:b/>
        </w:rPr>
        <w:t>règlement sur la conditionnalité</w:t>
      </w:r>
      <w:r>
        <w:rPr>
          <w:rFonts w:ascii="Times New Roman" w:hAnsi="Times New Roman"/>
        </w:rPr>
        <w:t xml:space="preserve"> ou les </w:t>
      </w:r>
      <w:r>
        <w:rPr>
          <w:rFonts w:ascii="Times New Roman" w:hAnsi="Times New Roman"/>
          <w:b/>
        </w:rPr>
        <w:t>procédures d’infraction</w:t>
      </w:r>
      <w:r>
        <w:rPr>
          <w:rFonts w:ascii="Times New Roman" w:hAnsi="Times New Roman"/>
        </w:rPr>
        <w:t>) et de la participation d’un groupe d’</w:t>
      </w:r>
      <w:r>
        <w:rPr>
          <w:rFonts w:ascii="Times New Roman" w:hAnsi="Times New Roman"/>
          <w:b/>
        </w:rPr>
        <w:t>experts indépendants</w:t>
      </w:r>
      <w:r>
        <w:rPr>
          <w:rFonts w:ascii="Times New Roman" w:hAnsi="Times New Roman"/>
        </w:rPr>
        <w:t xml:space="preserve">. Il demande à la Commission d’inclure, de contrôler strictement et de préserver les conditions relatives à la démocratie, à l’état de droit et aux droits fondamentaux dans tous les </w:t>
      </w:r>
      <w:r>
        <w:rPr>
          <w:rFonts w:ascii="Times New Roman" w:hAnsi="Times New Roman"/>
          <w:b/>
        </w:rPr>
        <w:t>instruments</w:t>
      </w:r>
      <w:r>
        <w:rPr>
          <w:rFonts w:ascii="Times New Roman" w:hAnsi="Times New Roman"/>
        </w:rPr>
        <w:t xml:space="preserve"> et procédures </w:t>
      </w:r>
      <w:r>
        <w:rPr>
          <w:rFonts w:ascii="Times New Roman" w:hAnsi="Times New Roman"/>
          <w:b/>
        </w:rPr>
        <w:t>budgétaires</w:t>
      </w:r>
      <w:r>
        <w:rPr>
          <w:rFonts w:ascii="Times New Roman" w:hAnsi="Times New Roman"/>
        </w:rPr>
        <w:t xml:space="preserve"> et de confier la responsabilité première de l’application de ces </w:t>
      </w:r>
      <w:r>
        <w:rPr>
          <w:rFonts w:ascii="Times New Roman" w:hAnsi="Times New Roman"/>
        </w:rPr>
        <w:lastRenderedPageBreak/>
        <w:t xml:space="preserve">conditions aux commissaires responsables de l’état de droit. Il invite également la Commission à renforcer le </w:t>
      </w:r>
      <w:r>
        <w:rPr>
          <w:rFonts w:ascii="Times New Roman" w:hAnsi="Times New Roman"/>
          <w:b/>
        </w:rPr>
        <w:t>contrôle du respect</w:t>
      </w:r>
      <w:r>
        <w:rPr>
          <w:rFonts w:ascii="Times New Roman" w:hAnsi="Times New Roman"/>
        </w:rPr>
        <w:t xml:space="preserve"> des droits fondamentaux de l’Union et à prendre des mesures concernant la non-exécution des arrêts de la CJUE au titre de l’article 260, paragraphe 2, du TFUE et du règlement sur la conditionnalité en cas de non-respect. Enfin, le Parlement déplore l’absence de progrès significatifs au sein du Conseil en ce qui concerne les procédures engagées au titre de l’</w:t>
      </w:r>
      <w:r>
        <w:rPr>
          <w:rFonts w:ascii="Times New Roman" w:hAnsi="Times New Roman"/>
          <w:b/>
        </w:rPr>
        <w:t>article 7 du traité UE</w:t>
      </w:r>
      <w:r>
        <w:rPr>
          <w:rFonts w:ascii="Times New Roman" w:hAnsi="Times New Roman"/>
        </w:rPr>
        <w:t>.</w:t>
      </w:r>
    </w:p>
    <w:p w14:paraId="27376BD2" w14:textId="775E4659" w:rsidR="004A6C66" w:rsidRPr="003E652B" w:rsidRDefault="004A6C66" w:rsidP="001C1E03">
      <w:pPr>
        <w:widowControl w:val="0"/>
        <w:numPr>
          <w:ilvl w:val="0"/>
          <w:numId w:val="27"/>
        </w:numPr>
        <w:ind w:left="567" w:hanging="567"/>
        <w:rPr>
          <w:rFonts w:ascii="Times New Roman" w:hAnsi="Times New Roman"/>
          <w:b/>
          <w:i/>
        </w:rPr>
      </w:pPr>
      <w:r>
        <w:rPr>
          <w:rFonts w:ascii="Times New Roman" w:hAnsi="Times New Roman"/>
          <w:b/>
        </w:rPr>
        <w:t>Réponse à ces demandes et aperçu des mesures que la Commission a prises ou envisage de prendre:</w:t>
      </w:r>
    </w:p>
    <w:p w14:paraId="67ADFCA1" w14:textId="301CF281" w:rsidR="00B6689C" w:rsidRDefault="50D2378E" w:rsidP="00140FD3">
      <w:pPr>
        <w:widowControl w:val="0"/>
        <w:spacing w:after="120"/>
        <w:rPr>
          <w:rFonts w:ascii="Times New Roman" w:hAnsi="Times New Roman"/>
        </w:rPr>
      </w:pPr>
      <w:r>
        <w:rPr>
          <w:rFonts w:ascii="Times New Roman" w:hAnsi="Times New Roman"/>
        </w:rPr>
        <w:t xml:space="preserve">La Commission </w:t>
      </w:r>
      <w:r>
        <w:rPr>
          <w:rFonts w:ascii="Times New Roman" w:hAnsi="Times New Roman"/>
          <w:b/>
        </w:rPr>
        <w:t>salue</w:t>
      </w:r>
      <w:r>
        <w:rPr>
          <w:rFonts w:ascii="Times New Roman" w:hAnsi="Times New Roman"/>
        </w:rPr>
        <w:t xml:space="preserve"> la résolution du Parlement et partage pleinement les objectifs de promotion, de protection et de renforcement des valeurs de l’Union, conformément à l’article 2 du traité UE. Elle a examiné la résolution attentivement. De nombreux éléments reflètent l’approche qu’elle suit dans son rapport annuel sur l’état de droit. La Commission se réjouit de poursuivre le dialogue avec le Parlement européen sur la base du rapport 2024 sur l’état de droit, dont l’adoption est prévue pour juillet 2024. Elle salue également les éléments propres aux différents États membres figurant dans la résolution.</w:t>
      </w:r>
    </w:p>
    <w:p w14:paraId="25841CC6" w14:textId="2D282E6B" w:rsidR="00655D8F" w:rsidRDefault="50D2378E" w:rsidP="00140FD3">
      <w:pPr>
        <w:widowControl w:val="0"/>
        <w:spacing w:after="120"/>
        <w:rPr>
          <w:rFonts w:ascii="Times New Roman" w:hAnsi="Times New Roman"/>
        </w:rPr>
      </w:pPr>
      <w:r>
        <w:rPr>
          <w:rFonts w:ascii="Times New Roman" w:hAnsi="Times New Roman"/>
        </w:rPr>
        <w:t xml:space="preserve">La Commission se félicite de la </w:t>
      </w:r>
      <w:r>
        <w:rPr>
          <w:rFonts w:ascii="Times New Roman" w:hAnsi="Times New Roman"/>
          <w:b/>
        </w:rPr>
        <w:t>coopération</w:t>
      </w:r>
      <w:r>
        <w:rPr>
          <w:rFonts w:ascii="Times New Roman" w:hAnsi="Times New Roman"/>
        </w:rPr>
        <w:t xml:space="preserve"> étroite </w:t>
      </w:r>
      <w:r>
        <w:rPr>
          <w:rFonts w:ascii="Times New Roman" w:hAnsi="Times New Roman"/>
          <w:b/>
        </w:rPr>
        <w:t>avec le Parlement européen</w:t>
      </w:r>
      <w:r>
        <w:rPr>
          <w:rFonts w:ascii="Times New Roman" w:hAnsi="Times New Roman"/>
        </w:rPr>
        <w:t xml:space="preserve">. Elle a participé, au niveau des commissaires, à diverses auditions et réunions organisées dans le cadre du projet pilote sur la démocratie, l’état de droit et les droits fondamentaux, y compris à un échange au sein du groupe de surveillance de la démocratie, de l’état de droit et des droits fondamentaux sur les États membres en cours d’examen dans le cadre du dialogue sur l’état de droit mené par le Conseil en novembre 2023. En ce qui concerne la proposition d’accord interinstitutionnel sur les travaux entre les institutions (paragraphes 92 et 93), bien qu’un tel accord puisse contribuer à encadrer davantage les discussions, sa formalisation pourrait être difficile à négocier, avec le risque que les discussions se concentrent sur la procédure plutôt que sur le fond. C’est la raison pour laquelle la préférence de la Commission reste, à ce stade, de tirer le meilleur parti du cadre de coopération interinstitutionnelle tel qu’il existe, en exploitant pleinement le potentiel de développement qu’il recèle. Néanmoins, la Commission est ouverte à la mise sur pied d’un </w:t>
      </w:r>
      <w:r>
        <w:rPr>
          <w:rFonts w:ascii="Times New Roman" w:hAnsi="Times New Roman"/>
          <w:b/>
        </w:rPr>
        <w:t>groupe de contact informel</w:t>
      </w:r>
      <w:r>
        <w:rPr>
          <w:rFonts w:ascii="Times New Roman" w:hAnsi="Times New Roman"/>
        </w:rPr>
        <w:t>, au sein duquel des représentants de la Commission seraient disponibles pour mener des discussions régulières avec les députés et au sein duquel la présidence du Conseil et les États membres concernés pourraient également être invités.</w:t>
      </w:r>
    </w:p>
    <w:p w14:paraId="2E3361A8" w14:textId="58374F60" w:rsidR="00655D8F" w:rsidRPr="007001BE" w:rsidRDefault="3024AA27" w:rsidP="002164D9">
      <w:pPr>
        <w:widowControl w:val="0"/>
        <w:spacing w:after="120"/>
        <w:rPr>
          <w:rFonts w:ascii="Times New Roman" w:hAnsi="Times New Roman"/>
        </w:rPr>
      </w:pPr>
      <w:r>
        <w:rPr>
          <w:rFonts w:ascii="Times New Roman" w:hAnsi="Times New Roman"/>
        </w:rPr>
        <w:t xml:space="preserve">En ce qui concerne la </w:t>
      </w:r>
      <w:r>
        <w:rPr>
          <w:rFonts w:ascii="Times New Roman" w:hAnsi="Times New Roman"/>
          <w:b/>
        </w:rPr>
        <w:t>portée</w:t>
      </w:r>
      <w:r>
        <w:rPr>
          <w:rFonts w:ascii="Times New Roman" w:hAnsi="Times New Roman"/>
        </w:rPr>
        <w:t xml:space="preserve"> générale du rapport sur l’état de droit, la Commission souligne que quatre grands domaines d’importance systémique sont déjà couverts: les systèmes de justice nationaux, les cadres de lutte contre la corruption, le pluralisme et la liberté des médias, ainsi que d’autres questions institutionnelles liées à l’équilibre des pouvoirs. Depuis 2022, de nouveaux éléments tels que les </w:t>
      </w:r>
      <w:r>
        <w:rPr>
          <w:rFonts w:ascii="Times New Roman" w:hAnsi="Times New Roman"/>
          <w:b/>
        </w:rPr>
        <w:t>médias de service public</w:t>
      </w:r>
      <w:r>
        <w:rPr>
          <w:rFonts w:ascii="Times New Roman" w:hAnsi="Times New Roman"/>
        </w:rPr>
        <w:t xml:space="preserve">, la réaction des mécanismes nationaux d’équilibre des pouvoirs à l’utilisation de </w:t>
      </w:r>
      <w:r>
        <w:rPr>
          <w:rFonts w:ascii="Times New Roman" w:hAnsi="Times New Roman"/>
          <w:b/>
        </w:rPr>
        <w:t>logiciels de surveillance intrusifs</w:t>
      </w:r>
      <w:r>
        <w:rPr>
          <w:rFonts w:ascii="Times New Roman" w:hAnsi="Times New Roman"/>
        </w:rPr>
        <w:t xml:space="preserve"> et l’</w:t>
      </w:r>
      <w:r>
        <w:rPr>
          <w:rFonts w:ascii="Times New Roman" w:hAnsi="Times New Roman"/>
          <w:b/>
        </w:rPr>
        <w:t>exécution des arrêts de la CEDH</w:t>
      </w:r>
      <w:r>
        <w:rPr>
          <w:rFonts w:ascii="Times New Roman" w:hAnsi="Times New Roman"/>
        </w:rPr>
        <w:t xml:space="preserve"> ont été ajoutés aux thèmes initiaux couverts par le premier rapport, également à la suite d’appels du Parlement européen. En outre, la Commission adopte des rapports annuels sur le </w:t>
      </w:r>
      <w:r>
        <w:rPr>
          <w:rFonts w:ascii="Times New Roman" w:hAnsi="Times New Roman"/>
          <w:b/>
        </w:rPr>
        <w:t>contrôle de l’application du droit de l’Union</w:t>
      </w:r>
      <w:r w:rsidRPr="14D80CB8">
        <w:rPr>
          <w:rFonts w:ascii="Times New Roman" w:hAnsi="Times New Roman"/>
          <w:vertAlign w:val="superscript"/>
        </w:rPr>
        <w:footnoteReference w:id="2"/>
      </w:r>
      <w:r>
        <w:rPr>
          <w:rFonts w:ascii="Times New Roman" w:hAnsi="Times New Roman"/>
        </w:rPr>
        <w:t xml:space="preserve"> (paragraphe 79). L’accès à la justice, y compris à l’</w:t>
      </w:r>
      <w:r>
        <w:rPr>
          <w:rFonts w:ascii="Times New Roman" w:hAnsi="Times New Roman"/>
          <w:b/>
        </w:rPr>
        <w:t>aide juridictionnelle</w:t>
      </w:r>
      <w:r>
        <w:rPr>
          <w:rFonts w:ascii="Times New Roman" w:hAnsi="Times New Roman"/>
        </w:rPr>
        <w:t xml:space="preserve">, est également une question qui fait l’objet du rapport sur l’état de droit et qui est évaluée à la lumière des normes européennes (paragraphe 6). En outre, la Commission convient tout à fait que le </w:t>
      </w:r>
      <w:r>
        <w:rPr>
          <w:rFonts w:ascii="Times New Roman" w:hAnsi="Times New Roman"/>
          <w:b/>
        </w:rPr>
        <w:t>Parquet européen</w:t>
      </w:r>
      <w:r>
        <w:rPr>
          <w:rFonts w:ascii="Times New Roman" w:hAnsi="Times New Roman"/>
        </w:rPr>
        <w:t xml:space="preserve"> joue un rôle essentiel dans la sauvegarde de l’état de droit et la lutte contre la </w:t>
      </w:r>
      <w:r>
        <w:rPr>
          <w:rFonts w:ascii="Times New Roman" w:hAnsi="Times New Roman"/>
          <w:b/>
        </w:rPr>
        <w:t>corruption</w:t>
      </w:r>
      <w:r>
        <w:rPr>
          <w:rFonts w:ascii="Times New Roman" w:hAnsi="Times New Roman"/>
        </w:rPr>
        <w:t xml:space="preserve"> dans l’Union. Elle a </w:t>
      </w:r>
      <w:r>
        <w:rPr>
          <w:rFonts w:ascii="Times New Roman" w:hAnsi="Times New Roman"/>
        </w:rPr>
        <w:lastRenderedPageBreak/>
        <w:t xml:space="preserve">également pris bonne note de la demande du Parlement d’examiner le degré de coopération entre les États membres et le Parquet européen (paragraphe 18), un sujet déjà couvert par le rapport sur l’état de droit. La Commission, à l’instar du Parlement, se félicite de la participation de la Pologne au Parquet européen, qui a été confirmée par une décision de la Commission adoptée le 29 février 2024. En outre, la Commission se félicite du soutien apporté à sa </w:t>
      </w:r>
      <w:r>
        <w:rPr>
          <w:rFonts w:ascii="Times New Roman" w:hAnsi="Times New Roman"/>
          <w:b/>
        </w:rPr>
        <w:t>proposition de directive relative à la lutte contre la corruption</w:t>
      </w:r>
      <w:r>
        <w:rPr>
          <w:rFonts w:ascii="Times New Roman" w:hAnsi="Times New Roman"/>
        </w:rPr>
        <w:t xml:space="preserve"> et convient que la corruption et le blanchiment de capitaux sont liés, y compris en tant que vecteurs de la criminalité organisée (paragraphes 21 et 22). Comme indiqué dans la communication conjointe sur la lutte contre la corruption</w:t>
      </w:r>
      <w:r w:rsidR="00B72F62">
        <w:rPr>
          <w:rStyle w:val="FootnoteReference"/>
          <w:rFonts w:ascii="Times New Roman" w:hAnsi="Times New Roman"/>
        </w:rPr>
        <w:footnoteReference w:id="3"/>
      </w:r>
      <w:r>
        <w:rPr>
          <w:rFonts w:ascii="Times New Roman" w:hAnsi="Times New Roman"/>
        </w:rPr>
        <w:t>, la Commission continue d’examiner avec les autres institutions la possibilité de faire évoluer le statut de l’UE vers une participation pleine et entière au Groupe d’États contre la corruption (GRECO) (paragraphe 15).</w:t>
      </w:r>
    </w:p>
    <w:p w14:paraId="10BE1CA6" w14:textId="76BDC91A" w:rsidR="00AE24E9" w:rsidRDefault="09B81EDF" w:rsidP="00140FD3">
      <w:pPr>
        <w:widowControl w:val="0"/>
        <w:spacing w:after="120"/>
        <w:rPr>
          <w:rFonts w:ascii="Times New Roman" w:hAnsi="Times New Roman"/>
        </w:rPr>
      </w:pPr>
      <w:r>
        <w:rPr>
          <w:rFonts w:ascii="Times New Roman" w:hAnsi="Times New Roman"/>
        </w:rPr>
        <w:t>La Commission souscrit pleinement à la condamnation par le Parlement de la surveillance illégale, notamment par l’</w:t>
      </w:r>
      <w:r>
        <w:rPr>
          <w:rFonts w:ascii="Times New Roman" w:hAnsi="Times New Roman"/>
          <w:b/>
        </w:rPr>
        <w:t>utilisation de logiciels de surveillance intrusifs</w:t>
      </w:r>
      <w:r>
        <w:rPr>
          <w:rFonts w:ascii="Times New Roman" w:hAnsi="Times New Roman"/>
        </w:rPr>
        <w:t xml:space="preserve"> (paragraphe 18). Pour faire face à cette pratique dans le cas des journalistes, le </w:t>
      </w:r>
      <w:r>
        <w:rPr>
          <w:rFonts w:ascii="Times New Roman" w:hAnsi="Times New Roman"/>
          <w:b/>
        </w:rPr>
        <w:t>règlement européen sur la liberté des médias</w:t>
      </w:r>
      <w:r>
        <w:rPr>
          <w:rFonts w:ascii="Times New Roman" w:hAnsi="Times New Roman"/>
        </w:rPr>
        <w:t xml:space="preserve"> (paragraphe 26) introduit des protections solides pour les fournisseurs de services de médias, y compris les journalistes, contre les logiciels de surveillance intrusifs. Est notamment prévue, à l’article 4, une interdiction générale d’utiliser de tels logiciels, à laquelle il ne peut être dérogé que dans des cas bien déterminés, pour des enquêtes sur des formes graves de criminalité, dans des conditions strictes, notamment en dernier recours. Cette mesure législative importante témoigne de la détermination de la Commission à protéger la liberté des journalistes, mais aussi à défendre les droits fondamentaux contre l’utilisation abusive de logiciels espions au sein de l’UE. La Commission travaille aussi sur une initiative non législative clarifiant l’interaction entre le droit de l’Union, en particulier l’acquis en matière de protection des données et de la vie privée, et la </w:t>
      </w:r>
      <w:r>
        <w:rPr>
          <w:rFonts w:ascii="Times New Roman" w:hAnsi="Times New Roman"/>
          <w:b/>
        </w:rPr>
        <w:t>sécurité nationale</w:t>
      </w:r>
      <w:r>
        <w:rPr>
          <w:rFonts w:ascii="Times New Roman" w:hAnsi="Times New Roman"/>
        </w:rPr>
        <w:t xml:space="preserve"> dans le contexte de l’utilisation de logiciels de surveillance intrusifs. Lorsque cela se justifie, cette question est également abordée dans les rapports sur l’état de droit, notamment en ce qui concerne le fonctionnement de l’équilibre des pouvoirs au niveau national.</w:t>
      </w:r>
    </w:p>
    <w:p w14:paraId="3AAE963D" w14:textId="43033BB5" w:rsidR="00AE24E9" w:rsidRPr="004A0F89" w:rsidRDefault="50D2378E" w:rsidP="002164D9">
      <w:pPr>
        <w:widowControl w:val="0"/>
        <w:spacing w:after="120"/>
        <w:rPr>
          <w:rFonts w:ascii="Segoe UI" w:eastAsia="Segoe UI" w:hAnsi="Segoe UI" w:cs="Segoe UI"/>
          <w:color w:val="333333"/>
          <w:sz w:val="18"/>
          <w:szCs w:val="18"/>
        </w:rPr>
      </w:pPr>
      <w:r>
        <w:rPr>
          <w:rFonts w:ascii="Times New Roman" w:hAnsi="Times New Roman"/>
        </w:rPr>
        <w:t>En ce qui concerne l’</w:t>
      </w:r>
      <w:r>
        <w:rPr>
          <w:rFonts w:ascii="Times New Roman" w:hAnsi="Times New Roman"/>
          <w:b/>
        </w:rPr>
        <w:t>extension de la portée</w:t>
      </w:r>
      <w:r>
        <w:rPr>
          <w:rFonts w:ascii="Times New Roman" w:hAnsi="Times New Roman"/>
        </w:rPr>
        <w:t xml:space="preserve"> du rapport à toutes les valeurs visées à l’</w:t>
      </w:r>
      <w:r>
        <w:rPr>
          <w:rFonts w:ascii="Times New Roman" w:hAnsi="Times New Roman"/>
          <w:b/>
        </w:rPr>
        <w:t>article 2 du traité UE</w:t>
      </w:r>
      <w:r>
        <w:rPr>
          <w:rFonts w:ascii="Times New Roman" w:hAnsi="Times New Roman"/>
        </w:rPr>
        <w:t xml:space="preserve"> (paragraphe 82), la Commission souligne que le rapport s’inscrit dans le cadre d’un effort plus large au niveau de l’Union visant à renforcer les valeurs fondatrices de l’Union, y compris la démocratie, l’égalité et le respect des droits de l’homme. Le rapport est complété par une série d’autres initiatives dans les domaines de la démocratie et des droits fondamentaux (dont le </w:t>
      </w:r>
      <w:r>
        <w:rPr>
          <w:rFonts w:ascii="Times New Roman" w:hAnsi="Times New Roman"/>
          <w:b/>
        </w:rPr>
        <w:t>plan d’action pour la démocratie européenne</w:t>
      </w:r>
      <w:r>
        <w:rPr>
          <w:rFonts w:ascii="Times New Roman" w:hAnsi="Times New Roman"/>
        </w:rPr>
        <w:t xml:space="preserve">, le train de mesures sur la défense de la démocratie, la stratégie visant à renforcer l’application de la </w:t>
      </w:r>
      <w:r>
        <w:rPr>
          <w:rFonts w:ascii="Times New Roman" w:hAnsi="Times New Roman"/>
          <w:b/>
        </w:rPr>
        <w:t>charte des droits fondamentaux</w:t>
      </w:r>
      <w:r>
        <w:rPr>
          <w:rFonts w:ascii="Times New Roman" w:hAnsi="Times New Roman"/>
        </w:rPr>
        <w:t xml:space="preserve"> dans l’UE et ses rapports annuels thématiques, ainsi que des stratégies ciblées visant à répondre aux besoins et aux problèmes de groupes spécifiques de titulaires de droits). En ce qui concerne les autres éléments de la </w:t>
      </w:r>
      <w:r>
        <w:rPr>
          <w:rFonts w:ascii="Times New Roman" w:hAnsi="Times New Roman"/>
          <w:b/>
        </w:rPr>
        <w:t>liste des critères de l’état de droit</w:t>
      </w:r>
      <w:r>
        <w:rPr>
          <w:rFonts w:ascii="Times New Roman" w:hAnsi="Times New Roman"/>
        </w:rPr>
        <w:t xml:space="preserve"> adoptée en 2016 par la Commission de Venise (paragraphe 82), il est expressément indiqué dans la méthodologie du rapport sur l’état de droit que cette liste constitue une source importante de normes et peut être utile pour recenser des risques et des faiblesses spécifiques. Pour ce qui est de la demande du Parlement d’ajouter un nouveau pilier sur la lutte contre tous les types de discrimination (paragraphe 59), la Commission tient à souligner que le rapport sur l’état de droit s’intéresse déjà à la situation des organismes de promotion de l’égalité et à l’espace dévolu à la société civile, y compris aux organisations de la société civile (OSC) </w:t>
      </w:r>
      <w:r>
        <w:rPr>
          <w:rFonts w:ascii="Times New Roman" w:hAnsi="Times New Roman"/>
        </w:rPr>
        <w:lastRenderedPageBreak/>
        <w:t>actives dans le domaine de la discrimination. En outre, dans le cadre des stratégies et des plans d’action relevant de l’</w:t>
      </w:r>
      <w:r>
        <w:rPr>
          <w:rFonts w:ascii="Times New Roman" w:hAnsi="Times New Roman"/>
          <w:b/>
        </w:rPr>
        <w:t>Union de l’égalité</w:t>
      </w:r>
      <w:r>
        <w:rPr>
          <w:rFonts w:ascii="Times New Roman" w:hAnsi="Times New Roman"/>
        </w:rPr>
        <w:t>, la Commission publie des rapports réguliers et suit les actions menées par les États membres dans un certain nombre de domaines pertinents (</w:t>
      </w:r>
      <w:r>
        <w:rPr>
          <w:rFonts w:ascii="Times New Roman" w:hAnsi="Times New Roman"/>
          <w:b/>
        </w:rPr>
        <w:t>égalité des genres</w:t>
      </w:r>
      <w:r>
        <w:rPr>
          <w:rFonts w:ascii="Times New Roman" w:hAnsi="Times New Roman"/>
        </w:rPr>
        <w:t xml:space="preserve">, lutte contre le </w:t>
      </w:r>
      <w:r>
        <w:rPr>
          <w:rFonts w:ascii="Times New Roman" w:hAnsi="Times New Roman"/>
          <w:b/>
        </w:rPr>
        <w:t>racisme</w:t>
      </w:r>
      <w:r>
        <w:rPr>
          <w:rFonts w:ascii="Times New Roman" w:hAnsi="Times New Roman"/>
        </w:rPr>
        <w:t xml:space="preserve">, égalité des </w:t>
      </w:r>
      <w:r>
        <w:rPr>
          <w:rFonts w:ascii="Times New Roman" w:hAnsi="Times New Roman"/>
          <w:b/>
        </w:rPr>
        <w:t>Roms</w:t>
      </w:r>
      <w:r>
        <w:rPr>
          <w:rFonts w:ascii="Times New Roman" w:hAnsi="Times New Roman"/>
        </w:rPr>
        <w:t xml:space="preserve">, </w:t>
      </w:r>
      <w:r>
        <w:rPr>
          <w:rFonts w:ascii="Times New Roman" w:hAnsi="Times New Roman"/>
          <w:b/>
        </w:rPr>
        <w:t>LGBTIQ</w:t>
      </w:r>
      <w:r>
        <w:rPr>
          <w:rFonts w:ascii="Times New Roman" w:hAnsi="Times New Roman"/>
        </w:rPr>
        <w:t xml:space="preserve">, </w:t>
      </w:r>
      <w:r>
        <w:rPr>
          <w:rFonts w:ascii="Times New Roman" w:hAnsi="Times New Roman"/>
          <w:b/>
        </w:rPr>
        <w:t>handicap</w:t>
      </w:r>
      <w:r>
        <w:rPr>
          <w:rFonts w:ascii="Times New Roman" w:hAnsi="Times New Roman"/>
        </w:rPr>
        <w:t>).</w:t>
      </w:r>
    </w:p>
    <w:p w14:paraId="15796CBD" w14:textId="7A400505" w:rsidR="00AE24E9" w:rsidRDefault="00FE3EA6" w:rsidP="00140FD3">
      <w:pPr>
        <w:widowControl w:val="0"/>
        <w:spacing w:after="120"/>
        <w:rPr>
          <w:rFonts w:ascii="Times New Roman" w:hAnsi="Times New Roman"/>
        </w:rPr>
      </w:pPr>
      <w:r>
        <w:rPr>
          <w:rFonts w:ascii="Times New Roman" w:hAnsi="Times New Roman"/>
        </w:rPr>
        <w:t xml:space="preserve">La Commission n’a pas hésité à agir, en tant que gardienne des traités, en cas de violation du droit de l’Union, y compris de la charte des droits fondamentaux, et elle continuera de le faire, notamment dans le cadre de </w:t>
      </w:r>
      <w:r>
        <w:rPr>
          <w:rFonts w:ascii="Times New Roman" w:hAnsi="Times New Roman"/>
          <w:b/>
        </w:rPr>
        <w:t>procédures d’infraction</w:t>
      </w:r>
      <w:r>
        <w:rPr>
          <w:rFonts w:ascii="Times New Roman" w:hAnsi="Times New Roman"/>
        </w:rPr>
        <w:t xml:space="preserve"> (paragraphe 62). En vertu du règlement portant dispositions communes</w:t>
      </w:r>
      <w:r w:rsidR="00E704E6" w:rsidRPr="00633655">
        <w:rPr>
          <w:rStyle w:val="FootnoteReference"/>
          <w:rFonts w:ascii="Times New Roman" w:hAnsi="Times New Roman"/>
        </w:rPr>
        <w:footnoteReference w:id="4"/>
      </w:r>
      <w:r>
        <w:rPr>
          <w:rFonts w:ascii="Times New Roman" w:hAnsi="Times New Roman"/>
        </w:rPr>
        <w:t xml:space="preserve"> (RPDC), les OSC et les défenseurs des droits peuvent se voir confier des tâches tout au long de l’élaboration, de la mise en œuvre et de l’évaluation des programmes, y compris la participation au comité chargé du suivi de la mise en œuvre des programmes de financement, au sein duquel une représentation équilibrée des partenaires concernés doit être assurée. Conformément à cet acte législatif, les États membres sont tenus de mettre en place des mécanismes efficaces pour veiller à ce que les programmes financés par l’UE soient conçus et mis en œuvre dans le respect des dispositions applicables de la charte. Cela fait partie de la condition favorisante horizontale relative à l’application et à la mise en œuvre effectives de la charte (la «</w:t>
      </w:r>
      <w:r>
        <w:rPr>
          <w:rFonts w:ascii="Times New Roman" w:hAnsi="Times New Roman"/>
          <w:b/>
        </w:rPr>
        <w:t>condition favorisante horizontale</w:t>
      </w:r>
      <w:r>
        <w:rPr>
          <w:rFonts w:ascii="Times New Roman" w:hAnsi="Times New Roman"/>
        </w:rPr>
        <w:t>»)</w:t>
      </w:r>
      <w:r w:rsidR="00E704E6" w:rsidRPr="00633655">
        <w:rPr>
          <w:rStyle w:val="FootnoteReference"/>
          <w:rFonts w:ascii="Times New Roman" w:hAnsi="Times New Roman"/>
        </w:rPr>
        <w:footnoteReference w:id="5"/>
      </w:r>
      <w:r>
        <w:rPr>
          <w:rFonts w:ascii="Times New Roman" w:hAnsi="Times New Roman"/>
        </w:rPr>
        <w:t>. Ces instruments, considérés ensemble, illustrent l’approche exhaustive, fondée sur plusieurs instruments spécifiques, que la Commission a adoptée à l’égard de la promotion et de la sauvegarde des valeurs que sont la démocratie, l’état de droit et le respect des droits fondamentaux.</w:t>
      </w:r>
    </w:p>
    <w:p w14:paraId="3F548B25" w14:textId="31C934B1" w:rsidR="00AE24E9" w:rsidRDefault="0BDE6B59" w:rsidP="00140FD3">
      <w:pPr>
        <w:widowControl w:val="0"/>
        <w:spacing w:after="120"/>
        <w:rPr>
          <w:rFonts w:ascii="Times New Roman" w:hAnsi="Times New Roman"/>
        </w:rPr>
      </w:pPr>
      <w:r>
        <w:rPr>
          <w:rFonts w:ascii="Times New Roman" w:hAnsi="Times New Roman"/>
        </w:rPr>
        <w:t>En ce qui concerne la demande de consacrer à l’</w:t>
      </w:r>
      <w:r>
        <w:rPr>
          <w:rFonts w:ascii="Times New Roman" w:hAnsi="Times New Roman"/>
          <w:b/>
        </w:rPr>
        <w:t>espace dévolu à la société civile</w:t>
      </w:r>
      <w:r>
        <w:rPr>
          <w:rFonts w:ascii="Times New Roman" w:hAnsi="Times New Roman"/>
        </w:rPr>
        <w:t xml:space="preserve"> un pilier distinct comprenant des recommandations par pays (paragraphe 47), la Commission fait observer que l’évaluation des faits nouveaux liés au cadre dans lequel évolue la société civile n’a cessé d’être approfondie tout au long des éditions successives du rapport. Le rapport s’intéresse notamment aux questions liées au financement (paragraphe 48), au cadre juridique, à la participation à l’élaboration des politiques et à la prise de décisions et à l’existence d’un environnement opérationnel libre et sûr pour les organisations de la société civile et les défenseurs des droits de l’homme, y compris, le cas échéant, aux effets dissuasifs potentiels des mesures concernant ces acteurs. Plusieurs recommandations relatives au cadre dans lequel évolue la société civile ont été adressées aux États membres dans les rapports 2022 et 2023, et la Commission assurera le suivi de leur mise en œuvre dans le rapport 2024.</w:t>
      </w:r>
    </w:p>
    <w:p w14:paraId="5224C97D" w14:textId="0BAF81AC" w:rsidR="00AE24E9" w:rsidRDefault="0BDE6B59" w:rsidP="00140FD3">
      <w:pPr>
        <w:widowControl w:val="0"/>
        <w:spacing w:after="120"/>
        <w:rPr>
          <w:rFonts w:ascii="Times New Roman" w:hAnsi="Times New Roman"/>
        </w:rPr>
      </w:pPr>
      <w:r>
        <w:rPr>
          <w:rFonts w:ascii="Times New Roman" w:hAnsi="Times New Roman"/>
        </w:rPr>
        <w:t xml:space="preserve">La Commission partage pleinement l’avis du Parlement quant à l’importance des </w:t>
      </w:r>
      <w:r>
        <w:rPr>
          <w:rFonts w:ascii="Times New Roman" w:hAnsi="Times New Roman"/>
          <w:b/>
        </w:rPr>
        <w:t>OSC</w:t>
      </w:r>
      <w:r>
        <w:rPr>
          <w:rFonts w:ascii="Times New Roman" w:hAnsi="Times New Roman"/>
        </w:rPr>
        <w:t xml:space="preserve">, qui doivent pouvoir opérer dans un environnement ouvert, sécurisé et sûr, exempt de tout acte d’intimidation, de harcèlement et de représailles. Dans le prolongement du rapport </w:t>
      </w:r>
      <w:r>
        <w:rPr>
          <w:rFonts w:ascii="Times New Roman" w:hAnsi="Times New Roman"/>
        </w:rPr>
        <w:lastRenderedPageBreak/>
        <w:t>sur l’application de la charte des droits fondamentaux à l’espace civique</w:t>
      </w:r>
      <w:r w:rsidR="00391E68" w:rsidRPr="56ED0EAA">
        <w:rPr>
          <w:rFonts w:ascii="Times New Roman" w:hAnsi="Times New Roman"/>
          <w:vertAlign w:val="superscript"/>
        </w:rPr>
        <w:footnoteReference w:id="6"/>
      </w:r>
      <w:r>
        <w:rPr>
          <w:rFonts w:ascii="Times New Roman" w:hAnsi="Times New Roman"/>
        </w:rPr>
        <w:t xml:space="preserve">, en 2023, la Commission a noué un dialogue avec tous les acteurs concernés en lançant une série de séminaires thématiques sur la préservation de l’espace dévolu à la société civile, qui se sont conclus par une manifestation à haut niveau organisée conjointement avec la présidence espagnole. Cela a débouché sur la définition d’actions au niveau de l’UE et au niveau national, sur lesquelles la Commission se penchera. Depuis plusieurs années, la Commission met au point un volet d’action spécifiquement destiné à faire en sorte que les organisations de la société civile indépendantes, les défenseurs des droits de l’homme, les institutions nationales de défense des droits de l’homme et les organismes de promotion de l’égalité travaillent dans un environnement propice, dans lequel ils sont protégés, soutenus et efficacement consultés. La Commission a également augmenté le budget disponible au titre des </w:t>
      </w:r>
      <w:r>
        <w:rPr>
          <w:rFonts w:ascii="Times New Roman" w:hAnsi="Times New Roman"/>
          <w:b/>
        </w:rPr>
        <w:t>fonds de l’Union</w:t>
      </w:r>
      <w:r>
        <w:rPr>
          <w:rFonts w:ascii="Times New Roman" w:hAnsi="Times New Roman"/>
        </w:rPr>
        <w:t xml:space="preserve">, en particulier dans le cadre du programme «Citoyens, égalité, droits et valeurs» (CERV), afin de soutenir les organisations de la société civile et les défenseurs des droits de l’homme, au moyen d’approches innovantes, y compris de régimes de réattribution. Afin de favoriser la participation des citoyens et des organisations de la société civile à l’élaboration des politiques publiques dans les États membres, la Commission a adopté, en décembre 2023, une </w:t>
      </w:r>
      <w:r>
        <w:rPr>
          <w:rFonts w:ascii="Times New Roman" w:hAnsi="Times New Roman"/>
          <w:b/>
        </w:rPr>
        <w:t>recommandation sur l’engagement civique</w:t>
      </w:r>
      <w:r>
        <w:rPr>
          <w:rFonts w:ascii="Times New Roman" w:hAnsi="Times New Roman"/>
        </w:rPr>
        <w:t xml:space="preserve">. En ce qui concerne la demande d’ajouter un chapitre sur les </w:t>
      </w:r>
      <w:r>
        <w:rPr>
          <w:rFonts w:ascii="Times New Roman" w:hAnsi="Times New Roman"/>
          <w:b/>
        </w:rPr>
        <w:t>institutions de l’Union</w:t>
      </w:r>
      <w:r>
        <w:rPr>
          <w:rFonts w:ascii="Times New Roman" w:hAnsi="Times New Roman"/>
        </w:rPr>
        <w:t xml:space="preserve"> (paragraphe 15), il n’est actuellement pas prévu de modifier la structure du rapport. En particulier, l’insertion d’un tel chapitre dans le rapport tel qu’il existe actuellement nécessiterait que la Commission fasse rapport sur elle-même, ce qui susciterait des préoccupations sur le plan de la légitimité.</w:t>
      </w:r>
    </w:p>
    <w:p w14:paraId="5823CA0A" w14:textId="1FA43EF0" w:rsidR="00422DFC" w:rsidRDefault="02F0B7AF" w:rsidP="00140FD3">
      <w:pPr>
        <w:widowControl w:val="0"/>
        <w:spacing w:after="120"/>
        <w:rPr>
          <w:rFonts w:ascii="Times New Roman" w:hAnsi="Times New Roman"/>
        </w:rPr>
      </w:pPr>
      <w:r>
        <w:rPr>
          <w:rFonts w:ascii="Times New Roman" w:hAnsi="Times New Roman"/>
        </w:rPr>
        <w:t xml:space="preserve">Le 27 avril 2022, comme annoncé dans le </w:t>
      </w:r>
      <w:r>
        <w:rPr>
          <w:rFonts w:ascii="Times New Roman" w:hAnsi="Times New Roman"/>
          <w:b/>
        </w:rPr>
        <w:t>plan d’action pour la démocratie européenne</w:t>
      </w:r>
      <w:r>
        <w:rPr>
          <w:rFonts w:ascii="Times New Roman" w:hAnsi="Times New Roman"/>
        </w:rPr>
        <w:t xml:space="preserve">, la Commission a présenté une proposition de </w:t>
      </w:r>
      <w:r>
        <w:rPr>
          <w:rFonts w:ascii="Times New Roman" w:hAnsi="Times New Roman"/>
          <w:b/>
        </w:rPr>
        <w:t>directive</w:t>
      </w:r>
      <w:r>
        <w:rPr>
          <w:rFonts w:ascii="Times New Roman" w:hAnsi="Times New Roman"/>
        </w:rPr>
        <w:t xml:space="preserve"> et adopté une </w:t>
      </w:r>
      <w:r>
        <w:rPr>
          <w:rFonts w:ascii="Times New Roman" w:hAnsi="Times New Roman"/>
          <w:b/>
        </w:rPr>
        <w:t>recommandation</w:t>
      </w:r>
      <w:r>
        <w:rPr>
          <w:rFonts w:ascii="Times New Roman" w:hAnsi="Times New Roman"/>
        </w:rPr>
        <w:t xml:space="preserve"> visant à améliorer la protection des journalistes, des défenseurs des droits de l’homme et d’autres personnes contre les procédures judiciaires manifestement infondées ou abusives (paragraphe 33). En novembre 2023, les colégislateurs de l’UE sont parvenus à un accord politique sur la directive, et son adoption formelle est prévue pour le printemps 2024. Ensemble, la directive et la recommandation fournissent une panoplie solide de garanties et de mesures pour lutter contre les poursuites stratégiques altérant le débat public (</w:t>
      </w:r>
      <w:r>
        <w:rPr>
          <w:rFonts w:ascii="Times New Roman" w:hAnsi="Times New Roman"/>
          <w:b/>
        </w:rPr>
        <w:t>poursuites-bâillons</w:t>
      </w:r>
      <w:r>
        <w:rPr>
          <w:rFonts w:ascii="Times New Roman" w:hAnsi="Times New Roman"/>
        </w:rPr>
        <w:t>) dans l’UE. Une fois la directive entrée en vigueur, les États membres disposeront d’un délai de deux ans pour la transposer dans leur droit national. La directive ne prévoit qu’une harmonisation minimale et les États membres pourront assurer une meilleure protection contre les poursuites-bâillons dans le cadre de leur droit national. La priorité de la Commission sera de veiller à une transposition correcte et en temps utile de la directive. Bien qu’elle ne s’applique qu’aux cas de poursuites-bâillons transfrontières en raison de sa base juridique, la Commission encourage vivement les États membres à étendre la protection contre ces poursuites aux affaires nationales dans le cadre de leurs mesures nationales de transposition, conformément à ce qui a déjà été indiqué dans la recommandation. La recommandation encourage les États membres à modifier leurs cadres applicables et à adopter des mesures concernant la formation, la sensibilisation et les mécanismes de soutien pour lutter contre les poursuites-bâillons. Les États membres devraient transmettre à la Commission un rapport sur la mise en œuvre de cette recommandation contenant des données agrégées consolidées au niveau des États membres. La Commission publiera une synthèse annuelle des contributions reçues.</w:t>
      </w:r>
    </w:p>
    <w:p w14:paraId="48C71E0C" w14:textId="3D8A137E" w:rsidR="006A7EE0" w:rsidRDefault="00422DFC" w:rsidP="00140FD3">
      <w:pPr>
        <w:widowControl w:val="0"/>
        <w:spacing w:after="120"/>
        <w:rPr>
          <w:rFonts w:ascii="Times New Roman" w:hAnsi="Times New Roman"/>
        </w:rPr>
      </w:pPr>
      <w:r>
        <w:rPr>
          <w:rFonts w:ascii="Times New Roman" w:hAnsi="Times New Roman"/>
        </w:rPr>
        <w:lastRenderedPageBreak/>
        <w:t xml:space="preserve">La Commission se félicite qu’en mars, le Parlement européen ait manifesté un soutien massif en faveur du </w:t>
      </w:r>
      <w:r>
        <w:rPr>
          <w:rFonts w:ascii="Times New Roman" w:hAnsi="Times New Roman"/>
          <w:b/>
        </w:rPr>
        <w:t>règlement européen sur la liberté des médias</w:t>
      </w:r>
      <w:r>
        <w:rPr>
          <w:rFonts w:ascii="Times New Roman" w:hAnsi="Times New Roman"/>
        </w:rPr>
        <w:t xml:space="preserve"> (paragraphe 26), officiellement adopté le 26 mars 2024. La Commission continue de suivre de près la mise en œuvre par les États membres de la </w:t>
      </w:r>
      <w:r>
        <w:rPr>
          <w:rFonts w:ascii="Times New Roman" w:hAnsi="Times New Roman"/>
          <w:b/>
        </w:rPr>
        <w:t>directive sur les services de médias audiovisuels</w:t>
      </w:r>
      <w:r>
        <w:rPr>
          <w:rFonts w:ascii="Times New Roman" w:hAnsi="Times New Roman"/>
        </w:rPr>
        <w:t xml:space="preserve"> (paragraphe 27), y compris de son article 30, notamment en examinant les chevauchements pertinents dans le cadre du pilier «liberté des médias» de son rapport sur l’état de droit.</w:t>
      </w:r>
    </w:p>
    <w:p w14:paraId="6C2FF457" w14:textId="5BD20ECE" w:rsidR="00655D8F" w:rsidRDefault="00640124" w:rsidP="00140FD3">
      <w:pPr>
        <w:widowControl w:val="0"/>
        <w:spacing w:after="120"/>
        <w:rPr>
          <w:rFonts w:ascii="Times New Roman" w:hAnsi="Times New Roman"/>
        </w:rPr>
      </w:pPr>
      <w:r>
        <w:rPr>
          <w:rFonts w:ascii="Times New Roman" w:hAnsi="Times New Roman"/>
        </w:rPr>
        <w:t>La Commission travaille en étroite collaboration avec l’</w:t>
      </w:r>
      <w:r>
        <w:rPr>
          <w:rFonts w:ascii="Times New Roman" w:hAnsi="Times New Roman"/>
          <w:b/>
        </w:rPr>
        <w:t>Agence des droits fondamentaux</w:t>
      </w:r>
      <w:r>
        <w:rPr>
          <w:rFonts w:ascii="Times New Roman" w:hAnsi="Times New Roman"/>
        </w:rPr>
        <w:t xml:space="preserve"> (FRA) dans le contexte du rapport sur l’état de droit (paragraphe 84). Depuis 2022, elle a mis au point, avec la FRA, une nouvelle approche comprenant des </w:t>
      </w:r>
      <w:r>
        <w:rPr>
          <w:rFonts w:ascii="Times New Roman" w:hAnsi="Times New Roman"/>
          <w:b/>
        </w:rPr>
        <w:t>dialogues nationaux spécifiquement consacrés à l’état de droit</w:t>
      </w:r>
      <w:r>
        <w:rPr>
          <w:rFonts w:ascii="Times New Roman" w:hAnsi="Times New Roman"/>
        </w:rPr>
        <w:t xml:space="preserve"> auxquels est directement associée la société civile nationale dans plusieurs États membres, et elle a l’intention d’étendre ces dialogues aux autres États membres aussi, compte tenu également de la demande du Parlement d’élargir davantage encore la participation aux débats aux niveaux national et local (paragraphe 85).</w:t>
      </w:r>
    </w:p>
    <w:p w14:paraId="06BD9D41" w14:textId="4BD2D280" w:rsidR="00655D8F" w:rsidRPr="007001BE" w:rsidRDefault="50D2378E" w:rsidP="00140FD3">
      <w:pPr>
        <w:widowControl w:val="0"/>
        <w:spacing w:after="120"/>
        <w:rPr>
          <w:rFonts w:ascii="Times New Roman" w:eastAsia="Calibri" w:hAnsi="Times New Roman"/>
        </w:rPr>
      </w:pPr>
      <w:r>
        <w:rPr>
          <w:rFonts w:ascii="Times New Roman" w:hAnsi="Times New Roman"/>
        </w:rPr>
        <w:t>En ce qui concerne l’</w:t>
      </w:r>
      <w:r>
        <w:rPr>
          <w:rFonts w:ascii="Times New Roman" w:hAnsi="Times New Roman"/>
          <w:b/>
        </w:rPr>
        <w:t>évaluation</w:t>
      </w:r>
      <w:r>
        <w:rPr>
          <w:rFonts w:ascii="Times New Roman" w:hAnsi="Times New Roman"/>
        </w:rPr>
        <w:t xml:space="preserve"> et la </w:t>
      </w:r>
      <w:r>
        <w:rPr>
          <w:rFonts w:ascii="Times New Roman" w:hAnsi="Times New Roman"/>
          <w:b/>
        </w:rPr>
        <w:t>méthodologie</w:t>
      </w:r>
      <w:r>
        <w:rPr>
          <w:rFonts w:ascii="Times New Roman" w:hAnsi="Times New Roman"/>
        </w:rPr>
        <w:t xml:space="preserve"> (paragraphes 1, 80, 81, 82 et 83), la Commission fait observer qu’il est procédé, dans les chapitres par pays, à une analyse des nouvelles évolutions importantes et à un suivi des problèmes et des évolutions recensés dans les éditions précédentes du rapport. Le rapport contient également une analyse des actes législatifs et des réformes en cours d’adoption (paragraphe 7). Le rapport indique déjà de manière cohérente quels problèmes sont de nature plus grave et systémique et sont préoccupants (paragraphe 83) et quels problèmes sont plus isolés. Pour les quelques pays concernant lesquels il existe de graves préoccupations structurelles, cela est également clairement indiqué. Il est important que les chapitres par pays soient lus dans leur ensemble pour obtenir un tableau complet de la situation de l’état de droit. En 2023, les services de la Commission ont organisé plus de 530 réunions en ligne avec près de 700 autorités nationales, organismes indépendants et organisations non gouvernementales et professionnelles, y compris la société civile. En réponse directe aux demandes du Parlement et de la société civile, la Commission a également pris de nouvelles mesures pour </w:t>
      </w:r>
      <w:r>
        <w:rPr>
          <w:rFonts w:ascii="Times New Roman" w:hAnsi="Times New Roman"/>
          <w:b/>
        </w:rPr>
        <w:t>accroître la transparence</w:t>
      </w:r>
      <w:r>
        <w:rPr>
          <w:rFonts w:ascii="Times New Roman" w:hAnsi="Times New Roman"/>
        </w:rPr>
        <w:t xml:space="preserve"> </w:t>
      </w:r>
      <w:r>
        <w:rPr>
          <w:rFonts w:ascii="Times New Roman" w:hAnsi="Times New Roman"/>
          <w:b/>
        </w:rPr>
        <w:t>et le caractère inclusif</w:t>
      </w:r>
      <w:r>
        <w:rPr>
          <w:rFonts w:ascii="Times New Roman" w:hAnsi="Times New Roman"/>
        </w:rPr>
        <w:t xml:space="preserve"> de l’approche. La Commission a encore prolongé la période de consultation et fourni des informations supplémentaires sur le processus, y compris le calendrier des visites dans les pays et le réseau de points de contact nationaux en matière d’état de droit, sur son site web. La Commission continuera de réfléchir aux moyens d’associer au mieux les parties prenantes de manière transparente, notamment en améliorant encore les modalités de la consultation en ligne (y compris en ce qui concerne le délai de réponse) (paragraphe 85).</w:t>
      </w:r>
    </w:p>
    <w:p w14:paraId="33466C9A" w14:textId="0E8F39D0" w:rsidR="00655D8F" w:rsidRPr="007001BE" w:rsidRDefault="00655D8F" w:rsidP="00140FD3">
      <w:pPr>
        <w:spacing w:after="120"/>
        <w:rPr>
          <w:rFonts w:ascii="Times New Roman" w:eastAsia="Calibri" w:hAnsi="Times New Roman"/>
        </w:rPr>
      </w:pPr>
      <w:r>
        <w:rPr>
          <w:rFonts w:ascii="Times New Roman" w:hAnsi="Times New Roman"/>
        </w:rPr>
        <w:t xml:space="preserve">Pour préparer son évaluation, la Commission continue de s’appuyer sur l’expertise externe de diverses organisations internationales et agences de l’UE. En particulier, la Commission coopère très étroitement avec le Conseil de l’Europe et l’Agence des droits fondamentaux et reçoit également des contributions du Haut-Commissariat des Nations unies aux droits de l’homme. Toutefois, le rapport sur l’état de droit représente en fin de compte la </w:t>
      </w:r>
      <w:r>
        <w:rPr>
          <w:rFonts w:ascii="Times New Roman" w:hAnsi="Times New Roman"/>
          <w:b/>
        </w:rPr>
        <w:t>propre évaluation de la Commission</w:t>
      </w:r>
      <w:r>
        <w:rPr>
          <w:rFonts w:ascii="Times New Roman" w:hAnsi="Times New Roman"/>
        </w:rPr>
        <w:t xml:space="preserve"> et cette dernière en assume la responsabilité en tant qu’institution de l’Union désignée comme gardienne des traités de l’UE. La délégation de pouvoirs de décision à un groupe d’experts externe susciterait des préoccupations quant à la légitimité, à l’équilibre des contributions et à la responsabilité en ce qui concerne les résultats (paragraphe 84).</w:t>
      </w:r>
    </w:p>
    <w:p w14:paraId="2FC12D4F" w14:textId="69D8E58D" w:rsidR="00655D8F" w:rsidRPr="007001BE" w:rsidRDefault="50D2378E" w:rsidP="00140FD3">
      <w:pPr>
        <w:widowControl w:val="0"/>
        <w:spacing w:after="120"/>
        <w:rPr>
          <w:rFonts w:ascii="Times New Roman" w:hAnsi="Times New Roman"/>
        </w:rPr>
      </w:pPr>
      <w:r>
        <w:rPr>
          <w:rFonts w:ascii="Times New Roman" w:hAnsi="Times New Roman"/>
        </w:rPr>
        <w:t xml:space="preserve">La Commission constate que le Parlement salue l’inclusion de </w:t>
      </w:r>
      <w:r>
        <w:rPr>
          <w:rFonts w:ascii="Times New Roman" w:hAnsi="Times New Roman"/>
          <w:b/>
        </w:rPr>
        <w:t>recommandations</w:t>
      </w:r>
      <w:r>
        <w:rPr>
          <w:rFonts w:ascii="Times New Roman" w:hAnsi="Times New Roman"/>
        </w:rPr>
        <w:t xml:space="preserve"> dans le rapport sur l’état de droit depuis 2022 et l’évaluation de leur application dans l’édition 2023 (paragraphe 81), ce qui contribue davantage à l’efficacité du rapport, en aidant et en soutenant les États membres dans leurs efforts pour faire avancer les réformes et déterminer les domaines dans lesquels des améliorations ou un suivi des changements ou </w:t>
      </w:r>
      <w:r>
        <w:rPr>
          <w:rFonts w:ascii="Times New Roman" w:hAnsi="Times New Roman"/>
        </w:rPr>
        <w:lastRenderedPageBreak/>
        <w:t>réformes récents pourraient être nécessaires. Les recommandations sont adressées et adaptées à chaque État membre et fondées sur les évaluations claires et spécifiques figurant dans chaque chapitre par pays. La Commission prend note de la suggestion du Parlement d’assortir les recommandations d’un calendrier précis, d’objectifs et de mesures concrètes pour leur application (paragraphe 83). Le rapport sur l’état de droit est un instrument préventif qui, de par sa nature, n’est pas juridiquement contraignant, y compris pour ce qui est de ses recommandations. Toutefois, la Commission continuera de suivre de près la mise en œuvre de ces recommandations, tant au niveau politique qu’au niveau technique. La Commission collabore également avec les États membres pour les aider à appliquer les recommandations du rapport.</w:t>
      </w:r>
    </w:p>
    <w:p w14:paraId="01FED524" w14:textId="71E246B9" w:rsidR="00655D8F" w:rsidRPr="007001BE" w:rsidRDefault="50D2378E" w:rsidP="00140FD3">
      <w:pPr>
        <w:widowControl w:val="0"/>
        <w:spacing w:after="120"/>
        <w:rPr>
          <w:rFonts w:ascii="Times New Roman" w:hAnsi="Times New Roman"/>
        </w:rPr>
      </w:pPr>
      <w:bookmarkStart w:id="0" w:name="_Hlk132972021"/>
      <w:bookmarkEnd w:id="0"/>
      <w:r>
        <w:rPr>
          <w:rFonts w:ascii="Times New Roman" w:hAnsi="Times New Roman"/>
        </w:rPr>
        <w:t>En ce qui concerne l’</w:t>
      </w:r>
      <w:r>
        <w:rPr>
          <w:rFonts w:ascii="Times New Roman" w:hAnsi="Times New Roman"/>
          <w:b/>
        </w:rPr>
        <w:t>établissement de liens entre le rapport et des instruments contraignants concrets</w:t>
      </w:r>
      <w:r>
        <w:rPr>
          <w:rFonts w:ascii="Times New Roman" w:hAnsi="Times New Roman"/>
        </w:rPr>
        <w:t xml:space="preserve"> à activer en ce qui concerne les problèmes recensés ou potentiels liés à l’état de droit (paragraphe 77), la Commission précise que le rapport sur l’état de droit n’est que l’un des outils de la panoplie de l’UE en la matière. S’il existe bel et bien des synergies claires entre ces outils, ceux-ci demeurent des instruments distincts dont les conditions d’utilisation sont différentes et qui, en tant que tels, nécessitent une évaluation séparée, détaillée et sensible au facteur temps. La Commission souligne qu’il ne semble pas approprié d’anticiper ou d’exclure une future décision d’utiliser l’un des outils au moment de l’adoption du prochain rapport annuel sur l’état de droit, limitant ainsi la capacité de l’Union à réagir à des situations qui pourraient survenir au cours de la période de référence.</w:t>
      </w:r>
    </w:p>
    <w:p w14:paraId="2F8CEB3A" w14:textId="6E95B1CF" w:rsidR="00655D8F" w:rsidRPr="007001BE" w:rsidRDefault="0BE8113C" w:rsidP="00140FD3">
      <w:pPr>
        <w:widowControl w:val="0"/>
        <w:spacing w:after="120"/>
        <w:rPr>
          <w:rFonts w:ascii="Times New Roman" w:hAnsi="Times New Roman"/>
        </w:rPr>
      </w:pPr>
      <w:r>
        <w:rPr>
          <w:rFonts w:ascii="Times New Roman" w:hAnsi="Times New Roman"/>
        </w:rPr>
        <w:t>Le règlement (UE, Euratom) 2020/2092 relatif à un régime général de conditionnalité pour la protection du budget de l’Union (le «</w:t>
      </w:r>
      <w:r>
        <w:rPr>
          <w:rFonts w:ascii="Times New Roman" w:hAnsi="Times New Roman"/>
          <w:b/>
        </w:rPr>
        <w:t>règlement sur la conditionnalité</w:t>
      </w:r>
      <w:r>
        <w:rPr>
          <w:rFonts w:ascii="Times New Roman" w:hAnsi="Times New Roman"/>
        </w:rPr>
        <w:t>») est un outil distinct du rapport sur l’état de droit (paragraphe 96). Dans ce règlement, le rapport sur l’état de droit est mentionné parmi les sources permettant à la Commission d’évaluer si les conditions d’adoption de mesures sont remplies. Le règlement sur la conditionnalité fixe des règles et procédures spécifiques permettant à la Commission d’évaluer chaque situation et de déterminer s’il existe des violations des principes de l’état de droit qui portent atteinte ou présentent un risque sérieux de porter atteinte à la bonne gestion financière du budget de l’Union ou à la protection des intérêts financiers de l’Union, d’une manière suffisamment directe. La Commission n’hésite pas à appliquer le règlement sur la conditionnalité lorsque les conditions qu’il prévoit sont remplies. Dans son rapport de janvier 2024 au Parlement européen et au Conseil sur l’application du règlement sur la conditionnalité, la Commission a conclu que les mesures adoptées dans le cas de la Hongrie étaient efficaces pour l’avenir. Les mesures adoptées en vertu du règlement sur la conditionnalité peuvent être adaptées ou levées, sur proposition de la Commission au Conseil, si l’État membre concerné remédie, en tout ou en partie, à la situation qui a conduit à leur adoption. La Commission se conformera aux exigences du règlement sur la conditionnalité lorsqu’elle évaluera l’opportunité de proposer d’adapter, de lever ou de maintenir les mesures.</w:t>
      </w:r>
    </w:p>
    <w:p w14:paraId="41DFB423" w14:textId="310D598B" w:rsidR="00655D8F" w:rsidRDefault="50D2378E" w:rsidP="00140FD3">
      <w:pPr>
        <w:widowControl w:val="0"/>
        <w:spacing w:after="120"/>
        <w:rPr>
          <w:rFonts w:ascii="Times New Roman" w:eastAsia="Calibri" w:hAnsi="Times New Roman"/>
        </w:rPr>
      </w:pPr>
      <w:r>
        <w:rPr>
          <w:rFonts w:ascii="Times New Roman" w:hAnsi="Times New Roman"/>
        </w:rPr>
        <w:t xml:space="preserve">En ce qui concerne les </w:t>
      </w:r>
      <w:r>
        <w:rPr>
          <w:rFonts w:ascii="Times New Roman" w:hAnsi="Times New Roman"/>
          <w:b/>
        </w:rPr>
        <w:t>procédures relevant de l’article 7</w:t>
      </w:r>
      <w:r>
        <w:rPr>
          <w:rFonts w:ascii="Times New Roman" w:hAnsi="Times New Roman"/>
        </w:rPr>
        <w:t xml:space="preserve"> du traité UE (paragraphe 95), la Commission invite les États membres concernés et le Conseil à s’investir pour faire en sorte d’accélérer la résolution des problèmes soulevés dans le cadre de ces procédures, en trouvant des solutions qui protègent l’état de droit et les valeurs communes à tous les États membres. La Commission reste déterminée à soutenir le Conseil dans la conduite des procédures prévues à l’article 7 du traité UE afin de résoudre les problèmes en cause. La Commission rappelle également qu’elle estime que le Parlement européen devrait avoir la possibilité de faire valoir ses arguments devant le Conseil dans les procédures qu’il a engagées.</w:t>
      </w:r>
    </w:p>
    <w:sectPr w:rsidR="00655D8F" w:rsidSect="000A07D2">
      <w:footerReference w:type="even" r:id="rId9"/>
      <w:footerReference w:type="default" r:id="rId10"/>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FDFD" w14:textId="77777777" w:rsidR="0033598C" w:rsidRDefault="0033598C">
      <w:r>
        <w:separator/>
      </w:r>
    </w:p>
  </w:endnote>
  <w:endnote w:type="continuationSeparator" w:id="0">
    <w:p w14:paraId="2F727C33" w14:textId="77777777" w:rsidR="0033598C" w:rsidRDefault="0033598C">
      <w:r>
        <w:continuationSeparator/>
      </w:r>
    </w:p>
  </w:endnote>
  <w:endnote w:type="continuationNotice" w:id="1">
    <w:p w14:paraId="475F61EE" w14:textId="77777777" w:rsidR="0033598C" w:rsidRDefault="003359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altName w:val="Bahnschrift Light"/>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4849"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1CA9F702"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6855"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E5F">
      <w:rPr>
        <w:rStyle w:val="PageNumber"/>
      </w:rPr>
      <w:t>3</w:t>
    </w:r>
    <w:r>
      <w:rPr>
        <w:rStyle w:val="PageNumber"/>
      </w:rPr>
      <w:fldChar w:fldCharType="end"/>
    </w:r>
  </w:p>
  <w:p w14:paraId="092643F9" w14:textId="77777777" w:rsidR="005E6EC2" w:rsidRPr="008A6623" w:rsidRDefault="005E6EC2" w:rsidP="008A662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0FC2" w14:textId="77777777" w:rsidR="0033598C" w:rsidRDefault="0033598C">
      <w:r>
        <w:separator/>
      </w:r>
    </w:p>
  </w:footnote>
  <w:footnote w:type="continuationSeparator" w:id="0">
    <w:p w14:paraId="5EDAEE36" w14:textId="77777777" w:rsidR="0033598C" w:rsidRDefault="0033598C">
      <w:r>
        <w:continuationSeparator/>
      </w:r>
    </w:p>
  </w:footnote>
  <w:footnote w:type="continuationNotice" w:id="1">
    <w:p w14:paraId="3D28CD82" w14:textId="77777777" w:rsidR="0033598C" w:rsidRDefault="0033598C">
      <w:pPr>
        <w:spacing w:after="0"/>
      </w:pPr>
    </w:p>
  </w:footnote>
  <w:footnote w:id="2">
    <w:p w14:paraId="79B5A30A" w14:textId="0F3885DF" w:rsidR="14D80CB8" w:rsidRDefault="14D80CB8" w:rsidP="00140FD3">
      <w:pPr>
        <w:pStyle w:val="FootnoteText"/>
        <w:spacing w:after="0"/>
      </w:pPr>
      <w:r>
        <w:rPr>
          <w:rStyle w:val="FootnoteReference"/>
          <w:rFonts w:ascii="Times New Roman" w:hAnsi="Times New Roman"/>
        </w:rPr>
        <w:footnoteRef/>
      </w:r>
      <w:r>
        <w:t xml:space="preserve"> </w:t>
      </w:r>
      <w:r>
        <w:tab/>
      </w:r>
      <w:r>
        <w:rPr>
          <w:rFonts w:ascii="Times New Roman" w:hAnsi="Times New Roman"/>
        </w:rPr>
        <w:t xml:space="preserve">Voir le rapport annuel sur l’application du droit de l’Union, dont l’édition la plus récente a été publiée le 14 juillet 2023: </w:t>
      </w:r>
      <w:hyperlink r:id="rId1">
        <w:r>
          <w:rPr>
            <w:rStyle w:val="Hyperlink"/>
            <w:rFonts w:ascii="Times New Roman" w:hAnsi="Times New Roman"/>
          </w:rPr>
          <w:t>rapport annuel 2022 sur le contrôle de l’application du droit de l’Union européenne – Commission européenne (europa.eu)</w:t>
        </w:r>
      </w:hyperlink>
      <w:r>
        <w:rPr>
          <w:rFonts w:ascii="Times New Roman" w:hAnsi="Times New Roman"/>
        </w:rPr>
        <w:t>.</w:t>
      </w:r>
    </w:p>
  </w:footnote>
  <w:footnote w:id="3">
    <w:p w14:paraId="6593D5ED" w14:textId="5378651F" w:rsidR="00C30B90" w:rsidRPr="005A3CDA" w:rsidRDefault="00B72F62" w:rsidP="00C30B90">
      <w:pPr>
        <w:pStyle w:val="FootnoteText"/>
        <w:spacing w:after="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Communication conjointe au Parlement européen, au Conseil et au Comité économique et social européen sur la lutte contre la corruption, JOIN(2023) 12 du 3.5.2023,</w:t>
      </w:r>
      <w:r>
        <w:t xml:space="preserve"> </w:t>
      </w:r>
      <w:hyperlink r:id="rId2" w:history="1">
        <w:r>
          <w:rPr>
            <w:rStyle w:val="Hyperlink"/>
            <w:rFonts w:ascii="Times New Roman" w:hAnsi="Times New Roman"/>
          </w:rPr>
          <w:t>EUR-Lex - 52023JC0012 - FR - EUR-Lex (europa.eu)</w:t>
        </w:r>
      </w:hyperlink>
      <w:r>
        <w:rPr>
          <w:rFonts w:ascii="Times New Roman" w:hAnsi="Times New Roman"/>
        </w:rPr>
        <w:t>.</w:t>
      </w:r>
    </w:p>
  </w:footnote>
  <w:footnote w:id="4">
    <w:p w14:paraId="42C6CED1" w14:textId="40EB3CD9" w:rsidR="00E704E6" w:rsidRPr="00E704E6" w:rsidRDefault="00E704E6" w:rsidP="00E704E6">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Règlement (UE)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 (JO L 231 du 30.6.2021, p. 159).</w:t>
      </w:r>
    </w:p>
    <w:p w14:paraId="3DA8F86A" w14:textId="5FF90F8D" w:rsidR="00E704E6" w:rsidRPr="00E704E6" w:rsidRDefault="00E704E6" w:rsidP="004A0F89">
      <w:pPr>
        <w:pStyle w:val="FootnoteText"/>
        <w:ind w:left="0" w:firstLine="0"/>
        <w:rPr>
          <w:rFonts w:ascii="Times New Roman" w:hAnsi="Times New Roman"/>
        </w:rPr>
      </w:pPr>
    </w:p>
  </w:footnote>
  <w:footnote w:id="5">
    <w:p w14:paraId="3CA3821E" w14:textId="70858D30" w:rsidR="00E704E6" w:rsidRPr="00E704E6" w:rsidRDefault="00E704E6" w:rsidP="00140FD3">
      <w:pPr>
        <w:pStyle w:val="FootnoteText"/>
        <w:spacing w:after="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Article 15 et annexe III du RPDC. L’article 8 du RPDC impose aux États membres d’associer les OSC à l’élaboration des accords de partenariat ainsi que tout au long de l’élaboration, de la mise en œuvre et de l’évaluation des programmes, y compris aux comités de suivi. L’article 9, paragraphe 1, du RPDC impose aux États membres et à la Commission de veiller au respect des droits fondamentaux et à la conformité avec la charte lors de la mise en œuvre des fonds visés par le RPDC.</w:t>
      </w:r>
    </w:p>
  </w:footnote>
  <w:footnote w:id="6">
    <w:p w14:paraId="6800312E" w14:textId="703A0AE9" w:rsidR="00391E68" w:rsidRDefault="00391E68" w:rsidP="00140FD3">
      <w:pPr>
        <w:pStyle w:val="FootnoteText"/>
        <w:spacing w:after="0"/>
        <w:rPr>
          <w:rFonts w:ascii="Times New Roman" w:hAnsi="Times New Roman"/>
        </w:rPr>
      </w:pPr>
      <w:r>
        <w:rPr>
          <w:rStyle w:val="FootnoteReference"/>
        </w:rPr>
        <w:footnoteRef/>
      </w:r>
      <w:r>
        <w:t xml:space="preserve"> </w:t>
      </w:r>
      <w:r>
        <w:tab/>
      </w:r>
      <w:r>
        <w:rPr>
          <w:rFonts w:ascii="Times New Roman" w:hAnsi="Times New Roman"/>
        </w:rPr>
        <w:t>Rapport de la Commission, «</w:t>
      </w:r>
      <w:hyperlink r:id="rId3" w:history="1">
        <w:r>
          <w:rPr>
            <w:rStyle w:val="Hyperlink"/>
            <w:rFonts w:ascii="Times New Roman" w:hAnsi="Times New Roman"/>
          </w:rPr>
          <w:t>Un espace civique prospère pour la défense des droits fondamentaux au sein de l’Union européenne – Rapport annuel 2022 sur l’application de la charte des droits fondamentaux de l’Union européenne</w:t>
        </w:r>
      </w:hyperlink>
      <w:r w:rsidRPr="4654387F">
        <w:fldChar w:fldCharType="begin"/>
      </w:r>
      <w:r w:rsidRPr="4654387F">
        <w:rPr>
          <w:rStyle w:val="Hyperlink"/>
          <w:rFonts w:ascii="Times New Roman" w:hAnsi="Times New Roman"/>
        </w:rPr>
        <w:instrText>Annual Report on the Application of the EU Charter of Fundamental Rights</w:instrText>
      </w:r>
      <w:r w:rsidRPr="4654387F">
        <w:rPr>
          <w:rFonts w:ascii="Times New Roman" w:hAnsi="Times New Roman"/>
          <w:color w:val="2B579A"/>
        </w:rPr>
        <w:fldChar w:fldCharType="end"/>
      </w:r>
      <w:r>
        <w:rPr>
          <w:rFonts w:ascii="Times New Roman" w:hAnsi="Times New Roman"/>
        </w:rPr>
        <w:t>», COM(2022) 716 final du 6.12.2022.</w:t>
      </w:r>
    </w:p>
  </w:footnote>
</w:footnotes>
</file>

<file path=word/intelligence2.xml><?xml version="1.0" encoding="utf-8"?>
<int2:intelligence xmlns:int2="http://schemas.microsoft.com/office/intelligence/2020/intelligence" xmlns:oel="http://schemas.microsoft.com/office/2019/extlst">
  <int2:observations>
    <int2:textHash int2:hashCode="rlJCJkR9nnLsu2" int2:id="ml3RLCG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F7147"/>
    <w:multiLevelType w:val="hybridMultilevel"/>
    <w:tmpl w:val="5F8A9EC0"/>
    <w:lvl w:ilvl="0" w:tplc="FFFFFFFF">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9"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900944965">
    <w:abstractNumId w:val="7"/>
  </w:num>
  <w:num w:numId="2" w16cid:durableId="169955118">
    <w:abstractNumId w:val="1"/>
  </w:num>
  <w:num w:numId="3" w16cid:durableId="1305697766">
    <w:abstractNumId w:val="31"/>
  </w:num>
  <w:num w:numId="4" w16cid:durableId="644236870">
    <w:abstractNumId w:val="13"/>
  </w:num>
  <w:num w:numId="5" w16cid:durableId="1198660535">
    <w:abstractNumId w:val="25"/>
  </w:num>
  <w:num w:numId="6" w16cid:durableId="1921718185">
    <w:abstractNumId w:val="11"/>
  </w:num>
  <w:num w:numId="7" w16cid:durableId="2021541082">
    <w:abstractNumId w:val="6"/>
  </w:num>
  <w:num w:numId="8" w16cid:durableId="1349915999">
    <w:abstractNumId w:val="16"/>
  </w:num>
  <w:num w:numId="9" w16cid:durableId="1059133221">
    <w:abstractNumId w:val="30"/>
  </w:num>
  <w:num w:numId="10" w16cid:durableId="1103459216">
    <w:abstractNumId w:val="21"/>
  </w:num>
  <w:num w:numId="11" w16cid:durableId="906188454">
    <w:abstractNumId w:val="23"/>
  </w:num>
  <w:num w:numId="12" w16cid:durableId="1999116004">
    <w:abstractNumId w:val="12"/>
  </w:num>
  <w:num w:numId="13" w16cid:durableId="2105151558">
    <w:abstractNumId w:val="17"/>
  </w:num>
  <w:num w:numId="14" w16cid:durableId="1298754362">
    <w:abstractNumId w:val="26"/>
  </w:num>
  <w:num w:numId="15" w16cid:durableId="819611503">
    <w:abstractNumId w:val="15"/>
  </w:num>
  <w:num w:numId="16" w16cid:durableId="76026101">
    <w:abstractNumId w:val="32"/>
  </w:num>
  <w:num w:numId="17" w16cid:durableId="1406951402">
    <w:abstractNumId w:val="29"/>
  </w:num>
  <w:num w:numId="18" w16cid:durableId="782766738">
    <w:abstractNumId w:val="19"/>
  </w:num>
  <w:num w:numId="19" w16cid:durableId="727000957">
    <w:abstractNumId w:val="20"/>
  </w:num>
  <w:num w:numId="20" w16cid:durableId="588008186">
    <w:abstractNumId w:val="24"/>
  </w:num>
  <w:num w:numId="21" w16cid:durableId="646906054">
    <w:abstractNumId w:val="3"/>
  </w:num>
  <w:num w:numId="22" w16cid:durableId="806627532">
    <w:abstractNumId w:val="4"/>
  </w:num>
  <w:num w:numId="23" w16cid:durableId="850606517">
    <w:abstractNumId w:val="18"/>
  </w:num>
  <w:num w:numId="24" w16cid:durableId="1817334586">
    <w:abstractNumId w:val="27"/>
  </w:num>
  <w:num w:numId="25" w16cid:durableId="1676834617">
    <w:abstractNumId w:val="10"/>
  </w:num>
  <w:num w:numId="26" w16cid:durableId="1900285259">
    <w:abstractNumId w:val="28"/>
  </w:num>
  <w:num w:numId="27" w16cid:durableId="1447964148">
    <w:abstractNumId w:val="9"/>
  </w:num>
  <w:num w:numId="28" w16cid:durableId="617496322">
    <w:abstractNumId w:val="2"/>
  </w:num>
  <w:num w:numId="29" w16cid:durableId="2136679814">
    <w:abstractNumId w:val="14"/>
  </w:num>
  <w:num w:numId="30" w16cid:durableId="1729917956">
    <w:abstractNumId w:val="22"/>
  </w:num>
  <w:num w:numId="31" w16cid:durableId="865949367">
    <w:abstractNumId w:val="31"/>
  </w:num>
  <w:num w:numId="32" w16cid:durableId="15646330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L"/>
  </w:docVars>
  <w:rsids>
    <w:rsidRoot w:val="009A3DA0"/>
    <w:rsid w:val="00000080"/>
    <w:rsid w:val="000001DC"/>
    <w:rsid w:val="0000032F"/>
    <w:rsid w:val="00000397"/>
    <w:rsid w:val="00000486"/>
    <w:rsid w:val="000004A5"/>
    <w:rsid w:val="0000050D"/>
    <w:rsid w:val="000005E9"/>
    <w:rsid w:val="000006FD"/>
    <w:rsid w:val="0000071A"/>
    <w:rsid w:val="00000795"/>
    <w:rsid w:val="000009FA"/>
    <w:rsid w:val="00000BE2"/>
    <w:rsid w:val="00000C13"/>
    <w:rsid w:val="00000DBF"/>
    <w:rsid w:val="00000E39"/>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070"/>
    <w:rsid w:val="0001047E"/>
    <w:rsid w:val="0001064E"/>
    <w:rsid w:val="00010AC9"/>
    <w:rsid w:val="000111BF"/>
    <w:rsid w:val="00011281"/>
    <w:rsid w:val="0001134B"/>
    <w:rsid w:val="000113AB"/>
    <w:rsid w:val="0001140F"/>
    <w:rsid w:val="0001153B"/>
    <w:rsid w:val="00011589"/>
    <w:rsid w:val="00011615"/>
    <w:rsid w:val="00011727"/>
    <w:rsid w:val="000117D8"/>
    <w:rsid w:val="0001183E"/>
    <w:rsid w:val="00011A9B"/>
    <w:rsid w:val="00011B30"/>
    <w:rsid w:val="00011D79"/>
    <w:rsid w:val="00011DF8"/>
    <w:rsid w:val="0001228B"/>
    <w:rsid w:val="000122B5"/>
    <w:rsid w:val="0001250D"/>
    <w:rsid w:val="00012EFD"/>
    <w:rsid w:val="000130BE"/>
    <w:rsid w:val="00013716"/>
    <w:rsid w:val="00013997"/>
    <w:rsid w:val="000139D8"/>
    <w:rsid w:val="00013D92"/>
    <w:rsid w:val="00013EE5"/>
    <w:rsid w:val="0001425C"/>
    <w:rsid w:val="0001448B"/>
    <w:rsid w:val="000145A2"/>
    <w:rsid w:val="000146F4"/>
    <w:rsid w:val="000149EF"/>
    <w:rsid w:val="00014A2E"/>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5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0B1"/>
    <w:rsid w:val="000241F9"/>
    <w:rsid w:val="00024204"/>
    <w:rsid w:val="000242C9"/>
    <w:rsid w:val="000242F0"/>
    <w:rsid w:val="0002435B"/>
    <w:rsid w:val="0002435F"/>
    <w:rsid w:val="0002452D"/>
    <w:rsid w:val="00024671"/>
    <w:rsid w:val="00024685"/>
    <w:rsid w:val="000247DF"/>
    <w:rsid w:val="000248D5"/>
    <w:rsid w:val="000249F6"/>
    <w:rsid w:val="00024BE2"/>
    <w:rsid w:val="00024C5F"/>
    <w:rsid w:val="00024E64"/>
    <w:rsid w:val="00024F7A"/>
    <w:rsid w:val="000250B7"/>
    <w:rsid w:val="00025172"/>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A0B"/>
    <w:rsid w:val="00030E3E"/>
    <w:rsid w:val="000310AA"/>
    <w:rsid w:val="000310E8"/>
    <w:rsid w:val="000311CB"/>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0CD"/>
    <w:rsid w:val="000350CE"/>
    <w:rsid w:val="000351DA"/>
    <w:rsid w:val="00035357"/>
    <w:rsid w:val="000355A7"/>
    <w:rsid w:val="000356EC"/>
    <w:rsid w:val="00035B81"/>
    <w:rsid w:val="00035CE3"/>
    <w:rsid w:val="00035F0D"/>
    <w:rsid w:val="00035FDE"/>
    <w:rsid w:val="00036009"/>
    <w:rsid w:val="00036106"/>
    <w:rsid w:val="00036177"/>
    <w:rsid w:val="0003633B"/>
    <w:rsid w:val="00037004"/>
    <w:rsid w:val="00037224"/>
    <w:rsid w:val="000372EF"/>
    <w:rsid w:val="0003737B"/>
    <w:rsid w:val="000373FF"/>
    <w:rsid w:val="0003745C"/>
    <w:rsid w:val="0003758E"/>
    <w:rsid w:val="000375BA"/>
    <w:rsid w:val="00037990"/>
    <w:rsid w:val="00040060"/>
    <w:rsid w:val="00040281"/>
    <w:rsid w:val="00040A13"/>
    <w:rsid w:val="00040A24"/>
    <w:rsid w:val="00040C7A"/>
    <w:rsid w:val="00040E6E"/>
    <w:rsid w:val="00040ED4"/>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2F55"/>
    <w:rsid w:val="000434BD"/>
    <w:rsid w:val="000436A8"/>
    <w:rsid w:val="00043B7B"/>
    <w:rsid w:val="00043E36"/>
    <w:rsid w:val="000443C3"/>
    <w:rsid w:val="0004455F"/>
    <w:rsid w:val="00044806"/>
    <w:rsid w:val="00044A42"/>
    <w:rsid w:val="00044AB8"/>
    <w:rsid w:val="000454B2"/>
    <w:rsid w:val="00045976"/>
    <w:rsid w:val="00045D8A"/>
    <w:rsid w:val="00045E41"/>
    <w:rsid w:val="000464BA"/>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0C0C"/>
    <w:rsid w:val="00051161"/>
    <w:rsid w:val="00051333"/>
    <w:rsid w:val="00051E3C"/>
    <w:rsid w:val="000520B1"/>
    <w:rsid w:val="00052241"/>
    <w:rsid w:val="000525AB"/>
    <w:rsid w:val="00052672"/>
    <w:rsid w:val="00052814"/>
    <w:rsid w:val="000529E9"/>
    <w:rsid w:val="00052CCD"/>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194"/>
    <w:rsid w:val="0005620A"/>
    <w:rsid w:val="000568D7"/>
    <w:rsid w:val="000568F4"/>
    <w:rsid w:val="00056C02"/>
    <w:rsid w:val="00057006"/>
    <w:rsid w:val="00057285"/>
    <w:rsid w:val="0005742E"/>
    <w:rsid w:val="00057439"/>
    <w:rsid w:val="000574AC"/>
    <w:rsid w:val="0005753C"/>
    <w:rsid w:val="00057902"/>
    <w:rsid w:val="00057E1C"/>
    <w:rsid w:val="00057EA9"/>
    <w:rsid w:val="00057F32"/>
    <w:rsid w:val="00057FE5"/>
    <w:rsid w:val="00060089"/>
    <w:rsid w:val="00060742"/>
    <w:rsid w:val="0006088F"/>
    <w:rsid w:val="00060C03"/>
    <w:rsid w:val="00060C9D"/>
    <w:rsid w:val="00060CB2"/>
    <w:rsid w:val="00060D87"/>
    <w:rsid w:val="00060EF5"/>
    <w:rsid w:val="00060F44"/>
    <w:rsid w:val="000611E6"/>
    <w:rsid w:val="00061322"/>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BB2"/>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7C1"/>
    <w:rsid w:val="00067C33"/>
    <w:rsid w:val="00067FB5"/>
    <w:rsid w:val="000703CB"/>
    <w:rsid w:val="000703FE"/>
    <w:rsid w:val="000705DD"/>
    <w:rsid w:val="000706D4"/>
    <w:rsid w:val="00070DF2"/>
    <w:rsid w:val="000713EE"/>
    <w:rsid w:val="00071470"/>
    <w:rsid w:val="00071695"/>
    <w:rsid w:val="000717D6"/>
    <w:rsid w:val="00071956"/>
    <w:rsid w:val="00071BD3"/>
    <w:rsid w:val="00071C59"/>
    <w:rsid w:val="00071DDA"/>
    <w:rsid w:val="00071E19"/>
    <w:rsid w:val="00071E87"/>
    <w:rsid w:val="00071FC6"/>
    <w:rsid w:val="0007204F"/>
    <w:rsid w:val="00072134"/>
    <w:rsid w:val="00072D12"/>
    <w:rsid w:val="00072DCB"/>
    <w:rsid w:val="00072E6E"/>
    <w:rsid w:val="00072F6B"/>
    <w:rsid w:val="00073100"/>
    <w:rsid w:val="00073283"/>
    <w:rsid w:val="000732A8"/>
    <w:rsid w:val="00073445"/>
    <w:rsid w:val="0007349A"/>
    <w:rsid w:val="000735B6"/>
    <w:rsid w:val="000736A0"/>
    <w:rsid w:val="00073D03"/>
    <w:rsid w:val="0007403A"/>
    <w:rsid w:val="000744AE"/>
    <w:rsid w:val="000744BA"/>
    <w:rsid w:val="00074890"/>
    <w:rsid w:val="00074A10"/>
    <w:rsid w:val="00074BA2"/>
    <w:rsid w:val="00074D75"/>
    <w:rsid w:val="00074DB5"/>
    <w:rsid w:val="00074E52"/>
    <w:rsid w:val="00074FA3"/>
    <w:rsid w:val="000751AC"/>
    <w:rsid w:val="000752DB"/>
    <w:rsid w:val="0007575A"/>
    <w:rsid w:val="00075804"/>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69A"/>
    <w:rsid w:val="000807AE"/>
    <w:rsid w:val="000807B5"/>
    <w:rsid w:val="00080AD9"/>
    <w:rsid w:val="00080B91"/>
    <w:rsid w:val="00080CE2"/>
    <w:rsid w:val="00080F35"/>
    <w:rsid w:val="000811A4"/>
    <w:rsid w:val="000811D4"/>
    <w:rsid w:val="00081259"/>
    <w:rsid w:val="00081792"/>
    <w:rsid w:val="0008187A"/>
    <w:rsid w:val="0008189D"/>
    <w:rsid w:val="00081911"/>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5A2"/>
    <w:rsid w:val="0009096A"/>
    <w:rsid w:val="00090B2D"/>
    <w:rsid w:val="00090B63"/>
    <w:rsid w:val="00090B6B"/>
    <w:rsid w:val="00090D4B"/>
    <w:rsid w:val="00090EA4"/>
    <w:rsid w:val="000910D7"/>
    <w:rsid w:val="0009166A"/>
    <w:rsid w:val="000918B2"/>
    <w:rsid w:val="00091CE2"/>
    <w:rsid w:val="0009205D"/>
    <w:rsid w:val="0009239B"/>
    <w:rsid w:val="00092442"/>
    <w:rsid w:val="0009257A"/>
    <w:rsid w:val="00092A29"/>
    <w:rsid w:val="00092B44"/>
    <w:rsid w:val="00092C2D"/>
    <w:rsid w:val="00092EB9"/>
    <w:rsid w:val="0009343D"/>
    <w:rsid w:val="000935ED"/>
    <w:rsid w:val="00093617"/>
    <w:rsid w:val="00093E98"/>
    <w:rsid w:val="00093FDF"/>
    <w:rsid w:val="00094051"/>
    <w:rsid w:val="000942B9"/>
    <w:rsid w:val="00094353"/>
    <w:rsid w:val="000945D6"/>
    <w:rsid w:val="00094600"/>
    <w:rsid w:val="00094AC0"/>
    <w:rsid w:val="00094B2F"/>
    <w:rsid w:val="00095449"/>
    <w:rsid w:val="0009571A"/>
    <w:rsid w:val="000957A2"/>
    <w:rsid w:val="00095892"/>
    <w:rsid w:val="00095A1A"/>
    <w:rsid w:val="00095A8C"/>
    <w:rsid w:val="00095C0B"/>
    <w:rsid w:val="00095C79"/>
    <w:rsid w:val="00095D87"/>
    <w:rsid w:val="00096343"/>
    <w:rsid w:val="00096552"/>
    <w:rsid w:val="00096607"/>
    <w:rsid w:val="00096700"/>
    <w:rsid w:val="0009691F"/>
    <w:rsid w:val="00096925"/>
    <w:rsid w:val="0009694F"/>
    <w:rsid w:val="00096B06"/>
    <w:rsid w:val="0009706D"/>
    <w:rsid w:val="0009744B"/>
    <w:rsid w:val="00097551"/>
    <w:rsid w:val="000975A5"/>
    <w:rsid w:val="00097833"/>
    <w:rsid w:val="000978DD"/>
    <w:rsid w:val="00097A89"/>
    <w:rsid w:val="00097DB3"/>
    <w:rsid w:val="00097E80"/>
    <w:rsid w:val="00097EB4"/>
    <w:rsid w:val="00097F2B"/>
    <w:rsid w:val="000A0424"/>
    <w:rsid w:val="000A05BC"/>
    <w:rsid w:val="000A06AB"/>
    <w:rsid w:val="000A07D2"/>
    <w:rsid w:val="000A07F3"/>
    <w:rsid w:val="000A0849"/>
    <w:rsid w:val="000A09F3"/>
    <w:rsid w:val="000A0BAF"/>
    <w:rsid w:val="000A0EE8"/>
    <w:rsid w:val="000A1105"/>
    <w:rsid w:val="000A1418"/>
    <w:rsid w:val="000A1636"/>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4F07"/>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38C"/>
    <w:rsid w:val="000A76EB"/>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04"/>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9A3"/>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16E"/>
    <w:rsid w:val="000C2592"/>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32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32D"/>
    <w:rsid w:val="000C755B"/>
    <w:rsid w:val="000C7646"/>
    <w:rsid w:val="000C7708"/>
    <w:rsid w:val="000C779B"/>
    <w:rsid w:val="000C7914"/>
    <w:rsid w:val="000C7A75"/>
    <w:rsid w:val="000C7BE4"/>
    <w:rsid w:val="000C7D90"/>
    <w:rsid w:val="000C7E7C"/>
    <w:rsid w:val="000D0133"/>
    <w:rsid w:val="000D02D7"/>
    <w:rsid w:val="000D0536"/>
    <w:rsid w:val="000D057B"/>
    <w:rsid w:val="000D0723"/>
    <w:rsid w:val="000D082B"/>
    <w:rsid w:val="000D0AEE"/>
    <w:rsid w:val="000D1461"/>
    <w:rsid w:val="000D1C63"/>
    <w:rsid w:val="000D20A1"/>
    <w:rsid w:val="000D23CE"/>
    <w:rsid w:val="000D25EF"/>
    <w:rsid w:val="000D26C0"/>
    <w:rsid w:val="000D2718"/>
    <w:rsid w:val="000D280C"/>
    <w:rsid w:val="000D333F"/>
    <w:rsid w:val="000D34BD"/>
    <w:rsid w:val="000D3537"/>
    <w:rsid w:val="000D37F7"/>
    <w:rsid w:val="000D38B0"/>
    <w:rsid w:val="000D390C"/>
    <w:rsid w:val="000D3A17"/>
    <w:rsid w:val="000D414D"/>
    <w:rsid w:val="000D416D"/>
    <w:rsid w:val="000D4395"/>
    <w:rsid w:val="000D4401"/>
    <w:rsid w:val="000D4534"/>
    <w:rsid w:val="000D45F1"/>
    <w:rsid w:val="000D46FC"/>
    <w:rsid w:val="000D47E4"/>
    <w:rsid w:val="000D4894"/>
    <w:rsid w:val="000D4E86"/>
    <w:rsid w:val="000D4EA2"/>
    <w:rsid w:val="000D4EB1"/>
    <w:rsid w:val="000D51B6"/>
    <w:rsid w:val="000D5487"/>
    <w:rsid w:val="000D5579"/>
    <w:rsid w:val="000D5939"/>
    <w:rsid w:val="000D5BB3"/>
    <w:rsid w:val="000D5BD5"/>
    <w:rsid w:val="000D60AC"/>
    <w:rsid w:val="000D60E8"/>
    <w:rsid w:val="000D63CF"/>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75C"/>
    <w:rsid w:val="000E18B0"/>
    <w:rsid w:val="000E198B"/>
    <w:rsid w:val="000E1A41"/>
    <w:rsid w:val="000E1A9E"/>
    <w:rsid w:val="000E1BF8"/>
    <w:rsid w:val="000E1D21"/>
    <w:rsid w:val="000E1EE0"/>
    <w:rsid w:val="000E2559"/>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A9"/>
    <w:rsid w:val="000E75D1"/>
    <w:rsid w:val="000E7FD0"/>
    <w:rsid w:val="000F0118"/>
    <w:rsid w:val="000F0125"/>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6C6"/>
    <w:rsid w:val="000F5A73"/>
    <w:rsid w:val="000F5C08"/>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413"/>
    <w:rsid w:val="00101519"/>
    <w:rsid w:val="00101721"/>
    <w:rsid w:val="0010195B"/>
    <w:rsid w:val="00101B5C"/>
    <w:rsid w:val="00101BA0"/>
    <w:rsid w:val="00101DA2"/>
    <w:rsid w:val="00101E67"/>
    <w:rsid w:val="00101ED4"/>
    <w:rsid w:val="001020BD"/>
    <w:rsid w:val="001020E1"/>
    <w:rsid w:val="001021D2"/>
    <w:rsid w:val="00102311"/>
    <w:rsid w:val="0010247B"/>
    <w:rsid w:val="001026A3"/>
    <w:rsid w:val="001028DE"/>
    <w:rsid w:val="001029D0"/>
    <w:rsid w:val="00102CB5"/>
    <w:rsid w:val="00102E26"/>
    <w:rsid w:val="00102F10"/>
    <w:rsid w:val="00102FEA"/>
    <w:rsid w:val="00103293"/>
    <w:rsid w:val="001032BA"/>
    <w:rsid w:val="001033A4"/>
    <w:rsid w:val="00103442"/>
    <w:rsid w:val="001035F6"/>
    <w:rsid w:val="0010374F"/>
    <w:rsid w:val="00103959"/>
    <w:rsid w:val="00103BED"/>
    <w:rsid w:val="00103C6A"/>
    <w:rsid w:val="00103CCA"/>
    <w:rsid w:val="00103DE9"/>
    <w:rsid w:val="00103FA7"/>
    <w:rsid w:val="00104198"/>
    <w:rsid w:val="00104267"/>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6F3"/>
    <w:rsid w:val="001069D6"/>
    <w:rsid w:val="00106D10"/>
    <w:rsid w:val="00107244"/>
    <w:rsid w:val="0010748A"/>
    <w:rsid w:val="001074E6"/>
    <w:rsid w:val="00107718"/>
    <w:rsid w:val="00107EB5"/>
    <w:rsid w:val="00110052"/>
    <w:rsid w:val="0011006F"/>
    <w:rsid w:val="00110158"/>
    <w:rsid w:val="001106DA"/>
    <w:rsid w:val="001107B9"/>
    <w:rsid w:val="00110C0F"/>
    <w:rsid w:val="00110C86"/>
    <w:rsid w:val="00110DA6"/>
    <w:rsid w:val="00110DE1"/>
    <w:rsid w:val="00110F5F"/>
    <w:rsid w:val="001111EF"/>
    <w:rsid w:val="00111223"/>
    <w:rsid w:val="00111350"/>
    <w:rsid w:val="0011142F"/>
    <w:rsid w:val="00111643"/>
    <w:rsid w:val="0011166B"/>
    <w:rsid w:val="00111A81"/>
    <w:rsid w:val="00111D10"/>
    <w:rsid w:val="001121C4"/>
    <w:rsid w:val="00112203"/>
    <w:rsid w:val="00112486"/>
    <w:rsid w:val="00112539"/>
    <w:rsid w:val="00112579"/>
    <w:rsid w:val="00112A1C"/>
    <w:rsid w:val="00112ED5"/>
    <w:rsid w:val="00113072"/>
    <w:rsid w:val="0011325C"/>
    <w:rsid w:val="001133DD"/>
    <w:rsid w:val="0011381F"/>
    <w:rsid w:val="00113B42"/>
    <w:rsid w:val="00113E40"/>
    <w:rsid w:val="00113E69"/>
    <w:rsid w:val="00113F1A"/>
    <w:rsid w:val="00114480"/>
    <w:rsid w:val="00114568"/>
    <w:rsid w:val="001146D7"/>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153"/>
    <w:rsid w:val="001176DE"/>
    <w:rsid w:val="0011799C"/>
    <w:rsid w:val="00117E41"/>
    <w:rsid w:val="00117F86"/>
    <w:rsid w:val="00120043"/>
    <w:rsid w:val="00120230"/>
    <w:rsid w:val="00120411"/>
    <w:rsid w:val="00120628"/>
    <w:rsid w:val="0012079D"/>
    <w:rsid w:val="00120DCF"/>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0FB"/>
    <w:rsid w:val="0012713C"/>
    <w:rsid w:val="00127307"/>
    <w:rsid w:val="00127422"/>
    <w:rsid w:val="001275A6"/>
    <w:rsid w:val="00127654"/>
    <w:rsid w:val="00127678"/>
    <w:rsid w:val="00127CE6"/>
    <w:rsid w:val="001304C4"/>
    <w:rsid w:val="00130541"/>
    <w:rsid w:val="00130719"/>
    <w:rsid w:val="00130B37"/>
    <w:rsid w:val="00130B64"/>
    <w:rsid w:val="00130E70"/>
    <w:rsid w:val="00130FAC"/>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AF9"/>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0FD3"/>
    <w:rsid w:val="00141418"/>
    <w:rsid w:val="001416BD"/>
    <w:rsid w:val="0014174F"/>
    <w:rsid w:val="00141A02"/>
    <w:rsid w:val="00141C08"/>
    <w:rsid w:val="00141CA1"/>
    <w:rsid w:val="0014201B"/>
    <w:rsid w:val="00142062"/>
    <w:rsid w:val="0014210A"/>
    <w:rsid w:val="001423C7"/>
    <w:rsid w:val="00142485"/>
    <w:rsid w:val="0014296A"/>
    <w:rsid w:val="00143061"/>
    <w:rsid w:val="00143335"/>
    <w:rsid w:val="00143391"/>
    <w:rsid w:val="001438FC"/>
    <w:rsid w:val="00143DDE"/>
    <w:rsid w:val="00143F3D"/>
    <w:rsid w:val="0014413D"/>
    <w:rsid w:val="00145AB8"/>
    <w:rsid w:val="00145BBD"/>
    <w:rsid w:val="00145D7D"/>
    <w:rsid w:val="00145FB1"/>
    <w:rsid w:val="001463CA"/>
    <w:rsid w:val="0014642A"/>
    <w:rsid w:val="00146572"/>
    <w:rsid w:val="0014708A"/>
    <w:rsid w:val="00147197"/>
    <w:rsid w:val="001476D4"/>
    <w:rsid w:val="0014776E"/>
    <w:rsid w:val="00147784"/>
    <w:rsid w:val="00147791"/>
    <w:rsid w:val="001477F4"/>
    <w:rsid w:val="00147AFC"/>
    <w:rsid w:val="00147B3E"/>
    <w:rsid w:val="00147B94"/>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31"/>
    <w:rsid w:val="00152D6E"/>
    <w:rsid w:val="00152E1C"/>
    <w:rsid w:val="00153005"/>
    <w:rsid w:val="001538A6"/>
    <w:rsid w:val="00153952"/>
    <w:rsid w:val="00153AD9"/>
    <w:rsid w:val="00153B3A"/>
    <w:rsid w:val="00153C3E"/>
    <w:rsid w:val="00153F3C"/>
    <w:rsid w:val="001540D4"/>
    <w:rsid w:val="00154153"/>
    <w:rsid w:val="00154223"/>
    <w:rsid w:val="00154492"/>
    <w:rsid w:val="001545E0"/>
    <w:rsid w:val="00154908"/>
    <w:rsid w:val="00154E3C"/>
    <w:rsid w:val="00155050"/>
    <w:rsid w:val="00155265"/>
    <w:rsid w:val="001559B7"/>
    <w:rsid w:val="00155DAE"/>
    <w:rsid w:val="00156017"/>
    <w:rsid w:val="0015615D"/>
    <w:rsid w:val="001561D4"/>
    <w:rsid w:val="00156301"/>
    <w:rsid w:val="001565BD"/>
    <w:rsid w:val="00156775"/>
    <w:rsid w:val="00156BB9"/>
    <w:rsid w:val="00157383"/>
    <w:rsid w:val="0015754F"/>
    <w:rsid w:val="00157717"/>
    <w:rsid w:val="001577FE"/>
    <w:rsid w:val="00157826"/>
    <w:rsid w:val="0015798D"/>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400"/>
    <w:rsid w:val="001625B7"/>
    <w:rsid w:val="0016261F"/>
    <w:rsid w:val="001626B6"/>
    <w:rsid w:val="00162F33"/>
    <w:rsid w:val="001630F8"/>
    <w:rsid w:val="0016323F"/>
    <w:rsid w:val="00163676"/>
    <w:rsid w:val="001636EE"/>
    <w:rsid w:val="001637E5"/>
    <w:rsid w:val="001638B6"/>
    <w:rsid w:val="00163961"/>
    <w:rsid w:val="00163A47"/>
    <w:rsid w:val="00163BF8"/>
    <w:rsid w:val="00163F92"/>
    <w:rsid w:val="001642FB"/>
    <w:rsid w:val="0016442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6F0C"/>
    <w:rsid w:val="001674CC"/>
    <w:rsid w:val="00167650"/>
    <w:rsid w:val="001676ED"/>
    <w:rsid w:val="001700A5"/>
    <w:rsid w:val="001700B5"/>
    <w:rsid w:val="001702E0"/>
    <w:rsid w:val="001705FC"/>
    <w:rsid w:val="0017076B"/>
    <w:rsid w:val="00170888"/>
    <w:rsid w:val="001708FA"/>
    <w:rsid w:val="00170A25"/>
    <w:rsid w:val="00170AFC"/>
    <w:rsid w:val="00170BD3"/>
    <w:rsid w:val="001710BE"/>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478"/>
    <w:rsid w:val="001737E0"/>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A8C"/>
    <w:rsid w:val="00175C34"/>
    <w:rsid w:val="00176039"/>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93F"/>
    <w:rsid w:val="00182D7D"/>
    <w:rsid w:val="00182F24"/>
    <w:rsid w:val="001831CD"/>
    <w:rsid w:val="001832C4"/>
    <w:rsid w:val="001833E7"/>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97E"/>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692"/>
    <w:rsid w:val="0019484D"/>
    <w:rsid w:val="00194A0F"/>
    <w:rsid w:val="00194B51"/>
    <w:rsid w:val="00195512"/>
    <w:rsid w:val="00196088"/>
    <w:rsid w:val="001962D1"/>
    <w:rsid w:val="00196902"/>
    <w:rsid w:val="00196BE4"/>
    <w:rsid w:val="00196CC1"/>
    <w:rsid w:val="001970C6"/>
    <w:rsid w:val="00197294"/>
    <w:rsid w:val="0019740B"/>
    <w:rsid w:val="00197522"/>
    <w:rsid w:val="001976A1"/>
    <w:rsid w:val="0019786E"/>
    <w:rsid w:val="00197A47"/>
    <w:rsid w:val="001A01B9"/>
    <w:rsid w:val="001A02EB"/>
    <w:rsid w:val="001A0303"/>
    <w:rsid w:val="001A03B3"/>
    <w:rsid w:val="001A073E"/>
    <w:rsid w:val="001A090B"/>
    <w:rsid w:val="001A0C22"/>
    <w:rsid w:val="001A0CB3"/>
    <w:rsid w:val="001A0D6D"/>
    <w:rsid w:val="001A102F"/>
    <w:rsid w:val="001A14A4"/>
    <w:rsid w:val="001A1572"/>
    <w:rsid w:val="001A183D"/>
    <w:rsid w:val="001A1CA7"/>
    <w:rsid w:val="001A1DC1"/>
    <w:rsid w:val="001A1EDA"/>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A7"/>
    <w:rsid w:val="001A40E0"/>
    <w:rsid w:val="001A4259"/>
    <w:rsid w:val="001A446E"/>
    <w:rsid w:val="001A45AB"/>
    <w:rsid w:val="001A4C2D"/>
    <w:rsid w:val="001A4CFE"/>
    <w:rsid w:val="001A4D24"/>
    <w:rsid w:val="001A4FE4"/>
    <w:rsid w:val="001A53C9"/>
    <w:rsid w:val="001A5647"/>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29"/>
    <w:rsid w:val="001B1499"/>
    <w:rsid w:val="001B15A6"/>
    <w:rsid w:val="001B17DA"/>
    <w:rsid w:val="001B1A64"/>
    <w:rsid w:val="001B1B45"/>
    <w:rsid w:val="001B1BC5"/>
    <w:rsid w:val="001B1C3B"/>
    <w:rsid w:val="001B1C41"/>
    <w:rsid w:val="001B1CD7"/>
    <w:rsid w:val="001B296B"/>
    <w:rsid w:val="001B2A14"/>
    <w:rsid w:val="001B2DF1"/>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62"/>
    <w:rsid w:val="001B54BE"/>
    <w:rsid w:val="001B572C"/>
    <w:rsid w:val="001B57D4"/>
    <w:rsid w:val="001B627A"/>
    <w:rsid w:val="001B6448"/>
    <w:rsid w:val="001B6B7E"/>
    <w:rsid w:val="001B6BAD"/>
    <w:rsid w:val="001B6F81"/>
    <w:rsid w:val="001B70A1"/>
    <w:rsid w:val="001B722E"/>
    <w:rsid w:val="001B7239"/>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E03"/>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4CCE"/>
    <w:rsid w:val="001C54F1"/>
    <w:rsid w:val="001C580F"/>
    <w:rsid w:val="001C58C0"/>
    <w:rsid w:val="001C5C8A"/>
    <w:rsid w:val="001C6197"/>
    <w:rsid w:val="001C680C"/>
    <w:rsid w:val="001C68EB"/>
    <w:rsid w:val="001C6B35"/>
    <w:rsid w:val="001C6B3C"/>
    <w:rsid w:val="001C6E36"/>
    <w:rsid w:val="001C6ECF"/>
    <w:rsid w:val="001C7433"/>
    <w:rsid w:val="001C77DB"/>
    <w:rsid w:val="001C7A43"/>
    <w:rsid w:val="001C7B10"/>
    <w:rsid w:val="001C7BBA"/>
    <w:rsid w:val="001C7C96"/>
    <w:rsid w:val="001C7CF5"/>
    <w:rsid w:val="001C7D9C"/>
    <w:rsid w:val="001D00BA"/>
    <w:rsid w:val="001D0217"/>
    <w:rsid w:val="001D03B9"/>
    <w:rsid w:val="001D073B"/>
    <w:rsid w:val="001D091B"/>
    <w:rsid w:val="001D0AC4"/>
    <w:rsid w:val="001D0D78"/>
    <w:rsid w:val="001D0FE7"/>
    <w:rsid w:val="001D112C"/>
    <w:rsid w:val="001D11F0"/>
    <w:rsid w:val="001D205E"/>
    <w:rsid w:val="001D27B6"/>
    <w:rsid w:val="001D2BA0"/>
    <w:rsid w:val="001D35D5"/>
    <w:rsid w:val="001D3722"/>
    <w:rsid w:val="001D3813"/>
    <w:rsid w:val="001D39D7"/>
    <w:rsid w:val="001D3DAC"/>
    <w:rsid w:val="001D4003"/>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5D76"/>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0C2"/>
    <w:rsid w:val="001E436A"/>
    <w:rsid w:val="001E44C6"/>
    <w:rsid w:val="001E45D5"/>
    <w:rsid w:val="001E462A"/>
    <w:rsid w:val="001E4C0D"/>
    <w:rsid w:val="001E506B"/>
    <w:rsid w:val="001E5098"/>
    <w:rsid w:val="001E509F"/>
    <w:rsid w:val="001E519F"/>
    <w:rsid w:val="001E5308"/>
    <w:rsid w:val="001E5462"/>
    <w:rsid w:val="001E5475"/>
    <w:rsid w:val="001E549E"/>
    <w:rsid w:val="001E58C1"/>
    <w:rsid w:val="001E5CE5"/>
    <w:rsid w:val="001E5D29"/>
    <w:rsid w:val="001E5E9C"/>
    <w:rsid w:val="001E60BD"/>
    <w:rsid w:val="001E6125"/>
    <w:rsid w:val="001E63C7"/>
    <w:rsid w:val="001E63DB"/>
    <w:rsid w:val="001E6428"/>
    <w:rsid w:val="001E65C4"/>
    <w:rsid w:val="001E672A"/>
    <w:rsid w:val="001E69E0"/>
    <w:rsid w:val="001E74CA"/>
    <w:rsid w:val="001E7518"/>
    <w:rsid w:val="001E758F"/>
    <w:rsid w:val="001E765C"/>
    <w:rsid w:val="001E7741"/>
    <w:rsid w:val="001E77A4"/>
    <w:rsid w:val="001E77D1"/>
    <w:rsid w:val="001E787B"/>
    <w:rsid w:val="001E79DD"/>
    <w:rsid w:val="001E79E2"/>
    <w:rsid w:val="001E7BE5"/>
    <w:rsid w:val="001E7C26"/>
    <w:rsid w:val="001F0008"/>
    <w:rsid w:val="001F00BC"/>
    <w:rsid w:val="001F04D8"/>
    <w:rsid w:val="001F08E5"/>
    <w:rsid w:val="001F09AF"/>
    <w:rsid w:val="001F0A12"/>
    <w:rsid w:val="001F0A75"/>
    <w:rsid w:val="001F0C8D"/>
    <w:rsid w:val="001F1458"/>
    <w:rsid w:val="001F16F2"/>
    <w:rsid w:val="001F1A7E"/>
    <w:rsid w:val="001F1ACF"/>
    <w:rsid w:val="001F1F32"/>
    <w:rsid w:val="001F201C"/>
    <w:rsid w:val="001F219E"/>
    <w:rsid w:val="001F2403"/>
    <w:rsid w:val="001F25EF"/>
    <w:rsid w:val="001F28BF"/>
    <w:rsid w:val="001F28DC"/>
    <w:rsid w:val="001F31D4"/>
    <w:rsid w:val="001F34E1"/>
    <w:rsid w:val="001F37CE"/>
    <w:rsid w:val="001F3B91"/>
    <w:rsid w:val="001F3BE2"/>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B66"/>
    <w:rsid w:val="00200D57"/>
    <w:rsid w:val="00200EC8"/>
    <w:rsid w:val="0020101D"/>
    <w:rsid w:val="002017A6"/>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5D20"/>
    <w:rsid w:val="0020610A"/>
    <w:rsid w:val="002064C9"/>
    <w:rsid w:val="00206676"/>
    <w:rsid w:val="0020687E"/>
    <w:rsid w:val="00206A85"/>
    <w:rsid w:val="00206CA4"/>
    <w:rsid w:val="002070EA"/>
    <w:rsid w:val="0020756E"/>
    <w:rsid w:val="00207700"/>
    <w:rsid w:val="00207853"/>
    <w:rsid w:val="002079D9"/>
    <w:rsid w:val="00210269"/>
    <w:rsid w:val="002105BF"/>
    <w:rsid w:val="002106BF"/>
    <w:rsid w:val="0021070E"/>
    <w:rsid w:val="00210BA9"/>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A77"/>
    <w:rsid w:val="00212B11"/>
    <w:rsid w:val="00212FD8"/>
    <w:rsid w:val="0021304A"/>
    <w:rsid w:val="002130AE"/>
    <w:rsid w:val="002134DA"/>
    <w:rsid w:val="0021353E"/>
    <w:rsid w:val="002135B7"/>
    <w:rsid w:val="0021365E"/>
    <w:rsid w:val="002136AD"/>
    <w:rsid w:val="0021393D"/>
    <w:rsid w:val="00213A2B"/>
    <w:rsid w:val="00213AA0"/>
    <w:rsid w:val="00213BE3"/>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5E0A"/>
    <w:rsid w:val="002164D9"/>
    <w:rsid w:val="0021653C"/>
    <w:rsid w:val="00216DD8"/>
    <w:rsid w:val="0021709E"/>
    <w:rsid w:val="002171ED"/>
    <w:rsid w:val="0021726E"/>
    <w:rsid w:val="002172CA"/>
    <w:rsid w:val="002178CA"/>
    <w:rsid w:val="00217919"/>
    <w:rsid w:val="002179F6"/>
    <w:rsid w:val="00217C27"/>
    <w:rsid w:val="00217D07"/>
    <w:rsid w:val="00217E30"/>
    <w:rsid w:val="00217E33"/>
    <w:rsid w:val="00217E48"/>
    <w:rsid w:val="00220EC6"/>
    <w:rsid w:val="00220FC3"/>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69"/>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7EE"/>
    <w:rsid w:val="00227A26"/>
    <w:rsid w:val="00227EC2"/>
    <w:rsid w:val="00230277"/>
    <w:rsid w:val="0023029C"/>
    <w:rsid w:val="002302FC"/>
    <w:rsid w:val="00230374"/>
    <w:rsid w:val="002303C6"/>
    <w:rsid w:val="00230D30"/>
    <w:rsid w:val="00230DC9"/>
    <w:rsid w:val="00230F07"/>
    <w:rsid w:val="0023153C"/>
    <w:rsid w:val="0023194F"/>
    <w:rsid w:val="002319B1"/>
    <w:rsid w:val="00231DFE"/>
    <w:rsid w:val="00232166"/>
    <w:rsid w:val="0023221D"/>
    <w:rsid w:val="00232359"/>
    <w:rsid w:val="0023238E"/>
    <w:rsid w:val="00232BAA"/>
    <w:rsid w:val="00232BE2"/>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288"/>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D9D"/>
    <w:rsid w:val="00237EEE"/>
    <w:rsid w:val="0024032B"/>
    <w:rsid w:val="002406E1"/>
    <w:rsid w:val="00240932"/>
    <w:rsid w:val="00240A59"/>
    <w:rsid w:val="00240D88"/>
    <w:rsid w:val="0024116F"/>
    <w:rsid w:val="002415FB"/>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80A"/>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B2"/>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95C"/>
    <w:rsid w:val="00252CC6"/>
    <w:rsid w:val="00252F33"/>
    <w:rsid w:val="00252FE9"/>
    <w:rsid w:val="00253A58"/>
    <w:rsid w:val="00253F47"/>
    <w:rsid w:val="00253F7D"/>
    <w:rsid w:val="00253FB8"/>
    <w:rsid w:val="00254470"/>
    <w:rsid w:val="002544C2"/>
    <w:rsid w:val="0025459C"/>
    <w:rsid w:val="002546A9"/>
    <w:rsid w:val="00254775"/>
    <w:rsid w:val="002550FC"/>
    <w:rsid w:val="00255137"/>
    <w:rsid w:val="00255233"/>
    <w:rsid w:val="0025526A"/>
    <w:rsid w:val="00255578"/>
    <w:rsid w:val="002556B3"/>
    <w:rsid w:val="002556E1"/>
    <w:rsid w:val="00255A78"/>
    <w:rsid w:val="00255BF8"/>
    <w:rsid w:val="00255C80"/>
    <w:rsid w:val="00255C8A"/>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445"/>
    <w:rsid w:val="002625B1"/>
    <w:rsid w:val="002625CD"/>
    <w:rsid w:val="0026269C"/>
    <w:rsid w:val="00262897"/>
    <w:rsid w:val="00262AC3"/>
    <w:rsid w:val="00262ACD"/>
    <w:rsid w:val="00262BA1"/>
    <w:rsid w:val="00262DD9"/>
    <w:rsid w:val="002630EB"/>
    <w:rsid w:val="002631AE"/>
    <w:rsid w:val="002632F5"/>
    <w:rsid w:val="002633CF"/>
    <w:rsid w:val="00263439"/>
    <w:rsid w:val="002637D2"/>
    <w:rsid w:val="00263CF9"/>
    <w:rsid w:val="00263F17"/>
    <w:rsid w:val="002640CA"/>
    <w:rsid w:val="00264112"/>
    <w:rsid w:val="002643CA"/>
    <w:rsid w:val="00264448"/>
    <w:rsid w:val="002644C0"/>
    <w:rsid w:val="0026454F"/>
    <w:rsid w:val="0026456E"/>
    <w:rsid w:val="0026461A"/>
    <w:rsid w:val="0026467F"/>
    <w:rsid w:val="002647AF"/>
    <w:rsid w:val="0026483C"/>
    <w:rsid w:val="002648C0"/>
    <w:rsid w:val="00264913"/>
    <w:rsid w:val="00264EEC"/>
    <w:rsid w:val="00265041"/>
    <w:rsid w:val="002650E2"/>
    <w:rsid w:val="002654AF"/>
    <w:rsid w:val="002656CC"/>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81D"/>
    <w:rsid w:val="00267B57"/>
    <w:rsid w:val="00267C0D"/>
    <w:rsid w:val="00267C4D"/>
    <w:rsid w:val="00270014"/>
    <w:rsid w:val="00270017"/>
    <w:rsid w:val="00270380"/>
    <w:rsid w:val="00270719"/>
    <w:rsid w:val="0027096B"/>
    <w:rsid w:val="00270B0A"/>
    <w:rsid w:val="00270E3C"/>
    <w:rsid w:val="00271269"/>
    <w:rsid w:val="002712AD"/>
    <w:rsid w:val="0027150C"/>
    <w:rsid w:val="002717B1"/>
    <w:rsid w:val="00271BA6"/>
    <w:rsid w:val="00271C81"/>
    <w:rsid w:val="00271E5E"/>
    <w:rsid w:val="00271EC6"/>
    <w:rsid w:val="00271FDE"/>
    <w:rsid w:val="00272266"/>
    <w:rsid w:val="00272751"/>
    <w:rsid w:val="00272A3D"/>
    <w:rsid w:val="00272D3A"/>
    <w:rsid w:val="00272E16"/>
    <w:rsid w:val="00272F67"/>
    <w:rsid w:val="0027312B"/>
    <w:rsid w:val="00273231"/>
    <w:rsid w:val="0027352C"/>
    <w:rsid w:val="002739AE"/>
    <w:rsid w:val="00273A74"/>
    <w:rsid w:val="00273A98"/>
    <w:rsid w:val="00273C44"/>
    <w:rsid w:val="00273F7F"/>
    <w:rsid w:val="00274104"/>
    <w:rsid w:val="00274C62"/>
    <w:rsid w:val="00274E39"/>
    <w:rsid w:val="00274E49"/>
    <w:rsid w:val="00275002"/>
    <w:rsid w:val="00275026"/>
    <w:rsid w:val="0027504D"/>
    <w:rsid w:val="002750EB"/>
    <w:rsid w:val="0027528D"/>
    <w:rsid w:val="00275370"/>
    <w:rsid w:val="002756D4"/>
    <w:rsid w:val="00275BAA"/>
    <w:rsid w:val="00275D8E"/>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55A"/>
    <w:rsid w:val="002816AF"/>
    <w:rsid w:val="00281957"/>
    <w:rsid w:val="00281C23"/>
    <w:rsid w:val="00281D26"/>
    <w:rsid w:val="00281D74"/>
    <w:rsid w:val="00281E36"/>
    <w:rsid w:val="002822DD"/>
    <w:rsid w:val="002829CC"/>
    <w:rsid w:val="00282C55"/>
    <w:rsid w:val="00282E90"/>
    <w:rsid w:val="00282F78"/>
    <w:rsid w:val="00282FDF"/>
    <w:rsid w:val="0028302D"/>
    <w:rsid w:val="0028348D"/>
    <w:rsid w:val="00283730"/>
    <w:rsid w:val="00283B0F"/>
    <w:rsid w:val="00283C63"/>
    <w:rsid w:val="00283D7F"/>
    <w:rsid w:val="00283DD8"/>
    <w:rsid w:val="00284207"/>
    <w:rsid w:val="00284491"/>
    <w:rsid w:val="0028483C"/>
    <w:rsid w:val="00284886"/>
    <w:rsid w:val="00284928"/>
    <w:rsid w:val="00284D1A"/>
    <w:rsid w:val="00284D97"/>
    <w:rsid w:val="00284DD3"/>
    <w:rsid w:val="0028579B"/>
    <w:rsid w:val="00285893"/>
    <w:rsid w:val="00285CB4"/>
    <w:rsid w:val="00285E08"/>
    <w:rsid w:val="00285E27"/>
    <w:rsid w:val="0028660A"/>
    <w:rsid w:val="0028663E"/>
    <w:rsid w:val="0028681D"/>
    <w:rsid w:val="0028691E"/>
    <w:rsid w:val="00286980"/>
    <w:rsid w:val="00286B16"/>
    <w:rsid w:val="00286DD5"/>
    <w:rsid w:val="00286ECA"/>
    <w:rsid w:val="00286F8D"/>
    <w:rsid w:val="00287042"/>
    <w:rsid w:val="002870DD"/>
    <w:rsid w:val="0028727C"/>
    <w:rsid w:val="00287310"/>
    <w:rsid w:val="00287486"/>
    <w:rsid w:val="002875AC"/>
    <w:rsid w:val="00287613"/>
    <w:rsid w:val="002877C0"/>
    <w:rsid w:val="002879FA"/>
    <w:rsid w:val="00287A97"/>
    <w:rsid w:val="00287E0E"/>
    <w:rsid w:val="00290099"/>
    <w:rsid w:val="002902EA"/>
    <w:rsid w:val="0029039B"/>
    <w:rsid w:val="0029074D"/>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22"/>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901"/>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5D6"/>
    <w:rsid w:val="00297A99"/>
    <w:rsid w:val="00297B82"/>
    <w:rsid w:val="00297E5E"/>
    <w:rsid w:val="00297FA7"/>
    <w:rsid w:val="002A0317"/>
    <w:rsid w:val="002A0396"/>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D44"/>
    <w:rsid w:val="002A7F12"/>
    <w:rsid w:val="002B038F"/>
    <w:rsid w:val="002B0486"/>
    <w:rsid w:val="002B0499"/>
    <w:rsid w:val="002B0BA4"/>
    <w:rsid w:val="002B0C32"/>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2B8"/>
    <w:rsid w:val="002B366D"/>
    <w:rsid w:val="002B37DB"/>
    <w:rsid w:val="002B3BD7"/>
    <w:rsid w:val="002B3C56"/>
    <w:rsid w:val="002B3D3B"/>
    <w:rsid w:val="002B3E4F"/>
    <w:rsid w:val="002B3F77"/>
    <w:rsid w:val="002B4078"/>
    <w:rsid w:val="002B45F9"/>
    <w:rsid w:val="002B4722"/>
    <w:rsid w:val="002B47A1"/>
    <w:rsid w:val="002B5080"/>
    <w:rsid w:val="002B534A"/>
    <w:rsid w:val="002B558F"/>
    <w:rsid w:val="002B566E"/>
    <w:rsid w:val="002B5875"/>
    <w:rsid w:val="002B5C23"/>
    <w:rsid w:val="002B5E76"/>
    <w:rsid w:val="002B606D"/>
    <w:rsid w:val="002B60CB"/>
    <w:rsid w:val="002B627D"/>
    <w:rsid w:val="002B6413"/>
    <w:rsid w:val="002B649E"/>
    <w:rsid w:val="002B64A3"/>
    <w:rsid w:val="002B65C7"/>
    <w:rsid w:val="002B6882"/>
    <w:rsid w:val="002B6B4F"/>
    <w:rsid w:val="002B6C64"/>
    <w:rsid w:val="002B6CFB"/>
    <w:rsid w:val="002B6D3A"/>
    <w:rsid w:val="002B6DD9"/>
    <w:rsid w:val="002B6E97"/>
    <w:rsid w:val="002B7AD5"/>
    <w:rsid w:val="002B7B13"/>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29E"/>
    <w:rsid w:val="002C230C"/>
    <w:rsid w:val="002C2311"/>
    <w:rsid w:val="002C24F2"/>
    <w:rsid w:val="002C2802"/>
    <w:rsid w:val="002C2A6B"/>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964"/>
    <w:rsid w:val="002C5A58"/>
    <w:rsid w:val="002C5A7A"/>
    <w:rsid w:val="002C5B07"/>
    <w:rsid w:val="002C5B23"/>
    <w:rsid w:val="002C5E51"/>
    <w:rsid w:val="002C5E6B"/>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672"/>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C1F"/>
    <w:rsid w:val="002E0DEA"/>
    <w:rsid w:val="002E0F16"/>
    <w:rsid w:val="002E0FA2"/>
    <w:rsid w:val="002E13A0"/>
    <w:rsid w:val="002E185A"/>
    <w:rsid w:val="002E1B33"/>
    <w:rsid w:val="002E1C42"/>
    <w:rsid w:val="002E1E26"/>
    <w:rsid w:val="002E2748"/>
    <w:rsid w:val="002E2A70"/>
    <w:rsid w:val="002E2B77"/>
    <w:rsid w:val="002E33BF"/>
    <w:rsid w:val="002E34C8"/>
    <w:rsid w:val="002E37B5"/>
    <w:rsid w:val="002E380E"/>
    <w:rsid w:val="002E3B41"/>
    <w:rsid w:val="002E3DF0"/>
    <w:rsid w:val="002E4608"/>
    <w:rsid w:val="002E4671"/>
    <w:rsid w:val="002E4E82"/>
    <w:rsid w:val="002E4EE2"/>
    <w:rsid w:val="002E5335"/>
    <w:rsid w:val="002E54B6"/>
    <w:rsid w:val="002E5734"/>
    <w:rsid w:val="002E5811"/>
    <w:rsid w:val="002E5AF7"/>
    <w:rsid w:val="002E5CF2"/>
    <w:rsid w:val="002E5F3B"/>
    <w:rsid w:val="002E6285"/>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25"/>
    <w:rsid w:val="002F2568"/>
    <w:rsid w:val="002F2624"/>
    <w:rsid w:val="002F29CB"/>
    <w:rsid w:val="002F2B44"/>
    <w:rsid w:val="002F2B8F"/>
    <w:rsid w:val="002F2E80"/>
    <w:rsid w:val="002F2EEA"/>
    <w:rsid w:val="002F2FE4"/>
    <w:rsid w:val="002F3357"/>
    <w:rsid w:val="002F3437"/>
    <w:rsid w:val="002F3446"/>
    <w:rsid w:val="002F3659"/>
    <w:rsid w:val="002F3BAD"/>
    <w:rsid w:val="002F3E3D"/>
    <w:rsid w:val="002F4122"/>
    <w:rsid w:val="002F41C9"/>
    <w:rsid w:val="002F476D"/>
    <w:rsid w:val="002F47C6"/>
    <w:rsid w:val="002F4893"/>
    <w:rsid w:val="002F4A47"/>
    <w:rsid w:val="002F4BDF"/>
    <w:rsid w:val="002F4C97"/>
    <w:rsid w:val="002F4FC1"/>
    <w:rsid w:val="002F50A4"/>
    <w:rsid w:val="002F52ED"/>
    <w:rsid w:val="002F538A"/>
    <w:rsid w:val="002F5417"/>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A75"/>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DFC"/>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2B"/>
    <w:rsid w:val="00311194"/>
    <w:rsid w:val="0031125F"/>
    <w:rsid w:val="0031136C"/>
    <w:rsid w:val="0031177F"/>
    <w:rsid w:val="00311B7B"/>
    <w:rsid w:val="00311F51"/>
    <w:rsid w:val="003122E8"/>
    <w:rsid w:val="003124A4"/>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099"/>
    <w:rsid w:val="003201FF"/>
    <w:rsid w:val="00320682"/>
    <w:rsid w:val="00320862"/>
    <w:rsid w:val="00320881"/>
    <w:rsid w:val="00321267"/>
    <w:rsid w:val="003214CE"/>
    <w:rsid w:val="00321665"/>
    <w:rsid w:val="00321A5B"/>
    <w:rsid w:val="00321C27"/>
    <w:rsid w:val="00321D00"/>
    <w:rsid w:val="00321D56"/>
    <w:rsid w:val="00321F48"/>
    <w:rsid w:val="00321FB7"/>
    <w:rsid w:val="003220F3"/>
    <w:rsid w:val="0032220B"/>
    <w:rsid w:val="0032238A"/>
    <w:rsid w:val="003224A9"/>
    <w:rsid w:val="00322A19"/>
    <w:rsid w:val="00322B6A"/>
    <w:rsid w:val="00322CD0"/>
    <w:rsid w:val="00322ED9"/>
    <w:rsid w:val="00322FA3"/>
    <w:rsid w:val="003233BC"/>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0E"/>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0B"/>
    <w:rsid w:val="003328DC"/>
    <w:rsid w:val="00332BE1"/>
    <w:rsid w:val="00332D95"/>
    <w:rsid w:val="003331BF"/>
    <w:rsid w:val="00333302"/>
    <w:rsid w:val="00333880"/>
    <w:rsid w:val="0033389B"/>
    <w:rsid w:val="003338D8"/>
    <w:rsid w:val="0033391C"/>
    <w:rsid w:val="00333CAD"/>
    <w:rsid w:val="00333F29"/>
    <w:rsid w:val="0033435C"/>
    <w:rsid w:val="00334AA7"/>
    <w:rsid w:val="0033504D"/>
    <w:rsid w:val="00335190"/>
    <w:rsid w:val="003351D9"/>
    <w:rsid w:val="0033532E"/>
    <w:rsid w:val="0033598C"/>
    <w:rsid w:val="00335BDA"/>
    <w:rsid w:val="00335CE3"/>
    <w:rsid w:val="00335E9E"/>
    <w:rsid w:val="00336080"/>
    <w:rsid w:val="00336146"/>
    <w:rsid w:val="00336179"/>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882"/>
    <w:rsid w:val="00340B0D"/>
    <w:rsid w:val="00340B2F"/>
    <w:rsid w:val="00340CA2"/>
    <w:rsid w:val="00340DEA"/>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75F"/>
    <w:rsid w:val="00351C0B"/>
    <w:rsid w:val="00351FC7"/>
    <w:rsid w:val="003520DC"/>
    <w:rsid w:val="00352108"/>
    <w:rsid w:val="0035229D"/>
    <w:rsid w:val="00352337"/>
    <w:rsid w:val="003524DB"/>
    <w:rsid w:val="00352522"/>
    <w:rsid w:val="003525B9"/>
    <w:rsid w:val="003528A2"/>
    <w:rsid w:val="0035296F"/>
    <w:rsid w:val="00352E69"/>
    <w:rsid w:val="00352EE8"/>
    <w:rsid w:val="00352EF6"/>
    <w:rsid w:val="003530CF"/>
    <w:rsid w:val="003530D4"/>
    <w:rsid w:val="003532FE"/>
    <w:rsid w:val="00353333"/>
    <w:rsid w:val="00353907"/>
    <w:rsid w:val="00353C8B"/>
    <w:rsid w:val="00353E7D"/>
    <w:rsid w:val="003542D4"/>
    <w:rsid w:val="003543DA"/>
    <w:rsid w:val="003544F9"/>
    <w:rsid w:val="00354514"/>
    <w:rsid w:val="0035483F"/>
    <w:rsid w:val="00354857"/>
    <w:rsid w:val="00354B65"/>
    <w:rsid w:val="00354B6B"/>
    <w:rsid w:val="00354B7A"/>
    <w:rsid w:val="00354F05"/>
    <w:rsid w:val="00355439"/>
    <w:rsid w:val="003555F5"/>
    <w:rsid w:val="00355B3F"/>
    <w:rsid w:val="0035616C"/>
    <w:rsid w:val="00356450"/>
    <w:rsid w:val="00356A2D"/>
    <w:rsid w:val="00356ADE"/>
    <w:rsid w:val="00356BE0"/>
    <w:rsid w:val="00356DB8"/>
    <w:rsid w:val="00356EF5"/>
    <w:rsid w:val="00357466"/>
    <w:rsid w:val="0035798B"/>
    <w:rsid w:val="00357999"/>
    <w:rsid w:val="00357A18"/>
    <w:rsid w:val="00357B54"/>
    <w:rsid w:val="00357EF9"/>
    <w:rsid w:val="00357FCD"/>
    <w:rsid w:val="00360101"/>
    <w:rsid w:val="00360125"/>
    <w:rsid w:val="00360196"/>
    <w:rsid w:val="00360258"/>
    <w:rsid w:val="0036068A"/>
    <w:rsid w:val="0036088E"/>
    <w:rsid w:val="003608DB"/>
    <w:rsid w:val="00360D85"/>
    <w:rsid w:val="00360F07"/>
    <w:rsid w:val="00361109"/>
    <w:rsid w:val="003614D7"/>
    <w:rsid w:val="00361A6B"/>
    <w:rsid w:val="00361FB7"/>
    <w:rsid w:val="0036202E"/>
    <w:rsid w:val="00362166"/>
    <w:rsid w:val="003623F6"/>
    <w:rsid w:val="00362556"/>
    <w:rsid w:val="0036259E"/>
    <w:rsid w:val="00362709"/>
    <w:rsid w:val="0036283F"/>
    <w:rsid w:val="00362CBC"/>
    <w:rsid w:val="00362F6B"/>
    <w:rsid w:val="00362F78"/>
    <w:rsid w:val="00363328"/>
    <w:rsid w:val="0036335B"/>
    <w:rsid w:val="00363483"/>
    <w:rsid w:val="003636C9"/>
    <w:rsid w:val="00363D5D"/>
    <w:rsid w:val="00363E4E"/>
    <w:rsid w:val="00363F44"/>
    <w:rsid w:val="003641FE"/>
    <w:rsid w:val="003642E2"/>
    <w:rsid w:val="003644C1"/>
    <w:rsid w:val="0036461E"/>
    <w:rsid w:val="0036495E"/>
    <w:rsid w:val="00364B70"/>
    <w:rsid w:val="00364DAF"/>
    <w:rsid w:val="00364F3C"/>
    <w:rsid w:val="00364F6F"/>
    <w:rsid w:val="003652AD"/>
    <w:rsid w:val="0036554A"/>
    <w:rsid w:val="003656AA"/>
    <w:rsid w:val="00365BE8"/>
    <w:rsid w:val="00365C98"/>
    <w:rsid w:val="00365EE8"/>
    <w:rsid w:val="00365F42"/>
    <w:rsid w:val="00365F6D"/>
    <w:rsid w:val="00366965"/>
    <w:rsid w:val="00366BB9"/>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21"/>
    <w:rsid w:val="00372B4A"/>
    <w:rsid w:val="0037310C"/>
    <w:rsid w:val="00373254"/>
    <w:rsid w:val="003733C3"/>
    <w:rsid w:val="003733D9"/>
    <w:rsid w:val="003734B6"/>
    <w:rsid w:val="00373684"/>
    <w:rsid w:val="003738DA"/>
    <w:rsid w:val="00373990"/>
    <w:rsid w:val="00373AFB"/>
    <w:rsid w:val="00373B42"/>
    <w:rsid w:val="00373CCC"/>
    <w:rsid w:val="00373F24"/>
    <w:rsid w:val="0037417E"/>
    <w:rsid w:val="00374622"/>
    <w:rsid w:val="0037480E"/>
    <w:rsid w:val="00374D7E"/>
    <w:rsid w:val="00374E3A"/>
    <w:rsid w:val="00374F55"/>
    <w:rsid w:val="00374FE9"/>
    <w:rsid w:val="0037511F"/>
    <w:rsid w:val="0037539C"/>
    <w:rsid w:val="00375424"/>
    <w:rsid w:val="003754E1"/>
    <w:rsid w:val="00375597"/>
    <w:rsid w:val="00375630"/>
    <w:rsid w:val="003756A4"/>
    <w:rsid w:val="00375BF6"/>
    <w:rsid w:val="00375E30"/>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1E63"/>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44"/>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D4F"/>
    <w:rsid w:val="00387F13"/>
    <w:rsid w:val="00387FA6"/>
    <w:rsid w:val="00390051"/>
    <w:rsid w:val="003901CB"/>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1E68"/>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C4B"/>
    <w:rsid w:val="00396E02"/>
    <w:rsid w:val="00397119"/>
    <w:rsid w:val="0039723A"/>
    <w:rsid w:val="003975C0"/>
    <w:rsid w:val="00397D6F"/>
    <w:rsid w:val="003A0146"/>
    <w:rsid w:val="003A03F0"/>
    <w:rsid w:val="003A0743"/>
    <w:rsid w:val="003A0C86"/>
    <w:rsid w:val="003A0EBC"/>
    <w:rsid w:val="003A1217"/>
    <w:rsid w:val="003A193D"/>
    <w:rsid w:val="003A1AB0"/>
    <w:rsid w:val="003A21D7"/>
    <w:rsid w:val="003A24F9"/>
    <w:rsid w:val="003A25B0"/>
    <w:rsid w:val="003A270F"/>
    <w:rsid w:val="003A2C32"/>
    <w:rsid w:val="003A2D41"/>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6E3E"/>
    <w:rsid w:val="003A6FC0"/>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7A"/>
    <w:rsid w:val="003B32F5"/>
    <w:rsid w:val="003B38CD"/>
    <w:rsid w:val="003B3A56"/>
    <w:rsid w:val="003B3D10"/>
    <w:rsid w:val="003B3F0A"/>
    <w:rsid w:val="003B44FE"/>
    <w:rsid w:val="003B46B5"/>
    <w:rsid w:val="003B4849"/>
    <w:rsid w:val="003B4A40"/>
    <w:rsid w:val="003B4A70"/>
    <w:rsid w:val="003B4B4F"/>
    <w:rsid w:val="003B4D62"/>
    <w:rsid w:val="003B4D70"/>
    <w:rsid w:val="003B4EDF"/>
    <w:rsid w:val="003B4F2E"/>
    <w:rsid w:val="003B55EE"/>
    <w:rsid w:val="003B5630"/>
    <w:rsid w:val="003B58B3"/>
    <w:rsid w:val="003B5B16"/>
    <w:rsid w:val="003B5C09"/>
    <w:rsid w:val="003B5C97"/>
    <w:rsid w:val="003B5D35"/>
    <w:rsid w:val="003B605D"/>
    <w:rsid w:val="003B6110"/>
    <w:rsid w:val="003B6255"/>
    <w:rsid w:val="003B632F"/>
    <w:rsid w:val="003B6346"/>
    <w:rsid w:val="003B6427"/>
    <w:rsid w:val="003B65D2"/>
    <w:rsid w:val="003B684E"/>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D80"/>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54A"/>
    <w:rsid w:val="003D1730"/>
    <w:rsid w:val="003D184B"/>
    <w:rsid w:val="003D1C0A"/>
    <w:rsid w:val="003D1C91"/>
    <w:rsid w:val="003D21F7"/>
    <w:rsid w:val="003D21FE"/>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469"/>
    <w:rsid w:val="003D4937"/>
    <w:rsid w:val="003D4B9D"/>
    <w:rsid w:val="003D4E2B"/>
    <w:rsid w:val="003D4F1F"/>
    <w:rsid w:val="003D4F92"/>
    <w:rsid w:val="003D576D"/>
    <w:rsid w:val="003D5CD5"/>
    <w:rsid w:val="003D6151"/>
    <w:rsid w:val="003D61CE"/>
    <w:rsid w:val="003D6235"/>
    <w:rsid w:val="003D6672"/>
    <w:rsid w:val="003D670E"/>
    <w:rsid w:val="003D684E"/>
    <w:rsid w:val="003D690B"/>
    <w:rsid w:val="003D6980"/>
    <w:rsid w:val="003D69FF"/>
    <w:rsid w:val="003D6CA1"/>
    <w:rsid w:val="003D6EE8"/>
    <w:rsid w:val="003D6F6F"/>
    <w:rsid w:val="003D6FC9"/>
    <w:rsid w:val="003D70AA"/>
    <w:rsid w:val="003D728F"/>
    <w:rsid w:val="003D7461"/>
    <w:rsid w:val="003D746B"/>
    <w:rsid w:val="003D76CD"/>
    <w:rsid w:val="003D76F9"/>
    <w:rsid w:val="003D7B0C"/>
    <w:rsid w:val="003D7CF1"/>
    <w:rsid w:val="003E025F"/>
    <w:rsid w:val="003E0476"/>
    <w:rsid w:val="003E0730"/>
    <w:rsid w:val="003E0A59"/>
    <w:rsid w:val="003E0E48"/>
    <w:rsid w:val="003E10F6"/>
    <w:rsid w:val="003E1178"/>
    <w:rsid w:val="003E1526"/>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52B"/>
    <w:rsid w:val="003E6906"/>
    <w:rsid w:val="003E6985"/>
    <w:rsid w:val="003E69BB"/>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0D"/>
    <w:rsid w:val="003F45EB"/>
    <w:rsid w:val="003F4682"/>
    <w:rsid w:val="003F46B8"/>
    <w:rsid w:val="003F4971"/>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0E58"/>
    <w:rsid w:val="004010A5"/>
    <w:rsid w:val="004013E1"/>
    <w:rsid w:val="00401A04"/>
    <w:rsid w:val="00401A6B"/>
    <w:rsid w:val="00401C60"/>
    <w:rsid w:val="00401FCB"/>
    <w:rsid w:val="0040203A"/>
    <w:rsid w:val="00402155"/>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970"/>
    <w:rsid w:val="00404BD5"/>
    <w:rsid w:val="00404F0C"/>
    <w:rsid w:val="00404FF8"/>
    <w:rsid w:val="00405095"/>
    <w:rsid w:val="0040521E"/>
    <w:rsid w:val="00405329"/>
    <w:rsid w:val="00405562"/>
    <w:rsid w:val="004059E0"/>
    <w:rsid w:val="00405C11"/>
    <w:rsid w:val="00405DA0"/>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2E2D"/>
    <w:rsid w:val="0041303A"/>
    <w:rsid w:val="00413097"/>
    <w:rsid w:val="00413117"/>
    <w:rsid w:val="004134C0"/>
    <w:rsid w:val="00413934"/>
    <w:rsid w:val="00413C08"/>
    <w:rsid w:val="00413FFE"/>
    <w:rsid w:val="00414299"/>
    <w:rsid w:val="004145B4"/>
    <w:rsid w:val="00414967"/>
    <w:rsid w:val="00414B5B"/>
    <w:rsid w:val="00414C19"/>
    <w:rsid w:val="00414CAD"/>
    <w:rsid w:val="00414DE5"/>
    <w:rsid w:val="004150F4"/>
    <w:rsid w:val="00415427"/>
    <w:rsid w:val="00415777"/>
    <w:rsid w:val="00415846"/>
    <w:rsid w:val="00415BC5"/>
    <w:rsid w:val="00415DB8"/>
    <w:rsid w:val="00415E2F"/>
    <w:rsid w:val="00415EE3"/>
    <w:rsid w:val="00415F40"/>
    <w:rsid w:val="0041604E"/>
    <w:rsid w:val="004161DD"/>
    <w:rsid w:val="00416341"/>
    <w:rsid w:val="00416BD7"/>
    <w:rsid w:val="004173D8"/>
    <w:rsid w:val="004173EB"/>
    <w:rsid w:val="00417B31"/>
    <w:rsid w:val="0042018B"/>
    <w:rsid w:val="004203E3"/>
    <w:rsid w:val="0042055A"/>
    <w:rsid w:val="00420BD0"/>
    <w:rsid w:val="00420CB0"/>
    <w:rsid w:val="00420D52"/>
    <w:rsid w:val="00420F40"/>
    <w:rsid w:val="0042114F"/>
    <w:rsid w:val="00421840"/>
    <w:rsid w:val="00421975"/>
    <w:rsid w:val="00421BB3"/>
    <w:rsid w:val="00421F35"/>
    <w:rsid w:val="0042208B"/>
    <w:rsid w:val="00422404"/>
    <w:rsid w:val="004229AD"/>
    <w:rsid w:val="00422B5E"/>
    <w:rsid w:val="00422C05"/>
    <w:rsid w:val="00422DFC"/>
    <w:rsid w:val="0042304A"/>
    <w:rsid w:val="004232DA"/>
    <w:rsid w:val="004238F9"/>
    <w:rsid w:val="00423967"/>
    <w:rsid w:val="00423B8D"/>
    <w:rsid w:val="004240E0"/>
    <w:rsid w:val="00424879"/>
    <w:rsid w:val="00424B6C"/>
    <w:rsid w:val="00424B81"/>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4A4"/>
    <w:rsid w:val="0043054F"/>
    <w:rsid w:val="00430567"/>
    <w:rsid w:val="004308E5"/>
    <w:rsid w:val="004309E8"/>
    <w:rsid w:val="00430DFD"/>
    <w:rsid w:val="00431096"/>
    <w:rsid w:val="004322D4"/>
    <w:rsid w:val="00432570"/>
    <w:rsid w:val="0043269D"/>
    <w:rsid w:val="00432A76"/>
    <w:rsid w:val="00432F05"/>
    <w:rsid w:val="004330BC"/>
    <w:rsid w:val="00433324"/>
    <w:rsid w:val="00433478"/>
    <w:rsid w:val="00433783"/>
    <w:rsid w:val="0043396B"/>
    <w:rsid w:val="00433C0B"/>
    <w:rsid w:val="0043407E"/>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33"/>
    <w:rsid w:val="004379D0"/>
    <w:rsid w:val="00440018"/>
    <w:rsid w:val="0044040B"/>
    <w:rsid w:val="0044043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3B8"/>
    <w:rsid w:val="00444631"/>
    <w:rsid w:val="00444B3D"/>
    <w:rsid w:val="00444C12"/>
    <w:rsid w:val="00444D1D"/>
    <w:rsid w:val="00444E76"/>
    <w:rsid w:val="00444EA8"/>
    <w:rsid w:val="00445089"/>
    <w:rsid w:val="00445144"/>
    <w:rsid w:val="0044536C"/>
    <w:rsid w:val="004455D1"/>
    <w:rsid w:val="00445832"/>
    <w:rsid w:val="00445B21"/>
    <w:rsid w:val="00445CC2"/>
    <w:rsid w:val="00445CCE"/>
    <w:rsid w:val="00445E44"/>
    <w:rsid w:val="00446095"/>
    <w:rsid w:val="004460FE"/>
    <w:rsid w:val="0044680C"/>
    <w:rsid w:val="00446960"/>
    <w:rsid w:val="00446A40"/>
    <w:rsid w:val="00446CE8"/>
    <w:rsid w:val="004477EF"/>
    <w:rsid w:val="00447895"/>
    <w:rsid w:val="00447A16"/>
    <w:rsid w:val="00447A38"/>
    <w:rsid w:val="00447BCF"/>
    <w:rsid w:val="00447DF9"/>
    <w:rsid w:val="00450168"/>
    <w:rsid w:val="00450446"/>
    <w:rsid w:val="004504D6"/>
    <w:rsid w:val="004507E5"/>
    <w:rsid w:val="00450AC0"/>
    <w:rsid w:val="00450D71"/>
    <w:rsid w:val="00450D7A"/>
    <w:rsid w:val="004512E4"/>
    <w:rsid w:val="004516D6"/>
    <w:rsid w:val="004516F2"/>
    <w:rsid w:val="004519F1"/>
    <w:rsid w:val="00451ED2"/>
    <w:rsid w:val="004525AA"/>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89D"/>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97"/>
    <w:rsid w:val="00457AF9"/>
    <w:rsid w:val="00457AFC"/>
    <w:rsid w:val="00457CFF"/>
    <w:rsid w:val="004600CC"/>
    <w:rsid w:val="00460285"/>
    <w:rsid w:val="00460494"/>
    <w:rsid w:val="004605BC"/>
    <w:rsid w:val="00460AD1"/>
    <w:rsid w:val="00461003"/>
    <w:rsid w:val="004611D2"/>
    <w:rsid w:val="004617C0"/>
    <w:rsid w:val="004618B8"/>
    <w:rsid w:val="00461B72"/>
    <w:rsid w:val="00462001"/>
    <w:rsid w:val="00462117"/>
    <w:rsid w:val="00462400"/>
    <w:rsid w:val="004624B9"/>
    <w:rsid w:val="004627BC"/>
    <w:rsid w:val="0046293C"/>
    <w:rsid w:val="00462C57"/>
    <w:rsid w:val="00462F8E"/>
    <w:rsid w:val="004630A2"/>
    <w:rsid w:val="00463226"/>
    <w:rsid w:val="004635B5"/>
    <w:rsid w:val="00463769"/>
    <w:rsid w:val="004639EA"/>
    <w:rsid w:val="00463BA9"/>
    <w:rsid w:val="00463C42"/>
    <w:rsid w:val="00463F28"/>
    <w:rsid w:val="004643B9"/>
    <w:rsid w:val="0046458A"/>
    <w:rsid w:val="004646EE"/>
    <w:rsid w:val="004648AF"/>
    <w:rsid w:val="004649AB"/>
    <w:rsid w:val="004649B8"/>
    <w:rsid w:val="00464DCD"/>
    <w:rsid w:val="00464DED"/>
    <w:rsid w:val="00464FC4"/>
    <w:rsid w:val="004651D0"/>
    <w:rsid w:val="0046538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5AC"/>
    <w:rsid w:val="00467610"/>
    <w:rsid w:val="004677AB"/>
    <w:rsid w:val="00467906"/>
    <w:rsid w:val="00467B1F"/>
    <w:rsid w:val="00467B7D"/>
    <w:rsid w:val="00467CFF"/>
    <w:rsid w:val="00467E58"/>
    <w:rsid w:val="00467FAA"/>
    <w:rsid w:val="00467FFC"/>
    <w:rsid w:val="00470031"/>
    <w:rsid w:val="004700AF"/>
    <w:rsid w:val="004700D8"/>
    <w:rsid w:val="0047025B"/>
    <w:rsid w:val="0047030E"/>
    <w:rsid w:val="0047041D"/>
    <w:rsid w:val="004707D6"/>
    <w:rsid w:val="00470B1D"/>
    <w:rsid w:val="00470D18"/>
    <w:rsid w:val="00470DCB"/>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92"/>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C79"/>
    <w:rsid w:val="00475D63"/>
    <w:rsid w:val="00475E7A"/>
    <w:rsid w:val="0047635D"/>
    <w:rsid w:val="00476425"/>
    <w:rsid w:val="00476711"/>
    <w:rsid w:val="004767BE"/>
    <w:rsid w:val="0047689B"/>
    <w:rsid w:val="00476AB0"/>
    <w:rsid w:val="00476BB5"/>
    <w:rsid w:val="00477631"/>
    <w:rsid w:val="00477693"/>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3D77"/>
    <w:rsid w:val="00483DAF"/>
    <w:rsid w:val="0048412E"/>
    <w:rsid w:val="00484273"/>
    <w:rsid w:val="004847CB"/>
    <w:rsid w:val="00484937"/>
    <w:rsid w:val="00484A58"/>
    <w:rsid w:val="004852F4"/>
    <w:rsid w:val="0048552D"/>
    <w:rsid w:val="004855D7"/>
    <w:rsid w:val="00485678"/>
    <w:rsid w:val="0048585C"/>
    <w:rsid w:val="00485CDE"/>
    <w:rsid w:val="00485D08"/>
    <w:rsid w:val="00485FCD"/>
    <w:rsid w:val="0048641F"/>
    <w:rsid w:val="00486603"/>
    <w:rsid w:val="00486C0B"/>
    <w:rsid w:val="00486CB5"/>
    <w:rsid w:val="00486D4F"/>
    <w:rsid w:val="00486D50"/>
    <w:rsid w:val="00486D7F"/>
    <w:rsid w:val="00486F13"/>
    <w:rsid w:val="00486F84"/>
    <w:rsid w:val="00487009"/>
    <w:rsid w:val="00487069"/>
    <w:rsid w:val="004870C9"/>
    <w:rsid w:val="004871B7"/>
    <w:rsid w:val="00487659"/>
    <w:rsid w:val="00487A90"/>
    <w:rsid w:val="00487D7A"/>
    <w:rsid w:val="00487DFF"/>
    <w:rsid w:val="00487E89"/>
    <w:rsid w:val="00487F5F"/>
    <w:rsid w:val="00490293"/>
    <w:rsid w:val="004907D3"/>
    <w:rsid w:val="004907F2"/>
    <w:rsid w:val="004908E5"/>
    <w:rsid w:val="004909B7"/>
    <w:rsid w:val="00490ACE"/>
    <w:rsid w:val="00490E8E"/>
    <w:rsid w:val="00491088"/>
    <w:rsid w:val="00491432"/>
    <w:rsid w:val="0049143C"/>
    <w:rsid w:val="00491A0A"/>
    <w:rsid w:val="00491E7D"/>
    <w:rsid w:val="00491FDA"/>
    <w:rsid w:val="0049203F"/>
    <w:rsid w:val="00492284"/>
    <w:rsid w:val="00492333"/>
    <w:rsid w:val="004924A9"/>
    <w:rsid w:val="00492788"/>
    <w:rsid w:val="00492A71"/>
    <w:rsid w:val="00492AA1"/>
    <w:rsid w:val="00492B3F"/>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0F89"/>
    <w:rsid w:val="004A108C"/>
    <w:rsid w:val="004A12D0"/>
    <w:rsid w:val="004A13B4"/>
    <w:rsid w:val="004A15F8"/>
    <w:rsid w:val="004A162D"/>
    <w:rsid w:val="004A177E"/>
    <w:rsid w:val="004A1826"/>
    <w:rsid w:val="004A1A6D"/>
    <w:rsid w:val="004A1D9F"/>
    <w:rsid w:val="004A1F03"/>
    <w:rsid w:val="004A1FF3"/>
    <w:rsid w:val="004A2079"/>
    <w:rsid w:val="004A21D5"/>
    <w:rsid w:val="004A22D4"/>
    <w:rsid w:val="004A2355"/>
    <w:rsid w:val="004A23F0"/>
    <w:rsid w:val="004A272C"/>
    <w:rsid w:val="004A27A5"/>
    <w:rsid w:val="004A2805"/>
    <w:rsid w:val="004A2B5B"/>
    <w:rsid w:val="004A2F7C"/>
    <w:rsid w:val="004A3254"/>
    <w:rsid w:val="004A3261"/>
    <w:rsid w:val="004A34F8"/>
    <w:rsid w:val="004A3878"/>
    <w:rsid w:val="004A3A01"/>
    <w:rsid w:val="004A3C57"/>
    <w:rsid w:val="004A3E7B"/>
    <w:rsid w:val="004A3FB2"/>
    <w:rsid w:val="004A4356"/>
    <w:rsid w:val="004A4627"/>
    <w:rsid w:val="004A4629"/>
    <w:rsid w:val="004A4774"/>
    <w:rsid w:val="004A4B32"/>
    <w:rsid w:val="004A4B39"/>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0F"/>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1C6"/>
    <w:rsid w:val="004B52AB"/>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0C"/>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15"/>
    <w:rsid w:val="004C4A8E"/>
    <w:rsid w:val="004C4F0A"/>
    <w:rsid w:val="004C4FC4"/>
    <w:rsid w:val="004C50E9"/>
    <w:rsid w:val="004C5230"/>
    <w:rsid w:val="004C53F2"/>
    <w:rsid w:val="004C55A3"/>
    <w:rsid w:val="004C5831"/>
    <w:rsid w:val="004C597A"/>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C7FCD"/>
    <w:rsid w:val="004D0366"/>
    <w:rsid w:val="004D05F3"/>
    <w:rsid w:val="004D08BF"/>
    <w:rsid w:val="004D0B9F"/>
    <w:rsid w:val="004D0C77"/>
    <w:rsid w:val="004D0DD6"/>
    <w:rsid w:val="004D0FF1"/>
    <w:rsid w:val="004D1027"/>
    <w:rsid w:val="004D126E"/>
    <w:rsid w:val="004D13B6"/>
    <w:rsid w:val="004D148D"/>
    <w:rsid w:val="004D156A"/>
    <w:rsid w:val="004D1B28"/>
    <w:rsid w:val="004D1D5E"/>
    <w:rsid w:val="004D1E00"/>
    <w:rsid w:val="004D1FEF"/>
    <w:rsid w:val="004D2235"/>
    <w:rsid w:val="004D238F"/>
    <w:rsid w:val="004D323C"/>
    <w:rsid w:val="004D34F0"/>
    <w:rsid w:val="004D35C6"/>
    <w:rsid w:val="004D378E"/>
    <w:rsid w:val="004D3797"/>
    <w:rsid w:val="004D3A2C"/>
    <w:rsid w:val="004D3B94"/>
    <w:rsid w:val="004D3BF7"/>
    <w:rsid w:val="004D3E24"/>
    <w:rsid w:val="004D3FDF"/>
    <w:rsid w:val="004D4312"/>
    <w:rsid w:val="004D4544"/>
    <w:rsid w:val="004D4647"/>
    <w:rsid w:val="004D4A49"/>
    <w:rsid w:val="004D4C47"/>
    <w:rsid w:val="004D5477"/>
    <w:rsid w:val="004D5745"/>
    <w:rsid w:val="004D5CD9"/>
    <w:rsid w:val="004D5E82"/>
    <w:rsid w:val="004D5F42"/>
    <w:rsid w:val="004D602D"/>
    <w:rsid w:val="004D6687"/>
    <w:rsid w:val="004D67F6"/>
    <w:rsid w:val="004D6960"/>
    <w:rsid w:val="004D6CF4"/>
    <w:rsid w:val="004D6E44"/>
    <w:rsid w:val="004D6EDA"/>
    <w:rsid w:val="004D6EE2"/>
    <w:rsid w:val="004D6F65"/>
    <w:rsid w:val="004D726A"/>
    <w:rsid w:val="004D752E"/>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A9"/>
    <w:rsid w:val="004E3543"/>
    <w:rsid w:val="004E366E"/>
    <w:rsid w:val="004E39FA"/>
    <w:rsid w:val="004E3AE0"/>
    <w:rsid w:val="004E3C70"/>
    <w:rsid w:val="004E3EFB"/>
    <w:rsid w:val="004E4161"/>
    <w:rsid w:val="004E438B"/>
    <w:rsid w:val="004E443C"/>
    <w:rsid w:val="004E451A"/>
    <w:rsid w:val="004E4B90"/>
    <w:rsid w:val="004E4F11"/>
    <w:rsid w:val="004E5131"/>
    <w:rsid w:val="004E53E0"/>
    <w:rsid w:val="004E5A51"/>
    <w:rsid w:val="004E5A77"/>
    <w:rsid w:val="004E5AD2"/>
    <w:rsid w:val="004E5C72"/>
    <w:rsid w:val="004E5FFF"/>
    <w:rsid w:val="004E6091"/>
    <w:rsid w:val="004E65F6"/>
    <w:rsid w:val="004E6617"/>
    <w:rsid w:val="004E6625"/>
    <w:rsid w:val="004E6929"/>
    <w:rsid w:val="004E698C"/>
    <w:rsid w:val="004E6EB9"/>
    <w:rsid w:val="004E74E2"/>
    <w:rsid w:val="004E784A"/>
    <w:rsid w:val="004E7CA9"/>
    <w:rsid w:val="004E7CE1"/>
    <w:rsid w:val="004E7D7E"/>
    <w:rsid w:val="004E7FA9"/>
    <w:rsid w:val="004F0057"/>
    <w:rsid w:val="004F0144"/>
    <w:rsid w:val="004F01C3"/>
    <w:rsid w:val="004F01DD"/>
    <w:rsid w:val="004F04D1"/>
    <w:rsid w:val="004F0776"/>
    <w:rsid w:val="004F0C08"/>
    <w:rsid w:val="004F0D65"/>
    <w:rsid w:val="004F0D81"/>
    <w:rsid w:val="004F10BF"/>
    <w:rsid w:val="004F13C2"/>
    <w:rsid w:val="004F1AC2"/>
    <w:rsid w:val="004F1F19"/>
    <w:rsid w:val="004F1FAC"/>
    <w:rsid w:val="004F1FBB"/>
    <w:rsid w:val="004F1FE4"/>
    <w:rsid w:val="004F212A"/>
    <w:rsid w:val="004F217D"/>
    <w:rsid w:val="004F2640"/>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4DE4"/>
    <w:rsid w:val="004F514F"/>
    <w:rsid w:val="004F58C9"/>
    <w:rsid w:val="004F5A1A"/>
    <w:rsid w:val="004F5AA1"/>
    <w:rsid w:val="004F5AE3"/>
    <w:rsid w:val="004F5B97"/>
    <w:rsid w:val="004F6187"/>
    <w:rsid w:val="004F68F7"/>
    <w:rsid w:val="004F6C03"/>
    <w:rsid w:val="004F6D36"/>
    <w:rsid w:val="004F6E44"/>
    <w:rsid w:val="004F7584"/>
    <w:rsid w:val="004F7A0A"/>
    <w:rsid w:val="004F7A2C"/>
    <w:rsid w:val="004F7FEF"/>
    <w:rsid w:val="005001D7"/>
    <w:rsid w:val="00500369"/>
    <w:rsid w:val="00500412"/>
    <w:rsid w:val="00500477"/>
    <w:rsid w:val="00500480"/>
    <w:rsid w:val="00500654"/>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6A4"/>
    <w:rsid w:val="00502D0D"/>
    <w:rsid w:val="00502D67"/>
    <w:rsid w:val="00502F22"/>
    <w:rsid w:val="0050310D"/>
    <w:rsid w:val="0050345A"/>
    <w:rsid w:val="005035BF"/>
    <w:rsid w:val="0050397D"/>
    <w:rsid w:val="00504361"/>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53C"/>
    <w:rsid w:val="0051085D"/>
    <w:rsid w:val="005108B1"/>
    <w:rsid w:val="00510991"/>
    <w:rsid w:val="005109F2"/>
    <w:rsid w:val="00510B8E"/>
    <w:rsid w:val="00510BAA"/>
    <w:rsid w:val="00510E9B"/>
    <w:rsid w:val="00510F84"/>
    <w:rsid w:val="00510FAF"/>
    <w:rsid w:val="00510FF4"/>
    <w:rsid w:val="0051108C"/>
    <w:rsid w:val="00511288"/>
    <w:rsid w:val="00511343"/>
    <w:rsid w:val="005113F1"/>
    <w:rsid w:val="0051152C"/>
    <w:rsid w:val="0051194C"/>
    <w:rsid w:val="00511E58"/>
    <w:rsid w:val="005120EA"/>
    <w:rsid w:val="0051212A"/>
    <w:rsid w:val="00512267"/>
    <w:rsid w:val="00512314"/>
    <w:rsid w:val="005123D3"/>
    <w:rsid w:val="0051265B"/>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5DB1"/>
    <w:rsid w:val="00516066"/>
    <w:rsid w:val="00516265"/>
    <w:rsid w:val="005164A3"/>
    <w:rsid w:val="005164C7"/>
    <w:rsid w:val="00516936"/>
    <w:rsid w:val="00516D9F"/>
    <w:rsid w:val="00516DBA"/>
    <w:rsid w:val="00516E9F"/>
    <w:rsid w:val="00516F49"/>
    <w:rsid w:val="00516FE4"/>
    <w:rsid w:val="0051702A"/>
    <w:rsid w:val="00517357"/>
    <w:rsid w:val="005175AE"/>
    <w:rsid w:val="005177EE"/>
    <w:rsid w:val="0051783B"/>
    <w:rsid w:val="00517B20"/>
    <w:rsid w:val="00517CB7"/>
    <w:rsid w:val="00520154"/>
    <w:rsid w:val="005202BD"/>
    <w:rsid w:val="005204F4"/>
    <w:rsid w:val="0052061F"/>
    <w:rsid w:val="005207DE"/>
    <w:rsid w:val="005207FC"/>
    <w:rsid w:val="00520D7C"/>
    <w:rsid w:val="00521034"/>
    <w:rsid w:val="005214ED"/>
    <w:rsid w:val="0052164E"/>
    <w:rsid w:val="0052187E"/>
    <w:rsid w:val="005219B7"/>
    <w:rsid w:val="00521AB9"/>
    <w:rsid w:val="0052209B"/>
    <w:rsid w:val="005221B2"/>
    <w:rsid w:val="005223A5"/>
    <w:rsid w:val="0052243A"/>
    <w:rsid w:val="0052278A"/>
    <w:rsid w:val="0052299E"/>
    <w:rsid w:val="00522D0C"/>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A7A"/>
    <w:rsid w:val="00524AD7"/>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8A7"/>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AEE"/>
    <w:rsid w:val="00532B79"/>
    <w:rsid w:val="00532BDF"/>
    <w:rsid w:val="00532D8A"/>
    <w:rsid w:val="005332CE"/>
    <w:rsid w:val="00533353"/>
    <w:rsid w:val="0053361C"/>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01D"/>
    <w:rsid w:val="005410A5"/>
    <w:rsid w:val="0054144C"/>
    <w:rsid w:val="00541B3F"/>
    <w:rsid w:val="00541CB8"/>
    <w:rsid w:val="00541E2E"/>
    <w:rsid w:val="005427AE"/>
    <w:rsid w:val="005427B3"/>
    <w:rsid w:val="005427D7"/>
    <w:rsid w:val="005428BB"/>
    <w:rsid w:val="00542B93"/>
    <w:rsid w:val="00542C3E"/>
    <w:rsid w:val="005432E1"/>
    <w:rsid w:val="00543466"/>
    <w:rsid w:val="00543717"/>
    <w:rsid w:val="00543A8D"/>
    <w:rsid w:val="00543B2D"/>
    <w:rsid w:val="00543F46"/>
    <w:rsid w:val="00543F92"/>
    <w:rsid w:val="00544082"/>
    <w:rsid w:val="00544557"/>
    <w:rsid w:val="00544918"/>
    <w:rsid w:val="00544928"/>
    <w:rsid w:val="0054498D"/>
    <w:rsid w:val="00544B77"/>
    <w:rsid w:val="00544E23"/>
    <w:rsid w:val="00545062"/>
    <w:rsid w:val="0054534A"/>
    <w:rsid w:val="0054540D"/>
    <w:rsid w:val="005459D3"/>
    <w:rsid w:val="00545A0F"/>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77E"/>
    <w:rsid w:val="0055194B"/>
    <w:rsid w:val="00551A60"/>
    <w:rsid w:val="00551B63"/>
    <w:rsid w:val="00551FED"/>
    <w:rsid w:val="00552C21"/>
    <w:rsid w:val="00552DB9"/>
    <w:rsid w:val="00552E5E"/>
    <w:rsid w:val="00553081"/>
    <w:rsid w:val="005535AA"/>
    <w:rsid w:val="0055362B"/>
    <w:rsid w:val="005536A7"/>
    <w:rsid w:val="005537A2"/>
    <w:rsid w:val="00553DAD"/>
    <w:rsid w:val="0055458A"/>
    <w:rsid w:val="00554758"/>
    <w:rsid w:val="00554ACD"/>
    <w:rsid w:val="00554C20"/>
    <w:rsid w:val="00554D72"/>
    <w:rsid w:val="00554DAD"/>
    <w:rsid w:val="00554F00"/>
    <w:rsid w:val="00554FA2"/>
    <w:rsid w:val="005550E6"/>
    <w:rsid w:val="0055520C"/>
    <w:rsid w:val="005554BC"/>
    <w:rsid w:val="005558D9"/>
    <w:rsid w:val="00555B72"/>
    <w:rsid w:val="00555BD7"/>
    <w:rsid w:val="00555CF6"/>
    <w:rsid w:val="00556361"/>
    <w:rsid w:val="00556486"/>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0BB"/>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6DA"/>
    <w:rsid w:val="005647DB"/>
    <w:rsid w:val="005648E4"/>
    <w:rsid w:val="00564B0C"/>
    <w:rsid w:val="00565272"/>
    <w:rsid w:val="00565921"/>
    <w:rsid w:val="00565D02"/>
    <w:rsid w:val="00565F56"/>
    <w:rsid w:val="0056610C"/>
    <w:rsid w:val="0056637F"/>
    <w:rsid w:val="0056662E"/>
    <w:rsid w:val="00566803"/>
    <w:rsid w:val="005668BB"/>
    <w:rsid w:val="0056697E"/>
    <w:rsid w:val="00566AB4"/>
    <w:rsid w:val="00566CD4"/>
    <w:rsid w:val="005670DA"/>
    <w:rsid w:val="005671BC"/>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70"/>
    <w:rsid w:val="005712A4"/>
    <w:rsid w:val="005718A8"/>
    <w:rsid w:val="00571942"/>
    <w:rsid w:val="00571B5A"/>
    <w:rsid w:val="00571CE6"/>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5EA4"/>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5EF"/>
    <w:rsid w:val="00580CCE"/>
    <w:rsid w:val="005814CA"/>
    <w:rsid w:val="005814E6"/>
    <w:rsid w:val="0058172C"/>
    <w:rsid w:val="00581958"/>
    <w:rsid w:val="00581A42"/>
    <w:rsid w:val="00581C03"/>
    <w:rsid w:val="00581D7D"/>
    <w:rsid w:val="005821CC"/>
    <w:rsid w:val="00582C34"/>
    <w:rsid w:val="00582D68"/>
    <w:rsid w:val="00582E7D"/>
    <w:rsid w:val="00582E8D"/>
    <w:rsid w:val="005833D3"/>
    <w:rsid w:val="00583454"/>
    <w:rsid w:val="00583944"/>
    <w:rsid w:val="00583E5F"/>
    <w:rsid w:val="00584205"/>
    <w:rsid w:val="00584596"/>
    <w:rsid w:val="005846FD"/>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C0F"/>
    <w:rsid w:val="00586E61"/>
    <w:rsid w:val="00586F26"/>
    <w:rsid w:val="00587122"/>
    <w:rsid w:val="005872BD"/>
    <w:rsid w:val="00587C6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120"/>
    <w:rsid w:val="005926E2"/>
    <w:rsid w:val="00592AA8"/>
    <w:rsid w:val="00592B96"/>
    <w:rsid w:val="005931F5"/>
    <w:rsid w:val="00593202"/>
    <w:rsid w:val="005933A8"/>
    <w:rsid w:val="0059340C"/>
    <w:rsid w:val="00593546"/>
    <w:rsid w:val="005940A3"/>
    <w:rsid w:val="00594376"/>
    <w:rsid w:val="00594451"/>
    <w:rsid w:val="0059465D"/>
    <w:rsid w:val="00594807"/>
    <w:rsid w:val="005949B6"/>
    <w:rsid w:val="00594A50"/>
    <w:rsid w:val="005951D7"/>
    <w:rsid w:val="0059526A"/>
    <w:rsid w:val="005958A4"/>
    <w:rsid w:val="00595993"/>
    <w:rsid w:val="00595CF0"/>
    <w:rsid w:val="00595ECA"/>
    <w:rsid w:val="0059622C"/>
    <w:rsid w:val="0059629E"/>
    <w:rsid w:val="0059661B"/>
    <w:rsid w:val="005967D4"/>
    <w:rsid w:val="0059681A"/>
    <w:rsid w:val="00596B26"/>
    <w:rsid w:val="00596B65"/>
    <w:rsid w:val="00596CA5"/>
    <w:rsid w:val="00596DEF"/>
    <w:rsid w:val="00597096"/>
    <w:rsid w:val="0059734D"/>
    <w:rsid w:val="00597394"/>
    <w:rsid w:val="0059741D"/>
    <w:rsid w:val="0059783C"/>
    <w:rsid w:val="00597C0D"/>
    <w:rsid w:val="00597C14"/>
    <w:rsid w:val="00597DB2"/>
    <w:rsid w:val="005A00C3"/>
    <w:rsid w:val="005A03EA"/>
    <w:rsid w:val="005A049F"/>
    <w:rsid w:val="005A05F8"/>
    <w:rsid w:val="005A0983"/>
    <w:rsid w:val="005A0C46"/>
    <w:rsid w:val="005A0D27"/>
    <w:rsid w:val="005A10A8"/>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CDA"/>
    <w:rsid w:val="005A3D80"/>
    <w:rsid w:val="005A3DA1"/>
    <w:rsid w:val="005A4487"/>
    <w:rsid w:val="005A4977"/>
    <w:rsid w:val="005A4A3A"/>
    <w:rsid w:val="005A4ECB"/>
    <w:rsid w:val="005A5135"/>
    <w:rsid w:val="005A54D4"/>
    <w:rsid w:val="005A57FA"/>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0E"/>
    <w:rsid w:val="005B0135"/>
    <w:rsid w:val="005B0157"/>
    <w:rsid w:val="005B045A"/>
    <w:rsid w:val="005B08D3"/>
    <w:rsid w:val="005B0963"/>
    <w:rsid w:val="005B096A"/>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19C"/>
    <w:rsid w:val="005B636A"/>
    <w:rsid w:val="005B640F"/>
    <w:rsid w:val="005B6763"/>
    <w:rsid w:val="005B69F0"/>
    <w:rsid w:val="005B6A18"/>
    <w:rsid w:val="005B7207"/>
    <w:rsid w:val="005B780A"/>
    <w:rsid w:val="005B7E45"/>
    <w:rsid w:val="005B7F65"/>
    <w:rsid w:val="005C0039"/>
    <w:rsid w:val="005C004F"/>
    <w:rsid w:val="005C0448"/>
    <w:rsid w:val="005C0981"/>
    <w:rsid w:val="005C098F"/>
    <w:rsid w:val="005C0A8D"/>
    <w:rsid w:val="005C0BF7"/>
    <w:rsid w:val="005C0BFD"/>
    <w:rsid w:val="005C1201"/>
    <w:rsid w:val="005C131D"/>
    <w:rsid w:val="005C1634"/>
    <w:rsid w:val="005C1AC5"/>
    <w:rsid w:val="005C1B7D"/>
    <w:rsid w:val="005C1EE9"/>
    <w:rsid w:val="005C22C3"/>
    <w:rsid w:val="005C2352"/>
    <w:rsid w:val="005C28BB"/>
    <w:rsid w:val="005C2956"/>
    <w:rsid w:val="005C2DD4"/>
    <w:rsid w:val="005C2E02"/>
    <w:rsid w:val="005C2E7C"/>
    <w:rsid w:val="005C2F04"/>
    <w:rsid w:val="005C3288"/>
    <w:rsid w:val="005C3367"/>
    <w:rsid w:val="005C389C"/>
    <w:rsid w:val="005C3A23"/>
    <w:rsid w:val="005C3B0C"/>
    <w:rsid w:val="005C3BF3"/>
    <w:rsid w:val="005C3C6F"/>
    <w:rsid w:val="005C3CFC"/>
    <w:rsid w:val="005C3E80"/>
    <w:rsid w:val="005C407B"/>
    <w:rsid w:val="005C4284"/>
    <w:rsid w:val="005C43E2"/>
    <w:rsid w:val="005C469E"/>
    <w:rsid w:val="005C4877"/>
    <w:rsid w:val="005C4892"/>
    <w:rsid w:val="005C4922"/>
    <w:rsid w:val="005C4EAA"/>
    <w:rsid w:val="005C5095"/>
    <w:rsid w:val="005C533A"/>
    <w:rsid w:val="005C53DD"/>
    <w:rsid w:val="005C58FD"/>
    <w:rsid w:val="005C5A7E"/>
    <w:rsid w:val="005C5B7B"/>
    <w:rsid w:val="005C5BE0"/>
    <w:rsid w:val="005C5DF6"/>
    <w:rsid w:val="005C5EE0"/>
    <w:rsid w:val="005C6175"/>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4E"/>
    <w:rsid w:val="005D10A9"/>
    <w:rsid w:val="005D1144"/>
    <w:rsid w:val="005D19AC"/>
    <w:rsid w:val="005D1C5B"/>
    <w:rsid w:val="005D1EF4"/>
    <w:rsid w:val="005D2072"/>
    <w:rsid w:val="005D221A"/>
    <w:rsid w:val="005D2333"/>
    <w:rsid w:val="005D234F"/>
    <w:rsid w:val="005D24AF"/>
    <w:rsid w:val="005D25CD"/>
    <w:rsid w:val="005D289E"/>
    <w:rsid w:val="005D297B"/>
    <w:rsid w:val="005D2A4F"/>
    <w:rsid w:val="005D2A97"/>
    <w:rsid w:val="005D2F3A"/>
    <w:rsid w:val="005D3430"/>
    <w:rsid w:val="005D360C"/>
    <w:rsid w:val="005D36CE"/>
    <w:rsid w:val="005D39EF"/>
    <w:rsid w:val="005D3B50"/>
    <w:rsid w:val="005D3E72"/>
    <w:rsid w:val="005D4028"/>
    <w:rsid w:val="005D4997"/>
    <w:rsid w:val="005D4BB3"/>
    <w:rsid w:val="005D4F87"/>
    <w:rsid w:val="005D51F0"/>
    <w:rsid w:val="005D5298"/>
    <w:rsid w:val="005D52A1"/>
    <w:rsid w:val="005D532B"/>
    <w:rsid w:val="005D5392"/>
    <w:rsid w:val="005D5476"/>
    <w:rsid w:val="005D54EF"/>
    <w:rsid w:val="005D5533"/>
    <w:rsid w:val="005D55A7"/>
    <w:rsid w:val="005D55D2"/>
    <w:rsid w:val="005D56BC"/>
    <w:rsid w:val="005D5C1F"/>
    <w:rsid w:val="005D603E"/>
    <w:rsid w:val="005D60C9"/>
    <w:rsid w:val="005D6198"/>
    <w:rsid w:val="005D660C"/>
    <w:rsid w:val="005D673D"/>
    <w:rsid w:val="005D678B"/>
    <w:rsid w:val="005D6C8E"/>
    <w:rsid w:val="005D7009"/>
    <w:rsid w:val="005D73A6"/>
    <w:rsid w:val="005D7574"/>
    <w:rsid w:val="005D77C7"/>
    <w:rsid w:val="005D790D"/>
    <w:rsid w:val="005D7951"/>
    <w:rsid w:val="005E018B"/>
    <w:rsid w:val="005E0660"/>
    <w:rsid w:val="005E07EA"/>
    <w:rsid w:val="005E0815"/>
    <w:rsid w:val="005E0A1F"/>
    <w:rsid w:val="005E0D4F"/>
    <w:rsid w:val="005E0E6C"/>
    <w:rsid w:val="005E0FAE"/>
    <w:rsid w:val="005E103E"/>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30"/>
    <w:rsid w:val="005E3A70"/>
    <w:rsid w:val="005E3CF1"/>
    <w:rsid w:val="005E3D05"/>
    <w:rsid w:val="005E3E22"/>
    <w:rsid w:val="005E3F5B"/>
    <w:rsid w:val="005E443D"/>
    <w:rsid w:val="005E449A"/>
    <w:rsid w:val="005E45FB"/>
    <w:rsid w:val="005E4723"/>
    <w:rsid w:val="005E4A41"/>
    <w:rsid w:val="005E4E46"/>
    <w:rsid w:val="005E50AA"/>
    <w:rsid w:val="005E51EC"/>
    <w:rsid w:val="005E521A"/>
    <w:rsid w:val="005E526A"/>
    <w:rsid w:val="005E52D5"/>
    <w:rsid w:val="005E5311"/>
    <w:rsid w:val="005E571B"/>
    <w:rsid w:val="005E5771"/>
    <w:rsid w:val="005E5A02"/>
    <w:rsid w:val="005E5B7D"/>
    <w:rsid w:val="005E6317"/>
    <w:rsid w:val="005E636F"/>
    <w:rsid w:val="005E6EC2"/>
    <w:rsid w:val="005E6F07"/>
    <w:rsid w:val="005E7025"/>
    <w:rsid w:val="005E736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1F85"/>
    <w:rsid w:val="005F21C9"/>
    <w:rsid w:val="005F241F"/>
    <w:rsid w:val="005F247D"/>
    <w:rsid w:val="005F26B1"/>
    <w:rsid w:val="005F2EF6"/>
    <w:rsid w:val="005F30BF"/>
    <w:rsid w:val="005F372C"/>
    <w:rsid w:val="005F3739"/>
    <w:rsid w:val="005F3A02"/>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554"/>
    <w:rsid w:val="005F65E2"/>
    <w:rsid w:val="005F6615"/>
    <w:rsid w:val="005F68A0"/>
    <w:rsid w:val="005F69B7"/>
    <w:rsid w:val="005F6AC0"/>
    <w:rsid w:val="005F6D52"/>
    <w:rsid w:val="005F73C6"/>
    <w:rsid w:val="005F7421"/>
    <w:rsid w:val="005F74C8"/>
    <w:rsid w:val="005F7B0D"/>
    <w:rsid w:val="005F7DB6"/>
    <w:rsid w:val="005F7E7B"/>
    <w:rsid w:val="005F7ECA"/>
    <w:rsid w:val="0060026E"/>
    <w:rsid w:val="00600389"/>
    <w:rsid w:val="0060043C"/>
    <w:rsid w:val="00600815"/>
    <w:rsid w:val="006009AC"/>
    <w:rsid w:val="006009F3"/>
    <w:rsid w:val="00600E99"/>
    <w:rsid w:val="006011BA"/>
    <w:rsid w:val="0060144C"/>
    <w:rsid w:val="0060160D"/>
    <w:rsid w:val="00601957"/>
    <w:rsid w:val="006019B1"/>
    <w:rsid w:val="00602081"/>
    <w:rsid w:val="00602180"/>
    <w:rsid w:val="00602383"/>
    <w:rsid w:val="006023DB"/>
    <w:rsid w:val="006026AC"/>
    <w:rsid w:val="006026E6"/>
    <w:rsid w:val="00602BEF"/>
    <w:rsid w:val="00602E57"/>
    <w:rsid w:val="00603012"/>
    <w:rsid w:val="006030BB"/>
    <w:rsid w:val="006030BD"/>
    <w:rsid w:val="0060329E"/>
    <w:rsid w:val="00603725"/>
    <w:rsid w:val="00603808"/>
    <w:rsid w:val="00603C02"/>
    <w:rsid w:val="00603C48"/>
    <w:rsid w:val="006047B1"/>
    <w:rsid w:val="006047D4"/>
    <w:rsid w:val="0060498F"/>
    <w:rsid w:val="00604C70"/>
    <w:rsid w:val="00604DE8"/>
    <w:rsid w:val="00605261"/>
    <w:rsid w:val="0060548A"/>
    <w:rsid w:val="006054D2"/>
    <w:rsid w:val="006055B8"/>
    <w:rsid w:val="0060563D"/>
    <w:rsid w:val="00605856"/>
    <w:rsid w:val="00605BE0"/>
    <w:rsid w:val="00605BE6"/>
    <w:rsid w:val="00605FAA"/>
    <w:rsid w:val="006060D0"/>
    <w:rsid w:val="006061B8"/>
    <w:rsid w:val="00606608"/>
    <w:rsid w:val="00606725"/>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624"/>
    <w:rsid w:val="00610A82"/>
    <w:rsid w:val="00610A92"/>
    <w:rsid w:val="00610BAF"/>
    <w:rsid w:val="00611228"/>
    <w:rsid w:val="0061156F"/>
    <w:rsid w:val="006115D7"/>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5C1C"/>
    <w:rsid w:val="006160C4"/>
    <w:rsid w:val="00616265"/>
    <w:rsid w:val="006163CF"/>
    <w:rsid w:val="0061668C"/>
    <w:rsid w:val="00616B95"/>
    <w:rsid w:val="00617344"/>
    <w:rsid w:val="00617401"/>
    <w:rsid w:val="006176D6"/>
    <w:rsid w:val="00617784"/>
    <w:rsid w:val="00617EEA"/>
    <w:rsid w:val="00620665"/>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4BE"/>
    <w:rsid w:val="00623515"/>
    <w:rsid w:val="006235BB"/>
    <w:rsid w:val="006236DB"/>
    <w:rsid w:val="0062377F"/>
    <w:rsid w:val="00623907"/>
    <w:rsid w:val="00623954"/>
    <w:rsid w:val="00623B98"/>
    <w:rsid w:val="00623C13"/>
    <w:rsid w:val="0062415F"/>
    <w:rsid w:val="00624376"/>
    <w:rsid w:val="006244E2"/>
    <w:rsid w:val="0062460B"/>
    <w:rsid w:val="0062479F"/>
    <w:rsid w:val="0062495F"/>
    <w:rsid w:val="00624A70"/>
    <w:rsid w:val="00624AB7"/>
    <w:rsid w:val="00624B39"/>
    <w:rsid w:val="00624BA2"/>
    <w:rsid w:val="00624DAB"/>
    <w:rsid w:val="0062509A"/>
    <w:rsid w:val="00625342"/>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07"/>
    <w:rsid w:val="006334FA"/>
    <w:rsid w:val="00633655"/>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B78"/>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DEF"/>
    <w:rsid w:val="00637E56"/>
    <w:rsid w:val="006400B3"/>
    <w:rsid w:val="00640124"/>
    <w:rsid w:val="00640161"/>
    <w:rsid w:val="0064022B"/>
    <w:rsid w:val="00640412"/>
    <w:rsid w:val="006405B9"/>
    <w:rsid w:val="00640967"/>
    <w:rsid w:val="006409F4"/>
    <w:rsid w:val="00640AA9"/>
    <w:rsid w:val="00640AEF"/>
    <w:rsid w:val="00640D07"/>
    <w:rsid w:val="0064121F"/>
    <w:rsid w:val="00641298"/>
    <w:rsid w:val="0064145C"/>
    <w:rsid w:val="006416F3"/>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694"/>
    <w:rsid w:val="00644C98"/>
    <w:rsid w:val="00644E7A"/>
    <w:rsid w:val="00644E7E"/>
    <w:rsid w:val="00644E87"/>
    <w:rsid w:val="0064511E"/>
    <w:rsid w:val="00645339"/>
    <w:rsid w:val="00645512"/>
    <w:rsid w:val="006457C8"/>
    <w:rsid w:val="00645D23"/>
    <w:rsid w:val="00646231"/>
    <w:rsid w:val="00646235"/>
    <w:rsid w:val="00646259"/>
    <w:rsid w:val="0064625A"/>
    <w:rsid w:val="006469BA"/>
    <w:rsid w:val="00646CB9"/>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2D31"/>
    <w:rsid w:val="0065326D"/>
    <w:rsid w:val="0065343C"/>
    <w:rsid w:val="0065343E"/>
    <w:rsid w:val="0065356A"/>
    <w:rsid w:val="0065357C"/>
    <w:rsid w:val="0065373D"/>
    <w:rsid w:val="00653842"/>
    <w:rsid w:val="006539EE"/>
    <w:rsid w:val="00653E17"/>
    <w:rsid w:val="00654090"/>
    <w:rsid w:val="006541E1"/>
    <w:rsid w:val="006541FE"/>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5D8F"/>
    <w:rsid w:val="00656066"/>
    <w:rsid w:val="006561E2"/>
    <w:rsid w:val="0065663A"/>
    <w:rsid w:val="00656AF0"/>
    <w:rsid w:val="00656C7F"/>
    <w:rsid w:val="00656CC2"/>
    <w:rsid w:val="00656E87"/>
    <w:rsid w:val="00656E98"/>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8C3"/>
    <w:rsid w:val="00662E06"/>
    <w:rsid w:val="00662EDB"/>
    <w:rsid w:val="0066301F"/>
    <w:rsid w:val="006631F7"/>
    <w:rsid w:val="006631FC"/>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0A2"/>
    <w:rsid w:val="00672129"/>
    <w:rsid w:val="0067253E"/>
    <w:rsid w:val="00672583"/>
    <w:rsid w:val="00672736"/>
    <w:rsid w:val="006729B7"/>
    <w:rsid w:val="00672C9F"/>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12"/>
    <w:rsid w:val="00674B42"/>
    <w:rsid w:val="00674BAF"/>
    <w:rsid w:val="00674DEA"/>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27A"/>
    <w:rsid w:val="006825F9"/>
    <w:rsid w:val="00682847"/>
    <w:rsid w:val="006829C2"/>
    <w:rsid w:val="00682A2B"/>
    <w:rsid w:val="00682EF0"/>
    <w:rsid w:val="00683473"/>
    <w:rsid w:val="00683520"/>
    <w:rsid w:val="006836B9"/>
    <w:rsid w:val="0068374A"/>
    <w:rsid w:val="006838ED"/>
    <w:rsid w:val="00683A16"/>
    <w:rsid w:val="00683E20"/>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0FD8"/>
    <w:rsid w:val="00691180"/>
    <w:rsid w:val="00691460"/>
    <w:rsid w:val="0069149A"/>
    <w:rsid w:val="006915DD"/>
    <w:rsid w:val="00691935"/>
    <w:rsid w:val="00691ABB"/>
    <w:rsid w:val="00691B2F"/>
    <w:rsid w:val="00691B50"/>
    <w:rsid w:val="00691C9D"/>
    <w:rsid w:val="006920F4"/>
    <w:rsid w:val="0069258D"/>
    <w:rsid w:val="00692832"/>
    <w:rsid w:val="00692A59"/>
    <w:rsid w:val="00692D95"/>
    <w:rsid w:val="00692F24"/>
    <w:rsid w:val="00693086"/>
    <w:rsid w:val="0069346F"/>
    <w:rsid w:val="0069360E"/>
    <w:rsid w:val="0069389B"/>
    <w:rsid w:val="00693943"/>
    <w:rsid w:val="00693A6B"/>
    <w:rsid w:val="00693AC5"/>
    <w:rsid w:val="00693D4E"/>
    <w:rsid w:val="00693DF1"/>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601"/>
    <w:rsid w:val="006A07D3"/>
    <w:rsid w:val="006A0927"/>
    <w:rsid w:val="006A0A0A"/>
    <w:rsid w:val="006A0C73"/>
    <w:rsid w:val="006A0D67"/>
    <w:rsid w:val="006A114D"/>
    <w:rsid w:val="006A153A"/>
    <w:rsid w:val="006A1831"/>
    <w:rsid w:val="006A190D"/>
    <w:rsid w:val="006A1981"/>
    <w:rsid w:val="006A1B65"/>
    <w:rsid w:val="006A1C0D"/>
    <w:rsid w:val="006A1F34"/>
    <w:rsid w:val="006A2071"/>
    <w:rsid w:val="006A2238"/>
    <w:rsid w:val="006A22D0"/>
    <w:rsid w:val="006A2370"/>
    <w:rsid w:val="006A2479"/>
    <w:rsid w:val="006A25BC"/>
    <w:rsid w:val="006A264A"/>
    <w:rsid w:val="006A299A"/>
    <w:rsid w:val="006A2C29"/>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4BD"/>
    <w:rsid w:val="006A5729"/>
    <w:rsid w:val="006A5A90"/>
    <w:rsid w:val="006A5BCC"/>
    <w:rsid w:val="006A5D48"/>
    <w:rsid w:val="006A5D76"/>
    <w:rsid w:val="006A5E27"/>
    <w:rsid w:val="006A5EA3"/>
    <w:rsid w:val="006A5F2A"/>
    <w:rsid w:val="006A600D"/>
    <w:rsid w:val="006A63F1"/>
    <w:rsid w:val="006A64A4"/>
    <w:rsid w:val="006A66F3"/>
    <w:rsid w:val="006A677A"/>
    <w:rsid w:val="006A6BD0"/>
    <w:rsid w:val="006A6C22"/>
    <w:rsid w:val="006A6C6C"/>
    <w:rsid w:val="006A6D16"/>
    <w:rsid w:val="006A6E8C"/>
    <w:rsid w:val="006A70FE"/>
    <w:rsid w:val="006A7227"/>
    <w:rsid w:val="006A7356"/>
    <w:rsid w:val="006A735B"/>
    <w:rsid w:val="006A7738"/>
    <w:rsid w:val="006A7DBE"/>
    <w:rsid w:val="006A7EE0"/>
    <w:rsid w:val="006A7F52"/>
    <w:rsid w:val="006A7FF0"/>
    <w:rsid w:val="006ABF88"/>
    <w:rsid w:val="006B028F"/>
    <w:rsid w:val="006B04EF"/>
    <w:rsid w:val="006B090A"/>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29"/>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BF1"/>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1C"/>
    <w:rsid w:val="006C4338"/>
    <w:rsid w:val="006C43E9"/>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C7E97"/>
    <w:rsid w:val="006D077B"/>
    <w:rsid w:val="006D0974"/>
    <w:rsid w:val="006D09D2"/>
    <w:rsid w:val="006D0A72"/>
    <w:rsid w:val="006D0C8A"/>
    <w:rsid w:val="006D0D92"/>
    <w:rsid w:val="006D0E63"/>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E6D"/>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15"/>
    <w:rsid w:val="006E4585"/>
    <w:rsid w:val="006E4900"/>
    <w:rsid w:val="006E4923"/>
    <w:rsid w:val="006E4960"/>
    <w:rsid w:val="006E4C15"/>
    <w:rsid w:val="006E4DC4"/>
    <w:rsid w:val="006E4FEC"/>
    <w:rsid w:val="006E5332"/>
    <w:rsid w:val="006E533F"/>
    <w:rsid w:val="006E53A3"/>
    <w:rsid w:val="006E53C9"/>
    <w:rsid w:val="006E5696"/>
    <w:rsid w:val="006E5BBA"/>
    <w:rsid w:val="006E6338"/>
    <w:rsid w:val="006E66A7"/>
    <w:rsid w:val="006E68C1"/>
    <w:rsid w:val="006E6EAF"/>
    <w:rsid w:val="006E6F14"/>
    <w:rsid w:val="006E72BA"/>
    <w:rsid w:val="006E79B9"/>
    <w:rsid w:val="006F007E"/>
    <w:rsid w:val="006F02FD"/>
    <w:rsid w:val="006F0D91"/>
    <w:rsid w:val="006F0DA1"/>
    <w:rsid w:val="006F0E98"/>
    <w:rsid w:val="006F10D4"/>
    <w:rsid w:val="006F1463"/>
    <w:rsid w:val="006F14F2"/>
    <w:rsid w:val="006F18BB"/>
    <w:rsid w:val="006F1A95"/>
    <w:rsid w:val="006F1B02"/>
    <w:rsid w:val="006F1BCA"/>
    <w:rsid w:val="006F1CA0"/>
    <w:rsid w:val="006F1D16"/>
    <w:rsid w:val="006F1EFF"/>
    <w:rsid w:val="006F23EC"/>
    <w:rsid w:val="006F2578"/>
    <w:rsid w:val="006F28C4"/>
    <w:rsid w:val="006F2F10"/>
    <w:rsid w:val="006F327E"/>
    <w:rsid w:val="006F344B"/>
    <w:rsid w:val="006F3664"/>
    <w:rsid w:val="006F40BA"/>
    <w:rsid w:val="006F42AE"/>
    <w:rsid w:val="006F4507"/>
    <w:rsid w:val="006F4D94"/>
    <w:rsid w:val="006F5608"/>
    <w:rsid w:val="006F560B"/>
    <w:rsid w:val="006F604B"/>
    <w:rsid w:val="006F609A"/>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7CD"/>
    <w:rsid w:val="0070089D"/>
    <w:rsid w:val="0070116F"/>
    <w:rsid w:val="00701369"/>
    <w:rsid w:val="007013B5"/>
    <w:rsid w:val="00701496"/>
    <w:rsid w:val="007015E6"/>
    <w:rsid w:val="00701705"/>
    <w:rsid w:val="0070170E"/>
    <w:rsid w:val="00701D18"/>
    <w:rsid w:val="00701F44"/>
    <w:rsid w:val="0070214C"/>
    <w:rsid w:val="007022A7"/>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6F8"/>
    <w:rsid w:val="00705812"/>
    <w:rsid w:val="00706076"/>
    <w:rsid w:val="007060FC"/>
    <w:rsid w:val="00706625"/>
    <w:rsid w:val="00706710"/>
    <w:rsid w:val="0070690C"/>
    <w:rsid w:val="00706952"/>
    <w:rsid w:val="00706B0E"/>
    <w:rsid w:val="00706B40"/>
    <w:rsid w:val="00706C63"/>
    <w:rsid w:val="00706FC4"/>
    <w:rsid w:val="007073B1"/>
    <w:rsid w:val="0070768C"/>
    <w:rsid w:val="007076E6"/>
    <w:rsid w:val="00707D18"/>
    <w:rsid w:val="00707F91"/>
    <w:rsid w:val="007100AF"/>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8A5"/>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AFE"/>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EF4"/>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063"/>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43C"/>
    <w:rsid w:val="007317E5"/>
    <w:rsid w:val="0073183B"/>
    <w:rsid w:val="00731859"/>
    <w:rsid w:val="007318A8"/>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3AFB"/>
    <w:rsid w:val="0073402E"/>
    <w:rsid w:val="00734033"/>
    <w:rsid w:val="0073406D"/>
    <w:rsid w:val="007344BB"/>
    <w:rsid w:val="007346F5"/>
    <w:rsid w:val="0073489F"/>
    <w:rsid w:val="007349EC"/>
    <w:rsid w:val="00734C92"/>
    <w:rsid w:val="00734ED8"/>
    <w:rsid w:val="007352FB"/>
    <w:rsid w:val="0073538B"/>
    <w:rsid w:val="00735467"/>
    <w:rsid w:val="007354B7"/>
    <w:rsid w:val="00735528"/>
    <w:rsid w:val="007358DC"/>
    <w:rsid w:val="00735A18"/>
    <w:rsid w:val="00735BA3"/>
    <w:rsid w:val="00735E80"/>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35"/>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7C2"/>
    <w:rsid w:val="00743964"/>
    <w:rsid w:val="007439D0"/>
    <w:rsid w:val="00743A8A"/>
    <w:rsid w:val="00743B3A"/>
    <w:rsid w:val="00743EFB"/>
    <w:rsid w:val="00743FA6"/>
    <w:rsid w:val="00744A81"/>
    <w:rsid w:val="00744AF4"/>
    <w:rsid w:val="00744C07"/>
    <w:rsid w:val="00744EE4"/>
    <w:rsid w:val="00745405"/>
    <w:rsid w:val="007457BD"/>
    <w:rsid w:val="0074586F"/>
    <w:rsid w:val="00745875"/>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100"/>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CE8"/>
    <w:rsid w:val="00756D40"/>
    <w:rsid w:val="00756D44"/>
    <w:rsid w:val="00756D82"/>
    <w:rsid w:val="00756E5D"/>
    <w:rsid w:val="00756FC0"/>
    <w:rsid w:val="007571F0"/>
    <w:rsid w:val="0075728D"/>
    <w:rsid w:val="00757377"/>
    <w:rsid w:val="007576F0"/>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1E4D"/>
    <w:rsid w:val="0076201F"/>
    <w:rsid w:val="00762031"/>
    <w:rsid w:val="007620CF"/>
    <w:rsid w:val="0076227B"/>
    <w:rsid w:val="00762364"/>
    <w:rsid w:val="0076237E"/>
    <w:rsid w:val="0076238A"/>
    <w:rsid w:val="007623B8"/>
    <w:rsid w:val="007629C0"/>
    <w:rsid w:val="00762A95"/>
    <w:rsid w:val="00762B54"/>
    <w:rsid w:val="00762D6F"/>
    <w:rsid w:val="007630D6"/>
    <w:rsid w:val="00763648"/>
    <w:rsid w:val="007636BD"/>
    <w:rsid w:val="00763CB7"/>
    <w:rsid w:val="00763F2D"/>
    <w:rsid w:val="00764135"/>
    <w:rsid w:val="00764194"/>
    <w:rsid w:val="0076445A"/>
    <w:rsid w:val="0076446C"/>
    <w:rsid w:val="00764490"/>
    <w:rsid w:val="007646AC"/>
    <w:rsid w:val="00764A6D"/>
    <w:rsid w:val="00764C3D"/>
    <w:rsid w:val="007652DC"/>
    <w:rsid w:val="00765A1B"/>
    <w:rsid w:val="00765A2E"/>
    <w:rsid w:val="00765C5D"/>
    <w:rsid w:val="00765ECF"/>
    <w:rsid w:val="00765FE6"/>
    <w:rsid w:val="0076612F"/>
    <w:rsid w:val="0076642C"/>
    <w:rsid w:val="0076647C"/>
    <w:rsid w:val="00766491"/>
    <w:rsid w:val="007664B8"/>
    <w:rsid w:val="00766609"/>
    <w:rsid w:val="0076685D"/>
    <w:rsid w:val="0076687C"/>
    <w:rsid w:val="00766B2A"/>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0FD"/>
    <w:rsid w:val="0077313D"/>
    <w:rsid w:val="007735A3"/>
    <w:rsid w:val="007735FD"/>
    <w:rsid w:val="0077367E"/>
    <w:rsid w:val="007736A6"/>
    <w:rsid w:val="00773830"/>
    <w:rsid w:val="007738D3"/>
    <w:rsid w:val="007739E2"/>
    <w:rsid w:val="00773DB7"/>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888"/>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9F"/>
    <w:rsid w:val="007807F3"/>
    <w:rsid w:val="007809B8"/>
    <w:rsid w:val="007809E7"/>
    <w:rsid w:val="00780BB3"/>
    <w:rsid w:val="00780D9E"/>
    <w:rsid w:val="00780E5D"/>
    <w:rsid w:val="007813C1"/>
    <w:rsid w:val="007814AB"/>
    <w:rsid w:val="007814F2"/>
    <w:rsid w:val="0078189F"/>
    <w:rsid w:val="00781964"/>
    <w:rsid w:val="00781BEF"/>
    <w:rsid w:val="00781C13"/>
    <w:rsid w:val="00781C96"/>
    <w:rsid w:val="00781EA9"/>
    <w:rsid w:val="007820BF"/>
    <w:rsid w:val="00782305"/>
    <w:rsid w:val="00782599"/>
    <w:rsid w:val="0078262A"/>
    <w:rsid w:val="007827C7"/>
    <w:rsid w:val="00782A7E"/>
    <w:rsid w:val="00782D4D"/>
    <w:rsid w:val="00782D7F"/>
    <w:rsid w:val="00782EE3"/>
    <w:rsid w:val="00783197"/>
    <w:rsid w:val="00783297"/>
    <w:rsid w:val="007834F3"/>
    <w:rsid w:val="00783A1E"/>
    <w:rsid w:val="00783B53"/>
    <w:rsid w:val="00784389"/>
    <w:rsid w:val="0078476D"/>
    <w:rsid w:val="007847CD"/>
    <w:rsid w:val="00784840"/>
    <w:rsid w:val="00784A9D"/>
    <w:rsid w:val="00784C02"/>
    <w:rsid w:val="00784C1B"/>
    <w:rsid w:val="00784D76"/>
    <w:rsid w:val="00784E22"/>
    <w:rsid w:val="00784FC2"/>
    <w:rsid w:val="00785562"/>
    <w:rsid w:val="00785A27"/>
    <w:rsid w:val="00785F6D"/>
    <w:rsid w:val="0078660B"/>
    <w:rsid w:val="0078690E"/>
    <w:rsid w:val="00786A73"/>
    <w:rsid w:val="00786ACC"/>
    <w:rsid w:val="00786B12"/>
    <w:rsid w:val="00786CE9"/>
    <w:rsid w:val="00786D0E"/>
    <w:rsid w:val="00786D77"/>
    <w:rsid w:val="00787303"/>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021"/>
    <w:rsid w:val="00792201"/>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3D05"/>
    <w:rsid w:val="00794503"/>
    <w:rsid w:val="007946CE"/>
    <w:rsid w:val="00794740"/>
    <w:rsid w:val="007948B5"/>
    <w:rsid w:val="007949EC"/>
    <w:rsid w:val="00794BA7"/>
    <w:rsid w:val="00794F08"/>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A4D"/>
    <w:rsid w:val="00797A5E"/>
    <w:rsid w:val="00797C9E"/>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D2"/>
    <w:rsid w:val="007A60E5"/>
    <w:rsid w:val="007A64CF"/>
    <w:rsid w:val="007A6708"/>
    <w:rsid w:val="007A685F"/>
    <w:rsid w:val="007A6ED6"/>
    <w:rsid w:val="007A71D7"/>
    <w:rsid w:val="007A7600"/>
    <w:rsid w:val="007A7960"/>
    <w:rsid w:val="007A7BF7"/>
    <w:rsid w:val="007B0002"/>
    <w:rsid w:val="007B017D"/>
    <w:rsid w:val="007B01AF"/>
    <w:rsid w:val="007B075C"/>
    <w:rsid w:val="007B083D"/>
    <w:rsid w:val="007B09B4"/>
    <w:rsid w:val="007B09D1"/>
    <w:rsid w:val="007B1017"/>
    <w:rsid w:val="007B1265"/>
    <w:rsid w:val="007B1A21"/>
    <w:rsid w:val="007B1ACD"/>
    <w:rsid w:val="007B1B14"/>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0ED"/>
    <w:rsid w:val="007B6199"/>
    <w:rsid w:val="007B63AE"/>
    <w:rsid w:val="007B677E"/>
    <w:rsid w:val="007B690E"/>
    <w:rsid w:val="007B69C0"/>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683"/>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B1F"/>
    <w:rsid w:val="007C5C83"/>
    <w:rsid w:val="007C5D8A"/>
    <w:rsid w:val="007C6321"/>
    <w:rsid w:val="007C662A"/>
    <w:rsid w:val="007C66AF"/>
    <w:rsid w:val="007C6958"/>
    <w:rsid w:val="007C6A21"/>
    <w:rsid w:val="007C6AAA"/>
    <w:rsid w:val="007C708A"/>
    <w:rsid w:val="007C70D1"/>
    <w:rsid w:val="007C7680"/>
    <w:rsid w:val="007C7D92"/>
    <w:rsid w:val="007C7F47"/>
    <w:rsid w:val="007D00FA"/>
    <w:rsid w:val="007D014E"/>
    <w:rsid w:val="007D022D"/>
    <w:rsid w:val="007D0527"/>
    <w:rsid w:val="007D0846"/>
    <w:rsid w:val="007D0C47"/>
    <w:rsid w:val="007D0D50"/>
    <w:rsid w:val="007D0DD4"/>
    <w:rsid w:val="007D0EF7"/>
    <w:rsid w:val="007D0F17"/>
    <w:rsid w:val="007D16FF"/>
    <w:rsid w:val="007D1A42"/>
    <w:rsid w:val="007D1A5A"/>
    <w:rsid w:val="007D1AFC"/>
    <w:rsid w:val="007D1DE9"/>
    <w:rsid w:val="007D221D"/>
    <w:rsid w:val="007D269C"/>
    <w:rsid w:val="007D26D0"/>
    <w:rsid w:val="007D29EB"/>
    <w:rsid w:val="007D2B58"/>
    <w:rsid w:val="007D2B94"/>
    <w:rsid w:val="007D2CAF"/>
    <w:rsid w:val="007D31A0"/>
    <w:rsid w:val="007D31B8"/>
    <w:rsid w:val="007D34B9"/>
    <w:rsid w:val="007D35B2"/>
    <w:rsid w:val="007D3AEC"/>
    <w:rsid w:val="007D3FD8"/>
    <w:rsid w:val="007D4B2C"/>
    <w:rsid w:val="007D4D74"/>
    <w:rsid w:val="007D4DC3"/>
    <w:rsid w:val="007D50FE"/>
    <w:rsid w:val="007D5181"/>
    <w:rsid w:val="007D5317"/>
    <w:rsid w:val="007D5450"/>
    <w:rsid w:val="007D573B"/>
    <w:rsid w:val="007D57F6"/>
    <w:rsid w:val="007D5967"/>
    <w:rsid w:val="007D5D70"/>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67B"/>
    <w:rsid w:val="007E16C8"/>
    <w:rsid w:val="007E1915"/>
    <w:rsid w:val="007E2202"/>
    <w:rsid w:val="007E249B"/>
    <w:rsid w:val="007E2590"/>
    <w:rsid w:val="007E2756"/>
    <w:rsid w:val="007E2770"/>
    <w:rsid w:val="007E288F"/>
    <w:rsid w:val="007E2A73"/>
    <w:rsid w:val="007E2E46"/>
    <w:rsid w:val="007E2F5A"/>
    <w:rsid w:val="007E320E"/>
    <w:rsid w:val="007E340D"/>
    <w:rsid w:val="007E3484"/>
    <w:rsid w:val="007E34A9"/>
    <w:rsid w:val="007E36D3"/>
    <w:rsid w:val="007E3759"/>
    <w:rsid w:val="007E3982"/>
    <w:rsid w:val="007E4176"/>
    <w:rsid w:val="007E41A5"/>
    <w:rsid w:val="007E4646"/>
    <w:rsid w:val="007E4795"/>
    <w:rsid w:val="007E48FD"/>
    <w:rsid w:val="007E4EB3"/>
    <w:rsid w:val="007E4EE6"/>
    <w:rsid w:val="007E4FB5"/>
    <w:rsid w:val="007E5099"/>
    <w:rsid w:val="007E50C5"/>
    <w:rsid w:val="007E55BE"/>
    <w:rsid w:val="007E5A5A"/>
    <w:rsid w:val="007E5AC8"/>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176"/>
    <w:rsid w:val="007E7501"/>
    <w:rsid w:val="007E756C"/>
    <w:rsid w:val="007E76C6"/>
    <w:rsid w:val="007E7B9F"/>
    <w:rsid w:val="007E7D0D"/>
    <w:rsid w:val="007E7E1C"/>
    <w:rsid w:val="007F00DF"/>
    <w:rsid w:val="007F0776"/>
    <w:rsid w:val="007F07F4"/>
    <w:rsid w:val="007F07FD"/>
    <w:rsid w:val="007F0BF6"/>
    <w:rsid w:val="007F0CB8"/>
    <w:rsid w:val="007F0D84"/>
    <w:rsid w:val="007F0FD2"/>
    <w:rsid w:val="007F10FC"/>
    <w:rsid w:val="007F142B"/>
    <w:rsid w:val="007F174E"/>
    <w:rsid w:val="007F190C"/>
    <w:rsid w:val="007F1911"/>
    <w:rsid w:val="007F19AA"/>
    <w:rsid w:val="007F1EC8"/>
    <w:rsid w:val="007F2250"/>
    <w:rsid w:val="007F2272"/>
    <w:rsid w:val="007F2274"/>
    <w:rsid w:val="007F22FF"/>
    <w:rsid w:val="007F2306"/>
    <w:rsid w:val="007F26DB"/>
    <w:rsid w:val="007F2C18"/>
    <w:rsid w:val="007F2DF4"/>
    <w:rsid w:val="007F2F43"/>
    <w:rsid w:val="007F2F4D"/>
    <w:rsid w:val="007F37AD"/>
    <w:rsid w:val="007F38D3"/>
    <w:rsid w:val="007F3C73"/>
    <w:rsid w:val="007F42CF"/>
    <w:rsid w:val="007F4331"/>
    <w:rsid w:val="007F470B"/>
    <w:rsid w:val="007F48BB"/>
    <w:rsid w:val="007F48ED"/>
    <w:rsid w:val="007F4D56"/>
    <w:rsid w:val="007F4D74"/>
    <w:rsid w:val="007F4F16"/>
    <w:rsid w:val="007F53A9"/>
    <w:rsid w:val="007F55F1"/>
    <w:rsid w:val="007F5C43"/>
    <w:rsid w:val="007F5D52"/>
    <w:rsid w:val="007F5E6E"/>
    <w:rsid w:val="007F5EAD"/>
    <w:rsid w:val="007F5F33"/>
    <w:rsid w:val="007F5F9B"/>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B9F"/>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150"/>
    <w:rsid w:val="00805262"/>
    <w:rsid w:val="00805269"/>
    <w:rsid w:val="00805366"/>
    <w:rsid w:val="0080543D"/>
    <w:rsid w:val="008055A7"/>
    <w:rsid w:val="008055EA"/>
    <w:rsid w:val="0080578D"/>
    <w:rsid w:val="008058F6"/>
    <w:rsid w:val="00805C7D"/>
    <w:rsid w:val="00805FB9"/>
    <w:rsid w:val="0080603C"/>
    <w:rsid w:val="00806141"/>
    <w:rsid w:val="00806932"/>
    <w:rsid w:val="00806B10"/>
    <w:rsid w:val="00806BF8"/>
    <w:rsid w:val="00806C4F"/>
    <w:rsid w:val="00807252"/>
    <w:rsid w:val="00807383"/>
    <w:rsid w:val="00807419"/>
    <w:rsid w:val="008076A5"/>
    <w:rsid w:val="008077B2"/>
    <w:rsid w:val="0080780B"/>
    <w:rsid w:val="008078B7"/>
    <w:rsid w:val="00807CE2"/>
    <w:rsid w:val="00807CE5"/>
    <w:rsid w:val="008111F2"/>
    <w:rsid w:val="0081147E"/>
    <w:rsid w:val="008120C5"/>
    <w:rsid w:val="00812128"/>
    <w:rsid w:val="00812176"/>
    <w:rsid w:val="00812AF2"/>
    <w:rsid w:val="00812D5C"/>
    <w:rsid w:val="00812E06"/>
    <w:rsid w:val="00812FE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D7"/>
    <w:rsid w:val="00820AEC"/>
    <w:rsid w:val="00820B2F"/>
    <w:rsid w:val="00820CE9"/>
    <w:rsid w:val="00820D90"/>
    <w:rsid w:val="00820DC9"/>
    <w:rsid w:val="00820EB4"/>
    <w:rsid w:val="00820F3A"/>
    <w:rsid w:val="00820FC7"/>
    <w:rsid w:val="00821271"/>
    <w:rsid w:val="00821C68"/>
    <w:rsid w:val="00821C76"/>
    <w:rsid w:val="00821C8D"/>
    <w:rsid w:val="00821CA8"/>
    <w:rsid w:val="00821FDE"/>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876"/>
    <w:rsid w:val="00823A86"/>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84"/>
    <w:rsid w:val="00826EB4"/>
    <w:rsid w:val="008270CD"/>
    <w:rsid w:val="008273E5"/>
    <w:rsid w:val="008273FF"/>
    <w:rsid w:val="0082748B"/>
    <w:rsid w:val="008275F5"/>
    <w:rsid w:val="008276E7"/>
    <w:rsid w:val="00827733"/>
    <w:rsid w:val="00827924"/>
    <w:rsid w:val="00827ACF"/>
    <w:rsid w:val="00827F8D"/>
    <w:rsid w:val="00830030"/>
    <w:rsid w:val="008300C9"/>
    <w:rsid w:val="00830447"/>
    <w:rsid w:val="00830493"/>
    <w:rsid w:val="008306D8"/>
    <w:rsid w:val="00830920"/>
    <w:rsid w:val="00830AC8"/>
    <w:rsid w:val="00830C27"/>
    <w:rsid w:val="00831349"/>
    <w:rsid w:val="008313BB"/>
    <w:rsid w:val="008313D6"/>
    <w:rsid w:val="00831943"/>
    <w:rsid w:val="00831B63"/>
    <w:rsid w:val="00831BD2"/>
    <w:rsid w:val="00831E69"/>
    <w:rsid w:val="00831EFF"/>
    <w:rsid w:val="00831F1E"/>
    <w:rsid w:val="0083219B"/>
    <w:rsid w:val="0083247A"/>
    <w:rsid w:val="0083298C"/>
    <w:rsid w:val="00832DA5"/>
    <w:rsid w:val="008331E9"/>
    <w:rsid w:val="008332FE"/>
    <w:rsid w:val="00833474"/>
    <w:rsid w:val="00833663"/>
    <w:rsid w:val="008336D4"/>
    <w:rsid w:val="008336E2"/>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BFA"/>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D41"/>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6B98"/>
    <w:rsid w:val="00847223"/>
    <w:rsid w:val="00847379"/>
    <w:rsid w:val="00847536"/>
    <w:rsid w:val="008476AA"/>
    <w:rsid w:val="008477BD"/>
    <w:rsid w:val="0084781B"/>
    <w:rsid w:val="0084791B"/>
    <w:rsid w:val="0084796D"/>
    <w:rsid w:val="00847A85"/>
    <w:rsid w:val="00847B3A"/>
    <w:rsid w:val="00847CB1"/>
    <w:rsid w:val="00847D3B"/>
    <w:rsid w:val="00847ED7"/>
    <w:rsid w:val="00847F2D"/>
    <w:rsid w:val="008500FA"/>
    <w:rsid w:val="00850396"/>
    <w:rsid w:val="008506D0"/>
    <w:rsid w:val="00850895"/>
    <w:rsid w:val="008509E2"/>
    <w:rsid w:val="00850C8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6F2"/>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5E27"/>
    <w:rsid w:val="008560CE"/>
    <w:rsid w:val="008561F9"/>
    <w:rsid w:val="0085621A"/>
    <w:rsid w:val="00856992"/>
    <w:rsid w:val="00856A09"/>
    <w:rsid w:val="00856AA3"/>
    <w:rsid w:val="00857DEE"/>
    <w:rsid w:val="00857DF4"/>
    <w:rsid w:val="00860462"/>
    <w:rsid w:val="008607F2"/>
    <w:rsid w:val="00860AD4"/>
    <w:rsid w:val="00860C63"/>
    <w:rsid w:val="00860D38"/>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5AE"/>
    <w:rsid w:val="008637E9"/>
    <w:rsid w:val="00863958"/>
    <w:rsid w:val="00863D7C"/>
    <w:rsid w:val="00863DF7"/>
    <w:rsid w:val="00863E90"/>
    <w:rsid w:val="00863EF6"/>
    <w:rsid w:val="0086409B"/>
    <w:rsid w:val="00864253"/>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49D"/>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C71"/>
    <w:rsid w:val="00874DD4"/>
    <w:rsid w:val="00874E18"/>
    <w:rsid w:val="008751E6"/>
    <w:rsid w:val="0087531F"/>
    <w:rsid w:val="00875896"/>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654"/>
    <w:rsid w:val="008807B4"/>
    <w:rsid w:val="00880834"/>
    <w:rsid w:val="00880CBB"/>
    <w:rsid w:val="00880FD7"/>
    <w:rsid w:val="00881272"/>
    <w:rsid w:val="0088127C"/>
    <w:rsid w:val="0088150F"/>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041"/>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835"/>
    <w:rsid w:val="00887CAB"/>
    <w:rsid w:val="0089021A"/>
    <w:rsid w:val="008902C1"/>
    <w:rsid w:val="00890481"/>
    <w:rsid w:val="00890A50"/>
    <w:rsid w:val="00890B56"/>
    <w:rsid w:val="00890CC9"/>
    <w:rsid w:val="00890ED1"/>
    <w:rsid w:val="00891182"/>
    <w:rsid w:val="008911CD"/>
    <w:rsid w:val="00891206"/>
    <w:rsid w:val="00892250"/>
    <w:rsid w:val="008922AC"/>
    <w:rsid w:val="008922E2"/>
    <w:rsid w:val="0089248B"/>
    <w:rsid w:val="00892A3C"/>
    <w:rsid w:val="00892BFA"/>
    <w:rsid w:val="00892CBD"/>
    <w:rsid w:val="00893121"/>
    <w:rsid w:val="00893473"/>
    <w:rsid w:val="00893656"/>
    <w:rsid w:val="0089365A"/>
    <w:rsid w:val="0089396D"/>
    <w:rsid w:val="008939CF"/>
    <w:rsid w:val="00893B73"/>
    <w:rsid w:val="00893CEE"/>
    <w:rsid w:val="00893D96"/>
    <w:rsid w:val="0089400A"/>
    <w:rsid w:val="00894067"/>
    <w:rsid w:val="00894301"/>
    <w:rsid w:val="0089440F"/>
    <w:rsid w:val="008944F0"/>
    <w:rsid w:val="008946E3"/>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0C2"/>
    <w:rsid w:val="0089775F"/>
    <w:rsid w:val="00897A0E"/>
    <w:rsid w:val="00897ED1"/>
    <w:rsid w:val="00897F20"/>
    <w:rsid w:val="008A0301"/>
    <w:rsid w:val="008A0453"/>
    <w:rsid w:val="008A061D"/>
    <w:rsid w:val="008A07CE"/>
    <w:rsid w:val="008A07F0"/>
    <w:rsid w:val="008A0A50"/>
    <w:rsid w:val="008A0C6F"/>
    <w:rsid w:val="008A1609"/>
    <w:rsid w:val="008A1BAA"/>
    <w:rsid w:val="008A1BC1"/>
    <w:rsid w:val="008A1E72"/>
    <w:rsid w:val="008A1EF9"/>
    <w:rsid w:val="008A2413"/>
    <w:rsid w:val="008A25A6"/>
    <w:rsid w:val="008A2904"/>
    <w:rsid w:val="008A291F"/>
    <w:rsid w:val="008A2E0C"/>
    <w:rsid w:val="008A34E0"/>
    <w:rsid w:val="008A368E"/>
    <w:rsid w:val="008A36F0"/>
    <w:rsid w:val="008A37E5"/>
    <w:rsid w:val="008A401D"/>
    <w:rsid w:val="008A4093"/>
    <w:rsid w:val="008A421B"/>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8B7"/>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103"/>
    <w:rsid w:val="008B548D"/>
    <w:rsid w:val="008B58E7"/>
    <w:rsid w:val="008B5BBE"/>
    <w:rsid w:val="008B5E20"/>
    <w:rsid w:val="008B615E"/>
    <w:rsid w:val="008B63D6"/>
    <w:rsid w:val="008B67BC"/>
    <w:rsid w:val="008B6820"/>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05A"/>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1B3"/>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960"/>
    <w:rsid w:val="008D2C41"/>
    <w:rsid w:val="008D3301"/>
    <w:rsid w:val="008D3347"/>
    <w:rsid w:val="008D37CF"/>
    <w:rsid w:val="008D394B"/>
    <w:rsid w:val="008D3AC8"/>
    <w:rsid w:val="008D4304"/>
    <w:rsid w:val="008D48BF"/>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D30"/>
    <w:rsid w:val="008E0F86"/>
    <w:rsid w:val="008E116D"/>
    <w:rsid w:val="008E13E9"/>
    <w:rsid w:val="008E14A9"/>
    <w:rsid w:val="008E1615"/>
    <w:rsid w:val="008E171E"/>
    <w:rsid w:val="008E1816"/>
    <w:rsid w:val="008E1A26"/>
    <w:rsid w:val="008E1CA0"/>
    <w:rsid w:val="008E22CF"/>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8FF"/>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48F"/>
    <w:rsid w:val="008F1584"/>
    <w:rsid w:val="008F1693"/>
    <w:rsid w:val="008F179B"/>
    <w:rsid w:val="008F18EC"/>
    <w:rsid w:val="008F1A55"/>
    <w:rsid w:val="008F1AF6"/>
    <w:rsid w:val="008F1F72"/>
    <w:rsid w:val="008F27AA"/>
    <w:rsid w:val="008F286D"/>
    <w:rsid w:val="008F28E6"/>
    <w:rsid w:val="008F2AC3"/>
    <w:rsid w:val="008F2ACF"/>
    <w:rsid w:val="008F2BF5"/>
    <w:rsid w:val="008F2D5A"/>
    <w:rsid w:val="008F2E11"/>
    <w:rsid w:val="008F2E39"/>
    <w:rsid w:val="008F2EDB"/>
    <w:rsid w:val="008F2FD0"/>
    <w:rsid w:val="008F313B"/>
    <w:rsid w:val="008F3270"/>
    <w:rsid w:val="008F3286"/>
    <w:rsid w:val="008F337D"/>
    <w:rsid w:val="008F3411"/>
    <w:rsid w:val="008F3484"/>
    <w:rsid w:val="008F389C"/>
    <w:rsid w:val="008F4055"/>
    <w:rsid w:val="008F45B6"/>
    <w:rsid w:val="008F45F2"/>
    <w:rsid w:val="008F46DA"/>
    <w:rsid w:val="008F4920"/>
    <w:rsid w:val="008F4BD9"/>
    <w:rsid w:val="008F4C85"/>
    <w:rsid w:val="008F4E07"/>
    <w:rsid w:val="008F4E5A"/>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6D2"/>
    <w:rsid w:val="009016F0"/>
    <w:rsid w:val="00901EF1"/>
    <w:rsid w:val="009020C2"/>
    <w:rsid w:val="0090280E"/>
    <w:rsid w:val="0090287A"/>
    <w:rsid w:val="00902E36"/>
    <w:rsid w:val="00902E73"/>
    <w:rsid w:val="00902FFC"/>
    <w:rsid w:val="009030C4"/>
    <w:rsid w:val="00903532"/>
    <w:rsid w:val="00903906"/>
    <w:rsid w:val="00903914"/>
    <w:rsid w:val="00903B72"/>
    <w:rsid w:val="00903BF8"/>
    <w:rsid w:val="00903FDC"/>
    <w:rsid w:val="009040B5"/>
    <w:rsid w:val="009046B5"/>
    <w:rsid w:val="00905201"/>
    <w:rsid w:val="00905396"/>
    <w:rsid w:val="009054A3"/>
    <w:rsid w:val="00905775"/>
    <w:rsid w:val="00905939"/>
    <w:rsid w:val="0090594B"/>
    <w:rsid w:val="009059C1"/>
    <w:rsid w:val="00905A22"/>
    <w:rsid w:val="00905DB4"/>
    <w:rsid w:val="009062B6"/>
    <w:rsid w:val="00906310"/>
    <w:rsid w:val="009064A7"/>
    <w:rsid w:val="00906817"/>
    <w:rsid w:val="009069DA"/>
    <w:rsid w:val="00906AF2"/>
    <w:rsid w:val="00906C6F"/>
    <w:rsid w:val="009070A1"/>
    <w:rsid w:val="00907123"/>
    <w:rsid w:val="00907197"/>
    <w:rsid w:val="009073ED"/>
    <w:rsid w:val="00907604"/>
    <w:rsid w:val="00907AC2"/>
    <w:rsid w:val="00907B27"/>
    <w:rsid w:val="00907BBE"/>
    <w:rsid w:val="00907E9A"/>
    <w:rsid w:val="00910259"/>
    <w:rsid w:val="00910422"/>
    <w:rsid w:val="00910425"/>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590"/>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56C"/>
    <w:rsid w:val="009246EF"/>
    <w:rsid w:val="00924761"/>
    <w:rsid w:val="0092498B"/>
    <w:rsid w:val="009249A3"/>
    <w:rsid w:val="00924D43"/>
    <w:rsid w:val="00924F9A"/>
    <w:rsid w:val="0092510C"/>
    <w:rsid w:val="009251E1"/>
    <w:rsid w:val="009252F0"/>
    <w:rsid w:val="00925331"/>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1E9"/>
    <w:rsid w:val="009353B9"/>
    <w:rsid w:val="00935410"/>
    <w:rsid w:val="009355EC"/>
    <w:rsid w:val="009355F5"/>
    <w:rsid w:val="009357D7"/>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42"/>
    <w:rsid w:val="00941FAC"/>
    <w:rsid w:val="00942270"/>
    <w:rsid w:val="009427AB"/>
    <w:rsid w:val="009429B6"/>
    <w:rsid w:val="0094321B"/>
    <w:rsid w:val="00943A3D"/>
    <w:rsid w:val="00943DCF"/>
    <w:rsid w:val="00943DE2"/>
    <w:rsid w:val="00943E9A"/>
    <w:rsid w:val="00943EC4"/>
    <w:rsid w:val="009441E4"/>
    <w:rsid w:val="009441F5"/>
    <w:rsid w:val="009442FA"/>
    <w:rsid w:val="00944375"/>
    <w:rsid w:val="00944845"/>
    <w:rsid w:val="00944B9C"/>
    <w:rsid w:val="00944BB8"/>
    <w:rsid w:val="00944E0B"/>
    <w:rsid w:val="00944E96"/>
    <w:rsid w:val="00945054"/>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E90"/>
    <w:rsid w:val="00947FE4"/>
    <w:rsid w:val="009501BF"/>
    <w:rsid w:val="00950292"/>
    <w:rsid w:val="0095032F"/>
    <w:rsid w:val="00950499"/>
    <w:rsid w:val="00950937"/>
    <w:rsid w:val="00950AD0"/>
    <w:rsid w:val="00950AEF"/>
    <w:rsid w:val="00950C95"/>
    <w:rsid w:val="009510C4"/>
    <w:rsid w:val="0095114E"/>
    <w:rsid w:val="0095147A"/>
    <w:rsid w:val="009516C4"/>
    <w:rsid w:val="009519AD"/>
    <w:rsid w:val="009519DA"/>
    <w:rsid w:val="00951B64"/>
    <w:rsid w:val="00951CE5"/>
    <w:rsid w:val="00952202"/>
    <w:rsid w:val="009525CB"/>
    <w:rsid w:val="0095291B"/>
    <w:rsid w:val="009529F3"/>
    <w:rsid w:val="00952A1B"/>
    <w:rsid w:val="00952E32"/>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4D44"/>
    <w:rsid w:val="009552EA"/>
    <w:rsid w:val="0095582B"/>
    <w:rsid w:val="009559B6"/>
    <w:rsid w:val="00955BC6"/>
    <w:rsid w:val="00955DDE"/>
    <w:rsid w:val="00956793"/>
    <w:rsid w:val="00956827"/>
    <w:rsid w:val="009568F4"/>
    <w:rsid w:val="00956981"/>
    <w:rsid w:val="00956C96"/>
    <w:rsid w:val="00956D65"/>
    <w:rsid w:val="00956E87"/>
    <w:rsid w:val="00956FD3"/>
    <w:rsid w:val="009570FE"/>
    <w:rsid w:val="009571A6"/>
    <w:rsid w:val="00957880"/>
    <w:rsid w:val="00957C78"/>
    <w:rsid w:val="00957CEF"/>
    <w:rsid w:val="00957E04"/>
    <w:rsid w:val="00957FB5"/>
    <w:rsid w:val="0096018A"/>
    <w:rsid w:val="0096034D"/>
    <w:rsid w:val="009603BD"/>
    <w:rsid w:val="00960559"/>
    <w:rsid w:val="009606F6"/>
    <w:rsid w:val="00960972"/>
    <w:rsid w:val="00960A6A"/>
    <w:rsid w:val="00960C62"/>
    <w:rsid w:val="00960C9C"/>
    <w:rsid w:val="00960FEE"/>
    <w:rsid w:val="009615FB"/>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38"/>
    <w:rsid w:val="00962DA1"/>
    <w:rsid w:val="00962F80"/>
    <w:rsid w:val="00963025"/>
    <w:rsid w:val="00963187"/>
    <w:rsid w:val="009632E7"/>
    <w:rsid w:val="009635A6"/>
    <w:rsid w:val="0096379B"/>
    <w:rsid w:val="00963885"/>
    <w:rsid w:val="00963AC8"/>
    <w:rsid w:val="00963BDD"/>
    <w:rsid w:val="00963E21"/>
    <w:rsid w:val="00963EC6"/>
    <w:rsid w:val="0096417C"/>
    <w:rsid w:val="00964494"/>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78"/>
    <w:rsid w:val="00970389"/>
    <w:rsid w:val="0097041A"/>
    <w:rsid w:val="00970687"/>
    <w:rsid w:val="00970793"/>
    <w:rsid w:val="0097083A"/>
    <w:rsid w:val="00970CD4"/>
    <w:rsid w:val="00970E56"/>
    <w:rsid w:val="00970F19"/>
    <w:rsid w:val="00971146"/>
    <w:rsid w:val="009711A9"/>
    <w:rsid w:val="009711CD"/>
    <w:rsid w:val="0097195B"/>
    <w:rsid w:val="00971E6E"/>
    <w:rsid w:val="00971FDE"/>
    <w:rsid w:val="00972316"/>
    <w:rsid w:val="0097242F"/>
    <w:rsid w:val="00972C3D"/>
    <w:rsid w:val="00972D6D"/>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3EB1"/>
    <w:rsid w:val="0098408A"/>
    <w:rsid w:val="00984240"/>
    <w:rsid w:val="00984369"/>
    <w:rsid w:val="0098449E"/>
    <w:rsid w:val="0098464F"/>
    <w:rsid w:val="0098480B"/>
    <w:rsid w:val="0098480F"/>
    <w:rsid w:val="00985149"/>
    <w:rsid w:val="00985488"/>
    <w:rsid w:val="009854FA"/>
    <w:rsid w:val="00985C21"/>
    <w:rsid w:val="00985C48"/>
    <w:rsid w:val="00985E24"/>
    <w:rsid w:val="0098673A"/>
    <w:rsid w:val="00986DA8"/>
    <w:rsid w:val="00986E12"/>
    <w:rsid w:val="009875AA"/>
    <w:rsid w:val="009877AD"/>
    <w:rsid w:val="009877BF"/>
    <w:rsid w:val="0098CEF3"/>
    <w:rsid w:val="00990461"/>
    <w:rsid w:val="00990698"/>
    <w:rsid w:val="00990790"/>
    <w:rsid w:val="00990951"/>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2A"/>
    <w:rsid w:val="009A07BE"/>
    <w:rsid w:val="009A07FB"/>
    <w:rsid w:val="009A0922"/>
    <w:rsid w:val="009A0B5C"/>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5C6"/>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D8D"/>
    <w:rsid w:val="009A4F66"/>
    <w:rsid w:val="009A50A4"/>
    <w:rsid w:val="009A597B"/>
    <w:rsid w:val="009A60B8"/>
    <w:rsid w:val="009A6382"/>
    <w:rsid w:val="009A6A1A"/>
    <w:rsid w:val="009A6B3E"/>
    <w:rsid w:val="009A6BC5"/>
    <w:rsid w:val="009A6CA4"/>
    <w:rsid w:val="009A6EA0"/>
    <w:rsid w:val="009A6FD9"/>
    <w:rsid w:val="009A6FF6"/>
    <w:rsid w:val="009A70AF"/>
    <w:rsid w:val="009A70DA"/>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CF5"/>
    <w:rsid w:val="009B0F4B"/>
    <w:rsid w:val="009B106D"/>
    <w:rsid w:val="009B1547"/>
    <w:rsid w:val="009B1561"/>
    <w:rsid w:val="009B15F1"/>
    <w:rsid w:val="009B172E"/>
    <w:rsid w:val="009B1742"/>
    <w:rsid w:val="009B1B38"/>
    <w:rsid w:val="009B1BCA"/>
    <w:rsid w:val="009B1CD1"/>
    <w:rsid w:val="009B1E2D"/>
    <w:rsid w:val="009B23E8"/>
    <w:rsid w:val="009B296B"/>
    <w:rsid w:val="009B2B38"/>
    <w:rsid w:val="009B33C7"/>
    <w:rsid w:val="009B3615"/>
    <w:rsid w:val="009B3B3A"/>
    <w:rsid w:val="009B4166"/>
    <w:rsid w:val="009B4268"/>
    <w:rsid w:val="009B433D"/>
    <w:rsid w:val="009B46AF"/>
    <w:rsid w:val="009B4797"/>
    <w:rsid w:val="009B47BE"/>
    <w:rsid w:val="009B4CFD"/>
    <w:rsid w:val="009B4D72"/>
    <w:rsid w:val="009B4E72"/>
    <w:rsid w:val="009B4F9F"/>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97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AA5"/>
    <w:rsid w:val="009C5D3E"/>
    <w:rsid w:val="009C5F69"/>
    <w:rsid w:val="009C5FD2"/>
    <w:rsid w:val="009C6193"/>
    <w:rsid w:val="009C6265"/>
    <w:rsid w:val="009C626B"/>
    <w:rsid w:val="009C6B58"/>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3F9"/>
    <w:rsid w:val="009D15AE"/>
    <w:rsid w:val="009D17EA"/>
    <w:rsid w:val="009D17FA"/>
    <w:rsid w:val="009D18AC"/>
    <w:rsid w:val="009D1A01"/>
    <w:rsid w:val="009D1F0C"/>
    <w:rsid w:val="009D1F29"/>
    <w:rsid w:val="009D1F85"/>
    <w:rsid w:val="009D203F"/>
    <w:rsid w:val="009D268F"/>
    <w:rsid w:val="009D2740"/>
    <w:rsid w:val="009D2B9C"/>
    <w:rsid w:val="009D2BD0"/>
    <w:rsid w:val="009D2DE3"/>
    <w:rsid w:val="009D38C0"/>
    <w:rsid w:val="009D3A3D"/>
    <w:rsid w:val="009D3B39"/>
    <w:rsid w:val="009D3C12"/>
    <w:rsid w:val="009D3D89"/>
    <w:rsid w:val="009D4016"/>
    <w:rsid w:val="009D41EB"/>
    <w:rsid w:val="009D4291"/>
    <w:rsid w:val="009D43D4"/>
    <w:rsid w:val="009D4778"/>
    <w:rsid w:val="009D4C5D"/>
    <w:rsid w:val="009D4C6B"/>
    <w:rsid w:val="009D51AA"/>
    <w:rsid w:val="009D5417"/>
    <w:rsid w:val="009D569C"/>
    <w:rsid w:val="009D579A"/>
    <w:rsid w:val="009D58F8"/>
    <w:rsid w:val="009D5941"/>
    <w:rsid w:val="009D5C71"/>
    <w:rsid w:val="009D5E2A"/>
    <w:rsid w:val="009D6277"/>
    <w:rsid w:val="009D676E"/>
    <w:rsid w:val="009D691F"/>
    <w:rsid w:val="009D693E"/>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1FFC"/>
    <w:rsid w:val="009E216E"/>
    <w:rsid w:val="009E2245"/>
    <w:rsid w:val="009E22DA"/>
    <w:rsid w:val="009E276A"/>
    <w:rsid w:val="009E27E3"/>
    <w:rsid w:val="009E29A1"/>
    <w:rsid w:val="009E29F4"/>
    <w:rsid w:val="009E2BAE"/>
    <w:rsid w:val="009E2D74"/>
    <w:rsid w:val="009E2FB0"/>
    <w:rsid w:val="009E2FE1"/>
    <w:rsid w:val="009E2FF2"/>
    <w:rsid w:val="009E3297"/>
    <w:rsid w:val="009E3D22"/>
    <w:rsid w:val="009E3E52"/>
    <w:rsid w:val="009E3EBA"/>
    <w:rsid w:val="009E430F"/>
    <w:rsid w:val="009E4386"/>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6F32"/>
    <w:rsid w:val="009E72D8"/>
    <w:rsid w:val="009E734D"/>
    <w:rsid w:val="009E7364"/>
    <w:rsid w:val="009E74F7"/>
    <w:rsid w:val="009E76F9"/>
    <w:rsid w:val="009E77FC"/>
    <w:rsid w:val="009E7C1D"/>
    <w:rsid w:val="009F0014"/>
    <w:rsid w:val="009F028D"/>
    <w:rsid w:val="009F0449"/>
    <w:rsid w:val="009F08C2"/>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1B4"/>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0A0"/>
    <w:rsid w:val="00A06168"/>
    <w:rsid w:val="00A06186"/>
    <w:rsid w:val="00A06372"/>
    <w:rsid w:val="00A06598"/>
    <w:rsid w:val="00A06D7F"/>
    <w:rsid w:val="00A070F7"/>
    <w:rsid w:val="00A073CF"/>
    <w:rsid w:val="00A0752A"/>
    <w:rsid w:val="00A078F4"/>
    <w:rsid w:val="00A07980"/>
    <w:rsid w:val="00A07B2D"/>
    <w:rsid w:val="00A07D10"/>
    <w:rsid w:val="00A102E4"/>
    <w:rsid w:val="00A10649"/>
    <w:rsid w:val="00A10808"/>
    <w:rsid w:val="00A10C46"/>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B62"/>
    <w:rsid w:val="00A13C1F"/>
    <w:rsid w:val="00A141BA"/>
    <w:rsid w:val="00A14210"/>
    <w:rsid w:val="00A142AE"/>
    <w:rsid w:val="00A148BF"/>
    <w:rsid w:val="00A14A24"/>
    <w:rsid w:val="00A14EF5"/>
    <w:rsid w:val="00A15108"/>
    <w:rsid w:val="00A1521B"/>
    <w:rsid w:val="00A15C50"/>
    <w:rsid w:val="00A15CF5"/>
    <w:rsid w:val="00A15F89"/>
    <w:rsid w:val="00A1649C"/>
    <w:rsid w:val="00A1660F"/>
    <w:rsid w:val="00A16616"/>
    <w:rsid w:val="00A16B1D"/>
    <w:rsid w:val="00A16C9D"/>
    <w:rsid w:val="00A16CEE"/>
    <w:rsid w:val="00A16EBB"/>
    <w:rsid w:val="00A1735A"/>
    <w:rsid w:val="00A174E3"/>
    <w:rsid w:val="00A1785B"/>
    <w:rsid w:val="00A178CF"/>
    <w:rsid w:val="00A17926"/>
    <w:rsid w:val="00A17C88"/>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DF"/>
    <w:rsid w:val="00A224EB"/>
    <w:rsid w:val="00A225C0"/>
    <w:rsid w:val="00A225CB"/>
    <w:rsid w:val="00A22951"/>
    <w:rsid w:val="00A22B7E"/>
    <w:rsid w:val="00A23113"/>
    <w:rsid w:val="00A231F2"/>
    <w:rsid w:val="00A236A6"/>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322"/>
    <w:rsid w:val="00A2750B"/>
    <w:rsid w:val="00A275C3"/>
    <w:rsid w:val="00A27690"/>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00"/>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2EA2"/>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5DDD"/>
    <w:rsid w:val="00A35E19"/>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A98"/>
    <w:rsid w:val="00A37AF8"/>
    <w:rsid w:val="00A37EE1"/>
    <w:rsid w:val="00A403D4"/>
    <w:rsid w:val="00A40438"/>
    <w:rsid w:val="00A4047C"/>
    <w:rsid w:val="00A40516"/>
    <w:rsid w:val="00A408FA"/>
    <w:rsid w:val="00A40962"/>
    <w:rsid w:val="00A40B01"/>
    <w:rsid w:val="00A40CB8"/>
    <w:rsid w:val="00A40D3E"/>
    <w:rsid w:val="00A40D9A"/>
    <w:rsid w:val="00A41102"/>
    <w:rsid w:val="00A41371"/>
    <w:rsid w:val="00A41400"/>
    <w:rsid w:val="00A414E4"/>
    <w:rsid w:val="00A41797"/>
    <w:rsid w:val="00A41AB3"/>
    <w:rsid w:val="00A41DD3"/>
    <w:rsid w:val="00A41F51"/>
    <w:rsid w:val="00A42067"/>
    <w:rsid w:val="00A420AA"/>
    <w:rsid w:val="00A42165"/>
    <w:rsid w:val="00A42213"/>
    <w:rsid w:val="00A42463"/>
    <w:rsid w:val="00A427B3"/>
    <w:rsid w:val="00A429F6"/>
    <w:rsid w:val="00A42AC6"/>
    <w:rsid w:val="00A42B71"/>
    <w:rsid w:val="00A42B99"/>
    <w:rsid w:val="00A42F60"/>
    <w:rsid w:val="00A43042"/>
    <w:rsid w:val="00A4317B"/>
    <w:rsid w:val="00A4353D"/>
    <w:rsid w:val="00A43806"/>
    <w:rsid w:val="00A438A2"/>
    <w:rsid w:val="00A43CC0"/>
    <w:rsid w:val="00A43E9C"/>
    <w:rsid w:val="00A43EA3"/>
    <w:rsid w:val="00A44006"/>
    <w:rsid w:val="00A443EC"/>
    <w:rsid w:val="00A44713"/>
    <w:rsid w:val="00A447DD"/>
    <w:rsid w:val="00A44806"/>
    <w:rsid w:val="00A449DF"/>
    <w:rsid w:val="00A44AA7"/>
    <w:rsid w:val="00A44BF3"/>
    <w:rsid w:val="00A44C6A"/>
    <w:rsid w:val="00A44C83"/>
    <w:rsid w:val="00A44C96"/>
    <w:rsid w:val="00A44F67"/>
    <w:rsid w:val="00A450FB"/>
    <w:rsid w:val="00A45218"/>
    <w:rsid w:val="00A454CE"/>
    <w:rsid w:val="00A45893"/>
    <w:rsid w:val="00A45CF3"/>
    <w:rsid w:val="00A45D05"/>
    <w:rsid w:val="00A45D78"/>
    <w:rsid w:val="00A45E1D"/>
    <w:rsid w:val="00A4609E"/>
    <w:rsid w:val="00A46189"/>
    <w:rsid w:val="00A461ED"/>
    <w:rsid w:val="00A46772"/>
    <w:rsid w:val="00A467B3"/>
    <w:rsid w:val="00A46FB6"/>
    <w:rsid w:val="00A4708A"/>
    <w:rsid w:val="00A4723A"/>
    <w:rsid w:val="00A47B6C"/>
    <w:rsid w:val="00A47CB5"/>
    <w:rsid w:val="00A47E64"/>
    <w:rsid w:val="00A50276"/>
    <w:rsid w:val="00A50335"/>
    <w:rsid w:val="00A5093B"/>
    <w:rsid w:val="00A50B8F"/>
    <w:rsid w:val="00A511D6"/>
    <w:rsid w:val="00A516D5"/>
    <w:rsid w:val="00A5191C"/>
    <w:rsid w:val="00A51C53"/>
    <w:rsid w:val="00A520B6"/>
    <w:rsid w:val="00A5217E"/>
    <w:rsid w:val="00A522FF"/>
    <w:rsid w:val="00A523E0"/>
    <w:rsid w:val="00A52402"/>
    <w:rsid w:val="00A52580"/>
    <w:rsid w:val="00A525D8"/>
    <w:rsid w:val="00A52730"/>
    <w:rsid w:val="00A528BA"/>
    <w:rsid w:val="00A52A26"/>
    <w:rsid w:val="00A52D50"/>
    <w:rsid w:val="00A52F74"/>
    <w:rsid w:val="00A530E3"/>
    <w:rsid w:val="00A534E0"/>
    <w:rsid w:val="00A53557"/>
    <w:rsid w:val="00A535C9"/>
    <w:rsid w:val="00A53715"/>
    <w:rsid w:val="00A53735"/>
    <w:rsid w:val="00A5387E"/>
    <w:rsid w:val="00A53898"/>
    <w:rsid w:val="00A53936"/>
    <w:rsid w:val="00A53971"/>
    <w:rsid w:val="00A53B3D"/>
    <w:rsid w:val="00A53D4B"/>
    <w:rsid w:val="00A53DA8"/>
    <w:rsid w:val="00A54099"/>
    <w:rsid w:val="00A54184"/>
    <w:rsid w:val="00A5418D"/>
    <w:rsid w:val="00A54372"/>
    <w:rsid w:val="00A54403"/>
    <w:rsid w:val="00A544E6"/>
    <w:rsid w:val="00A54925"/>
    <w:rsid w:val="00A54A3E"/>
    <w:rsid w:val="00A54C1D"/>
    <w:rsid w:val="00A54E4D"/>
    <w:rsid w:val="00A54FC0"/>
    <w:rsid w:val="00A55157"/>
    <w:rsid w:val="00A554D2"/>
    <w:rsid w:val="00A55722"/>
    <w:rsid w:val="00A55779"/>
    <w:rsid w:val="00A55A7B"/>
    <w:rsid w:val="00A55BF6"/>
    <w:rsid w:val="00A55ECB"/>
    <w:rsid w:val="00A55F86"/>
    <w:rsid w:val="00A55FD9"/>
    <w:rsid w:val="00A564B4"/>
    <w:rsid w:val="00A5668D"/>
    <w:rsid w:val="00A56695"/>
    <w:rsid w:val="00A56B05"/>
    <w:rsid w:val="00A56B33"/>
    <w:rsid w:val="00A57103"/>
    <w:rsid w:val="00A5715D"/>
    <w:rsid w:val="00A57162"/>
    <w:rsid w:val="00A571C1"/>
    <w:rsid w:val="00A57935"/>
    <w:rsid w:val="00A57ABC"/>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A97"/>
    <w:rsid w:val="00A63DD5"/>
    <w:rsid w:val="00A63FA6"/>
    <w:rsid w:val="00A6400E"/>
    <w:rsid w:val="00A64040"/>
    <w:rsid w:val="00A6433D"/>
    <w:rsid w:val="00A64370"/>
    <w:rsid w:val="00A64432"/>
    <w:rsid w:val="00A64892"/>
    <w:rsid w:val="00A648EF"/>
    <w:rsid w:val="00A64A2F"/>
    <w:rsid w:val="00A64A63"/>
    <w:rsid w:val="00A64D7C"/>
    <w:rsid w:val="00A64FEF"/>
    <w:rsid w:val="00A65018"/>
    <w:rsid w:val="00A6514D"/>
    <w:rsid w:val="00A65683"/>
    <w:rsid w:val="00A65A87"/>
    <w:rsid w:val="00A65BE7"/>
    <w:rsid w:val="00A65D68"/>
    <w:rsid w:val="00A66005"/>
    <w:rsid w:val="00A6607F"/>
    <w:rsid w:val="00A6632C"/>
    <w:rsid w:val="00A6636C"/>
    <w:rsid w:val="00A66431"/>
    <w:rsid w:val="00A6646E"/>
    <w:rsid w:val="00A664E3"/>
    <w:rsid w:val="00A6659E"/>
    <w:rsid w:val="00A668DD"/>
    <w:rsid w:val="00A66C3D"/>
    <w:rsid w:val="00A66C8C"/>
    <w:rsid w:val="00A671FA"/>
    <w:rsid w:val="00A67383"/>
    <w:rsid w:val="00A6754A"/>
    <w:rsid w:val="00A67710"/>
    <w:rsid w:val="00A6778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1D2"/>
    <w:rsid w:val="00A728E1"/>
    <w:rsid w:val="00A72C65"/>
    <w:rsid w:val="00A72D44"/>
    <w:rsid w:val="00A730ED"/>
    <w:rsid w:val="00A73138"/>
    <w:rsid w:val="00A73139"/>
    <w:rsid w:val="00A731F9"/>
    <w:rsid w:val="00A7327E"/>
    <w:rsid w:val="00A7340E"/>
    <w:rsid w:val="00A73621"/>
    <w:rsid w:val="00A73811"/>
    <w:rsid w:val="00A73D03"/>
    <w:rsid w:val="00A73F50"/>
    <w:rsid w:val="00A7428C"/>
    <w:rsid w:val="00A74710"/>
    <w:rsid w:val="00A74790"/>
    <w:rsid w:val="00A748AC"/>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235"/>
    <w:rsid w:val="00A8050B"/>
    <w:rsid w:val="00A80624"/>
    <w:rsid w:val="00A8094A"/>
    <w:rsid w:val="00A80A31"/>
    <w:rsid w:val="00A80C47"/>
    <w:rsid w:val="00A80FCE"/>
    <w:rsid w:val="00A81089"/>
    <w:rsid w:val="00A8111C"/>
    <w:rsid w:val="00A813B1"/>
    <w:rsid w:val="00A81D11"/>
    <w:rsid w:val="00A81EFB"/>
    <w:rsid w:val="00A82060"/>
    <w:rsid w:val="00A8210E"/>
    <w:rsid w:val="00A8212E"/>
    <w:rsid w:val="00A8236D"/>
    <w:rsid w:val="00A823E1"/>
    <w:rsid w:val="00A8246E"/>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2D0"/>
    <w:rsid w:val="00A90657"/>
    <w:rsid w:val="00A906F8"/>
    <w:rsid w:val="00A906FA"/>
    <w:rsid w:val="00A9090E"/>
    <w:rsid w:val="00A90944"/>
    <w:rsid w:val="00A90A7F"/>
    <w:rsid w:val="00A90AAD"/>
    <w:rsid w:val="00A90B82"/>
    <w:rsid w:val="00A91051"/>
    <w:rsid w:val="00A91215"/>
    <w:rsid w:val="00A9132A"/>
    <w:rsid w:val="00A9134F"/>
    <w:rsid w:val="00A917BC"/>
    <w:rsid w:val="00A91BCE"/>
    <w:rsid w:val="00A91E60"/>
    <w:rsid w:val="00A9216C"/>
    <w:rsid w:val="00A922F8"/>
    <w:rsid w:val="00A92480"/>
    <w:rsid w:val="00A927F2"/>
    <w:rsid w:val="00A928CC"/>
    <w:rsid w:val="00A92B1E"/>
    <w:rsid w:val="00A92DBF"/>
    <w:rsid w:val="00A9343B"/>
    <w:rsid w:val="00A93B71"/>
    <w:rsid w:val="00A945D4"/>
    <w:rsid w:val="00A94765"/>
    <w:rsid w:val="00A947DF"/>
    <w:rsid w:val="00A94ACE"/>
    <w:rsid w:val="00A94BF2"/>
    <w:rsid w:val="00A94FB6"/>
    <w:rsid w:val="00A9520D"/>
    <w:rsid w:val="00A952BB"/>
    <w:rsid w:val="00A95486"/>
    <w:rsid w:val="00A95715"/>
    <w:rsid w:val="00A957AB"/>
    <w:rsid w:val="00A957ED"/>
    <w:rsid w:val="00A958CB"/>
    <w:rsid w:val="00A9593F"/>
    <w:rsid w:val="00A959E2"/>
    <w:rsid w:val="00A95EAD"/>
    <w:rsid w:val="00A96099"/>
    <w:rsid w:val="00A9622F"/>
    <w:rsid w:val="00A96293"/>
    <w:rsid w:val="00A9692E"/>
    <w:rsid w:val="00A969CA"/>
    <w:rsid w:val="00A96AAF"/>
    <w:rsid w:val="00A96CE8"/>
    <w:rsid w:val="00A96D36"/>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1BE"/>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4EDE"/>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A7F3D"/>
    <w:rsid w:val="00AB01F2"/>
    <w:rsid w:val="00AB0274"/>
    <w:rsid w:val="00AB036B"/>
    <w:rsid w:val="00AB039D"/>
    <w:rsid w:val="00AB03F7"/>
    <w:rsid w:val="00AB0436"/>
    <w:rsid w:val="00AB0A16"/>
    <w:rsid w:val="00AB0D3A"/>
    <w:rsid w:val="00AB1196"/>
    <w:rsid w:val="00AB11AB"/>
    <w:rsid w:val="00AB14CC"/>
    <w:rsid w:val="00AB1738"/>
    <w:rsid w:val="00AB173C"/>
    <w:rsid w:val="00AB1950"/>
    <w:rsid w:val="00AB1986"/>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D79"/>
    <w:rsid w:val="00AB3E86"/>
    <w:rsid w:val="00AB4299"/>
    <w:rsid w:val="00AB44AC"/>
    <w:rsid w:val="00AB4865"/>
    <w:rsid w:val="00AB4D93"/>
    <w:rsid w:val="00AB4DA2"/>
    <w:rsid w:val="00AB52DD"/>
    <w:rsid w:val="00AB56A2"/>
    <w:rsid w:val="00AB573F"/>
    <w:rsid w:val="00AB58D2"/>
    <w:rsid w:val="00AB5B30"/>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C2"/>
    <w:rsid w:val="00AC18D9"/>
    <w:rsid w:val="00AC1A1D"/>
    <w:rsid w:val="00AC2487"/>
    <w:rsid w:val="00AC24B1"/>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4E4A"/>
    <w:rsid w:val="00AC527B"/>
    <w:rsid w:val="00AC53F6"/>
    <w:rsid w:val="00AC542C"/>
    <w:rsid w:val="00AC59A7"/>
    <w:rsid w:val="00AC5B3E"/>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5AD"/>
    <w:rsid w:val="00AD28A3"/>
    <w:rsid w:val="00AD2DAC"/>
    <w:rsid w:val="00AD2DD6"/>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6F0"/>
    <w:rsid w:val="00AD77BF"/>
    <w:rsid w:val="00AD7895"/>
    <w:rsid w:val="00AD79F1"/>
    <w:rsid w:val="00AD79F4"/>
    <w:rsid w:val="00AD7B8E"/>
    <w:rsid w:val="00AD7D90"/>
    <w:rsid w:val="00AE00E2"/>
    <w:rsid w:val="00AE01CF"/>
    <w:rsid w:val="00AE01E4"/>
    <w:rsid w:val="00AE0549"/>
    <w:rsid w:val="00AE0677"/>
    <w:rsid w:val="00AE0A3A"/>
    <w:rsid w:val="00AE0C87"/>
    <w:rsid w:val="00AE0DCC"/>
    <w:rsid w:val="00AE1315"/>
    <w:rsid w:val="00AE1338"/>
    <w:rsid w:val="00AE14C6"/>
    <w:rsid w:val="00AE1842"/>
    <w:rsid w:val="00AE1C39"/>
    <w:rsid w:val="00AE2025"/>
    <w:rsid w:val="00AE2421"/>
    <w:rsid w:val="00AE24E9"/>
    <w:rsid w:val="00AE26DD"/>
    <w:rsid w:val="00AE2A19"/>
    <w:rsid w:val="00AE2E4E"/>
    <w:rsid w:val="00AE2EA0"/>
    <w:rsid w:val="00AE368F"/>
    <w:rsid w:val="00AE386E"/>
    <w:rsid w:val="00AE41B1"/>
    <w:rsid w:val="00AE4240"/>
    <w:rsid w:val="00AE43E9"/>
    <w:rsid w:val="00AE45BB"/>
    <w:rsid w:val="00AE45D5"/>
    <w:rsid w:val="00AE46C8"/>
    <w:rsid w:val="00AE4955"/>
    <w:rsid w:val="00AE4C04"/>
    <w:rsid w:val="00AE4E0E"/>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CEB"/>
    <w:rsid w:val="00AF3D83"/>
    <w:rsid w:val="00AF3DCD"/>
    <w:rsid w:val="00AF427C"/>
    <w:rsid w:val="00AF42DE"/>
    <w:rsid w:val="00AF45D7"/>
    <w:rsid w:val="00AF47D4"/>
    <w:rsid w:val="00AF48C4"/>
    <w:rsid w:val="00AF495B"/>
    <w:rsid w:val="00AF49DD"/>
    <w:rsid w:val="00AF4D64"/>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0E3"/>
    <w:rsid w:val="00AF744E"/>
    <w:rsid w:val="00AF74C2"/>
    <w:rsid w:val="00AF79E5"/>
    <w:rsid w:val="00AF7A9B"/>
    <w:rsid w:val="00AF7E92"/>
    <w:rsid w:val="00B00018"/>
    <w:rsid w:val="00B000BE"/>
    <w:rsid w:val="00B000BF"/>
    <w:rsid w:val="00B0030E"/>
    <w:rsid w:val="00B00879"/>
    <w:rsid w:val="00B00938"/>
    <w:rsid w:val="00B00C29"/>
    <w:rsid w:val="00B00D80"/>
    <w:rsid w:val="00B012CA"/>
    <w:rsid w:val="00B01369"/>
    <w:rsid w:val="00B01B21"/>
    <w:rsid w:val="00B01D56"/>
    <w:rsid w:val="00B01E3F"/>
    <w:rsid w:val="00B023FD"/>
    <w:rsid w:val="00B0249F"/>
    <w:rsid w:val="00B02584"/>
    <w:rsid w:val="00B025DB"/>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E6D"/>
    <w:rsid w:val="00B05FEC"/>
    <w:rsid w:val="00B06248"/>
    <w:rsid w:val="00B0627F"/>
    <w:rsid w:val="00B062B1"/>
    <w:rsid w:val="00B064DB"/>
    <w:rsid w:val="00B066FD"/>
    <w:rsid w:val="00B06898"/>
    <w:rsid w:val="00B0691F"/>
    <w:rsid w:val="00B0726C"/>
    <w:rsid w:val="00B073B7"/>
    <w:rsid w:val="00B073DD"/>
    <w:rsid w:val="00B07491"/>
    <w:rsid w:val="00B07527"/>
    <w:rsid w:val="00B07569"/>
    <w:rsid w:val="00B07601"/>
    <w:rsid w:val="00B076A4"/>
    <w:rsid w:val="00B07749"/>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97F"/>
    <w:rsid w:val="00B12B3E"/>
    <w:rsid w:val="00B12F0E"/>
    <w:rsid w:val="00B12F3B"/>
    <w:rsid w:val="00B13015"/>
    <w:rsid w:val="00B13206"/>
    <w:rsid w:val="00B13405"/>
    <w:rsid w:val="00B136EB"/>
    <w:rsid w:val="00B136FB"/>
    <w:rsid w:val="00B13794"/>
    <w:rsid w:val="00B1382F"/>
    <w:rsid w:val="00B13921"/>
    <w:rsid w:val="00B13A33"/>
    <w:rsid w:val="00B13A9F"/>
    <w:rsid w:val="00B13B99"/>
    <w:rsid w:val="00B13CD1"/>
    <w:rsid w:val="00B1412C"/>
    <w:rsid w:val="00B144A8"/>
    <w:rsid w:val="00B14578"/>
    <w:rsid w:val="00B14A35"/>
    <w:rsid w:val="00B14DBA"/>
    <w:rsid w:val="00B14F54"/>
    <w:rsid w:val="00B15302"/>
    <w:rsid w:val="00B1535C"/>
    <w:rsid w:val="00B1536C"/>
    <w:rsid w:val="00B1537E"/>
    <w:rsid w:val="00B15397"/>
    <w:rsid w:val="00B15581"/>
    <w:rsid w:val="00B155AE"/>
    <w:rsid w:val="00B15A59"/>
    <w:rsid w:val="00B161E9"/>
    <w:rsid w:val="00B16354"/>
    <w:rsid w:val="00B164F0"/>
    <w:rsid w:val="00B16548"/>
    <w:rsid w:val="00B169DB"/>
    <w:rsid w:val="00B169F0"/>
    <w:rsid w:val="00B16AEC"/>
    <w:rsid w:val="00B16C7D"/>
    <w:rsid w:val="00B16EFC"/>
    <w:rsid w:val="00B16F93"/>
    <w:rsid w:val="00B17232"/>
    <w:rsid w:val="00B173D3"/>
    <w:rsid w:val="00B17491"/>
    <w:rsid w:val="00B17AFB"/>
    <w:rsid w:val="00B17F37"/>
    <w:rsid w:val="00B17F6C"/>
    <w:rsid w:val="00B20090"/>
    <w:rsid w:val="00B202D4"/>
    <w:rsid w:val="00B20515"/>
    <w:rsid w:val="00B20D54"/>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2E68"/>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AE0"/>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85A"/>
    <w:rsid w:val="00B27937"/>
    <w:rsid w:val="00B27B06"/>
    <w:rsid w:val="00B27BC2"/>
    <w:rsid w:val="00B27BD5"/>
    <w:rsid w:val="00B27D92"/>
    <w:rsid w:val="00B27EAF"/>
    <w:rsid w:val="00B27EFD"/>
    <w:rsid w:val="00B302ED"/>
    <w:rsid w:val="00B305A8"/>
    <w:rsid w:val="00B3087F"/>
    <w:rsid w:val="00B30929"/>
    <w:rsid w:val="00B3114C"/>
    <w:rsid w:val="00B31308"/>
    <w:rsid w:val="00B31441"/>
    <w:rsid w:val="00B31560"/>
    <w:rsid w:val="00B31669"/>
    <w:rsid w:val="00B317FA"/>
    <w:rsid w:val="00B3191D"/>
    <w:rsid w:val="00B32030"/>
    <w:rsid w:val="00B32343"/>
    <w:rsid w:val="00B3274B"/>
    <w:rsid w:val="00B32AED"/>
    <w:rsid w:val="00B32D73"/>
    <w:rsid w:val="00B32E25"/>
    <w:rsid w:val="00B32F05"/>
    <w:rsid w:val="00B32FAD"/>
    <w:rsid w:val="00B330EE"/>
    <w:rsid w:val="00B331E1"/>
    <w:rsid w:val="00B332CB"/>
    <w:rsid w:val="00B33494"/>
    <w:rsid w:val="00B33659"/>
    <w:rsid w:val="00B336BF"/>
    <w:rsid w:val="00B338FD"/>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D3D"/>
    <w:rsid w:val="00B35E70"/>
    <w:rsid w:val="00B35FC5"/>
    <w:rsid w:val="00B3614B"/>
    <w:rsid w:val="00B36749"/>
    <w:rsid w:val="00B36803"/>
    <w:rsid w:val="00B36921"/>
    <w:rsid w:val="00B36DE3"/>
    <w:rsid w:val="00B37212"/>
    <w:rsid w:val="00B37370"/>
    <w:rsid w:val="00B37757"/>
    <w:rsid w:val="00B37C56"/>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9DE"/>
    <w:rsid w:val="00B41AD3"/>
    <w:rsid w:val="00B42146"/>
    <w:rsid w:val="00B42270"/>
    <w:rsid w:val="00B42492"/>
    <w:rsid w:val="00B426F8"/>
    <w:rsid w:val="00B42C44"/>
    <w:rsid w:val="00B42D23"/>
    <w:rsid w:val="00B42FC1"/>
    <w:rsid w:val="00B432AA"/>
    <w:rsid w:val="00B4361C"/>
    <w:rsid w:val="00B4387A"/>
    <w:rsid w:val="00B43896"/>
    <w:rsid w:val="00B439F4"/>
    <w:rsid w:val="00B43A66"/>
    <w:rsid w:val="00B43B10"/>
    <w:rsid w:val="00B43D20"/>
    <w:rsid w:val="00B43D9C"/>
    <w:rsid w:val="00B441DB"/>
    <w:rsid w:val="00B44227"/>
    <w:rsid w:val="00B443C1"/>
    <w:rsid w:val="00B44422"/>
    <w:rsid w:val="00B44674"/>
    <w:rsid w:val="00B447BE"/>
    <w:rsid w:val="00B44915"/>
    <w:rsid w:val="00B44B37"/>
    <w:rsid w:val="00B44C24"/>
    <w:rsid w:val="00B44FFE"/>
    <w:rsid w:val="00B45079"/>
    <w:rsid w:val="00B4556A"/>
    <w:rsid w:val="00B45601"/>
    <w:rsid w:val="00B45626"/>
    <w:rsid w:val="00B45AF9"/>
    <w:rsid w:val="00B45B79"/>
    <w:rsid w:val="00B45B7A"/>
    <w:rsid w:val="00B468FA"/>
    <w:rsid w:val="00B46B64"/>
    <w:rsid w:val="00B46BDD"/>
    <w:rsid w:val="00B46CC1"/>
    <w:rsid w:val="00B46DBE"/>
    <w:rsid w:val="00B46EE6"/>
    <w:rsid w:val="00B470EA"/>
    <w:rsid w:val="00B47394"/>
    <w:rsid w:val="00B475A9"/>
    <w:rsid w:val="00B4799D"/>
    <w:rsid w:val="00B47A89"/>
    <w:rsid w:val="00B47D66"/>
    <w:rsid w:val="00B47E4F"/>
    <w:rsid w:val="00B47F0C"/>
    <w:rsid w:val="00B47F9A"/>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9D0"/>
    <w:rsid w:val="00B61EB6"/>
    <w:rsid w:val="00B62148"/>
    <w:rsid w:val="00B62226"/>
    <w:rsid w:val="00B6247B"/>
    <w:rsid w:val="00B6268E"/>
    <w:rsid w:val="00B626A3"/>
    <w:rsid w:val="00B62746"/>
    <w:rsid w:val="00B62954"/>
    <w:rsid w:val="00B62C6A"/>
    <w:rsid w:val="00B62DAF"/>
    <w:rsid w:val="00B62E1E"/>
    <w:rsid w:val="00B62FE1"/>
    <w:rsid w:val="00B636B0"/>
    <w:rsid w:val="00B6392E"/>
    <w:rsid w:val="00B63BA9"/>
    <w:rsid w:val="00B63C03"/>
    <w:rsid w:val="00B64103"/>
    <w:rsid w:val="00B641A2"/>
    <w:rsid w:val="00B6429C"/>
    <w:rsid w:val="00B64AB2"/>
    <w:rsid w:val="00B651B0"/>
    <w:rsid w:val="00B651FC"/>
    <w:rsid w:val="00B65207"/>
    <w:rsid w:val="00B6522F"/>
    <w:rsid w:val="00B65257"/>
    <w:rsid w:val="00B65343"/>
    <w:rsid w:val="00B654FC"/>
    <w:rsid w:val="00B65BE6"/>
    <w:rsid w:val="00B65C8F"/>
    <w:rsid w:val="00B65EDD"/>
    <w:rsid w:val="00B65FEF"/>
    <w:rsid w:val="00B6618B"/>
    <w:rsid w:val="00B6648B"/>
    <w:rsid w:val="00B665B6"/>
    <w:rsid w:val="00B66615"/>
    <w:rsid w:val="00B667B3"/>
    <w:rsid w:val="00B6689C"/>
    <w:rsid w:val="00B66D07"/>
    <w:rsid w:val="00B66D23"/>
    <w:rsid w:val="00B66D24"/>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106"/>
    <w:rsid w:val="00B71248"/>
    <w:rsid w:val="00B7127C"/>
    <w:rsid w:val="00B71B61"/>
    <w:rsid w:val="00B72018"/>
    <w:rsid w:val="00B72633"/>
    <w:rsid w:val="00B72965"/>
    <w:rsid w:val="00B72A38"/>
    <w:rsid w:val="00B72A3E"/>
    <w:rsid w:val="00B72DF7"/>
    <w:rsid w:val="00B72E6C"/>
    <w:rsid w:val="00B72F50"/>
    <w:rsid w:val="00B72F62"/>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00F"/>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03"/>
    <w:rsid w:val="00B81156"/>
    <w:rsid w:val="00B812BD"/>
    <w:rsid w:val="00B815B0"/>
    <w:rsid w:val="00B81879"/>
    <w:rsid w:val="00B81A78"/>
    <w:rsid w:val="00B81B6B"/>
    <w:rsid w:val="00B81C89"/>
    <w:rsid w:val="00B81E3E"/>
    <w:rsid w:val="00B82082"/>
    <w:rsid w:val="00B82321"/>
    <w:rsid w:val="00B8237C"/>
    <w:rsid w:val="00B8255F"/>
    <w:rsid w:val="00B825B0"/>
    <w:rsid w:val="00B82A7D"/>
    <w:rsid w:val="00B82C01"/>
    <w:rsid w:val="00B82C1F"/>
    <w:rsid w:val="00B82E52"/>
    <w:rsid w:val="00B82EF6"/>
    <w:rsid w:val="00B8304C"/>
    <w:rsid w:val="00B83381"/>
    <w:rsid w:val="00B835A3"/>
    <w:rsid w:val="00B83E46"/>
    <w:rsid w:val="00B84395"/>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6F7"/>
    <w:rsid w:val="00B9076D"/>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05D"/>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B7"/>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A2"/>
    <w:rsid w:val="00BA35C5"/>
    <w:rsid w:val="00BA3857"/>
    <w:rsid w:val="00BA3A00"/>
    <w:rsid w:val="00BA3CB8"/>
    <w:rsid w:val="00BA3CFD"/>
    <w:rsid w:val="00BA3D55"/>
    <w:rsid w:val="00BA3E71"/>
    <w:rsid w:val="00BA4183"/>
    <w:rsid w:val="00BA449D"/>
    <w:rsid w:val="00BA45D8"/>
    <w:rsid w:val="00BA52B6"/>
    <w:rsid w:val="00BA5320"/>
    <w:rsid w:val="00BA532E"/>
    <w:rsid w:val="00BA5982"/>
    <w:rsid w:val="00BA59B8"/>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1A3"/>
    <w:rsid w:val="00BB1628"/>
    <w:rsid w:val="00BB1803"/>
    <w:rsid w:val="00BB1837"/>
    <w:rsid w:val="00BB1857"/>
    <w:rsid w:val="00BB18C4"/>
    <w:rsid w:val="00BB1AF0"/>
    <w:rsid w:val="00BB1C14"/>
    <w:rsid w:val="00BB1CBA"/>
    <w:rsid w:val="00BB252B"/>
    <w:rsid w:val="00BB25A9"/>
    <w:rsid w:val="00BB2639"/>
    <w:rsid w:val="00BB27DE"/>
    <w:rsid w:val="00BB298C"/>
    <w:rsid w:val="00BB29AF"/>
    <w:rsid w:val="00BB2ABC"/>
    <w:rsid w:val="00BB2D92"/>
    <w:rsid w:val="00BB3098"/>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1B6"/>
    <w:rsid w:val="00BB7218"/>
    <w:rsid w:val="00BB7227"/>
    <w:rsid w:val="00BB7410"/>
    <w:rsid w:val="00BB761A"/>
    <w:rsid w:val="00BB788E"/>
    <w:rsid w:val="00BB78D1"/>
    <w:rsid w:val="00BC0455"/>
    <w:rsid w:val="00BC0974"/>
    <w:rsid w:val="00BC0C75"/>
    <w:rsid w:val="00BC0E32"/>
    <w:rsid w:val="00BC0E33"/>
    <w:rsid w:val="00BC0EB5"/>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50"/>
    <w:rsid w:val="00BC3991"/>
    <w:rsid w:val="00BC3FD0"/>
    <w:rsid w:val="00BC4609"/>
    <w:rsid w:val="00BC473C"/>
    <w:rsid w:val="00BC49C8"/>
    <w:rsid w:val="00BC4B45"/>
    <w:rsid w:val="00BC4B70"/>
    <w:rsid w:val="00BC555E"/>
    <w:rsid w:val="00BC575C"/>
    <w:rsid w:val="00BC5923"/>
    <w:rsid w:val="00BC5A95"/>
    <w:rsid w:val="00BC5AD6"/>
    <w:rsid w:val="00BC61C4"/>
    <w:rsid w:val="00BC65D9"/>
    <w:rsid w:val="00BC6646"/>
    <w:rsid w:val="00BC683D"/>
    <w:rsid w:val="00BC69AA"/>
    <w:rsid w:val="00BC6B48"/>
    <w:rsid w:val="00BC6CC5"/>
    <w:rsid w:val="00BC6D68"/>
    <w:rsid w:val="00BC6DC4"/>
    <w:rsid w:val="00BC7240"/>
    <w:rsid w:val="00BC74D6"/>
    <w:rsid w:val="00BC76A6"/>
    <w:rsid w:val="00BC76EA"/>
    <w:rsid w:val="00BC77EF"/>
    <w:rsid w:val="00BC781B"/>
    <w:rsid w:val="00BC79A6"/>
    <w:rsid w:val="00BC79B3"/>
    <w:rsid w:val="00BC7C7C"/>
    <w:rsid w:val="00BC7CAE"/>
    <w:rsid w:val="00BD0322"/>
    <w:rsid w:val="00BD05D8"/>
    <w:rsid w:val="00BD06E7"/>
    <w:rsid w:val="00BD0A2B"/>
    <w:rsid w:val="00BD0B38"/>
    <w:rsid w:val="00BD0C7F"/>
    <w:rsid w:val="00BD0CAD"/>
    <w:rsid w:val="00BD1838"/>
    <w:rsid w:val="00BD1BAB"/>
    <w:rsid w:val="00BD1CFD"/>
    <w:rsid w:val="00BD20C3"/>
    <w:rsid w:val="00BD216D"/>
    <w:rsid w:val="00BD2856"/>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5C7F"/>
    <w:rsid w:val="00BD618C"/>
    <w:rsid w:val="00BD6441"/>
    <w:rsid w:val="00BD64BE"/>
    <w:rsid w:val="00BD6593"/>
    <w:rsid w:val="00BD6630"/>
    <w:rsid w:val="00BD6C37"/>
    <w:rsid w:val="00BD6DFD"/>
    <w:rsid w:val="00BD6FDD"/>
    <w:rsid w:val="00BD7460"/>
    <w:rsid w:val="00BD74BF"/>
    <w:rsid w:val="00BD76CE"/>
    <w:rsid w:val="00BE0156"/>
    <w:rsid w:val="00BE05B9"/>
    <w:rsid w:val="00BE0AC6"/>
    <w:rsid w:val="00BE0F7E"/>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47"/>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294"/>
    <w:rsid w:val="00BE74FD"/>
    <w:rsid w:val="00BE7598"/>
    <w:rsid w:val="00BE78AF"/>
    <w:rsid w:val="00BE7912"/>
    <w:rsid w:val="00BE7AFF"/>
    <w:rsid w:val="00BE7CF2"/>
    <w:rsid w:val="00BE7DC5"/>
    <w:rsid w:val="00BF000B"/>
    <w:rsid w:val="00BF0046"/>
    <w:rsid w:val="00BF0052"/>
    <w:rsid w:val="00BF026E"/>
    <w:rsid w:val="00BF044C"/>
    <w:rsid w:val="00BF0757"/>
    <w:rsid w:val="00BF09C4"/>
    <w:rsid w:val="00BF0A16"/>
    <w:rsid w:val="00BF0BA0"/>
    <w:rsid w:val="00BF0E35"/>
    <w:rsid w:val="00BF0F33"/>
    <w:rsid w:val="00BF132A"/>
    <w:rsid w:val="00BF16CF"/>
    <w:rsid w:val="00BF198A"/>
    <w:rsid w:val="00BF19BB"/>
    <w:rsid w:val="00BF1AF8"/>
    <w:rsid w:val="00BF21EB"/>
    <w:rsid w:val="00BF24D5"/>
    <w:rsid w:val="00BF2509"/>
    <w:rsid w:val="00BF260B"/>
    <w:rsid w:val="00BF2632"/>
    <w:rsid w:val="00BF27C9"/>
    <w:rsid w:val="00BF27F2"/>
    <w:rsid w:val="00BF2AD2"/>
    <w:rsid w:val="00BF2B0D"/>
    <w:rsid w:val="00BF2C55"/>
    <w:rsid w:val="00BF2D24"/>
    <w:rsid w:val="00BF3073"/>
    <w:rsid w:val="00BF322D"/>
    <w:rsid w:val="00BF325C"/>
    <w:rsid w:val="00BF32B7"/>
    <w:rsid w:val="00BF330A"/>
    <w:rsid w:val="00BF3715"/>
    <w:rsid w:val="00BF38CD"/>
    <w:rsid w:val="00BF3B82"/>
    <w:rsid w:val="00BF3B9A"/>
    <w:rsid w:val="00BF3E3F"/>
    <w:rsid w:val="00BF4775"/>
    <w:rsid w:val="00BF4860"/>
    <w:rsid w:val="00BF48E2"/>
    <w:rsid w:val="00BF49D1"/>
    <w:rsid w:val="00BF4AAE"/>
    <w:rsid w:val="00BF4BF3"/>
    <w:rsid w:val="00BF4ED5"/>
    <w:rsid w:val="00BF4EE4"/>
    <w:rsid w:val="00BF4F5D"/>
    <w:rsid w:val="00BF5122"/>
    <w:rsid w:val="00BF5455"/>
    <w:rsid w:val="00BF5B8E"/>
    <w:rsid w:val="00BF62E6"/>
    <w:rsid w:val="00BF6361"/>
    <w:rsid w:val="00BF63B6"/>
    <w:rsid w:val="00BF653F"/>
    <w:rsid w:val="00BF658C"/>
    <w:rsid w:val="00BF65A5"/>
    <w:rsid w:val="00BF676E"/>
    <w:rsid w:val="00BF6A44"/>
    <w:rsid w:val="00BF6B2D"/>
    <w:rsid w:val="00BF6C55"/>
    <w:rsid w:val="00BF6E21"/>
    <w:rsid w:val="00BF6FD1"/>
    <w:rsid w:val="00BF73DC"/>
    <w:rsid w:val="00BF7598"/>
    <w:rsid w:val="00BF7886"/>
    <w:rsid w:val="00BF789F"/>
    <w:rsid w:val="00C000A3"/>
    <w:rsid w:val="00C0042E"/>
    <w:rsid w:val="00C006A0"/>
    <w:rsid w:val="00C008E5"/>
    <w:rsid w:val="00C00E0A"/>
    <w:rsid w:val="00C00EDF"/>
    <w:rsid w:val="00C01169"/>
    <w:rsid w:val="00C012AF"/>
    <w:rsid w:val="00C014A3"/>
    <w:rsid w:val="00C01844"/>
    <w:rsid w:val="00C01876"/>
    <w:rsid w:val="00C018AE"/>
    <w:rsid w:val="00C01B16"/>
    <w:rsid w:val="00C024A0"/>
    <w:rsid w:val="00C0297F"/>
    <w:rsid w:val="00C029D7"/>
    <w:rsid w:val="00C02BD0"/>
    <w:rsid w:val="00C02D1E"/>
    <w:rsid w:val="00C02F99"/>
    <w:rsid w:val="00C030FE"/>
    <w:rsid w:val="00C03530"/>
    <w:rsid w:val="00C0364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C47"/>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2FC3"/>
    <w:rsid w:val="00C138AF"/>
    <w:rsid w:val="00C13C42"/>
    <w:rsid w:val="00C14C63"/>
    <w:rsid w:val="00C14F48"/>
    <w:rsid w:val="00C151E3"/>
    <w:rsid w:val="00C152E3"/>
    <w:rsid w:val="00C154CD"/>
    <w:rsid w:val="00C15507"/>
    <w:rsid w:val="00C15671"/>
    <w:rsid w:val="00C158D3"/>
    <w:rsid w:val="00C158DA"/>
    <w:rsid w:val="00C160CD"/>
    <w:rsid w:val="00C165B2"/>
    <w:rsid w:val="00C16656"/>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7BE"/>
    <w:rsid w:val="00C219FD"/>
    <w:rsid w:val="00C21A38"/>
    <w:rsid w:val="00C21EAB"/>
    <w:rsid w:val="00C21F8F"/>
    <w:rsid w:val="00C220D3"/>
    <w:rsid w:val="00C224F6"/>
    <w:rsid w:val="00C2251E"/>
    <w:rsid w:val="00C225D6"/>
    <w:rsid w:val="00C22D35"/>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B90"/>
    <w:rsid w:val="00C30E82"/>
    <w:rsid w:val="00C3105A"/>
    <w:rsid w:val="00C31313"/>
    <w:rsid w:val="00C313F4"/>
    <w:rsid w:val="00C3143C"/>
    <w:rsid w:val="00C31610"/>
    <w:rsid w:val="00C31810"/>
    <w:rsid w:val="00C3182F"/>
    <w:rsid w:val="00C3184B"/>
    <w:rsid w:val="00C318E5"/>
    <w:rsid w:val="00C31D95"/>
    <w:rsid w:val="00C31DE4"/>
    <w:rsid w:val="00C31FBA"/>
    <w:rsid w:val="00C323D1"/>
    <w:rsid w:val="00C32576"/>
    <w:rsid w:val="00C325F9"/>
    <w:rsid w:val="00C32AFA"/>
    <w:rsid w:val="00C32B0E"/>
    <w:rsid w:val="00C32C12"/>
    <w:rsid w:val="00C32C39"/>
    <w:rsid w:val="00C32E32"/>
    <w:rsid w:val="00C3333E"/>
    <w:rsid w:val="00C33DAD"/>
    <w:rsid w:val="00C348C9"/>
    <w:rsid w:val="00C34A49"/>
    <w:rsid w:val="00C34BAA"/>
    <w:rsid w:val="00C34F1C"/>
    <w:rsid w:val="00C35415"/>
    <w:rsid w:val="00C35429"/>
    <w:rsid w:val="00C354E3"/>
    <w:rsid w:val="00C355EB"/>
    <w:rsid w:val="00C35967"/>
    <w:rsid w:val="00C359A9"/>
    <w:rsid w:val="00C35D6A"/>
    <w:rsid w:val="00C35E06"/>
    <w:rsid w:val="00C35FB5"/>
    <w:rsid w:val="00C36132"/>
    <w:rsid w:val="00C36168"/>
    <w:rsid w:val="00C362BB"/>
    <w:rsid w:val="00C36535"/>
    <w:rsid w:val="00C3665A"/>
    <w:rsid w:val="00C367B2"/>
    <w:rsid w:val="00C36918"/>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2"/>
    <w:rsid w:val="00C4644A"/>
    <w:rsid w:val="00C464FE"/>
    <w:rsid w:val="00C465E1"/>
    <w:rsid w:val="00C467FD"/>
    <w:rsid w:val="00C46812"/>
    <w:rsid w:val="00C468C3"/>
    <w:rsid w:val="00C46AA1"/>
    <w:rsid w:val="00C47052"/>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C"/>
    <w:rsid w:val="00C524BE"/>
    <w:rsid w:val="00C5277B"/>
    <w:rsid w:val="00C52BF3"/>
    <w:rsid w:val="00C52DED"/>
    <w:rsid w:val="00C52F8C"/>
    <w:rsid w:val="00C531B8"/>
    <w:rsid w:val="00C53708"/>
    <w:rsid w:val="00C53728"/>
    <w:rsid w:val="00C53955"/>
    <w:rsid w:val="00C5396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4FC"/>
    <w:rsid w:val="00C5552B"/>
    <w:rsid w:val="00C555E0"/>
    <w:rsid w:val="00C5571A"/>
    <w:rsid w:val="00C5579F"/>
    <w:rsid w:val="00C5599F"/>
    <w:rsid w:val="00C55A42"/>
    <w:rsid w:val="00C55BED"/>
    <w:rsid w:val="00C55D4D"/>
    <w:rsid w:val="00C560D7"/>
    <w:rsid w:val="00C56A0D"/>
    <w:rsid w:val="00C56E99"/>
    <w:rsid w:val="00C5700F"/>
    <w:rsid w:val="00C5723C"/>
    <w:rsid w:val="00C576C3"/>
    <w:rsid w:val="00C576E5"/>
    <w:rsid w:val="00C57ADB"/>
    <w:rsid w:val="00C57B31"/>
    <w:rsid w:val="00C57BC4"/>
    <w:rsid w:val="00C57C19"/>
    <w:rsid w:val="00C57CBB"/>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6DA"/>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669"/>
    <w:rsid w:val="00C6787B"/>
    <w:rsid w:val="00C70017"/>
    <w:rsid w:val="00C7026C"/>
    <w:rsid w:val="00C7031D"/>
    <w:rsid w:val="00C704C0"/>
    <w:rsid w:val="00C704C9"/>
    <w:rsid w:val="00C70720"/>
    <w:rsid w:val="00C70A1C"/>
    <w:rsid w:val="00C70BC1"/>
    <w:rsid w:val="00C70EBD"/>
    <w:rsid w:val="00C70ED2"/>
    <w:rsid w:val="00C71189"/>
    <w:rsid w:val="00C71824"/>
    <w:rsid w:val="00C71889"/>
    <w:rsid w:val="00C7198A"/>
    <w:rsid w:val="00C72074"/>
    <w:rsid w:val="00C7217C"/>
    <w:rsid w:val="00C7233C"/>
    <w:rsid w:val="00C72406"/>
    <w:rsid w:val="00C72823"/>
    <w:rsid w:val="00C7288A"/>
    <w:rsid w:val="00C72BA9"/>
    <w:rsid w:val="00C72C42"/>
    <w:rsid w:val="00C732CF"/>
    <w:rsid w:val="00C7366F"/>
    <w:rsid w:val="00C737F5"/>
    <w:rsid w:val="00C73805"/>
    <w:rsid w:val="00C738CF"/>
    <w:rsid w:val="00C73A42"/>
    <w:rsid w:val="00C73DD4"/>
    <w:rsid w:val="00C74119"/>
    <w:rsid w:val="00C74147"/>
    <w:rsid w:val="00C74327"/>
    <w:rsid w:val="00C75517"/>
    <w:rsid w:val="00C75619"/>
    <w:rsid w:val="00C756A3"/>
    <w:rsid w:val="00C75861"/>
    <w:rsid w:val="00C75A74"/>
    <w:rsid w:val="00C75C38"/>
    <w:rsid w:val="00C75FB2"/>
    <w:rsid w:val="00C76077"/>
    <w:rsid w:val="00C76228"/>
    <w:rsid w:val="00C764E4"/>
    <w:rsid w:val="00C766F8"/>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318"/>
    <w:rsid w:val="00C82540"/>
    <w:rsid w:val="00C82624"/>
    <w:rsid w:val="00C82EBF"/>
    <w:rsid w:val="00C82ED3"/>
    <w:rsid w:val="00C82FB5"/>
    <w:rsid w:val="00C83030"/>
    <w:rsid w:val="00C83405"/>
    <w:rsid w:val="00C83613"/>
    <w:rsid w:val="00C83958"/>
    <w:rsid w:val="00C83F9A"/>
    <w:rsid w:val="00C83FEA"/>
    <w:rsid w:val="00C84317"/>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035"/>
    <w:rsid w:val="00C87318"/>
    <w:rsid w:val="00C875F0"/>
    <w:rsid w:val="00C8771A"/>
    <w:rsid w:val="00C87E8B"/>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0"/>
    <w:rsid w:val="00C92CFA"/>
    <w:rsid w:val="00C92F0A"/>
    <w:rsid w:val="00C92F77"/>
    <w:rsid w:val="00C93579"/>
    <w:rsid w:val="00C937E9"/>
    <w:rsid w:val="00C93A91"/>
    <w:rsid w:val="00C93CB0"/>
    <w:rsid w:val="00C93DDD"/>
    <w:rsid w:val="00C94131"/>
    <w:rsid w:val="00C941E2"/>
    <w:rsid w:val="00C942CD"/>
    <w:rsid w:val="00C945E1"/>
    <w:rsid w:val="00C95083"/>
    <w:rsid w:val="00C953CB"/>
    <w:rsid w:val="00C95639"/>
    <w:rsid w:val="00C95761"/>
    <w:rsid w:val="00C95D90"/>
    <w:rsid w:val="00C95ED5"/>
    <w:rsid w:val="00C9653E"/>
    <w:rsid w:val="00C966AC"/>
    <w:rsid w:val="00C969DE"/>
    <w:rsid w:val="00C96B91"/>
    <w:rsid w:val="00C96FEF"/>
    <w:rsid w:val="00C97969"/>
    <w:rsid w:val="00C97AB4"/>
    <w:rsid w:val="00C97ADC"/>
    <w:rsid w:val="00C97B99"/>
    <w:rsid w:val="00C97BE8"/>
    <w:rsid w:val="00C97D4F"/>
    <w:rsid w:val="00C97E64"/>
    <w:rsid w:val="00CA0104"/>
    <w:rsid w:val="00CA0188"/>
    <w:rsid w:val="00CA03B4"/>
    <w:rsid w:val="00CA0416"/>
    <w:rsid w:val="00CA04BA"/>
    <w:rsid w:val="00CA0576"/>
    <w:rsid w:val="00CA05D1"/>
    <w:rsid w:val="00CA0719"/>
    <w:rsid w:val="00CA07B2"/>
    <w:rsid w:val="00CA09D3"/>
    <w:rsid w:val="00CA0A31"/>
    <w:rsid w:val="00CA0C34"/>
    <w:rsid w:val="00CA0D7E"/>
    <w:rsid w:val="00CA0E1E"/>
    <w:rsid w:val="00CA0FA1"/>
    <w:rsid w:val="00CA114E"/>
    <w:rsid w:val="00CA1253"/>
    <w:rsid w:val="00CA19B2"/>
    <w:rsid w:val="00CA1B6B"/>
    <w:rsid w:val="00CA1C6C"/>
    <w:rsid w:val="00CA1C94"/>
    <w:rsid w:val="00CA23ED"/>
    <w:rsid w:val="00CA24D9"/>
    <w:rsid w:val="00CA2786"/>
    <w:rsid w:val="00CA2EE2"/>
    <w:rsid w:val="00CA326D"/>
    <w:rsid w:val="00CA3425"/>
    <w:rsid w:val="00CA3AD1"/>
    <w:rsid w:val="00CA3CDD"/>
    <w:rsid w:val="00CA3DCC"/>
    <w:rsid w:val="00CA404F"/>
    <w:rsid w:val="00CA463C"/>
    <w:rsid w:val="00CA474B"/>
    <w:rsid w:val="00CA4760"/>
    <w:rsid w:val="00CA4863"/>
    <w:rsid w:val="00CA4941"/>
    <w:rsid w:val="00CA4C2D"/>
    <w:rsid w:val="00CA4C6A"/>
    <w:rsid w:val="00CA51C3"/>
    <w:rsid w:val="00CA5B28"/>
    <w:rsid w:val="00CA5CEA"/>
    <w:rsid w:val="00CA5D19"/>
    <w:rsid w:val="00CA60AE"/>
    <w:rsid w:val="00CA633D"/>
    <w:rsid w:val="00CA63D9"/>
    <w:rsid w:val="00CA6759"/>
    <w:rsid w:val="00CA6BDB"/>
    <w:rsid w:val="00CA6CB0"/>
    <w:rsid w:val="00CA76F9"/>
    <w:rsid w:val="00CA7700"/>
    <w:rsid w:val="00CA7755"/>
    <w:rsid w:val="00CA776B"/>
    <w:rsid w:val="00CA7A40"/>
    <w:rsid w:val="00CA7AA0"/>
    <w:rsid w:val="00CA7BAC"/>
    <w:rsid w:val="00CB0189"/>
    <w:rsid w:val="00CB0237"/>
    <w:rsid w:val="00CB0447"/>
    <w:rsid w:val="00CB053B"/>
    <w:rsid w:val="00CB0729"/>
    <w:rsid w:val="00CB074A"/>
    <w:rsid w:val="00CB07D9"/>
    <w:rsid w:val="00CB08CA"/>
    <w:rsid w:val="00CB09B7"/>
    <w:rsid w:val="00CB0F1F"/>
    <w:rsid w:val="00CB0F7E"/>
    <w:rsid w:val="00CB102A"/>
    <w:rsid w:val="00CB1447"/>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C80"/>
    <w:rsid w:val="00CB4D0B"/>
    <w:rsid w:val="00CB5022"/>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792"/>
    <w:rsid w:val="00CB78B6"/>
    <w:rsid w:val="00CB7A52"/>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64E"/>
    <w:rsid w:val="00CC2E07"/>
    <w:rsid w:val="00CC2ED6"/>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36D"/>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86F"/>
    <w:rsid w:val="00CD3E8B"/>
    <w:rsid w:val="00CD41DD"/>
    <w:rsid w:val="00CD4388"/>
    <w:rsid w:val="00CD47F2"/>
    <w:rsid w:val="00CD4E1C"/>
    <w:rsid w:val="00CD4EBB"/>
    <w:rsid w:val="00CD5571"/>
    <w:rsid w:val="00CD5991"/>
    <w:rsid w:val="00CD5AC0"/>
    <w:rsid w:val="00CD5DA8"/>
    <w:rsid w:val="00CD5DAA"/>
    <w:rsid w:val="00CD5F0A"/>
    <w:rsid w:val="00CD5F4D"/>
    <w:rsid w:val="00CD6253"/>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0F62"/>
    <w:rsid w:val="00CE1128"/>
    <w:rsid w:val="00CE121D"/>
    <w:rsid w:val="00CE1253"/>
    <w:rsid w:val="00CE1636"/>
    <w:rsid w:val="00CE185B"/>
    <w:rsid w:val="00CE19D8"/>
    <w:rsid w:val="00CE1A6A"/>
    <w:rsid w:val="00CE1BFB"/>
    <w:rsid w:val="00CE1EF2"/>
    <w:rsid w:val="00CE1FA2"/>
    <w:rsid w:val="00CE1FBD"/>
    <w:rsid w:val="00CE2001"/>
    <w:rsid w:val="00CE20D4"/>
    <w:rsid w:val="00CE277D"/>
    <w:rsid w:val="00CE2C4C"/>
    <w:rsid w:val="00CE2DFA"/>
    <w:rsid w:val="00CE2E78"/>
    <w:rsid w:val="00CE2FEC"/>
    <w:rsid w:val="00CE3343"/>
    <w:rsid w:val="00CE3589"/>
    <w:rsid w:val="00CE3C8A"/>
    <w:rsid w:val="00CE3D2A"/>
    <w:rsid w:val="00CE436D"/>
    <w:rsid w:val="00CE44A2"/>
    <w:rsid w:val="00CE44A8"/>
    <w:rsid w:val="00CE4850"/>
    <w:rsid w:val="00CE48FA"/>
    <w:rsid w:val="00CE495C"/>
    <w:rsid w:val="00CE5216"/>
    <w:rsid w:val="00CE52E3"/>
    <w:rsid w:val="00CE586A"/>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39"/>
    <w:rsid w:val="00CF1DF8"/>
    <w:rsid w:val="00CF1ED2"/>
    <w:rsid w:val="00CF1F60"/>
    <w:rsid w:val="00CF1FD6"/>
    <w:rsid w:val="00CF203C"/>
    <w:rsid w:val="00CF2145"/>
    <w:rsid w:val="00CF2348"/>
    <w:rsid w:val="00CF2501"/>
    <w:rsid w:val="00CF255C"/>
    <w:rsid w:val="00CF2631"/>
    <w:rsid w:val="00CF27A9"/>
    <w:rsid w:val="00CF27DB"/>
    <w:rsid w:val="00CF29EB"/>
    <w:rsid w:val="00CF2D06"/>
    <w:rsid w:val="00CF2F2D"/>
    <w:rsid w:val="00CF3014"/>
    <w:rsid w:val="00CF3445"/>
    <w:rsid w:val="00CF36BD"/>
    <w:rsid w:val="00CF36CC"/>
    <w:rsid w:val="00CF3769"/>
    <w:rsid w:val="00CF3C30"/>
    <w:rsid w:val="00CF44D3"/>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6B9"/>
    <w:rsid w:val="00CF7BFD"/>
    <w:rsid w:val="00CF7D09"/>
    <w:rsid w:val="00CF7D20"/>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0F4C"/>
    <w:rsid w:val="00D0114A"/>
    <w:rsid w:val="00D015EF"/>
    <w:rsid w:val="00D01688"/>
    <w:rsid w:val="00D016DD"/>
    <w:rsid w:val="00D01865"/>
    <w:rsid w:val="00D01AD7"/>
    <w:rsid w:val="00D01DEF"/>
    <w:rsid w:val="00D01E2C"/>
    <w:rsid w:val="00D01E95"/>
    <w:rsid w:val="00D01F9A"/>
    <w:rsid w:val="00D02198"/>
    <w:rsid w:val="00D021B5"/>
    <w:rsid w:val="00D0238E"/>
    <w:rsid w:val="00D0239F"/>
    <w:rsid w:val="00D031BF"/>
    <w:rsid w:val="00D0325B"/>
    <w:rsid w:val="00D03B51"/>
    <w:rsid w:val="00D03C56"/>
    <w:rsid w:val="00D03E40"/>
    <w:rsid w:val="00D04064"/>
    <w:rsid w:val="00D04154"/>
    <w:rsid w:val="00D04509"/>
    <w:rsid w:val="00D0473D"/>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257"/>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C55"/>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60"/>
    <w:rsid w:val="00D25773"/>
    <w:rsid w:val="00D257D5"/>
    <w:rsid w:val="00D25CBB"/>
    <w:rsid w:val="00D25CCA"/>
    <w:rsid w:val="00D26150"/>
    <w:rsid w:val="00D265C6"/>
    <w:rsid w:val="00D268BE"/>
    <w:rsid w:val="00D2691A"/>
    <w:rsid w:val="00D26C51"/>
    <w:rsid w:val="00D26FEC"/>
    <w:rsid w:val="00D271AC"/>
    <w:rsid w:val="00D27353"/>
    <w:rsid w:val="00D27609"/>
    <w:rsid w:val="00D27950"/>
    <w:rsid w:val="00D279BB"/>
    <w:rsid w:val="00D27AAA"/>
    <w:rsid w:val="00D27C35"/>
    <w:rsid w:val="00D300DA"/>
    <w:rsid w:val="00D30132"/>
    <w:rsid w:val="00D303EE"/>
    <w:rsid w:val="00D306B6"/>
    <w:rsid w:val="00D307D9"/>
    <w:rsid w:val="00D30D14"/>
    <w:rsid w:val="00D30DEE"/>
    <w:rsid w:val="00D30E78"/>
    <w:rsid w:val="00D31170"/>
    <w:rsid w:val="00D311E7"/>
    <w:rsid w:val="00D31348"/>
    <w:rsid w:val="00D314AD"/>
    <w:rsid w:val="00D31582"/>
    <w:rsid w:val="00D31BDD"/>
    <w:rsid w:val="00D31E26"/>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CD6"/>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37D5E"/>
    <w:rsid w:val="00D400B0"/>
    <w:rsid w:val="00D403C0"/>
    <w:rsid w:val="00D4075C"/>
    <w:rsid w:val="00D40CD6"/>
    <w:rsid w:val="00D40CE6"/>
    <w:rsid w:val="00D40E31"/>
    <w:rsid w:val="00D40F7B"/>
    <w:rsid w:val="00D412B0"/>
    <w:rsid w:val="00D414F7"/>
    <w:rsid w:val="00D417F7"/>
    <w:rsid w:val="00D41A0D"/>
    <w:rsid w:val="00D41BC7"/>
    <w:rsid w:val="00D41BE4"/>
    <w:rsid w:val="00D41C06"/>
    <w:rsid w:val="00D41C33"/>
    <w:rsid w:val="00D41D0D"/>
    <w:rsid w:val="00D41FF4"/>
    <w:rsid w:val="00D42531"/>
    <w:rsid w:val="00D42928"/>
    <w:rsid w:val="00D42AB7"/>
    <w:rsid w:val="00D42D74"/>
    <w:rsid w:val="00D42FF7"/>
    <w:rsid w:val="00D43262"/>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0FE"/>
    <w:rsid w:val="00D479E4"/>
    <w:rsid w:val="00D47AEB"/>
    <w:rsid w:val="00D47CBD"/>
    <w:rsid w:val="00D47FFE"/>
    <w:rsid w:val="00D502A6"/>
    <w:rsid w:val="00D502C1"/>
    <w:rsid w:val="00D502DD"/>
    <w:rsid w:val="00D503A9"/>
    <w:rsid w:val="00D503FC"/>
    <w:rsid w:val="00D505CD"/>
    <w:rsid w:val="00D50674"/>
    <w:rsid w:val="00D506D1"/>
    <w:rsid w:val="00D506F5"/>
    <w:rsid w:val="00D50B35"/>
    <w:rsid w:val="00D50B69"/>
    <w:rsid w:val="00D50CCE"/>
    <w:rsid w:val="00D50F49"/>
    <w:rsid w:val="00D50FEC"/>
    <w:rsid w:val="00D510DB"/>
    <w:rsid w:val="00D511D8"/>
    <w:rsid w:val="00D515F8"/>
    <w:rsid w:val="00D51AB2"/>
    <w:rsid w:val="00D51D3E"/>
    <w:rsid w:val="00D51D9F"/>
    <w:rsid w:val="00D51ED2"/>
    <w:rsid w:val="00D51F0A"/>
    <w:rsid w:val="00D5200B"/>
    <w:rsid w:val="00D52478"/>
    <w:rsid w:val="00D524BE"/>
    <w:rsid w:val="00D52744"/>
    <w:rsid w:val="00D52956"/>
    <w:rsid w:val="00D52BBC"/>
    <w:rsid w:val="00D52C38"/>
    <w:rsid w:val="00D52CE1"/>
    <w:rsid w:val="00D52CE3"/>
    <w:rsid w:val="00D53092"/>
    <w:rsid w:val="00D53235"/>
    <w:rsid w:val="00D536A4"/>
    <w:rsid w:val="00D5392B"/>
    <w:rsid w:val="00D53980"/>
    <w:rsid w:val="00D53989"/>
    <w:rsid w:val="00D5399E"/>
    <w:rsid w:val="00D539DD"/>
    <w:rsid w:val="00D53B53"/>
    <w:rsid w:val="00D53E5D"/>
    <w:rsid w:val="00D53FF4"/>
    <w:rsid w:val="00D54185"/>
    <w:rsid w:val="00D5426C"/>
    <w:rsid w:val="00D5468E"/>
    <w:rsid w:val="00D5468F"/>
    <w:rsid w:val="00D54BF9"/>
    <w:rsid w:val="00D54E5B"/>
    <w:rsid w:val="00D5500B"/>
    <w:rsid w:val="00D55082"/>
    <w:rsid w:val="00D5547D"/>
    <w:rsid w:val="00D55572"/>
    <w:rsid w:val="00D5560D"/>
    <w:rsid w:val="00D557C6"/>
    <w:rsid w:val="00D557EE"/>
    <w:rsid w:val="00D5583B"/>
    <w:rsid w:val="00D55AA4"/>
    <w:rsid w:val="00D55AB3"/>
    <w:rsid w:val="00D5635E"/>
    <w:rsid w:val="00D5640B"/>
    <w:rsid w:val="00D56C12"/>
    <w:rsid w:val="00D57040"/>
    <w:rsid w:val="00D57446"/>
    <w:rsid w:val="00D57696"/>
    <w:rsid w:val="00D576BC"/>
    <w:rsid w:val="00D579A6"/>
    <w:rsid w:val="00D579CC"/>
    <w:rsid w:val="00D57A73"/>
    <w:rsid w:val="00D57D22"/>
    <w:rsid w:val="00D57D28"/>
    <w:rsid w:val="00D60235"/>
    <w:rsid w:val="00D60339"/>
    <w:rsid w:val="00D6035A"/>
    <w:rsid w:val="00D6053E"/>
    <w:rsid w:val="00D60564"/>
    <w:rsid w:val="00D6083C"/>
    <w:rsid w:val="00D60870"/>
    <w:rsid w:val="00D6088B"/>
    <w:rsid w:val="00D609A2"/>
    <w:rsid w:val="00D60C5B"/>
    <w:rsid w:val="00D60EED"/>
    <w:rsid w:val="00D60F21"/>
    <w:rsid w:val="00D614D5"/>
    <w:rsid w:val="00D614D8"/>
    <w:rsid w:val="00D615AD"/>
    <w:rsid w:val="00D617CC"/>
    <w:rsid w:val="00D6183D"/>
    <w:rsid w:val="00D61A02"/>
    <w:rsid w:val="00D61A20"/>
    <w:rsid w:val="00D62208"/>
    <w:rsid w:val="00D625F2"/>
    <w:rsid w:val="00D62AAF"/>
    <w:rsid w:val="00D62B8A"/>
    <w:rsid w:val="00D634A7"/>
    <w:rsid w:val="00D634E9"/>
    <w:rsid w:val="00D636AA"/>
    <w:rsid w:val="00D63CDA"/>
    <w:rsid w:val="00D643C5"/>
    <w:rsid w:val="00D64691"/>
    <w:rsid w:val="00D64791"/>
    <w:rsid w:val="00D64A46"/>
    <w:rsid w:val="00D64B5A"/>
    <w:rsid w:val="00D64CE8"/>
    <w:rsid w:val="00D64F53"/>
    <w:rsid w:val="00D65064"/>
    <w:rsid w:val="00D65122"/>
    <w:rsid w:val="00D65511"/>
    <w:rsid w:val="00D6563A"/>
    <w:rsid w:val="00D656B9"/>
    <w:rsid w:val="00D65BA6"/>
    <w:rsid w:val="00D65E4D"/>
    <w:rsid w:val="00D66132"/>
    <w:rsid w:val="00D66287"/>
    <w:rsid w:val="00D662C9"/>
    <w:rsid w:val="00D665A3"/>
    <w:rsid w:val="00D66C87"/>
    <w:rsid w:val="00D66CDA"/>
    <w:rsid w:val="00D66CDB"/>
    <w:rsid w:val="00D66EFF"/>
    <w:rsid w:val="00D66F39"/>
    <w:rsid w:val="00D67565"/>
    <w:rsid w:val="00D67699"/>
    <w:rsid w:val="00D676E8"/>
    <w:rsid w:val="00D67710"/>
    <w:rsid w:val="00D677CA"/>
    <w:rsid w:val="00D67C18"/>
    <w:rsid w:val="00D70039"/>
    <w:rsid w:val="00D70174"/>
    <w:rsid w:val="00D70318"/>
    <w:rsid w:val="00D70604"/>
    <w:rsid w:val="00D70631"/>
    <w:rsid w:val="00D707C1"/>
    <w:rsid w:val="00D707D0"/>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B04"/>
    <w:rsid w:val="00D81DF1"/>
    <w:rsid w:val="00D820EF"/>
    <w:rsid w:val="00D8231D"/>
    <w:rsid w:val="00D82569"/>
    <w:rsid w:val="00D825DD"/>
    <w:rsid w:val="00D82658"/>
    <w:rsid w:val="00D8297C"/>
    <w:rsid w:val="00D82A80"/>
    <w:rsid w:val="00D82E5F"/>
    <w:rsid w:val="00D831DD"/>
    <w:rsid w:val="00D832A1"/>
    <w:rsid w:val="00D832D6"/>
    <w:rsid w:val="00D83420"/>
    <w:rsid w:val="00D834ED"/>
    <w:rsid w:val="00D83753"/>
    <w:rsid w:val="00D8385E"/>
    <w:rsid w:val="00D83BC6"/>
    <w:rsid w:val="00D84463"/>
    <w:rsid w:val="00D8455B"/>
    <w:rsid w:val="00D845B3"/>
    <w:rsid w:val="00D845CA"/>
    <w:rsid w:val="00D84884"/>
    <w:rsid w:val="00D849DC"/>
    <w:rsid w:val="00D84A7E"/>
    <w:rsid w:val="00D84C1F"/>
    <w:rsid w:val="00D84E7E"/>
    <w:rsid w:val="00D850FE"/>
    <w:rsid w:val="00D85500"/>
    <w:rsid w:val="00D8562E"/>
    <w:rsid w:val="00D85B61"/>
    <w:rsid w:val="00D85CF5"/>
    <w:rsid w:val="00D85FDD"/>
    <w:rsid w:val="00D862D7"/>
    <w:rsid w:val="00D866CC"/>
    <w:rsid w:val="00D86929"/>
    <w:rsid w:val="00D869CB"/>
    <w:rsid w:val="00D86AF6"/>
    <w:rsid w:val="00D86CDC"/>
    <w:rsid w:val="00D86D0A"/>
    <w:rsid w:val="00D870FF"/>
    <w:rsid w:val="00D874B9"/>
    <w:rsid w:val="00D879F1"/>
    <w:rsid w:val="00D87A6E"/>
    <w:rsid w:val="00D87E18"/>
    <w:rsid w:val="00D87EAA"/>
    <w:rsid w:val="00D900EF"/>
    <w:rsid w:val="00D90555"/>
    <w:rsid w:val="00D907B3"/>
    <w:rsid w:val="00D9089A"/>
    <w:rsid w:val="00D90932"/>
    <w:rsid w:val="00D90C91"/>
    <w:rsid w:val="00D90CD2"/>
    <w:rsid w:val="00D912E6"/>
    <w:rsid w:val="00D913F5"/>
    <w:rsid w:val="00D915EE"/>
    <w:rsid w:val="00D91D74"/>
    <w:rsid w:val="00D91D8C"/>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66"/>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052"/>
    <w:rsid w:val="00D96231"/>
    <w:rsid w:val="00D96714"/>
    <w:rsid w:val="00D969F4"/>
    <w:rsid w:val="00D96AFA"/>
    <w:rsid w:val="00D96AFE"/>
    <w:rsid w:val="00D96EA9"/>
    <w:rsid w:val="00D97320"/>
    <w:rsid w:val="00D9739D"/>
    <w:rsid w:val="00D977EE"/>
    <w:rsid w:val="00D9784A"/>
    <w:rsid w:val="00D978E5"/>
    <w:rsid w:val="00D97ABC"/>
    <w:rsid w:val="00D97D00"/>
    <w:rsid w:val="00D97E99"/>
    <w:rsid w:val="00D97EFE"/>
    <w:rsid w:val="00DA008F"/>
    <w:rsid w:val="00DA01BF"/>
    <w:rsid w:val="00DA0815"/>
    <w:rsid w:val="00DA08BB"/>
    <w:rsid w:val="00DA09AF"/>
    <w:rsid w:val="00DA09D2"/>
    <w:rsid w:val="00DA0B44"/>
    <w:rsid w:val="00DA0B49"/>
    <w:rsid w:val="00DA10CD"/>
    <w:rsid w:val="00DA14F6"/>
    <w:rsid w:val="00DA1801"/>
    <w:rsid w:val="00DA1803"/>
    <w:rsid w:val="00DA1D6D"/>
    <w:rsid w:val="00DA1F2D"/>
    <w:rsid w:val="00DA1F83"/>
    <w:rsid w:val="00DA2176"/>
    <w:rsid w:val="00DA2223"/>
    <w:rsid w:val="00DA22ED"/>
    <w:rsid w:val="00DA26FA"/>
    <w:rsid w:val="00DA2720"/>
    <w:rsid w:val="00DA2838"/>
    <w:rsid w:val="00DA2885"/>
    <w:rsid w:val="00DA29E9"/>
    <w:rsid w:val="00DA3167"/>
    <w:rsid w:val="00DA31B5"/>
    <w:rsid w:val="00DA3497"/>
    <w:rsid w:val="00DA3767"/>
    <w:rsid w:val="00DA385D"/>
    <w:rsid w:val="00DA39FF"/>
    <w:rsid w:val="00DA3A17"/>
    <w:rsid w:val="00DA3D62"/>
    <w:rsid w:val="00DA3DE7"/>
    <w:rsid w:val="00DA3E10"/>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CC4"/>
    <w:rsid w:val="00DB1D3E"/>
    <w:rsid w:val="00DB1EF5"/>
    <w:rsid w:val="00DB1F51"/>
    <w:rsid w:val="00DB1FE2"/>
    <w:rsid w:val="00DB2327"/>
    <w:rsid w:val="00DB24BC"/>
    <w:rsid w:val="00DB256C"/>
    <w:rsid w:val="00DB2776"/>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1B2"/>
    <w:rsid w:val="00DB52BA"/>
    <w:rsid w:val="00DB53FD"/>
    <w:rsid w:val="00DB54EB"/>
    <w:rsid w:val="00DB5963"/>
    <w:rsid w:val="00DB5A4C"/>
    <w:rsid w:val="00DB5AA2"/>
    <w:rsid w:val="00DB5B85"/>
    <w:rsid w:val="00DB5E56"/>
    <w:rsid w:val="00DB6066"/>
    <w:rsid w:val="00DB6115"/>
    <w:rsid w:val="00DB61F1"/>
    <w:rsid w:val="00DB6438"/>
    <w:rsid w:val="00DB68DD"/>
    <w:rsid w:val="00DB6958"/>
    <w:rsid w:val="00DB6B9B"/>
    <w:rsid w:val="00DB6BDA"/>
    <w:rsid w:val="00DB6E0A"/>
    <w:rsid w:val="00DB6F45"/>
    <w:rsid w:val="00DB6FA0"/>
    <w:rsid w:val="00DB7168"/>
    <w:rsid w:val="00DB7336"/>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D46"/>
    <w:rsid w:val="00DC3E91"/>
    <w:rsid w:val="00DC3F81"/>
    <w:rsid w:val="00DC4063"/>
    <w:rsid w:val="00DC409B"/>
    <w:rsid w:val="00DC4401"/>
    <w:rsid w:val="00DC4502"/>
    <w:rsid w:val="00DC479B"/>
    <w:rsid w:val="00DC4BFC"/>
    <w:rsid w:val="00DC4C60"/>
    <w:rsid w:val="00DC4D8C"/>
    <w:rsid w:val="00DC511F"/>
    <w:rsid w:val="00DC551C"/>
    <w:rsid w:val="00DC58BD"/>
    <w:rsid w:val="00DC5931"/>
    <w:rsid w:val="00DC5A0D"/>
    <w:rsid w:val="00DC5C6C"/>
    <w:rsid w:val="00DC5E12"/>
    <w:rsid w:val="00DC5F93"/>
    <w:rsid w:val="00DC6203"/>
    <w:rsid w:val="00DC6387"/>
    <w:rsid w:val="00DC6685"/>
    <w:rsid w:val="00DC682C"/>
    <w:rsid w:val="00DC6868"/>
    <w:rsid w:val="00DC6B52"/>
    <w:rsid w:val="00DC6DCC"/>
    <w:rsid w:val="00DC6F0E"/>
    <w:rsid w:val="00DC7000"/>
    <w:rsid w:val="00DC742E"/>
    <w:rsid w:val="00DC76F7"/>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1ED6"/>
    <w:rsid w:val="00DD247B"/>
    <w:rsid w:val="00DD255F"/>
    <w:rsid w:val="00DD26C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93"/>
    <w:rsid w:val="00DD4BE6"/>
    <w:rsid w:val="00DD513E"/>
    <w:rsid w:val="00DD5458"/>
    <w:rsid w:val="00DD55DE"/>
    <w:rsid w:val="00DD577E"/>
    <w:rsid w:val="00DD5812"/>
    <w:rsid w:val="00DD58DE"/>
    <w:rsid w:val="00DD59C0"/>
    <w:rsid w:val="00DD5ABC"/>
    <w:rsid w:val="00DD60CD"/>
    <w:rsid w:val="00DD6C24"/>
    <w:rsid w:val="00DD70F4"/>
    <w:rsid w:val="00DD7702"/>
    <w:rsid w:val="00DD786C"/>
    <w:rsid w:val="00DE0109"/>
    <w:rsid w:val="00DE0556"/>
    <w:rsid w:val="00DE074F"/>
    <w:rsid w:val="00DE07CC"/>
    <w:rsid w:val="00DE0889"/>
    <w:rsid w:val="00DE0B91"/>
    <w:rsid w:val="00DE0CD8"/>
    <w:rsid w:val="00DE0EA8"/>
    <w:rsid w:val="00DE110E"/>
    <w:rsid w:val="00DE12F3"/>
    <w:rsid w:val="00DE1911"/>
    <w:rsid w:val="00DE1B4F"/>
    <w:rsid w:val="00DE1D2D"/>
    <w:rsid w:val="00DE1D7C"/>
    <w:rsid w:val="00DE1F15"/>
    <w:rsid w:val="00DE1F9E"/>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04"/>
    <w:rsid w:val="00DE6364"/>
    <w:rsid w:val="00DE63B4"/>
    <w:rsid w:val="00DE6412"/>
    <w:rsid w:val="00DE6922"/>
    <w:rsid w:val="00DE6CE1"/>
    <w:rsid w:val="00DE6E0A"/>
    <w:rsid w:val="00DE71AC"/>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0DB5"/>
    <w:rsid w:val="00DF1197"/>
    <w:rsid w:val="00DF1548"/>
    <w:rsid w:val="00DF16FA"/>
    <w:rsid w:val="00DF17C5"/>
    <w:rsid w:val="00DF1B32"/>
    <w:rsid w:val="00DF1B4A"/>
    <w:rsid w:val="00DF1D3D"/>
    <w:rsid w:val="00DF1F3B"/>
    <w:rsid w:val="00DF2199"/>
    <w:rsid w:val="00DF24D4"/>
    <w:rsid w:val="00DF24D5"/>
    <w:rsid w:val="00DF2741"/>
    <w:rsid w:val="00DF28C3"/>
    <w:rsid w:val="00DF28CB"/>
    <w:rsid w:val="00DF2983"/>
    <w:rsid w:val="00DF2B6B"/>
    <w:rsid w:val="00DF2E58"/>
    <w:rsid w:val="00DF3087"/>
    <w:rsid w:val="00DF3408"/>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DF5"/>
    <w:rsid w:val="00DF7F6D"/>
    <w:rsid w:val="00DF7F9B"/>
    <w:rsid w:val="00E003DE"/>
    <w:rsid w:val="00E00427"/>
    <w:rsid w:val="00E005AA"/>
    <w:rsid w:val="00E0095A"/>
    <w:rsid w:val="00E00A7F"/>
    <w:rsid w:val="00E00BAB"/>
    <w:rsid w:val="00E00CA8"/>
    <w:rsid w:val="00E01174"/>
    <w:rsid w:val="00E013B1"/>
    <w:rsid w:val="00E01404"/>
    <w:rsid w:val="00E01459"/>
    <w:rsid w:val="00E017F5"/>
    <w:rsid w:val="00E019FC"/>
    <w:rsid w:val="00E01A90"/>
    <w:rsid w:val="00E01C38"/>
    <w:rsid w:val="00E0209A"/>
    <w:rsid w:val="00E02147"/>
    <w:rsid w:val="00E026C4"/>
    <w:rsid w:val="00E02795"/>
    <w:rsid w:val="00E02815"/>
    <w:rsid w:val="00E0316F"/>
    <w:rsid w:val="00E03340"/>
    <w:rsid w:val="00E03549"/>
    <w:rsid w:val="00E03709"/>
    <w:rsid w:val="00E0370A"/>
    <w:rsid w:val="00E03898"/>
    <w:rsid w:val="00E038F6"/>
    <w:rsid w:val="00E03A87"/>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CD2"/>
    <w:rsid w:val="00E06E26"/>
    <w:rsid w:val="00E0712A"/>
    <w:rsid w:val="00E07179"/>
    <w:rsid w:val="00E0737F"/>
    <w:rsid w:val="00E07511"/>
    <w:rsid w:val="00E07955"/>
    <w:rsid w:val="00E07B62"/>
    <w:rsid w:val="00E07C2D"/>
    <w:rsid w:val="00E07DD8"/>
    <w:rsid w:val="00E07E9C"/>
    <w:rsid w:val="00E07EB8"/>
    <w:rsid w:val="00E07F78"/>
    <w:rsid w:val="00E1015B"/>
    <w:rsid w:val="00E10385"/>
    <w:rsid w:val="00E103F8"/>
    <w:rsid w:val="00E10B3C"/>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6BF"/>
    <w:rsid w:val="00E139C9"/>
    <w:rsid w:val="00E13D6C"/>
    <w:rsid w:val="00E13EF6"/>
    <w:rsid w:val="00E14731"/>
    <w:rsid w:val="00E14759"/>
    <w:rsid w:val="00E148D1"/>
    <w:rsid w:val="00E149FB"/>
    <w:rsid w:val="00E14A5F"/>
    <w:rsid w:val="00E14E2B"/>
    <w:rsid w:val="00E1524E"/>
    <w:rsid w:val="00E152EE"/>
    <w:rsid w:val="00E15474"/>
    <w:rsid w:val="00E15572"/>
    <w:rsid w:val="00E1595C"/>
    <w:rsid w:val="00E159CE"/>
    <w:rsid w:val="00E15A95"/>
    <w:rsid w:val="00E15B88"/>
    <w:rsid w:val="00E15CCB"/>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2A7"/>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BBD"/>
    <w:rsid w:val="00E30DFF"/>
    <w:rsid w:val="00E30E94"/>
    <w:rsid w:val="00E31064"/>
    <w:rsid w:val="00E310F1"/>
    <w:rsid w:val="00E311E3"/>
    <w:rsid w:val="00E317EA"/>
    <w:rsid w:val="00E318E0"/>
    <w:rsid w:val="00E31D1C"/>
    <w:rsid w:val="00E31E9C"/>
    <w:rsid w:val="00E31EC3"/>
    <w:rsid w:val="00E32127"/>
    <w:rsid w:val="00E322B5"/>
    <w:rsid w:val="00E3250E"/>
    <w:rsid w:val="00E326B6"/>
    <w:rsid w:val="00E3296B"/>
    <w:rsid w:val="00E32985"/>
    <w:rsid w:val="00E32CE4"/>
    <w:rsid w:val="00E32EF3"/>
    <w:rsid w:val="00E32F68"/>
    <w:rsid w:val="00E33096"/>
    <w:rsid w:val="00E33491"/>
    <w:rsid w:val="00E335D5"/>
    <w:rsid w:val="00E3365E"/>
    <w:rsid w:val="00E33A4C"/>
    <w:rsid w:val="00E33A50"/>
    <w:rsid w:val="00E33BD0"/>
    <w:rsid w:val="00E33C5E"/>
    <w:rsid w:val="00E33CEC"/>
    <w:rsid w:val="00E33DE9"/>
    <w:rsid w:val="00E33E57"/>
    <w:rsid w:val="00E33E62"/>
    <w:rsid w:val="00E33F98"/>
    <w:rsid w:val="00E34156"/>
    <w:rsid w:val="00E3482A"/>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2614"/>
    <w:rsid w:val="00E53101"/>
    <w:rsid w:val="00E53182"/>
    <w:rsid w:val="00E533B0"/>
    <w:rsid w:val="00E53404"/>
    <w:rsid w:val="00E53541"/>
    <w:rsid w:val="00E53810"/>
    <w:rsid w:val="00E539B9"/>
    <w:rsid w:val="00E53B8B"/>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D55"/>
    <w:rsid w:val="00E55F2E"/>
    <w:rsid w:val="00E561B5"/>
    <w:rsid w:val="00E56206"/>
    <w:rsid w:val="00E5640A"/>
    <w:rsid w:val="00E56599"/>
    <w:rsid w:val="00E568A7"/>
    <w:rsid w:val="00E56C87"/>
    <w:rsid w:val="00E56F06"/>
    <w:rsid w:val="00E57004"/>
    <w:rsid w:val="00E57AE6"/>
    <w:rsid w:val="00E57B97"/>
    <w:rsid w:val="00E57CA4"/>
    <w:rsid w:val="00E57CB5"/>
    <w:rsid w:val="00E57EEF"/>
    <w:rsid w:val="00E60523"/>
    <w:rsid w:val="00E60648"/>
    <w:rsid w:val="00E608B4"/>
    <w:rsid w:val="00E608D3"/>
    <w:rsid w:val="00E60C56"/>
    <w:rsid w:val="00E60F3B"/>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421"/>
    <w:rsid w:val="00E644F5"/>
    <w:rsid w:val="00E6462F"/>
    <w:rsid w:val="00E64B2C"/>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4E6"/>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DBA"/>
    <w:rsid w:val="00E7206D"/>
    <w:rsid w:val="00E720FB"/>
    <w:rsid w:val="00E7217E"/>
    <w:rsid w:val="00E72697"/>
    <w:rsid w:val="00E72926"/>
    <w:rsid w:val="00E72A9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25E"/>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DC"/>
    <w:rsid w:val="00E777E4"/>
    <w:rsid w:val="00E77B4C"/>
    <w:rsid w:val="00E77CAD"/>
    <w:rsid w:val="00E77FA8"/>
    <w:rsid w:val="00E80015"/>
    <w:rsid w:val="00E8026D"/>
    <w:rsid w:val="00E8030A"/>
    <w:rsid w:val="00E80500"/>
    <w:rsid w:val="00E8094F"/>
    <w:rsid w:val="00E80A2B"/>
    <w:rsid w:val="00E80C42"/>
    <w:rsid w:val="00E813C0"/>
    <w:rsid w:val="00E81459"/>
    <w:rsid w:val="00E817B2"/>
    <w:rsid w:val="00E82013"/>
    <w:rsid w:val="00E82093"/>
    <w:rsid w:val="00E821F0"/>
    <w:rsid w:val="00E82324"/>
    <w:rsid w:val="00E82471"/>
    <w:rsid w:val="00E8265B"/>
    <w:rsid w:val="00E826FB"/>
    <w:rsid w:val="00E8271A"/>
    <w:rsid w:val="00E8286F"/>
    <w:rsid w:val="00E8293D"/>
    <w:rsid w:val="00E82AE3"/>
    <w:rsid w:val="00E82FD4"/>
    <w:rsid w:val="00E8303D"/>
    <w:rsid w:val="00E8324C"/>
    <w:rsid w:val="00E832B0"/>
    <w:rsid w:val="00E835C1"/>
    <w:rsid w:val="00E83F5F"/>
    <w:rsid w:val="00E83F95"/>
    <w:rsid w:val="00E840FB"/>
    <w:rsid w:val="00E84258"/>
    <w:rsid w:val="00E84526"/>
    <w:rsid w:val="00E846A9"/>
    <w:rsid w:val="00E846CC"/>
    <w:rsid w:val="00E84719"/>
    <w:rsid w:val="00E848C4"/>
    <w:rsid w:val="00E84A60"/>
    <w:rsid w:val="00E84F79"/>
    <w:rsid w:val="00E8511A"/>
    <w:rsid w:val="00E853C8"/>
    <w:rsid w:val="00E853F5"/>
    <w:rsid w:val="00E85449"/>
    <w:rsid w:val="00E8576F"/>
    <w:rsid w:val="00E859F1"/>
    <w:rsid w:val="00E85A91"/>
    <w:rsid w:val="00E85B5F"/>
    <w:rsid w:val="00E85BE3"/>
    <w:rsid w:val="00E85C82"/>
    <w:rsid w:val="00E85F3D"/>
    <w:rsid w:val="00E8639A"/>
    <w:rsid w:val="00E86577"/>
    <w:rsid w:val="00E86799"/>
    <w:rsid w:val="00E86D24"/>
    <w:rsid w:val="00E86D66"/>
    <w:rsid w:val="00E86E52"/>
    <w:rsid w:val="00E87307"/>
    <w:rsid w:val="00E87313"/>
    <w:rsid w:val="00E87333"/>
    <w:rsid w:val="00E87362"/>
    <w:rsid w:val="00E8748C"/>
    <w:rsid w:val="00E87722"/>
    <w:rsid w:val="00E87744"/>
    <w:rsid w:val="00E87A47"/>
    <w:rsid w:val="00E87D94"/>
    <w:rsid w:val="00E87F55"/>
    <w:rsid w:val="00E87FC4"/>
    <w:rsid w:val="00E90318"/>
    <w:rsid w:val="00E9068C"/>
    <w:rsid w:val="00E90A1C"/>
    <w:rsid w:val="00E91109"/>
    <w:rsid w:val="00E9155C"/>
    <w:rsid w:val="00E9161A"/>
    <w:rsid w:val="00E91723"/>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380"/>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52F"/>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0D6"/>
    <w:rsid w:val="00EA4240"/>
    <w:rsid w:val="00EA42F1"/>
    <w:rsid w:val="00EA4682"/>
    <w:rsid w:val="00EA4728"/>
    <w:rsid w:val="00EA4794"/>
    <w:rsid w:val="00EA487F"/>
    <w:rsid w:val="00EA49CD"/>
    <w:rsid w:val="00EA4A6D"/>
    <w:rsid w:val="00EA4EA4"/>
    <w:rsid w:val="00EA4EA8"/>
    <w:rsid w:val="00EA50D8"/>
    <w:rsid w:val="00EA522B"/>
    <w:rsid w:val="00EA53C2"/>
    <w:rsid w:val="00EA5A22"/>
    <w:rsid w:val="00EA5A4F"/>
    <w:rsid w:val="00EA5AFA"/>
    <w:rsid w:val="00EA5B6F"/>
    <w:rsid w:val="00EA6602"/>
    <w:rsid w:val="00EA6ECA"/>
    <w:rsid w:val="00EA6F97"/>
    <w:rsid w:val="00EA7007"/>
    <w:rsid w:val="00EA73A2"/>
    <w:rsid w:val="00EA75DC"/>
    <w:rsid w:val="00EA761B"/>
    <w:rsid w:val="00EA7828"/>
    <w:rsid w:val="00EA7A72"/>
    <w:rsid w:val="00EA7C4C"/>
    <w:rsid w:val="00EB0248"/>
    <w:rsid w:val="00EB0340"/>
    <w:rsid w:val="00EB0733"/>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76C"/>
    <w:rsid w:val="00EB3DA5"/>
    <w:rsid w:val="00EB3F1C"/>
    <w:rsid w:val="00EB416E"/>
    <w:rsid w:val="00EB4A71"/>
    <w:rsid w:val="00EB4D0F"/>
    <w:rsid w:val="00EB534E"/>
    <w:rsid w:val="00EB5353"/>
    <w:rsid w:val="00EB5697"/>
    <w:rsid w:val="00EB59CA"/>
    <w:rsid w:val="00EB5B9D"/>
    <w:rsid w:val="00EB67DF"/>
    <w:rsid w:val="00EB68EF"/>
    <w:rsid w:val="00EB6B54"/>
    <w:rsid w:val="00EB6BB7"/>
    <w:rsid w:val="00EB6BF9"/>
    <w:rsid w:val="00EB6EB5"/>
    <w:rsid w:val="00EB7333"/>
    <w:rsid w:val="00EB749E"/>
    <w:rsid w:val="00EB74A6"/>
    <w:rsid w:val="00EB76E7"/>
    <w:rsid w:val="00EB7788"/>
    <w:rsid w:val="00EB797E"/>
    <w:rsid w:val="00EB7AE0"/>
    <w:rsid w:val="00EB7E4D"/>
    <w:rsid w:val="00EB7EDD"/>
    <w:rsid w:val="00EB7EF5"/>
    <w:rsid w:val="00EB7F52"/>
    <w:rsid w:val="00EB7FF5"/>
    <w:rsid w:val="00EC01B0"/>
    <w:rsid w:val="00EC02E9"/>
    <w:rsid w:val="00EC03F6"/>
    <w:rsid w:val="00EC0667"/>
    <w:rsid w:val="00EC0743"/>
    <w:rsid w:val="00EC094E"/>
    <w:rsid w:val="00EC0A27"/>
    <w:rsid w:val="00EC0B35"/>
    <w:rsid w:val="00EC0EB6"/>
    <w:rsid w:val="00EC0ED6"/>
    <w:rsid w:val="00EC12E9"/>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3A"/>
    <w:rsid w:val="00EC399A"/>
    <w:rsid w:val="00EC39C6"/>
    <w:rsid w:val="00EC3A6B"/>
    <w:rsid w:val="00EC3D09"/>
    <w:rsid w:val="00EC3F3C"/>
    <w:rsid w:val="00EC43AD"/>
    <w:rsid w:val="00EC4B5E"/>
    <w:rsid w:val="00EC4F5E"/>
    <w:rsid w:val="00EC4F76"/>
    <w:rsid w:val="00EC4F80"/>
    <w:rsid w:val="00EC4FF8"/>
    <w:rsid w:val="00EC51EB"/>
    <w:rsid w:val="00EC52EE"/>
    <w:rsid w:val="00EC58D5"/>
    <w:rsid w:val="00EC58D8"/>
    <w:rsid w:val="00EC5DE2"/>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350"/>
    <w:rsid w:val="00ED04F3"/>
    <w:rsid w:val="00ED0550"/>
    <w:rsid w:val="00ED067C"/>
    <w:rsid w:val="00ED06C6"/>
    <w:rsid w:val="00ED071D"/>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0B0"/>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37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BB4"/>
    <w:rsid w:val="00EE2D67"/>
    <w:rsid w:val="00EE2DB3"/>
    <w:rsid w:val="00EE3073"/>
    <w:rsid w:val="00EE3153"/>
    <w:rsid w:val="00EE321B"/>
    <w:rsid w:val="00EE3257"/>
    <w:rsid w:val="00EE3916"/>
    <w:rsid w:val="00EE3964"/>
    <w:rsid w:val="00EE3B00"/>
    <w:rsid w:val="00EE3D88"/>
    <w:rsid w:val="00EE3D8B"/>
    <w:rsid w:val="00EE442F"/>
    <w:rsid w:val="00EE4465"/>
    <w:rsid w:val="00EE45B8"/>
    <w:rsid w:val="00EE4A2C"/>
    <w:rsid w:val="00EE4AA2"/>
    <w:rsid w:val="00EE4BBF"/>
    <w:rsid w:val="00EE4EC1"/>
    <w:rsid w:val="00EE5154"/>
    <w:rsid w:val="00EE541C"/>
    <w:rsid w:val="00EE56C9"/>
    <w:rsid w:val="00EE5A4A"/>
    <w:rsid w:val="00EE5ADD"/>
    <w:rsid w:val="00EE5D24"/>
    <w:rsid w:val="00EE5F0D"/>
    <w:rsid w:val="00EE623A"/>
    <w:rsid w:val="00EE664D"/>
    <w:rsid w:val="00EE67DD"/>
    <w:rsid w:val="00EE6C68"/>
    <w:rsid w:val="00EE6F30"/>
    <w:rsid w:val="00EE72D1"/>
    <w:rsid w:val="00EE72E4"/>
    <w:rsid w:val="00EE7551"/>
    <w:rsid w:val="00EE7572"/>
    <w:rsid w:val="00EE75D7"/>
    <w:rsid w:val="00EE7618"/>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1FE3"/>
    <w:rsid w:val="00EF229F"/>
    <w:rsid w:val="00EF22CA"/>
    <w:rsid w:val="00EF24BE"/>
    <w:rsid w:val="00EF25F1"/>
    <w:rsid w:val="00EF273C"/>
    <w:rsid w:val="00EF2AC5"/>
    <w:rsid w:val="00EF2AFF"/>
    <w:rsid w:val="00EF2B28"/>
    <w:rsid w:val="00EF2E62"/>
    <w:rsid w:val="00EF3023"/>
    <w:rsid w:val="00EF3111"/>
    <w:rsid w:val="00EF3252"/>
    <w:rsid w:val="00EF34C5"/>
    <w:rsid w:val="00EF353B"/>
    <w:rsid w:val="00EF3593"/>
    <w:rsid w:val="00EF365C"/>
    <w:rsid w:val="00EF398C"/>
    <w:rsid w:val="00EF3BA0"/>
    <w:rsid w:val="00EF3C97"/>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833"/>
    <w:rsid w:val="00F009AF"/>
    <w:rsid w:val="00F00A8E"/>
    <w:rsid w:val="00F00ABB"/>
    <w:rsid w:val="00F00AD5"/>
    <w:rsid w:val="00F00B17"/>
    <w:rsid w:val="00F012B2"/>
    <w:rsid w:val="00F0135A"/>
    <w:rsid w:val="00F0153B"/>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781"/>
    <w:rsid w:val="00F0480B"/>
    <w:rsid w:val="00F0481A"/>
    <w:rsid w:val="00F04967"/>
    <w:rsid w:val="00F049E6"/>
    <w:rsid w:val="00F049E8"/>
    <w:rsid w:val="00F04F72"/>
    <w:rsid w:val="00F050D8"/>
    <w:rsid w:val="00F0544C"/>
    <w:rsid w:val="00F054F5"/>
    <w:rsid w:val="00F05602"/>
    <w:rsid w:val="00F05671"/>
    <w:rsid w:val="00F059C8"/>
    <w:rsid w:val="00F05A7F"/>
    <w:rsid w:val="00F05A8D"/>
    <w:rsid w:val="00F05C9A"/>
    <w:rsid w:val="00F05D80"/>
    <w:rsid w:val="00F05FD5"/>
    <w:rsid w:val="00F0626F"/>
    <w:rsid w:val="00F065C1"/>
    <w:rsid w:val="00F06830"/>
    <w:rsid w:val="00F06A6B"/>
    <w:rsid w:val="00F06C55"/>
    <w:rsid w:val="00F06D2A"/>
    <w:rsid w:val="00F06E36"/>
    <w:rsid w:val="00F06F55"/>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8B7"/>
    <w:rsid w:val="00F12941"/>
    <w:rsid w:val="00F12BFC"/>
    <w:rsid w:val="00F13051"/>
    <w:rsid w:val="00F13119"/>
    <w:rsid w:val="00F133E9"/>
    <w:rsid w:val="00F133F2"/>
    <w:rsid w:val="00F135A6"/>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4AA"/>
    <w:rsid w:val="00F1680A"/>
    <w:rsid w:val="00F16886"/>
    <w:rsid w:val="00F16C62"/>
    <w:rsid w:val="00F173E4"/>
    <w:rsid w:val="00F17590"/>
    <w:rsid w:val="00F17716"/>
    <w:rsid w:val="00F177F5"/>
    <w:rsid w:val="00F17953"/>
    <w:rsid w:val="00F17C03"/>
    <w:rsid w:val="00F17DC0"/>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4BB"/>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D81"/>
    <w:rsid w:val="00F25E1A"/>
    <w:rsid w:val="00F26131"/>
    <w:rsid w:val="00F262FC"/>
    <w:rsid w:val="00F26331"/>
    <w:rsid w:val="00F2658D"/>
    <w:rsid w:val="00F26666"/>
    <w:rsid w:val="00F26823"/>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0A7"/>
    <w:rsid w:val="00F31569"/>
    <w:rsid w:val="00F3162D"/>
    <w:rsid w:val="00F31911"/>
    <w:rsid w:val="00F31B14"/>
    <w:rsid w:val="00F31DEC"/>
    <w:rsid w:val="00F320E2"/>
    <w:rsid w:val="00F321B4"/>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3D48"/>
    <w:rsid w:val="00F33F21"/>
    <w:rsid w:val="00F34561"/>
    <w:rsid w:val="00F34AA8"/>
    <w:rsid w:val="00F34ADB"/>
    <w:rsid w:val="00F35160"/>
    <w:rsid w:val="00F351CA"/>
    <w:rsid w:val="00F35293"/>
    <w:rsid w:val="00F35587"/>
    <w:rsid w:val="00F35A7F"/>
    <w:rsid w:val="00F35B85"/>
    <w:rsid w:val="00F35F24"/>
    <w:rsid w:val="00F35FE0"/>
    <w:rsid w:val="00F36149"/>
    <w:rsid w:val="00F3623A"/>
    <w:rsid w:val="00F36674"/>
    <w:rsid w:val="00F3716D"/>
    <w:rsid w:val="00F37280"/>
    <w:rsid w:val="00F37762"/>
    <w:rsid w:val="00F377AF"/>
    <w:rsid w:val="00F37864"/>
    <w:rsid w:val="00F37875"/>
    <w:rsid w:val="00F3793F"/>
    <w:rsid w:val="00F37E8F"/>
    <w:rsid w:val="00F37EB0"/>
    <w:rsid w:val="00F37EB6"/>
    <w:rsid w:val="00F4010B"/>
    <w:rsid w:val="00F40286"/>
    <w:rsid w:val="00F4089B"/>
    <w:rsid w:val="00F40951"/>
    <w:rsid w:val="00F40ABB"/>
    <w:rsid w:val="00F40ADA"/>
    <w:rsid w:val="00F40AED"/>
    <w:rsid w:val="00F40B8A"/>
    <w:rsid w:val="00F40CB2"/>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1E58"/>
    <w:rsid w:val="00F41EA5"/>
    <w:rsid w:val="00F42490"/>
    <w:rsid w:val="00F426B7"/>
    <w:rsid w:val="00F42C82"/>
    <w:rsid w:val="00F43066"/>
    <w:rsid w:val="00F4309B"/>
    <w:rsid w:val="00F430BF"/>
    <w:rsid w:val="00F43350"/>
    <w:rsid w:val="00F4339C"/>
    <w:rsid w:val="00F43464"/>
    <w:rsid w:val="00F436A4"/>
    <w:rsid w:val="00F43ABF"/>
    <w:rsid w:val="00F43C91"/>
    <w:rsid w:val="00F43E2F"/>
    <w:rsid w:val="00F43EB1"/>
    <w:rsid w:val="00F44238"/>
    <w:rsid w:val="00F444E6"/>
    <w:rsid w:val="00F44506"/>
    <w:rsid w:val="00F445B7"/>
    <w:rsid w:val="00F44ABA"/>
    <w:rsid w:val="00F45365"/>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058"/>
    <w:rsid w:val="00F5035E"/>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53"/>
    <w:rsid w:val="00F55757"/>
    <w:rsid w:val="00F55773"/>
    <w:rsid w:val="00F55B3F"/>
    <w:rsid w:val="00F55D7B"/>
    <w:rsid w:val="00F560EB"/>
    <w:rsid w:val="00F56159"/>
    <w:rsid w:val="00F562DA"/>
    <w:rsid w:val="00F564A3"/>
    <w:rsid w:val="00F564A4"/>
    <w:rsid w:val="00F56655"/>
    <w:rsid w:val="00F566D5"/>
    <w:rsid w:val="00F56941"/>
    <w:rsid w:val="00F56B2A"/>
    <w:rsid w:val="00F56CFC"/>
    <w:rsid w:val="00F56E21"/>
    <w:rsid w:val="00F571FA"/>
    <w:rsid w:val="00F5741C"/>
    <w:rsid w:val="00F57581"/>
    <w:rsid w:val="00F575D2"/>
    <w:rsid w:val="00F575E0"/>
    <w:rsid w:val="00F578FC"/>
    <w:rsid w:val="00F57AA8"/>
    <w:rsid w:val="00F57ADE"/>
    <w:rsid w:val="00F57C34"/>
    <w:rsid w:val="00F60108"/>
    <w:rsid w:val="00F60127"/>
    <w:rsid w:val="00F603BA"/>
    <w:rsid w:val="00F608F6"/>
    <w:rsid w:val="00F61502"/>
    <w:rsid w:val="00F61505"/>
    <w:rsid w:val="00F619A9"/>
    <w:rsid w:val="00F61CC0"/>
    <w:rsid w:val="00F61DDA"/>
    <w:rsid w:val="00F61E55"/>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527"/>
    <w:rsid w:val="00F6564C"/>
    <w:rsid w:val="00F65CC6"/>
    <w:rsid w:val="00F65D6B"/>
    <w:rsid w:val="00F65FCB"/>
    <w:rsid w:val="00F66039"/>
    <w:rsid w:val="00F66117"/>
    <w:rsid w:val="00F661DC"/>
    <w:rsid w:val="00F664DE"/>
    <w:rsid w:val="00F66684"/>
    <w:rsid w:val="00F668DB"/>
    <w:rsid w:val="00F66AFB"/>
    <w:rsid w:val="00F66C24"/>
    <w:rsid w:val="00F670CE"/>
    <w:rsid w:val="00F673B6"/>
    <w:rsid w:val="00F67603"/>
    <w:rsid w:val="00F67648"/>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339"/>
    <w:rsid w:val="00F735A4"/>
    <w:rsid w:val="00F7381F"/>
    <w:rsid w:val="00F742FE"/>
    <w:rsid w:val="00F743CC"/>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8D0"/>
    <w:rsid w:val="00F77C68"/>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B3"/>
    <w:rsid w:val="00F826E7"/>
    <w:rsid w:val="00F82982"/>
    <w:rsid w:val="00F82AF0"/>
    <w:rsid w:val="00F82BA1"/>
    <w:rsid w:val="00F82F93"/>
    <w:rsid w:val="00F834DC"/>
    <w:rsid w:val="00F835CA"/>
    <w:rsid w:val="00F83BAB"/>
    <w:rsid w:val="00F840B5"/>
    <w:rsid w:val="00F8419D"/>
    <w:rsid w:val="00F84271"/>
    <w:rsid w:val="00F842E1"/>
    <w:rsid w:val="00F84779"/>
    <w:rsid w:val="00F84D8D"/>
    <w:rsid w:val="00F84DB7"/>
    <w:rsid w:val="00F84E62"/>
    <w:rsid w:val="00F84EA8"/>
    <w:rsid w:val="00F84EF1"/>
    <w:rsid w:val="00F8553A"/>
    <w:rsid w:val="00F858E4"/>
    <w:rsid w:val="00F859E6"/>
    <w:rsid w:val="00F85D02"/>
    <w:rsid w:val="00F85DBB"/>
    <w:rsid w:val="00F861B8"/>
    <w:rsid w:val="00F8625C"/>
    <w:rsid w:val="00F864F0"/>
    <w:rsid w:val="00F86B80"/>
    <w:rsid w:val="00F86E4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528"/>
    <w:rsid w:val="00F91A11"/>
    <w:rsid w:val="00F91A18"/>
    <w:rsid w:val="00F91F66"/>
    <w:rsid w:val="00F922F6"/>
    <w:rsid w:val="00F92955"/>
    <w:rsid w:val="00F92987"/>
    <w:rsid w:val="00F92996"/>
    <w:rsid w:val="00F92BE5"/>
    <w:rsid w:val="00F92E01"/>
    <w:rsid w:val="00F93288"/>
    <w:rsid w:val="00F93304"/>
    <w:rsid w:val="00F934D3"/>
    <w:rsid w:val="00F93733"/>
    <w:rsid w:val="00F937B7"/>
    <w:rsid w:val="00F939CB"/>
    <w:rsid w:val="00F942A4"/>
    <w:rsid w:val="00F94395"/>
    <w:rsid w:val="00F945E0"/>
    <w:rsid w:val="00F947FA"/>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BFB"/>
    <w:rsid w:val="00FA0DA2"/>
    <w:rsid w:val="00FA0E2B"/>
    <w:rsid w:val="00FA104D"/>
    <w:rsid w:val="00FA113C"/>
    <w:rsid w:val="00FA120B"/>
    <w:rsid w:val="00FA162C"/>
    <w:rsid w:val="00FA17F0"/>
    <w:rsid w:val="00FA1933"/>
    <w:rsid w:val="00FA1A42"/>
    <w:rsid w:val="00FA1B8D"/>
    <w:rsid w:val="00FA1E72"/>
    <w:rsid w:val="00FA206D"/>
    <w:rsid w:val="00FA2708"/>
    <w:rsid w:val="00FA2727"/>
    <w:rsid w:val="00FA2771"/>
    <w:rsid w:val="00FA28AA"/>
    <w:rsid w:val="00FA2A08"/>
    <w:rsid w:val="00FA2A3D"/>
    <w:rsid w:val="00FA2B96"/>
    <w:rsid w:val="00FA2E23"/>
    <w:rsid w:val="00FA30CD"/>
    <w:rsid w:val="00FA31E3"/>
    <w:rsid w:val="00FA35E8"/>
    <w:rsid w:val="00FA38D1"/>
    <w:rsid w:val="00FA3A0A"/>
    <w:rsid w:val="00FA4329"/>
    <w:rsid w:val="00FA47DA"/>
    <w:rsid w:val="00FA4906"/>
    <w:rsid w:val="00FA4C39"/>
    <w:rsid w:val="00FA4D81"/>
    <w:rsid w:val="00FA4F7A"/>
    <w:rsid w:val="00FA5078"/>
    <w:rsid w:val="00FA5244"/>
    <w:rsid w:val="00FA55DB"/>
    <w:rsid w:val="00FA583B"/>
    <w:rsid w:val="00FA6087"/>
    <w:rsid w:val="00FA624C"/>
    <w:rsid w:val="00FA6446"/>
    <w:rsid w:val="00FA6547"/>
    <w:rsid w:val="00FA657E"/>
    <w:rsid w:val="00FA67D1"/>
    <w:rsid w:val="00FA68D3"/>
    <w:rsid w:val="00FA6D4F"/>
    <w:rsid w:val="00FA6E35"/>
    <w:rsid w:val="00FA7474"/>
    <w:rsid w:val="00FA74C2"/>
    <w:rsid w:val="00FA761A"/>
    <w:rsid w:val="00FA78A6"/>
    <w:rsid w:val="00FA7B72"/>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DB1"/>
    <w:rsid w:val="00FB3ED3"/>
    <w:rsid w:val="00FB4279"/>
    <w:rsid w:val="00FB42AB"/>
    <w:rsid w:val="00FB45B7"/>
    <w:rsid w:val="00FB4942"/>
    <w:rsid w:val="00FB4967"/>
    <w:rsid w:val="00FB49AF"/>
    <w:rsid w:val="00FB4D53"/>
    <w:rsid w:val="00FB5051"/>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A96"/>
    <w:rsid w:val="00FB7B97"/>
    <w:rsid w:val="00FB7EF3"/>
    <w:rsid w:val="00FB7F6F"/>
    <w:rsid w:val="00FC0004"/>
    <w:rsid w:val="00FC0013"/>
    <w:rsid w:val="00FC00FE"/>
    <w:rsid w:val="00FC0193"/>
    <w:rsid w:val="00FC02B2"/>
    <w:rsid w:val="00FC0DD5"/>
    <w:rsid w:val="00FC0E23"/>
    <w:rsid w:val="00FC0F1A"/>
    <w:rsid w:val="00FC1275"/>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2F13"/>
    <w:rsid w:val="00FC32A0"/>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C7C60"/>
    <w:rsid w:val="00FD0BB7"/>
    <w:rsid w:val="00FD0CD2"/>
    <w:rsid w:val="00FD0E43"/>
    <w:rsid w:val="00FD0F39"/>
    <w:rsid w:val="00FD1155"/>
    <w:rsid w:val="00FD1555"/>
    <w:rsid w:val="00FD15B5"/>
    <w:rsid w:val="00FD1674"/>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475"/>
    <w:rsid w:val="00FD54C6"/>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0A82"/>
    <w:rsid w:val="00FE1077"/>
    <w:rsid w:val="00FE1136"/>
    <w:rsid w:val="00FE12BF"/>
    <w:rsid w:val="00FE1773"/>
    <w:rsid w:val="00FE1813"/>
    <w:rsid w:val="00FE19FE"/>
    <w:rsid w:val="00FE1AEA"/>
    <w:rsid w:val="00FE1F1C"/>
    <w:rsid w:val="00FE21BD"/>
    <w:rsid w:val="00FE2839"/>
    <w:rsid w:val="00FE2AD3"/>
    <w:rsid w:val="00FE2BDA"/>
    <w:rsid w:val="00FE2F74"/>
    <w:rsid w:val="00FE313D"/>
    <w:rsid w:val="00FE315A"/>
    <w:rsid w:val="00FE32E0"/>
    <w:rsid w:val="00FE35A4"/>
    <w:rsid w:val="00FE39B7"/>
    <w:rsid w:val="00FE3A18"/>
    <w:rsid w:val="00FE3E10"/>
    <w:rsid w:val="00FE3EA6"/>
    <w:rsid w:val="00FE4123"/>
    <w:rsid w:val="00FE413C"/>
    <w:rsid w:val="00FE42CC"/>
    <w:rsid w:val="00FE4734"/>
    <w:rsid w:val="00FE486D"/>
    <w:rsid w:val="00FE4A75"/>
    <w:rsid w:val="00FE4DE0"/>
    <w:rsid w:val="00FE4DF5"/>
    <w:rsid w:val="00FE4E3A"/>
    <w:rsid w:val="00FE5281"/>
    <w:rsid w:val="00FE52E1"/>
    <w:rsid w:val="00FE549E"/>
    <w:rsid w:val="00FE5598"/>
    <w:rsid w:val="00FE5668"/>
    <w:rsid w:val="00FE5980"/>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E7DC6"/>
    <w:rsid w:val="00FF0004"/>
    <w:rsid w:val="00FF0264"/>
    <w:rsid w:val="00FF037E"/>
    <w:rsid w:val="00FF04A0"/>
    <w:rsid w:val="00FF082C"/>
    <w:rsid w:val="00FF0A08"/>
    <w:rsid w:val="00FF0BD3"/>
    <w:rsid w:val="00FF0FCD"/>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239"/>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63B"/>
    <w:rsid w:val="00FF7E98"/>
    <w:rsid w:val="011B1A44"/>
    <w:rsid w:val="0124AE67"/>
    <w:rsid w:val="0163C0FF"/>
    <w:rsid w:val="01740D61"/>
    <w:rsid w:val="01A65BC5"/>
    <w:rsid w:val="01BFFE5A"/>
    <w:rsid w:val="01CD4B55"/>
    <w:rsid w:val="02137D88"/>
    <w:rsid w:val="022D053E"/>
    <w:rsid w:val="024626CA"/>
    <w:rsid w:val="0279E6A7"/>
    <w:rsid w:val="029F9BB6"/>
    <w:rsid w:val="02BE244F"/>
    <w:rsid w:val="02F0B7AF"/>
    <w:rsid w:val="02F170E3"/>
    <w:rsid w:val="02FFCE6A"/>
    <w:rsid w:val="030339E6"/>
    <w:rsid w:val="0338D642"/>
    <w:rsid w:val="03595A09"/>
    <w:rsid w:val="03CAB7BC"/>
    <w:rsid w:val="03EC072C"/>
    <w:rsid w:val="0439C033"/>
    <w:rsid w:val="04B62E53"/>
    <w:rsid w:val="04D138A7"/>
    <w:rsid w:val="04DBAB9B"/>
    <w:rsid w:val="051D6B21"/>
    <w:rsid w:val="05817AD8"/>
    <w:rsid w:val="05CAC6BF"/>
    <w:rsid w:val="05D53977"/>
    <w:rsid w:val="0600E74A"/>
    <w:rsid w:val="0603AF7A"/>
    <w:rsid w:val="06782492"/>
    <w:rsid w:val="06F5DF75"/>
    <w:rsid w:val="06FED789"/>
    <w:rsid w:val="07250951"/>
    <w:rsid w:val="07EFB356"/>
    <w:rsid w:val="085F1517"/>
    <w:rsid w:val="087FA736"/>
    <w:rsid w:val="0883F63C"/>
    <w:rsid w:val="08D658E3"/>
    <w:rsid w:val="08DC69EA"/>
    <w:rsid w:val="0949C3D0"/>
    <w:rsid w:val="09ADC28D"/>
    <w:rsid w:val="09AE66A5"/>
    <w:rsid w:val="09B81EDF"/>
    <w:rsid w:val="0A4FD715"/>
    <w:rsid w:val="0A83DE57"/>
    <w:rsid w:val="0AB03503"/>
    <w:rsid w:val="0AD71B85"/>
    <w:rsid w:val="0B298E3B"/>
    <w:rsid w:val="0B45B7EB"/>
    <w:rsid w:val="0B46547A"/>
    <w:rsid w:val="0B4DA8D9"/>
    <w:rsid w:val="0B52FA1A"/>
    <w:rsid w:val="0B63DF1A"/>
    <w:rsid w:val="0B8D7E0B"/>
    <w:rsid w:val="0B98D2A9"/>
    <w:rsid w:val="0BDE6B59"/>
    <w:rsid w:val="0BE8113C"/>
    <w:rsid w:val="0C486C8A"/>
    <w:rsid w:val="0C590B7B"/>
    <w:rsid w:val="0C5EB24F"/>
    <w:rsid w:val="0C6E28F9"/>
    <w:rsid w:val="0C94696B"/>
    <w:rsid w:val="0CC0E723"/>
    <w:rsid w:val="0CEFDC19"/>
    <w:rsid w:val="0D24D226"/>
    <w:rsid w:val="0DA9556B"/>
    <w:rsid w:val="0DC2CD0C"/>
    <w:rsid w:val="0E41E55C"/>
    <w:rsid w:val="0E82E26C"/>
    <w:rsid w:val="0EC9CB06"/>
    <w:rsid w:val="0EE6AF03"/>
    <w:rsid w:val="0F08A5B9"/>
    <w:rsid w:val="0F145184"/>
    <w:rsid w:val="0F58141C"/>
    <w:rsid w:val="0F5D2032"/>
    <w:rsid w:val="0F69B422"/>
    <w:rsid w:val="0F78BBDB"/>
    <w:rsid w:val="102B7FD3"/>
    <w:rsid w:val="103A9C16"/>
    <w:rsid w:val="104AB045"/>
    <w:rsid w:val="1073BA7E"/>
    <w:rsid w:val="10B27E5C"/>
    <w:rsid w:val="110A6F07"/>
    <w:rsid w:val="1148083C"/>
    <w:rsid w:val="115597C2"/>
    <w:rsid w:val="1160FCA9"/>
    <w:rsid w:val="1196FE81"/>
    <w:rsid w:val="11AF7018"/>
    <w:rsid w:val="122EAEA9"/>
    <w:rsid w:val="123156C3"/>
    <w:rsid w:val="12901DCC"/>
    <w:rsid w:val="12B13377"/>
    <w:rsid w:val="12F01EA8"/>
    <w:rsid w:val="13166E83"/>
    <w:rsid w:val="1336623B"/>
    <w:rsid w:val="135D5A48"/>
    <w:rsid w:val="13F18B87"/>
    <w:rsid w:val="1422E5BB"/>
    <w:rsid w:val="14D80CB8"/>
    <w:rsid w:val="154CFFEE"/>
    <w:rsid w:val="15859601"/>
    <w:rsid w:val="1625A966"/>
    <w:rsid w:val="165C0EA1"/>
    <w:rsid w:val="168FF469"/>
    <w:rsid w:val="16A86610"/>
    <w:rsid w:val="172442BF"/>
    <w:rsid w:val="176BEF65"/>
    <w:rsid w:val="1791DBAE"/>
    <w:rsid w:val="182FD288"/>
    <w:rsid w:val="184A8357"/>
    <w:rsid w:val="198835B6"/>
    <w:rsid w:val="19AA0385"/>
    <w:rsid w:val="19AE3F30"/>
    <w:rsid w:val="1A2840F5"/>
    <w:rsid w:val="1A3C1736"/>
    <w:rsid w:val="1A795A00"/>
    <w:rsid w:val="1A985016"/>
    <w:rsid w:val="1AA37374"/>
    <w:rsid w:val="1B1D4DC6"/>
    <w:rsid w:val="1B2654A1"/>
    <w:rsid w:val="1B39D81E"/>
    <w:rsid w:val="1B4AB20C"/>
    <w:rsid w:val="1B81FB8C"/>
    <w:rsid w:val="1BD6D628"/>
    <w:rsid w:val="1BF17078"/>
    <w:rsid w:val="1C416AA9"/>
    <w:rsid w:val="1C8A31E1"/>
    <w:rsid w:val="1CB76EF3"/>
    <w:rsid w:val="1D0AC8CC"/>
    <w:rsid w:val="1D1C3290"/>
    <w:rsid w:val="1D2C6C23"/>
    <w:rsid w:val="1D439F12"/>
    <w:rsid w:val="1D7023DB"/>
    <w:rsid w:val="1D7E05F3"/>
    <w:rsid w:val="1D958E79"/>
    <w:rsid w:val="1DB045DB"/>
    <w:rsid w:val="1DF77608"/>
    <w:rsid w:val="1EB9C1CA"/>
    <w:rsid w:val="1EC9BA30"/>
    <w:rsid w:val="1EDECF9D"/>
    <w:rsid w:val="1EE16A24"/>
    <w:rsid w:val="1EECD88B"/>
    <w:rsid w:val="1F14C790"/>
    <w:rsid w:val="1F1D9F1D"/>
    <w:rsid w:val="1F66DAEA"/>
    <w:rsid w:val="1F845BD7"/>
    <w:rsid w:val="203CC16F"/>
    <w:rsid w:val="2055922B"/>
    <w:rsid w:val="209D8F53"/>
    <w:rsid w:val="213518F9"/>
    <w:rsid w:val="215B65ED"/>
    <w:rsid w:val="219A5835"/>
    <w:rsid w:val="21ABE6CD"/>
    <w:rsid w:val="22117DB4"/>
    <w:rsid w:val="2274DD97"/>
    <w:rsid w:val="22951361"/>
    <w:rsid w:val="234B18F4"/>
    <w:rsid w:val="23AB8740"/>
    <w:rsid w:val="23EC7911"/>
    <w:rsid w:val="23F8E528"/>
    <w:rsid w:val="24053E1D"/>
    <w:rsid w:val="240892C0"/>
    <w:rsid w:val="24F7D9D2"/>
    <w:rsid w:val="2529034E"/>
    <w:rsid w:val="25395F1C"/>
    <w:rsid w:val="25704AC2"/>
    <w:rsid w:val="2605926C"/>
    <w:rsid w:val="2649F2F8"/>
    <w:rsid w:val="26C4D3AF"/>
    <w:rsid w:val="26C6FFF1"/>
    <w:rsid w:val="2751D9C3"/>
    <w:rsid w:val="27D335BB"/>
    <w:rsid w:val="27D862D5"/>
    <w:rsid w:val="27F0FC3A"/>
    <w:rsid w:val="28A1C07C"/>
    <w:rsid w:val="28A3F5A5"/>
    <w:rsid w:val="28D3C701"/>
    <w:rsid w:val="29525415"/>
    <w:rsid w:val="29599D60"/>
    <w:rsid w:val="29602E38"/>
    <w:rsid w:val="2965478A"/>
    <w:rsid w:val="2A03C6E0"/>
    <w:rsid w:val="2A3BFF70"/>
    <w:rsid w:val="2AB510BE"/>
    <w:rsid w:val="2AD56BC3"/>
    <w:rsid w:val="2AE007BE"/>
    <w:rsid w:val="2AF99080"/>
    <w:rsid w:val="2B53EF49"/>
    <w:rsid w:val="2B670A2B"/>
    <w:rsid w:val="2B891735"/>
    <w:rsid w:val="2B9B28E5"/>
    <w:rsid w:val="2BB316B3"/>
    <w:rsid w:val="2C14DE92"/>
    <w:rsid w:val="2C2F9F67"/>
    <w:rsid w:val="2C84A07C"/>
    <w:rsid w:val="2CBA9E78"/>
    <w:rsid w:val="2CF66EF4"/>
    <w:rsid w:val="2D1FFDA5"/>
    <w:rsid w:val="2D49791E"/>
    <w:rsid w:val="2D69A8C0"/>
    <w:rsid w:val="2D77BAC4"/>
    <w:rsid w:val="2DF2A6AC"/>
    <w:rsid w:val="2E366767"/>
    <w:rsid w:val="2E8D2CA5"/>
    <w:rsid w:val="2EF3081C"/>
    <w:rsid w:val="2F5371A3"/>
    <w:rsid w:val="2FB3FF99"/>
    <w:rsid w:val="3024AA27"/>
    <w:rsid w:val="303D8983"/>
    <w:rsid w:val="308AD029"/>
    <w:rsid w:val="30A82DAC"/>
    <w:rsid w:val="30A8DC49"/>
    <w:rsid w:val="30AD27FA"/>
    <w:rsid w:val="30D5080C"/>
    <w:rsid w:val="30E1ADA7"/>
    <w:rsid w:val="30F0A203"/>
    <w:rsid w:val="314B3E47"/>
    <w:rsid w:val="314C641C"/>
    <w:rsid w:val="3185ED35"/>
    <w:rsid w:val="31880674"/>
    <w:rsid w:val="31A145FA"/>
    <w:rsid w:val="32CE8F00"/>
    <w:rsid w:val="32D4DCEB"/>
    <w:rsid w:val="32EBE45D"/>
    <w:rsid w:val="32F6D1C6"/>
    <w:rsid w:val="33154C9E"/>
    <w:rsid w:val="3328A15F"/>
    <w:rsid w:val="3380C731"/>
    <w:rsid w:val="339203EF"/>
    <w:rsid w:val="33C2F51E"/>
    <w:rsid w:val="33F35760"/>
    <w:rsid w:val="34F22E6E"/>
    <w:rsid w:val="350E3B83"/>
    <w:rsid w:val="359378B3"/>
    <w:rsid w:val="35E29D0E"/>
    <w:rsid w:val="35EB4DB7"/>
    <w:rsid w:val="363BF646"/>
    <w:rsid w:val="368949CB"/>
    <w:rsid w:val="368AEDFF"/>
    <w:rsid w:val="36DB239D"/>
    <w:rsid w:val="37371929"/>
    <w:rsid w:val="375EA8DB"/>
    <w:rsid w:val="37DD6563"/>
    <w:rsid w:val="383E9E57"/>
    <w:rsid w:val="3883EE1A"/>
    <w:rsid w:val="388A11A0"/>
    <w:rsid w:val="388FA928"/>
    <w:rsid w:val="389FBB08"/>
    <w:rsid w:val="38AC4CB2"/>
    <w:rsid w:val="38CFEE57"/>
    <w:rsid w:val="391B0E30"/>
    <w:rsid w:val="39428CF4"/>
    <w:rsid w:val="3979C675"/>
    <w:rsid w:val="3A9EFC58"/>
    <w:rsid w:val="3ABFA52D"/>
    <w:rsid w:val="3AED3211"/>
    <w:rsid w:val="3B3FD2E2"/>
    <w:rsid w:val="3B40CECA"/>
    <w:rsid w:val="3B8CA05C"/>
    <w:rsid w:val="3C62FC51"/>
    <w:rsid w:val="3CB8580E"/>
    <w:rsid w:val="3CC799FA"/>
    <w:rsid w:val="3CCFF24C"/>
    <w:rsid w:val="3D5ED357"/>
    <w:rsid w:val="3D7D6D10"/>
    <w:rsid w:val="3DA82278"/>
    <w:rsid w:val="3DB5791E"/>
    <w:rsid w:val="3DFDFB9A"/>
    <w:rsid w:val="3E2FA636"/>
    <w:rsid w:val="3E44F2B1"/>
    <w:rsid w:val="3E6DD65F"/>
    <w:rsid w:val="3E7793F8"/>
    <w:rsid w:val="3E802B9B"/>
    <w:rsid w:val="3E921C90"/>
    <w:rsid w:val="3E94ED1C"/>
    <w:rsid w:val="3EA456BD"/>
    <w:rsid w:val="3F55443E"/>
    <w:rsid w:val="3FAB861A"/>
    <w:rsid w:val="3FACEF60"/>
    <w:rsid w:val="40091645"/>
    <w:rsid w:val="4055A31F"/>
    <w:rsid w:val="407459C8"/>
    <w:rsid w:val="40A37B19"/>
    <w:rsid w:val="40C67F50"/>
    <w:rsid w:val="40ED7BC5"/>
    <w:rsid w:val="41304153"/>
    <w:rsid w:val="417CE36C"/>
    <w:rsid w:val="41E14065"/>
    <w:rsid w:val="41EA5E50"/>
    <w:rsid w:val="420CB439"/>
    <w:rsid w:val="4257FDC3"/>
    <w:rsid w:val="429E82B8"/>
    <w:rsid w:val="42A8BBF5"/>
    <w:rsid w:val="42C140A2"/>
    <w:rsid w:val="42D41B1E"/>
    <w:rsid w:val="42D43B31"/>
    <w:rsid w:val="4314A8C8"/>
    <w:rsid w:val="431E3C71"/>
    <w:rsid w:val="438130D4"/>
    <w:rsid w:val="43957365"/>
    <w:rsid w:val="43BDA9EA"/>
    <w:rsid w:val="440BA61C"/>
    <w:rsid w:val="441F0806"/>
    <w:rsid w:val="44576E7B"/>
    <w:rsid w:val="44696E15"/>
    <w:rsid w:val="446B2741"/>
    <w:rsid w:val="446FEB7F"/>
    <w:rsid w:val="44DE4358"/>
    <w:rsid w:val="451165C1"/>
    <w:rsid w:val="4545B50D"/>
    <w:rsid w:val="457008A9"/>
    <w:rsid w:val="45836812"/>
    <w:rsid w:val="45865B27"/>
    <w:rsid w:val="459C0EA9"/>
    <w:rsid w:val="461C5E2D"/>
    <w:rsid w:val="4626ADB4"/>
    <w:rsid w:val="46426DBE"/>
    <w:rsid w:val="4654387F"/>
    <w:rsid w:val="4708932E"/>
    <w:rsid w:val="471E86F1"/>
    <w:rsid w:val="4794D017"/>
    <w:rsid w:val="47DE513C"/>
    <w:rsid w:val="480F7DD8"/>
    <w:rsid w:val="48399DAF"/>
    <w:rsid w:val="48B1C0E7"/>
    <w:rsid w:val="4A26ACB6"/>
    <w:rsid w:val="4A29770E"/>
    <w:rsid w:val="4A32A21D"/>
    <w:rsid w:val="4AC1DD3C"/>
    <w:rsid w:val="4ADD41BB"/>
    <w:rsid w:val="4AEEE7B4"/>
    <w:rsid w:val="4AFEFA02"/>
    <w:rsid w:val="4B0C8D79"/>
    <w:rsid w:val="4B5939DA"/>
    <w:rsid w:val="4B60CD2A"/>
    <w:rsid w:val="4B62E99A"/>
    <w:rsid w:val="4B6C5429"/>
    <w:rsid w:val="4B9AB4B7"/>
    <w:rsid w:val="4BA18E04"/>
    <w:rsid w:val="4BB15CF5"/>
    <w:rsid w:val="4BBB5C16"/>
    <w:rsid w:val="4BBB6163"/>
    <w:rsid w:val="4BCA6F6E"/>
    <w:rsid w:val="4BEAAE8D"/>
    <w:rsid w:val="4C0A0EEE"/>
    <w:rsid w:val="4C7AFF6D"/>
    <w:rsid w:val="4C9ACA63"/>
    <w:rsid w:val="4CAEB6FC"/>
    <w:rsid w:val="4CBC9644"/>
    <w:rsid w:val="4D6E3B9A"/>
    <w:rsid w:val="4D79C192"/>
    <w:rsid w:val="4DA0FC5C"/>
    <w:rsid w:val="4DCCC2C3"/>
    <w:rsid w:val="4F466FA7"/>
    <w:rsid w:val="4F819BAE"/>
    <w:rsid w:val="4FA270A9"/>
    <w:rsid w:val="5061BB1D"/>
    <w:rsid w:val="50B0834B"/>
    <w:rsid w:val="50B70942"/>
    <w:rsid w:val="50D2378E"/>
    <w:rsid w:val="50D9CB82"/>
    <w:rsid w:val="50E756D0"/>
    <w:rsid w:val="50FC8FF7"/>
    <w:rsid w:val="5126C04D"/>
    <w:rsid w:val="51333B84"/>
    <w:rsid w:val="5173AF20"/>
    <w:rsid w:val="51F3BD2B"/>
    <w:rsid w:val="5257A9BF"/>
    <w:rsid w:val="52D22402"/>
    <w:rsid w:val="52DC2B3E"/>
    <w:rsid w:val="5335B620"/>
    <w:rsid w:val="53793551"/>
    <w:rsid w:val="538622C3"/>
    <w:rsid w:val="53881C23"/>
    <w:rsid w:val="53CF2A64"/>
    <w:rsid w:val="53E795A4"/>
    <w:rsid w:val="54004DA4"/>
    <w:rsid w:val="5430B7E6"/>
    <w:rsid w:val="54A6DC41"/>
    <w:rsid w:val="54BD4275"/>
    <w:rsid w:val="54D32C0F"/>
    <w:rsid w:val="54DB793A"/>
    <w:rsid w:val="55202C5D"/>
    <w:rsid w:val="55C6DFF4"/>
    <w:rsid w:val="55CCCD24"/>
    <w:rsid w:val="5613AD9C"/>
    <w:rsid w:val="56163AD8"/>
    <w:rsid w:val="56E50F60"/>
    <w:rsid w:val="56ED0EAA"/>
    <w:rsid w:val="56ED6456"/>
    <w:rsid w:val="57254579"/>
    <w:rsid w:val="57346020"/>
    <w:rsid w:val="576C62E1"/>
    <w:rsid w:val="5779D179"/>
    <w:rsid w:val="5791E84E"/>
    <w:rsid w:val="586EED60"/>
    <w:rsid w:val="58C27700"/>
    <w:rsid w:val="59002B62"/>
    <w:rsid w:val="592C4CD9"/>
    <w:rsid w:val="5945FA2D"/>
    <w:rsid w:val="594CE87C"/>
    <w:rsid w:val="597502CD"/>
    <w:rsid w:val="5987B359"/>
    <w:rsid w:val="59B810B6"/>
    <w:rsid w:val="5A341B02"/>
    <w:rsid w:val="5A544187"/>
    <w:rsid w:val="5A76BC04"/>
    <w:rsid w:val="5A9D1541"/>
    <w:rsid w:val="5AA4038B"/>
    <w:rsid w:val="5AFA8C29"/>
    <w:rsid w:val="5B44A93E"/>
    <w:rsid w:val="5B4AFB5A"/>
    <w:rsid w:val="5B93B5E2"/>
    <w:rsid w:val="5B944D02"/>
    <w:rsid w:val="5BB2F4DC"/>
    <w:rsid w:val="5BBDB9BE"/>
    <w:rsid w:val="5C00EFE1"/>
    <w:rsid w:val="5C65C2BC"/>
    <w:rsid w:val="5C834851"/>
    <w:rsid w:val="5C85B3C8"/>
    <w:rsid w:val="5CC84AAD"/>
    <w:rsid w:val="5D0DEF13"/>
    <w:rsid w:val="5D3E30AC"/>
    <w:rsid w:val="5D47AD3C"/>
    <w:rsid w:val="5D77AF50"/>
    <w:rsid w:val="5D9C2FE7"/>
    <w:rsid w:val="5E9D4680"/>
    <w:rsid w:val="5EEEECCD"/>
    <w:rsid w:val="5EF8B6F8"/>
    <w:rsid w:val="5F33A343"/>
    <w:rsid w:val="5F4B5424"/>
    <w:rsid w:val="5FE23BC2"/>
    <w:rsid w:val="5FE77DEE"/>
    <w:rsid w:val="6033275D"/>
    <w:rsid w:val="60377065"/>
    <w:rsid w:val="603E93C3"/>
    <w:rsid w:val="60CF73A4"/>
    <w:rsid w:val="612AEBF3"/>
    <w:rsid w:val="612F2334"/>
    <w:rsid w:val="615D2C59"/>
    <w:rsid w:val="616FD595"/>
    <w:rsid w:val="61A60D85"/>
    <w:rsid w:val="61D0A583"/>
    <w:rsid w:val="61DA7565"/>
    <w:rsid w:val="620D5DBF"/>
    <w:rsid w:val="6216BB30"/>
    <w:rsid w:val="62189248"/>
    <w:rsid w:val="62702232"/>
    <w:rsid w:val="6270CD27"/>
    <w:rsid w:val="6385165B"/>
    <w:rsid w:val="63C5CCDD"/>
    <w:rsid w:val="6403CC1C"/>
    <w:rsid w:val="644AC68A"/>
    <w:rsid w:val="6463634D"/>
    <w:rsid w:val="647C8892"/>
    <w:rsid w:val="64CADEBE"/>
    <w:rsid w:val="651F81AB"/>
    <w:rsid w:val="65A7C118"/>
    <w:rsid w:val="65B66C52"/>
    <w:rsid w:val="65C2AB00"/>
    <w:rsid w:val="65D33D78"/>
    <w:rsid w:val="65E6E39B"/>
    <w:rsid w:val="65E719EE"/>
    <w:rsid w:val="663EABB5"/>
    <w:rsid w:val="665044EE"/>
    <w:rsid w:val="66961AE6"/>
    <w:rsid w:val="670490DC"/>
    <w:rsid w:val="674F0027"/>
    <w:rsid w:val="6770B3F3"/>
    <w:rsid w:val="6781D626"/>
    <w:rsid w:val="679D27D6"/>
    <w:rsid w:val="67B07EF7"/>
    <w:rsid w:val="681B722B"/>
    <w:rsid w:val="683A7A8F"/>
    <w:rsid w:val="68482200"/>
    <w:rsid w:val="685A7FB6"/>
    <w:rsid w:val="686D7CC0"/>
    <w:rsid w:val="687334FE"/>
    <w:rsid w:val="68D59742"/>
    <w:rsid w:val="68DA8589"/>
    <w:rsid w:val="68E72B16"/>
    <w:rsid w:val="69031315"/>
    <w:rsid w:val="69AB4759"/>
    <w:rsid w:val="69C11890"/>
    <w:rsid w:val="69FAB515"/>
    <w:rsid w:val="6A0B3AC7"/>
    <w:rsid w:val="6A58EBED"/>
    <w:rsid w:val="6AC6D4B5"/>
    <w:rsid w:val="6AE4E475"/>
    <w:rsid w:val="6B0CC999"/>
    <w:rsid w:val="6B40320C"/>
    <w:rsid w:val="6B4CF2DC"/>
    <w:rsid w:val="6BA6F5A5"/>
    <w:rsid w:val="6BA897CD"/>
    <w:rsid w:val="6C64EF14"/>
    <w:rsid w:val="6C7D4BDF"/>
    <w:rsid w:val="6C881B20"/>
    <w:rsid w:val="6C99823D"/>
    <w:rsid w:val="6CD8B8F2"/>
    <w:rsid w:val="6D32AE83"/>
    <w:rsid w:val="6D7D3E10"/>
    <w:rsid w:val="6D7FB3E4"/>
    <w:rsid w:val="6D97D625"/>
    <w:rsid w:val="6D9B7C20"/>
    <w:rsid w:val="6DD0CD27"/>
    <w:rsid w:val="6E1CCF4D"/>
    <w:rsid w:val="6E498108"/>
    <w:rsid w:val="6E8D728C"/>
    <w:rsid w:val="6E9C8280"/>
    <w:rsid w:val="6F2FE505"/>
    <w:rsid w:val="6F309EB0"/>
    <w:rsid w:val="6F4E3A6F"/>
    <w:rsid w:val="6F5AF2A4"/>
    <w:rsid w:val="6FAF8FC4"/>
    <w:rsid w:val="6FAF971E"/>
    <w:rsid w:val="6FC27869"/>
    <w:rsid w:val="702015E7"/>
    <w:rsid w:val="703F7ADE"/>
    <w:rsid w:val="70414441"/>
    <w:rsid w:val="704FD919"/>
    <w:rsid w:val="70823829"/>
    <w:rsid w:val="70A78247"/>
    <w:rsid w:val="70EC91E0"/>
    <w:rsid w:val="70EFA77F"/>
    <w:rsid w:val="70FF1532"/>
    <w:rsid w:val="7136A19D"/>
    <w:rsid w:val="71613785"/>
    <w:rsid w:val="719E592D"/>
    <w:rsid w:val="723C3714"/>
    <w:rsid w:val="7253A5DE"/>
    <w:rsid w:val="72A96D00"/>
    <w:rsid w:val="730438AD"/>
    <w:rsid w:val="731462B1"/>
    <w:rsid w:val="734F4EE8"/>
    <w:rsid w:val="736C3013"/>
    <w:rsid w:val="73717A6D"/>
    <w:rsid w:val="73881181"/>
    <w:rsid w:val="73B71405"/>
    <w:rsid w:val="746BD432"/>
    <w:rsid w:val="74C421B8"/>
    <w:rsid w:val="74C7943E"/>
    <w:rsid w:val="74CE98A3"/>
    <w:rsid w:val="74D3BF5C"/>
    <w:rsid w:val="74D8BD3F"/>
    <w:rsid w:val="74E8FFC9"/>
    <w:rsid w:val="74F68565"/>
    <w:rsid w:val="753646B8"/>
    <w:rsid w:val="754C0F5F"/>
    <w:rsid w:val="758ADC1F"/>
    <w:rsid w:val="7594A989"/>
    <w:rsid w:val="759B30EE"/>
    <w:rsid w:val="759FE034"/>
    <w:rsid w:val="75C8E48B"/>
    <w:rsid w:val="76315A75"/>
    <w:rsid w:val="7661A914"/>
    <w:rsid w:val="767C40C9"/>
    <w:rsid w:val="76927820"/>
    <w:rsid w:val="76BE620D"/>
    <w:rsid w:val="76C984AD"/>
    <w:rsid w:val="771786FD"/>
    <w:rsid w:val="773AB55B"/>
    <w:rsid w:val="7744E29F"/>
    <w:rsid w:val="7750460B"/>
    <w:rsid w:val="776F5250"/>
    <w:rsid w:val="777548B9"/>
    <w:rsid w:val="778CDBE8"/>
    <w:rsid w:val="78A2EE15"/>
    <w:rsid w:val="78A3F722"/>
    <w:rsid w:val="78EAF0AA"/>
    <w:rsid w:val="78F491D5"/>
    <w:rsid w:val="7939E4E8"/>
    <w:rsid w:val="797096B4"/>
    <w:rsid w:val="79C7D65D"/>
    <w:rsid w:val="7A1D492D"/>
    <w:rsid w:val="7A5C1CC7"/>
    <w:rsid w:val="7AB083D8"/>
    <w:rsid w:val="7B8DB337"/>
    <w:rsid w:val="7BB3DFA4"/>
    <w:rsid w:val="7C19E3BD"/>
    <w:rsid w:val="7C458B8E"/>
    <w:rsid w:val="7C475F48"/>
    <w:rsid w:val="7CDFF419"/>
    <w:rsid w:val="7D19B7FC"/>
    <w:rsid w:val="7D5D91C1"/>
    <w:rsid w:val="7D7CF5D7"/>
    <w:rsid w:val="7DB77348"/>
    <w:rsid w:val="7E4951D6"/>
    <w:rsid w:val="7E540DB1"/>
    <w:rsid w:val="7E6E11DD"/>
    <w:rsid w:val="7E7011B5"/>
    <w:rsid w:val="7EBA90B0"/>
    <w:rsid w:val="7EBF9448"/>
    <w:rsid w:val="7EEB8E5E"/>
    <w:rsid w:val="7EFDA4CF"/>
    <w:rsid w:val="7F18C36D"/>
    <w:rsid w:val="7F55FA1B"/>
    <w:rsid w:val="7F6457AD"/>
    <w:rsid w:val="7FA278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FD112"/>
  <w15:docId w15:val="{9D37BED4-7BF9-4870-B0EE-D59DA69D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CharCharChar00">
    <w:name w:val="Char Char Char00"/>
    <w:basedOn w:val="Normal"/>
    <w:uiPriority w:val="99"/>
    <w:rsid w:val="002A0396"/>
    <w:pPr>
      <w:spacing w:after="160" w:line="240" w:lineRule="exact"/>
      <w:jc w:val="left"/>
    </w:pPr>
    <w:rPr>
      <w:rFonts w:ascii="Tahoma" w:hAnsi="Tahoma"/>
      <w:sz w:val="20"/>
      <w:lang w:eastAsia="en-US"/>
    </w:rPr>
  </w:style>
  <w:style w:type="paragraph" w:customStyle="1" w:styleId="ZnakZnak00">
    <w:name w:val="Znak Znak00"/>
    <w:basedOn w:val="Normal"/>
    <w:rsid w:val="002A0396"/>
    <w:pPr>
      <w:spacing w:after="0" w:line="360" w:lineRule="auto"/>
    </w:pPr>
    <w:rPr>
      <w:rFonts w:ascii="Verdana" w:hAnsi="Verdana"/>
      <w:sz w:val="20"/>
      <w:lang w:eastAsia="pl-PL"/>
    </w:rPr>
  </w:style>
  <w:style w:type="character" w:styleId="Mention">
    <w:name w:val="Mention"/>
    <w:uiPriority w:val="99"/>
    <w:unhideWhenUsed/>
    <w:rPr>
      <w:color w:val="2B579A"/>
      <w:shd w:val="clear" w:color="auto" w:fill="E6E6E6"/>
    </w:rPr>
  </w:style>
  <w:style w:type="paragraph" w:customStyle="1" w:styleId="Briefinglist2">
    <w:name w:val="Briefing list 2"/>
    <w:basedOn w:val="Normal"/>
    <w:link w:val="Briefinglist2Char"/>
    <w:rsid w:val="00625342"/>
    <w:pPr>
      <w:keepLines/>
      <w:spacing w:after="120"/>
      <w:ind w:left="1723" w:hanging="357"/>
    </w:pPr>
    <w:rPr>
      <w:rFonts w:ascii="Arial" w:hAnsi="Arial" w:cs="Arial"/>
      <w:sz w:val="22"/>
      <w:szCs w:val="24"/>
      <w:lang w:eastAsia="en-US"/>
    </w:rPr>
  </w:style>
  <w:style w:type="character" w:customStyle="1" w:styleId="Briefinglist2Char">
    <w:name w:val="Briefing list 2 Char"/>
    <w:link w:val="Briefinglist2"/>
    <w:rsid w:val="00625342"/>
    <w:rPr>
      <w:rFonts w:ascii="Arial" w:hAnsi="Arial" w:cs="Arial"/>
      <w:sz w:val="22"/>
      <w:szCs w:val="24"/>
      <w:lang w:val="fr-FR" w:eastAsia="en-US"/>
    </w:rPr>
  </w:style>
  <w:style w:type="character" w:styleId="UnresolvedMention">
    <w:name w:val="Unresolved Mention"/>
    <w:uiPriority w:val="99"/>
    <w:semiHidden/>
    <w:unhideWhenUsed/>
    <w:rsid w:val="00564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eil.secure.europarl.europa.eu/oeil/popups/ficheprocedure.do?lang=fr&amp;reference=2016/2891(RSP)" TargetMode="Externa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uri=CELEX%3A52022DC0716&amp;qid=1722429525380" TargetMode="External"/><Relationship Id="rId2" Type="http://schemas.openxmlformats.org/officeDocument/2006/relationships/hyperlink" Target="https://eur-lex.europa.eu/legal-content/FR/TXT/?uri=CELEX%3A52023JC0012" TargetMode="External"/><Relationship Id="rId1" Type="http://schemas.openxmlformats.org/officeDocument/2006/relationships/hyperlink" Target="https://commission.europa.eu/publications/2022-annual-report-monitoring-application-eu-law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documenttasks/documenttasks1.xml><?xml version="1.0" encoding="utf-8"?>
<t:Tasks xmlns:t="http://schemas.microsoft.com/office/tasks/2019/documenttasks" xmlns:oel="http://schemas.microsoft.com/office/2019/extlst">
  <t:Task id="{89A8D8EE-87F3-4E02-9914-ACD5B70EB963}">
    <t:Anchor>
      <t:Comment id="1758166116"/>
    </t:Anchor>
    <t:History>
      <t:Event id="{0323FD49-6A51-4F68-A724-B34DCC3A8340}" time="2024-03-15T11:07:51.426Z">
        <t:Attribution userId="S::oscar.polli11@ec.europa.eu::f66b26d4-9cee-4671-9a01-8a88b6ed371f" userProvider="AD" userName="POLLI Oscar (BUDG)"/>
        <t:Anchor>
          <t:Comment id="1758166116"/>
        </t:Anchor>
        <t:Create/>
      </t:Event>
      <t:Event id="{5A63BC2B-0400-4960-9392-2F0F4F3B28BE}" time="2024-03-15T11:07:51.426Z">
        <t:Attribution userId="S::oscar.polli11@ec.europa.eu::f66b26d4-9cee-4671-9a01-8a88b6ed371f" userProvider="AD" userName="POLLI Oscar (BUDG)"/>
        <t:Anchor>
          <t:Comment id="1758166116"/>
        </t:Anchor>
        <t:Assign userId="S::Sarah-Ann.SPITERI@ec.europa.eu::24e2441b-1d8f-4e8d-9eb6-e54fd05a3137" userProvider="AD" userName="SPITERI Sarah-Ann (BUDG)"/>
      </t:Event>
      <t:Event id="{DE24B7B0-2DF6-41F5-88DE-7B2B78AEDA2E}" time="2024-03-15T11:07:51.426Z">
        <t:Attribution userId="S::oscar.polli11@ec.europa.eu::f66b26d4-9cee-4671-9a01-8a88b6ed371f" userProvider="AD" userName="POLLI Oscar (BUDG)"/>
        <t:Anchor>
          <t:Comment id="1758166116"/>
        </t:Anchor>
        <t:SetTitle title="@SPITERI Sarah-Ann (BUDG)"/>
      </t:Event>
    </t:History>
  </t:Task>
  <t:Task id="{A566FD6D-51C8-4B27-BBBC-7FBF05529BFB}">
    <t:Anchor>
      <t:Comment id="496802076"/>
    </t:Anchor>
    <t:History>
      <t:Event id="{3FCF2824-DF8A-4649-A3CF-6B36EEEC1D60}" time="2024-03-19T12:50:10.701Z">
        <t:Attribution userId="S::Alessia.VALENTINO@ec.europa.eu::6da22d80-46bb-44f2-9f35-f8870b5b0a46" userProvider="AD" userName="VALENTINO Alessia (JUST)"/>
        <t:Anchor>
          <t:Comment id="496802076"/>
        </t:Anchor>
        <t:Create/>
      </t:Event>
      <t:Event id="{3EB1B307-321C-4307-BACF-0786023C692A}" time="2024-03-19T12:50:10.701Z">
        <t:Attribution userId="S::Alessia.VALENTINO@ec.europa.eu::6da22d80-46bb-44f2-9f35-f8870b5b0a46" userProvider="AD" userName="VALENTINO Alessia (JUST)"/>
        <t:Anchor>
          <t:Comment id="496802076"/>
        </t:Anchor>
        <t:Assign userId="S::Femke.GREMMELPREZ@ec.europa.eu::87c75459-5fe8-4456-85f7-d1d32dc9228b" userProvider="AD" userName="GREMMELPREZ Femke (JUST)"/>
      </t:Event>
      <t:Event id="{7968764F-C52B-4A2F-B8DB-B1F8E4F57A8D}" time="2024-03-19T12:50:10.701Z">
        <t:Attribution userId="S::Alessia.VALENTINO@ec.europa.eu::6da22d80-46bb-44f2-9f35-f8870b5b0a46" userProvider="AD" userName="VALENTINO Alessia (JUST)"/>
        <t:Anchor>
          <t:Comment id="496802076"/>
        </t:Anchor>
        <t:SetTitle title="@GREMMELPREZ Femke (JUST) is there anything in the introduction to the Charter report we could use here?"/>
      </t:Event>
    </t:History>
  </t:Task>
  <t:Task id="{53196842-8AF6-4119-AC4E-019F10D1F312}">
    <t:Anchor>
      <t:Comment id="698619538"/>
    </t:Anchor>
    <t:History>
      <t:Event id="{D81BD465-A5D4-4C25-B7FF-573EF551A250}" time="2024-03-19T12:50:10.701Z">
        <t:Attribution userId="S::Alessia.VALENTINO@ec.europa.eu::6da22d80-46bb-44f2-9f35-f8870b5b0a46" userProvider="AD" userName="VALENTINO Alessia (JUST)"/>
        <t:Anchor>
          <t:Comment id="698619538"/>
        </t:Anchor>
        <t:Create/>
      </t:Event>
      <t:Event id="{2404B4A6-2752-4E92-B5E3-31E51C717C9D}" time="2024-03-19T12:50:10.701Z">
        <t:Attribution userId="S::Alessia.VALENTINO@ec.europa.eu::6da22d80-46bb-44f2-9f35-f8870b5b0a46" userProvider="AD" userName="VALENTINO Alessia (JUST)"/>
        <t:Anchor>
          <t:Comment id="698619538"/>
        </t:Anchor>
        <t:Assign userId="S::Femke.GREMMELPREZ@ec.europa.eu::87c75459-5fe8-4456-85f7-d1d32dc9228b" userProvider="AD" userName="GREMMELPREZ Femke (JUST)"/>
      </t:Event>
      <t:Event id="{70D1E819-7B08-46BD-8B0D-94EA4C417B5D}" time="2024-03-19T12:50:10.701Z">
        <t:Attribution userId="S::Alessia.VALENTINO@ec.europa.eu::6da22d80-46bb-44f2-9f35-f8870b5b0a46" userProvider="AD" userName="VALENTINO Alessia (JUST)"/>
        <t:Anchor>
          <t:Comment id="698619538"/>
        </t:Anchor>
        <t:SetTitle title="@GREMMELPREZ Femke (JUST) is there anything in the introduction to the Charter report we could use here?"/>
      </t:Event>
    </t:History>
  </t:Task>
  <t:Task id="{CDDF33BE-CE67-4002-BC70-B0AA1DE0465F}">
    <t:Anchor>
      <t:Comment id="698621956"/>
    </t:Anchor>
    <t:History>
      <t:Event id="{0C895534-3FBA-41D8-8C95-EE975A27EA0D}" time="2024-03-19T13:30:28.83Z">
        <t:Attribution userId="S::Ingrid.BELLANDER-TODINO@ec.europa.eu::7695c104-3531-4607-ad23-15f9ca131fca" userProvider="AD" userName="BELLANDER TODINO Ingrid (JUST)"/>
        <t:Anchor>
          <t:Comment id="698621956"/>
        </t:Anchor>
        <t:Create/>
      </t:Event>
      <t:Event id="{34FD3E62-9C1F-41C8-8C30-215FE005C049}" time="2024-03-19T13:30:28.83Z">
        <t:Attribution userId="S::Ingrid.BELLANDER-TODINO@ec.europa.eu::7695c104-3531-4607-ad23-15f9ca131fca" userProvider="AD" userName="BELLANDER TODINO Ingrid (JUST)"/>
        <t:Anchor>
          <t:Comment id="698621956"/>
        </t:Anchor>
        <t:Assign userId="S::Alessia.VALENTINO@ec.europa.eu::6da22d80-46bb-44f2-9f35-f8870b5b0a46" userProvider="AD" userName="VALENTINO Alessia (JUST)"/>
      </t:Event>
      <t:Event id="{321FE909-07F6-4F18-8F2D-6C3B52977BB7}" time="2024-03-19T13:30:28.83Z">
        <t:Attribution userId="S::Ingrid.BELLANDER-TODINO@ec.europa.eu::7695c104-3531-4607-ad23-15f9ca131fca" userProvider="AD" userName="BELLANDER TODINO Ingrid (JUST)"/>
        <t:Anchor>
          <t:Comment id="698621956"/>
        </t:Anchor>
        <t:SetTitle title="@VALENTINO Alessia (JUST) please tone this down a bit to avoid the Commission making such a commitment. Align the text with the concluding repor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9DDE-6A82-4DF7-9B5C-BEF9BD79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7</Pages>
  <Words>4181</Words>
  <Characters>22791</Characters>
  <Application>Microsoft Office Word</Application>
  <DocSecurity>0</DocSecurity>
  <PresentationFormat>Microsoft Word 8.0b</PresentationFormat>
  <Lines>325</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26942</CharactersWithSpaces>
  <SharedDoc>false</SharedDoc>
  <HLinks>
    <vt:vector size="24"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ariant>
        <vt:i4>3145850</vt:i4>
      </vt:variant>
      <vt:variant>
        <vt:i4>6</vt:i4>
      </vt:variant>
      <vt:variant>
        <vt:i4>0</vt:i4>
      </vt:variant>
      <vt:variant>
        <vt:i4>5</vt:i4>
      </vt:variant>
      <vt:variant>
        <vt:lpwstr>https://commission.europa.eu/system/files/2022-12/1_1_201131_2022_charter_report_en.pdf</vt:lpwstr>
      </vt:variant>
      <vt:variant>
        <vt:lpwstr/>
      </vt:variant>
      <vt:variant>
        <vt:i4>7405604</vt:i4>
      </vt:variant>
      <vt:variant>
        <vt:i4>3</vt:i4>
      </vt:variant>
      <vt:variant>
        <vt:i4>0</vt:i4>
      </vt:variant>
      <vt:variant>
        <vt:i4>5</vt:i4>
      </vt:variant>
      <vt:variant>
        <vt:lpwstr>https://eur-lex.europa.eu/legal-content/EN/TXT/?uri=CELEX%3A52023JC0012</vt:lpwstr>
      </vt:variant>
      <vt:variant>
        <vt:lpwstr/>
      </vt:variant>
      <vt:variant>
        <vt:i4>5374014</vt:i4>
      </vt:variant>
      <vt:variant>
        <vt:i4>0</vt:i4>
      </vt:variant>
      <vt:variant>
        <vt:i4>0</vt:i4>
      </vt:variant>
      <vt:variant>
        <vt:i4>5</vt:i4>
      </vt:variant>
      <vt:variant>
        <vt:lpwstr>https://commission.europa.eu/publications/2022-annual-report-monitoring-application-eu-law_en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DELBAER Gerda (SG)</cp:lastModifiedBy>
  <cp:revision>2</cp:revision>
  <cp:lastPrinted>2017-11-27T11:32:00Z</cp:lastPrinted>
  <dcterms:created xsi:type="dcterms:W3CDTF">2024-08-02T14:49:00Z</dcterms:created>
  <dcterms:modified xsi:type="dcterms:W3CDTF">2024-08-02T14:49:00Z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2024-03-11T09:36:20Z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a95c2968-da65-4788-8cf8-ef8bb4b796cc</vt:lpwstr>
  </property>
  <property fmtid="{D5CDD505-2E9C-101B-9397-08002B2CF9AE}" pid="19" name="MSIP_Label_6bd9ddd1-4d20-43f6-abfa-fc3c07406f94_ContentBits">
    <vt:lpwstr>0</vt:lpwstr>
  </property>
</Properties>
</file>