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4D78C" w14:textId="7649A571" w:rsidR="006E354F" w:rsidRPr="00581F67" w:rsidRDefault="006E354F" w:rsidP="0030703E">
      <w:pPr>
        <w:spacing w:after="600" w:line="240" w:lineRule="auto"/>
        <w:jc w:val="center"/>
        <w:rPr>
          <w:rFonts w:ascii="Times New Roman" w:hAnsi="Times New Roman" w:cs="Times New Roman"/>
          <w:b/>
          <w:bCs/>
          <w:sz w:val="24"/>
          <w:szCs w:val="24"/>
        </w:rPr>
      </w:pPr>
      <w:r>
        <w:rPr>
          <w:rFonts w:ascii="Times New Roman" w:hAnsi="Times New Roman"/>
          <w:b/>
          <w:sz w:val="24"/>
        </w:rPr>
        <w:t>Suite donnée à la résolution non législative du Parlement européen sur la mise en œuvre de l’accord de partenariat économique (APE) UE-Communauté de développement de l’Afrique australe (CDAA)</w:t>
      </w:r>
    </w:p>
    <w:p w14:paraId="2B4DF000" w14:textId="24F8CB04" w:rsidR="006E354F" w:rsidRPr="0030703E" w:rsidRDefault="006E354F" w:rsidP="0030703E">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sz w:val="24"/>
          <w:szCs w:val="24"/>
        </w:rPr>
      </w:pPr>
      <w:r>
        <w:rPr>
          <w:rFonts w:ascii="Times New Roman" w:hAnsi="Times New Roman"/>
          <w:b/>
          <w:sz w:val="24"/>
        </w:rPr>
        <w:t xml:space="preserve">Rapporteur: </w:t>
      </w:r>
      <w:r>
        <w:rPr>
          <w:rFonts w:ascii="Times New Roman" w:hAnsi="Times New Roman"/>
          <w:sz w:val="24"/>
        </w:rPr>
        <w:t>Joachim SCHUSTER (S&amp;D / DE)</w:t>
      </w:r>
    </w:p>
    <w:p w14:paraId="6EA38EFA" w14:textId="146E3EBF" w:rsidR="006E354F" w:rsidRPr="00581F67" w:rsidRDefault="006E354F" w:rsidP="0030703E">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sz w:val="24"/>
          <w:szCs w:val="24"/>
        </w:rPr>
      </w:pPr>
      <w:r>
        <w:rPr>
          <w:rFonts w:ascii="Times New Roman" w:hAnsi="Times New Roman"/>
          <w:b/>
          <w:sz w:val="24"/>
        </w:rPr>
        <w:t xml:space="preserve">Numéros de référence: </w:t>
      </w:r>
      <w:r>
        <w:rPr>
          <w:rFonts w:ascii="Times New Roman" w:hAnsi="Times New Roman"/>
          <w:sz w:val="24"/>
        </w:rPr>
        <w:t>2023/2065 (INI)/ A9-0</w:t>
      </w:r>
      <w:r w:rsidR="00123ACC">
        <w:rPr>
          <w:rFonts w:ascii="Times New Roman" w:hAnsi="Times New Roman"/>
          <w:sz w:val="24"/>
        </w:rPr>
        <w:t>024</w:t>
      </w:r>
      <w:r>
        <w:rPr>
          <w:rFonts w:ascii="Times New Roman" w:hAnsi="Times New Roman"/>
          <w:sz w:val="24"/>
        </w:rPr>
        <w:t>/202</w:t>
      </w:r>
      <w:r w:rsidR="00123ACC">
        <w:rPr>
          <w:rFonts w:ascii="Times New Roman" w:hAnsi="Times New Roman"/>
          <w:sz w:val="24"/>
        </w:rPr>
        <w:t>4</w:t>
      </w:r>
      <w:bookmarkStart w:id="0" w:name="_GoBack"/>
      <w:bookmarkEnd w:id="0"/>
      <w:r>
        <w:rPr>
          <w:rFonts w:ascii="Times New Roman" w:hAnsi="Times New Roman"/>
          <w:sz w:val="24"/>
        </w:rPr>
        <w:t xml:space="preserve"> / P9_TA(2024)0121 </w:t>
      </w:r>
    </w:p>
    <w:p w14:paraId="08C96250" w14:textId="618FD181" w:rsidR="006E354F" w:rsidRPr="00581F67" w:rsidRDefault="006E354F" w:rsidP="0030703E">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sz w:val="24"/>
          <w:szCs w:val="24"/>
        </w:rPr>
      </w:pPr>
      <w:r>
        <w:rPr>
          <w:rFonts w:ascii="Times New Roman" w:hAnsi="Times New Roman"/>
          <w:b/>
          <w:sz w:val="24"/>
        </w:rPr>
        <w:t xml:space="preserve">Date d'adoption de la résolution: </w:t>
      </w:r>
      <w:r>
        <w:rPr>
          <w:rFonts w:ascii="Times New Roman" w:hAnsi="Times New Roman"/>
          <w:sz w:val="24"/>
        </w:rPr>
        <w:t>29 février 2024</w:t>
      </w:r>
    </w:p>
    <w:p w14:paraId="5182E158" w14:textId="4E52F186" w:rsidR="006E354F" w:rsidRPr="00581F67" w:rsidRDefault="006E354F" w:rsidP="0030703E">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b/>
          <w:bCs/>
          <w:sz w:val="24"/>
          <w:szCs w:val="24"/>
        </w:rPr>
      </w:pPr>
      <w:r>
        <w:rPr>
          <w:rFonts w:ascii="Times New Roman" w:hAnsi="Times New Roman"/>
          <w:b/>
          <w:sz w:val="24"/>
        </w:rPr>
        <w:t xml:space="preserve">Commission parlementaire compétente: </w:t>
      </w:r>
      <w:r>
        <w:rPr>
          <w:rFonts w:ascii="Times New Roman" w:hAnsi="Times New Roman"/>
          <w:sz w:val="24"/>
        </w:rPr>
        <w:t>commission du commerce international (INTA)</w:t>
      </w:r>
    </w:p>
    <w:p w14:paraId="4FFC2330" w14:textId="6BE8B47E" w:rsidR="006E354F" w:rsidRPr="00581F67" w:rsidRDefault="006E354F" w:rsidP="0030703E">
      <w:pPr>
        <w:pStyle w:val="ListParagraph"/>
        <w:numPr>
          <w:ilvl w:val="0"/>
          <w:numId w:val="1"/>
        </w:numPr>
        <w:spacing w:after="240" w:line="240" w:lineRule="auto"/>
        <w:ind w:left="567" w:hanging="567"/>
        <w:contextualSpacing w:val="0"/>
        <w:jc w:val="both"/>
        <w:rPr>
          <w:rFonts w:ascii="Times New Roman" w:eastAsiaTheme="minorEastAsia" w:hAnsi="Times New Roman" w:cs="Times New Roman"/>
          <w:b/>
          <w:bCs/>
          <w:sz w:val="24"/>
          <w:szCs w:val="24"/>
        </w:rPr>
      </w:pPr>
      <w:r>
        <w:rPr>
          <w:rFonts w:ascii="Times New Roman" w:hAnsi="Times New Roman"/>
          <w:b/>
          <w:sz w:val="24"/>
        </w:rPr>
        <w:t>Analyse/évaluation succincte de la résolution et des demandes qu’elle contient:</w:t>
      </w:r>
    </w:p>
    <w:p w14:paraId="1FF46784" w14:textId="7CE5A109" w:rsidR="00B425B9" w:rsidRPr="00581F67" w:rsidRDefault="008C1188"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La résolution porte sur la mise en œuvre de l’accord de partenariat économique (APE) entre l’Union européenne et ses États membres, d’une part, et les membres de la Communauté de développement de l’Afrique australe (CDAA), d’autre part, qui est appliqué à titre provisoire depuis 2016. Cela s’inscrit dans le contexte du processus de révision de l’APE en cours, ainsi que de l’évaluation ex post en cours de l’APE.</w:t>
      </w:r>
    </w:p>
    <w:p w14:paraId="6C8B4669" w14:textId="4572C02C"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se félicite du premier </w:t>
      </w:r>
      <w:r>
        <w:rPr>
          <w:rFonts w:ascii="Times New Roman" w:hAnsi="Times New Roman"/>
          <w:b/>
          <w:sz w:val="24"/>
        </w:rPr>
        <w:t>processus de réexamen</w:t>
      </w:r>
      <w:r>
        <w:rPr>
          <w:rFonts w:ascii="Times New Roman" w:hAnsi="Times New Roman"/>
          <w:sz w:val="24"/>
        </w:rPr>
        <w:t xml:space="preserve"> de l’APE lancé en novembre 2021 et invite les parties à l’accord à examiner d’autres questions allant au-delà du commerce des biens lors des réexamens futurs, à la lumière des clauses de rendez-vous figurant dans l’accord. Le Parlement espère que l’APE sera adapté pour consolider et approfondir le partenariat entre l’Union européenne et les États de la CDAA en réaction aux changements géopolitiques et aux défis du changement climatique. En ce qui concerne l’élaboration du </w:t>
      </w:r>
      <w:r>
        <w:rPr>
          <w:rFonts w:ascii="Times New Roman" w:hAnsi="Times New Roman"/>
          <w:b/>
          <w:sz w:val="24"/>
        </w:rPr>
        <w:t>rapport de suivi conjoint</w:t>
      </w:r>
      <w:r>
        <w:rPr>
          <w:rFonts w:ascii="Times New Roman" w:hAnsi="Times New Roman"/>
          <w:sz w:val="24"/>
        </w:rPr>
        <w:t xml:space="preserve"> de l’APE, le Parlement constate que le processus progresse à un rythme plus lent que prévu, tout en reconnaissant les contraintes de capacité auxquelles sont confrontés les États de l’APE CDAA à cet égard.</w:t>
      </w:r>
    </w:p>
    <w:p w14:paraId="36191EE2" w14:textId="56595795"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En outre, le Parlement souligne l’importance de la participation de la société civile et de toutes les parties prenantes concernées à la mise en œuvre et au suivi de l’APE, tout en notant la participation limitée de ces acteurs à la mise en œuvre de l’APE. En particulier, le Parlement plaide en faveur d’une participation plus structurée des parties prenantes en ce qui concerne la mise en œuvre concrète de tous les aspects liés à la durabilité dans l’APE UE-CDAA, et demande en particulier la mise en place d’un groupe consultatif interne.</w:t>
      </w:r>
    </w:p>
    <w:p w14:paraId="7CC29DF0" w14:textId="5433BE82"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En ce qui concerne les </w:t>
      </w:r>
      <w:r>
        <w:rPr>
          <w:rFonts w:ascii="Times New Roman" w:hAnsi="Times New Roman"/>
          <w:b/>
          <w:sz w:val="24"/>
        </w:rPr>
        <w:t>balances commerciales</w:t>
      </w:r>
      <w:r>
        <w:rPr>
          <w:rFonts w:ascii="Times New Roman" w:hAnsi="Times New Roman"/>
          <w:sz w:val="24"/>
        </w:rPr>
        <w:t xml:space="preserve">, le Parlement se félicite que les relations commerciales entre l’Union européenne et les États de l’APE CDAA se soient considérablement développées, tant au niveau régional qu’au niveau bilatéral. Les États de l’APE CDAA sont parvenus à un excédent commercial qui est considéré comme une contribution bienvenue au développement économique. Or, selon le Parlement, les effets positifs escomptés sur l’emploi, la coopération régionale, la diversification et la modernisation de l’économie ne se sont pas encore fait pleinement ressentir. Étant donné que la diversification économique et le commerce des produits manufacturés doivent encore s’améliorer, les économies de l’APE CDAA restent vulnérables aux chocs sur le marché extérieur. À l’exception de l’Afrique du Sud, les exportations sont dominées par les produits de base à faible valeur ajoutée. La plupart des États de l’APE CDAA (à l’exception de l’Afrique du Sud) mènent principalement des activités </w:t>
      </w:r>
      <w:r>
        <w:rPr>
          <w:rFonts w:ascii="Times New Roman" w:hAnsi="Times New Roman"/>
          <w:sz w:val="24"/>
        </w:rPr>
        <w:lastRenderedPageBreak/>
        <w:t>commerciales les uns avec les autres, avec des différences dans la structure des échanges commerciaux au sein de la CDAA et avec l’UE. Une libéralisation plus asymétrique et le renforcement du partenariat entre les pays de la CDAA et l’UE peuvent contribuer à relever ces défis en matière de diversification, de résilience et d’intégration régionale.</w:t>
      </w:r>
    </w:p>
    <w:p w14:paraId="5131F839" w14:textId="1AC9CEA1"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En ce qui concerne les </w:t>
      </w:r>
      <w:r>
        <w:rPr>
          <w:rFonts w:ascii="Times New Roman" w:hAnsi="Times New Roman"/>
          <w:b/>
          <w:sz w:val="24"/>
        </w:rPr>
        <w:t>entraves techniques aux échanges</w:t>
      </w:r>
      <w:r>
        <w:rPr>
          <w:rFonts w:ascii="Times New Roman" w:hAnsi="Times New Roman"/>
          <w:sz w:val="24"/>
        </w:rPr>
        <w:t>, l’APE CDAA vise à promouvoir l’intégration régionale et à constituer une base solide au projet de zone de libre-échange continentale africaine (ZLECAf). Toutefois, l’intégration régionale est entravée par des obstacles, en particulier en ce qui concerne les questions transfrontalières. Le Parlement invite par conséquent les parties à renforcer la coopération en matière d’infrastructures et de commerce et de certification numériques, notamment dans le cadre de l’initiative «Global Gateway». La promotion d’infrastructures transfrontalières efficaces et l’harmonisation des procédures réglementaires en matière douanière et de transport améliorent encore l’intégration régionale. En outre, le Parlement estime qu’il est nécessaire d’officialiser davantage les arrangements de travail transfrontaliers afin de promouvoir le travail décent, dans le respect des droits des travailleurs contribuant au développement social et économique.</w:t>
      </w:r>
    </w:p>
    <w:p w14:paraId="050C7C40" w14:textId="60205332"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se félicite de l’annonce de l’activation du cumul régional des </w:t>
      </w:r>
      <w:r>
        <w:rPr>
          <w:rFonts w:ascii="Times New Roman" w:hAnsi="Times New Roman"/>
          <w:b/>
          <w:sz w:val="24"/>
        </w:rPr>
        <w:t>règles d’origine</w:t>
      </w:r>
      <w:r>
        <w:rPr>
          <w:rFonts w:ascii="Times New Roman" w:hAnsi="Times New Roman"/>
          <w:sz w:val="24"/>
        </w:rPr>
        <w:t xml:space="preserve"> par les États de l’APE de l’Union douanière d’Afrique australe (UDAA), étant donné que la flexibilité des règles d’origine est essentielle à l’intégration régionale. Ces règles d’origine doivent également promouvoir la poursuite du développement de la ZLECAf.</w:t>
      </w:r>
    </w:p>
    <w:p w14:paraId="4B07590C" w14:textId="53249A6D"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estime qu’il est nécessaire de s’attaquer aux </w:t>
      </w:r>
      <w:r>
        <w:rPr>
          <w:rFonts w:ascii="Times New Roman" w:hAnsi="Times New Roman"/>
          <w:b/>
          <w:sz w:val="24"/>
        </w:rPr>
        <w:t>différends commerciaux</w:t>
      </w:r>
      <w:r>
        <w:rPr>
          <w:rFonts w:ascii="Times New Roman" w:hAnsi="Times New Roman"/>
          <w:sz w:val="24"/>
        </w:rPr>
        <w:t xml:space="preserve"> liés aux normes sanitaires et phytosanitaires à un stade précoce en coopérant dans le cadre de discussions politiques de haut niveau entre les parties. En outre, il souhaite être pleinement informé de tout réexamen des exigences en matière de normes sanitaires et phytosanitaires et veiller à ce que les normes de l’UE ne soient pas remises en question. Les États de la CDAA ont bénéficié d’un soutien technique et financier contribuant au respect des mesures sanitaires et phytosanitaires, qui devrait faire l’objet d’un suivi approfondi de la part de la Commission.</w:t>
      </w:r>
    </w:p>
    <w:p w14:paraId="73F00B3B" w14:textId="77777777"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La </w:t>
      </w:r>
      <w:r>
        <w:rPr>
          <w:rFonts w:ascii="Times New Roman" w:hAnsi="Times New Roman"/>
          <w:b/>
          <w:sz w:val="24"/>
        </w:rPr>
        <w:t>gouvernance et les capacités budgétaires et institutionnelles</w:t>
      </w:r>
      <w:r>
        <w:rPr>
          <w:rFonts w:ascii="Times New Roman" w:hAnsi="Times New Roman"/>
          <w:sz w:val="24"/>
        </w:rPr>
        <w:t xml:space="preserve"> demeurent les principaux enjeux pour la mise en œuvre effective de l’APE. Ainsi, la coopération au développement et l’aide technique et financière de l’UE aux partenaires de l’APE devraient aider à relever ces défis.</w:t>
      </w:r>
    </w:p>
    <w:p w14:paraId="229EF385" w14:textId="0DF0A963"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L’APE n’ayant pas permis, selon le Parlement, d’approfondir les chaînes de valeur régionales et de diversifier les exportations, les économies de l’APE CDAA sont toujours exposées aux chocs externes et les problèmes de souveraineté alimentaire et de réduction de la pauvreté subsistent.</w:t>
      </w:r>
    </w:p>
    <w:p w14:paraId="46F106FD" w14:textId="77777777"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À titre de solution, la chaîne de valeur des services (y compris le commerce électronique), ainsi que d’autres chaînes de valeur ajoutée locales et spécialisées, devraient être soutenues par une coopération avec l’UE, notamment en ce qui concerne le développement d’infrastructures numériques de haute qualité.</w:t>
      </w:r>
    </w:p>
    <w:p w14:paraId="2426E533" w14:textId="1579D5C4"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Les États membres de l’UE devraient veiller à l’application effective du taux minimal d’imposition des entreprises multinationales, fixé à 15 % au niveau mondial, en mettant l’accent sur des recettes fiscales supplémentaires dans le monde.</w:t>
      </w:r>
    </w:p>
    <w:p w14:paraId="0333A149" w14:textId="59E79823"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Afin d’améliorer leur sécurité alimentaire, la Commission devrait veiller à ce que les pays en développement exercent pleinement leurs droits au titre des dispositions de l’Organisation mondiale du commerce (OMC) relatives au traitement spécial et différencié.</w:t>
      </w:r>
    </w:p>
    <w:p w14:paraId="6EBF1322" w14:textId="7EAA65A3"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lastRenderedPageBreak/>
        <w:t>Le Parlement souligne également l’importance de collaborations communes, de ressources financières substantielles et de transferts de technologie pour faire progresser les efforts de décarbonation. Dans le même temps, les partenariats énergétiques devraient également bénéficier à la croissance économique locale, à l’emploi et à l’approvisionnement énergétique local dans la région. Le Parlement réaffirme que la transition écologique offre des possibilités de création d’emplois susceptibles de contribuer sensiblement à l’éradication de la pauvreté et à l’inclusion, qui devraient être soutenues par des investissements spécifiques dans le capital humain. Il note le potentiel des partenariats climatiques décentralisés, y compris au niveau municipal, pour promouvoir les partenariats climatiques et améliorer la compréhension mutuelle des initiatives de l’UE en matière de climat. Étant donné que les États de l’APE CDAA sont particulièrement touchés par le changement climatique, le Parlement appelle de ses vœux une coopération accrue entre la Commission et les États de l’APE CDAA en vue de mettre au point des systèmes d’alerte précoce et une coordination appropriés pour atteindre les objectifs des contributions déterminées au niveau national.</w:t>
      </w:r>
    </w:p>
    <w:p w14:paraId="334DE03D" w14:textId="23491132"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se félicite de la coopération en matière de systèmes alimentaires résilients et de souveraineté alimentaire dans le cadre du processus de réexamen et suggère de faire progresser l’intégration des conventions de l’Organisation internationale du travail (OIT) dans cette coopération.</w:t>
      </w:r>
    </w:p>
    <w:p w14:paraId="4DA04952" w14:textId="6A0A28D4"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souligne la nécessité de mettre en place des chaînes de valeur à l’épreuve du changement climatique dans le secteur agricole à l’aide de nouvelles technologies adaptées au changement climatique. La durabilité de l’agriculture devrait être améliorée par l’échange de connaissances et le partage de bonnes pratiques au sein des États de l’APE CDAA, ainsi que par un renforcement de l’accès à l’eau et à l’assainissement, qui constitue actuellement un obstacle au développement durable.</w:t>
      </w:r>
    </w:p>
    <w:p w14:paraId="19299B5E" w14:textId="22CD4EB8"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demande de donner la priorité aux </w:t>
      </w:r>
      <w:r>
        <w:rPr>
          <w:rFonts w:ascii="Times New Roman" w:hAnsi="Times New Roman"/>
          <w:b/>
          <w:sz w:val="24"/>
        </w:rPr>
        <w:t>questions sociales et de genre</w:t>
      </w:r>
      <w:r>
        <w:rPr>
          <w:rFonts w:ascii="Times New Roman" w:hAnsi="Times New Roman"/>
          <w:sz w:val="24"/>
        </w:rPr>
        <w:t xml:space="preserve"> dans la mise en œuvre de l’APE en donnant aux femmes et aux jeunes de la région de la CDAA les moyens d’agir. L’UE et les États de l’APE CDAA devraient parvenir à cette inclusion en améliorant l’égalité d’accès aux services financiers et aux autres ressources et en favorisant la participation à l’économie.</w:t>
      </w:r>
    </w:p>
    <w:p w14:paraId="6C3A310C" w14:textId="6FE44059"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estime qu’il est nécessaire de renforcer la finance et les </w:t>
      </w:r>
      <w:r>
        <w:rPr>
          <w:rFonts w:ascii="Times New Roman" w:hAnsi="Times New Roman"/>
          <w:b/>
          <w:sz w:val="24"/>
        </w:rPr>
        <w:t>investissements</w:t>
      </w:r>
      <w:r>
        <w:rPr>
          <w:rFonts w:ascii="Times New Roman" w:hAnsi="Times New Roman"/>
          <w:sz w:val="24"/>
        </w:rPr>
        <w:t xml:space="preserve"> verts afin d’atteindre les objectifs du programme de développement durable (ODD) à l’horizon 2030 et de faire progresser la transition des économies de la CDAA vers une économie à faible intensité de carbone et résiliente face au changement climatique. L’UE et les partenaires de l’APE CDAA devraient étudier de nouvelles approches en matière de financement vert, y compris le financement de l’adaptation au changement climatique et d’autres possibilités de financement novatrices dans des secteurs stratégiques et innovants. En usant de son influence, l’UE devrait plaider en faveur d’un meilleur financement (de la lutte contre le changement climatique) dans les institutions internationales telles que la Banque mondiale et le Fonds monétaire international. En outre, le Parlement souligne la nécessité de prendre des mesures proactives pour attirer les investissements dans des secteurs stratégiques et innovants, et d’adopter de nouveaux instruments de financement pour les infrastructures publiques critiques. Un cadre juridique et budgétaire transparent et prévisible est nécessaire pour aider à attirer les investissements directs étrangers (IDE).</w:t>
      </w:r>
    </w:p>
    <w:p w14:paraId="0F7899A4" w14:textId="77777777"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lastRenderedPageBreak/>
        <w:t>La création d’emplois, le respect des droits de l’homme et le devoir de diligence environnementale garantis par des cadres nationaux solides devraient être l’objectif de ces investissements. La participation des entreprises locales devrait améliorer la rétention de l’investissement et le transfert de connaissances. Le Parlement se félicite en outre du lancement de programmes de l’Union tels que le programme «Soutien à l’amélioration de l’investissement et de l’environnement des entreprises» et demande un financement supplémentaire pour le prochain exercice financier.</w:t>
      </w:r>
    </w:p>
    <w:p w14:paraId="20AADADB" w14:textId="1007650A"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plaide en faveur d’une stratégie mieux coordonnée de l’Équipe Europe coordonnée en ce qui concerne les investissements dans les infrastructures et la diversification économique au service de la résilience et du développement durable. Le Parlement demande instamment l’augmentation du financement de la stratégie «Global Gateway» et d’autres investissements publics nécessaires. La Commission et les États membres sont invités à assurer le dialogue social dans le processus d’élaboration et de mise en œuvre de nouveaux projets «Global Gateway».</w:t>
      </w:r>
    </w:p>
    <w:p w14:paraId="559AD8D3" w14:textId="3951AC6E"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invite la Commission à aider les États de l’APE CDAA à renforcer leurs capacités d’exportation et d’investissement tout en favorisant un environnement favorable aux PME. Dans ce contexte, le Parlement demande un financement accru au cours de la prochaine période afin de stimuler la croissance et de contribuer ainsi à la création d’emplois et à la réduction de la pauvreté.</w:t>
      </w:r>
    </w:p>
    <w:p w14:paraId="307D0B9E" w14:textId="5FB8FBCE"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se félicite de l’</w:t>
      </w:r>
      <w:r>
        <w:rPr>
          <w:rFonts w:ascii="Times New Roman" w:hAnsi="Times New Roman"/>
          <w:b/>
          <w:sz w:val="24"/>
        </w:rPr>
        <w:t>accord de facilitation des investissements durables (AFID)</w:t>
      </w:r>
      <w:r>
        <w:rPr>
          <w:rFonts w:ascii="Times New Roman" w:hAnsi="Times New Roman"/>
          <w:sz w:val="24"/>
        </w:rPr>
        <w:t xml:space="preserve"> conclu avec l’Angola et reconnaît son potentiel pour faciliter et attirer les investissements durables et sa contribution potentielle au développement durable. En outre, le Parlement salue la </w:t>
      </w:r>
      <w:r>
        <w:rPr>
          <w:rFonts w:ascii="Times New Roman" w:hAnsi="Times New Roman"/>
          <w:b/>
          <w:sz w:val="24"/>
        </w:rPr>
        <w:t>demande d’adhésion à l’APE UE-CDAA présentée par l’Angola</w:t>
      </w:r>
      <w:r>
        <w:rPr>
          <w:rFonts w:ascii="Times New Roman" w:hAnsi="Times New Roman"/>
          <w:sz w:val="24"/>
        </w:rPr>
        <w:t xml:space="preserve"> et invite la Commission à faciliter le renforcement des capacités nécessaire pour combler les lacunes en matière de capacités de mise en œuvre et à entamer sans plus tarder le processus de négociation.</w:t>
      </w:r>
    </w:p>
    <w:p w14:paraId="483374A1" w14:textId="0D50CBA9"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Afin de garantir un approvisionnement durable en </w:t>
      </w:r>
      <w:r>
        <w:rPr>
          <w:rFonts w:ascii="Times New Roman" w:hAnsi="Times New Roman"/>
          <w:b/>
          <w:sz w:val="24"/>
        </w:rPr>
        <w:t>matières premières</w:t>
      </w:r>
      <w:r>
        <w:rPr>
          <w:rFonts w:ascii="Times New Roman" w:hAnsi="Times New Roman"/>
          <w:sz w:val="24"/>
        </w:rPr>
        <w:t xml:space="preserve"> pour les transitions écologique, numérique et juste, le Parlement invite à renforcer la coopération entre la Commission et les États de l’APE CDAA. Il s’agit également de promouvoir des pratiques minières responsables, de respecter les normes en matière d’environnement et de droits de l’homme et d’associer les communautés locales. </w:t>
      </w:r>
    </w:p>
    <w:p w14:paraId="790E2238" w14:textId="77AF7F03"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se félicite du partenariat stratégique avec la Namibie sur l’hydrogène renouvelable et les matières premières essentielles, soulignant la nécessité de mettre en place les infrastructures locales. Dans ce contexte, les plateformes de partage des connaissances et les réseaux de recherche peuvent faciliter l’échange de bonnes pratiques qui peuvent être étendues à la coopération technologique dans d’autres domaines.</w:t>
      </w:r>
    </w:p>
    <w:p w14:paraId="2E43C777" w14:textId="17BC5455"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Le Parlement demande à la Commission de s’abstenir d’adopter une politique commerciale qui interdit aux pays en développement de prélever des taxes à l’exportation sur les matières premières si ces taxes sont conformes au régime de l’OMC, étant donné que les pays africains ont le droit de réglementer les matières premières dans leur intérêt public.</w:t>
      </w:r>
    </w:p>
    <w:p w14:paraId="7947E34A" w14:textId="59080C40" w:rsidR="00B425B9" w:rsidRPr="00581F67" w:rsidRDefault="00B425B9"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Le Parlement relève que la proposition initiale d’accord sur la </w:t>
      </w:r>
      <w:r>
        <w:rPr>
          <w:rFonts w:ascii="Times New Roman" w:hAnsi="Times New Roman"/>
          <w:b/>
          <w:sz w:val="24"/>
        </w:rPr>
        <w:t>dérogation</w:t>
      </w:r>
      <w:r>
        <w:rPr>
          <w:rFonts w:ascii="Times New Roman" w:hAnsi="Times New Roman"/>
          <w:sz w:val="24"/>
        </w:rPr>
        <w:t xml:space="preserve"> aux aspects des droits de propriété intellectuelle qui touchent au commerce (</w:t>
      </w:r>
      <w:r>
        <w:rPr>
          <w:rFonts w:ascii="Times New Roman" w:hAnsi="Times New Roman"/>
          <w:b/>
          <w:sz w:val="24"/>
        </w:rPr>
        <w:t>TRIPS</w:t>
      </w:r>
      <w:r>
        <w:rPr>
          <w:rFonts w:ascii="Times New Roman" w:hAnsi="Times New Roman"/>
          <w:sz w:val="24"/>
        </w:rPr>
        <w:t xml:space="preserve">) pour les vaccins contre la COVID-19 a été soutenue par l’Union. Il appelle à poursuivre les discussions sur l’extension des flexibilités aux traitements et aux diagnostics. Le Parlement invite la Commission à proposer un cadre politique clair qui soit conforme aux flexibilités convenues dans le cadre de l’accord sur </w:t>
      </w:r>
      <w:r>
        <w:rPr>
          <w:rFonts w:ascii="Times New Roman" w:hAnsi="Times New Roman"/>
          <w:sz w:val="24"/>
        </w:rPr>
        <w:lastRenderedPageBreak/>
        <w:t>les ADPIC. Enfin, le Parlement salue les efforts déployés dans le cadre du partenariat UE-Afrique du Sud pour mettre en place une infrastructure de vaccins, soulignant que cette infrastructure doit également concerner la production de vaccins contre la COVID-19.</w:t>
      </w:r>
    </w:p>
    <w:p w14:paraId="591A6478" w14:textId="348E6361" w:rsidR="006E354F" w:rsidRPr="00581F67" w:rsidRDefault="006E354F" w:rsidP="0030703E">
      <w:pPr>
        <w:pStyle w:val="ListParagraph"/>
        <w:numPr>
          <w:ilvl w:val="0"/>
          <w:numId w:val="1"/>
        </w:numPr>
        <w:spacing w:after="240" w:line="240" w:lineRule="auto"/>
        <w:ind w:left="567" w:hanging="567"/>
        <w:contextualSpacing w:val="0"/>
        <w:jc w:val="both"/>
        <w:rPr>
          <w:rFonts w:ascii="Times New Roman" w:eastAsia="Times New Roman" w:hAnsi="Times New Roman" w:cs="Times New Roman"/>
          <w:sz w:val="24"/>
          <w:szCs w:val="24"/>
        </w:rPr>
      </w:pPr>
      <w:r>
        <w:rPr>
          <w:rFonts w:ascii="Times New Roman" w:hAnsi="Times New Roman"/>
          <w:b/>
          <w:sz w:val="24"/>
        </w:rPr>
        <w:t>Réponse à ces demandes et aperçu des mesures que la Commission a prises ou envisage de prendre</w:t>
      </w:r>
    </w:p>
    <w:p w14:paraId="3158B7D2" w14:textId="632FCB92" w:rsidR="006E354F" w:rsidRPr="00581F67" w:rsidRDefault="005929ED"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La Commission salue la résolution du Parlement sur la mise en œuvre de l’accord de partenariat économique (APE) entre l’Union européenne et la Communauté de développement de l’Afrique australe (CDAA). Elle se félicite de ce que la résolution montre son soutien à la consolidation et à l’approfondissement des relations commerciales entre l’UE et les États de l’APE CDAA et reconnaît l’incidence positive de l’APE en termes d’expansion significative des relations commerciales, au niveau tant régional que bilatéral, et de développement économique dans les États de l’APE CDAA.</w:t>
      </w:r>
    </w:p>
    <w:p w14:paraId="18685B10" w14:textId="6FA1C1BF" w:rsidR="00B7681B" w:rsidRPr="00FE4A09" w:rsidRDefault="00ED4A4E"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 </w:t>
      </w:r>
      <w:r>
        <w:rPr>
          <w:rFonts w:ascii="Times New Roman" w:hAnsi="Times New Roman"/>
          <w:b/>
          <w:sz w:val="24"/>
        </w:rPr>
        <w:t>processus de suivi et de réexamen</w:t>
      </w:r>
      <w:r>
        <w:rPr>
          <w:rFonts w:ascii="Times New Roman" w:hAnsi="Times New Roman"/>
          <w:sz w:val="24"/>
        </w:rPr>
        <w:t xml:space="preserve"> des APE, le rapport de suivi conjoint, l’évaluation ex post et l’examen conjoint aideront à évaluer les répercussions de l’APE et à recenser les domaines dans lesquels le fonctionnement et la mise en œuvre de l’APE pourraient être améliorés. La Commission approuve la recommandation de collaborer avec les partenaires de la CDAA pour promouvoir un </w:t>
      </w:r>
      <w:r>
        <w:rPr>
          <w:rFonts w:ascii="Times New Roman" w:hAnsi="Times New Roman"/>
          <w:b/>
          <w:sz w:val="24"/>
        </w:rPr>
        <w:t>commerce</w:t>
      </w:r>
      <w:r>
        <w:rPr>
          <w:rFonts w:ascii="Times New Roman" w:hAnsi="Times New Roman"/>
          <w:sz w:val="24"/>
        </w:rPr>
        <w:t xml:space="preserve"> équitable, inclusif et </w:t>
      </w:r>
      <w:r>
        <w:rPr>
          <w:rFonts w:ascii="Times New Roman" w:hAnsi="Times New Roman"/>
          <w:b/>
          <w:sz w:val="24"/>
        </w:rPr>
        <w:t>durable</w:t>
      </w:r>
      <w:r>
        <w:rPr>
          <w:rFonts w:ascii="Times New Roman" w:hAnsi="Times New Roman"/>
          <w:sz w:val="24"/>
        </w:rPr>
        <w:t xml:space="preserve"> (paragraphe 1) – en fait, la Commission a pris l’habitude d’inscrire à l’ordre du jour des réunions du comité «Commerce et développement» un point sur le commerce et le développement durable (CDD). Toutefois, pour obtenir des résultats dans ce domaine, les États de l’APE CDAA devront être davantage disposés à débattre de leurs politiques dans ce domaine. La Commission continuera de souligner l’importance de ces échanges. Dans le cadre de l’</w:t>
      </w:r>
      <w:r>
        <w:rPr>
          <w:rFonts w:ascii="Times New Roman" w:hAnsi="Times New Roman"/>
          <w:b/>
          <w:sz w:val="24"/>
        </w:rPr>
        <w:t>évaluation ex post</w:t>
      </w:r>
      <w:r>
        <w:rPr>
          <w:rFonts w:ascii="Times New Roman" w:hAnsi="Times New Roman"/>
          <w:sz w:val="24"/>
        </w:rPr>
        <w:t xml:space="preserve"> en cours de l’APE UE-CDAA, la Commission analyse également l’incidence économique, environnementale et sociale de l’accord sur l’UE et les États de l’APE CDAA. Cette analyse couvre, entre autres, les ODD des Nations unies, les droits de l’homme (y compris les droits des travailleurs), l’engagement pris dans le cadre de l’accord de Paris, le secteur informel, ainsi que l’évaluation de l’accord sur la diversification économique, l’intégration régionale de la CDAA et l’efficacité du soutien de l’Union en matière de coopération au développement, conformément aux suggestions du Parlement (paragraphe 1). La Commission note également qu’un autre point important, très pertinent pour les relations entre l’UE et la CDAA, est que l’</w:t>
      </w:r>
      <w:r>
        <w:rPr>
          <w:rFonts w:ascii="Times New Roman" w:hAnsi="Times New Roman"/>
          <w:b/>
          <w:sz w:val="24"/>
        </w:rPr>
        <w:t>accord de Samoa</w:t>
      </w:r>
      <w:r>
        <w:rPr>
          <w:rFonts w:ascii="Times New Roman" w:hAnsi="Times New Roman"/>
          <w:sz w:val="24"/>
        </w:rPr>
        <w:t xml:space="preserve"> (précédemment connu sous le nom d’«accord post-Cotonou»), signé en novembre 2023 et appliqué à titre provisoire à partir du 1</w:t>
      </w:r>
      <w:r>
        <w:rPr>
          <w:rFonts w:ascii="Times New Roman" w:hAnsi="Times New Roman"/>
          <w:sz w:val="24"/>
          <w:vertAlign w:val="superscript"/>
        </w:rPr>
        <w:t>er</w:t>
      </w:r>
      <w:r>
        <w:rPr>
          <w:rFonts w:ascii="Times New Roman" w:hAnsi="Times New Roman"/>
          <w:sz w:val="24"/>
        </w:rPr>
        <w:t xml:space="preserve"> janvier 2024, renforce encore notre coopération sur les questions de commerce et de développement durable et prévoit une participation accrue de la société civile. Tous les États de l’APE CDAA ont signé l’accord de Samoa, à l’exception de l’Afrique du Sud, à la suite de sa décision de quitter l’Organisation des États d’Afrique, des Caraïbes et du Pacifique (OEACP).</w:t>
      </w:r>
    </w:p>
    <w:p w14:paraId="6E3E4613" w14:textId="7835B03C" w:rsidR="00540DFF" w:rsidRPr="00581F67" w:rsidRDefault="00540DFF"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 </w:t>
      </w:r>
      <w:r>
        <w:rPr>
          <w:rFonts w:ascii="Times New Roman" w:hAnsi="Times New Roman"/>
          <w:b/>
          <w:sz w:val="24"/>
        </w:rPr>
        <w:t>processus de réexamen</w:t>
      </w:r>
      <w:r>
        <w:rPr>
          <w:rFonts w:ascii="Times New Roman" w:hAnsi="Times New Roman"/>
          <w:sz w:val="24"/>
        </w:rPr>
        <w:t xml:space="preserve"> des APE, la Commission prend note de la recommandation du Parlement d’examiner les questions relatives au commerce des services, aux investissements, aux droits de propriété intellectuelle, à la concurrence et aux marchés publics. </w:t>
      </w:r>
      <w:bookmarkStart w:id="1" w:name="_Hlk162346147"/>
      <w:r>
        <w:rPr>
          <w:rFonts w:ascii="Times New Roman" w:hAnsi="Times New Roman"/>
          <w:sz w:val="24"/>
        </w:rPr>
        <w:t>Le processus en cours vise à réviser l’accord, conformément à son article 116. Jusqu’à présent, les États de l’APE CDAA n’ont pas manifesté d’intérêt à élargir le champ d’application de l’APE aux services, aux investissements ou à d’autres questions de «nouvelle génération».</w:t>
      </w:r>
    </w:p>
    <w:bookmarkEnd w:id="1"/>
    <w:p w14:paraId="38F56E63" w14:textId="53F0FA44" w:rsidR="00E713B1" w:rsidRPr="00581F67" w:rsidRDefault="004C5893" w:rsidP="0030703E">
      <w:pPr>
        <w:spacing w:after="120" w:line="240" w:lineRule="auto"/>
        <w:jc w:val="both"/>
        <w:rPr>
          <w:rFonts w:ascii="Times New Roman" w:hAnsi="Times New Roman" w:cs="Times New Roman"/>
          <w:sz w:val="24"/>
          <w:szCs w:val="24"/>
        </w:rPr>
      </w:pPr>
      <w:r>
        <w:rPr>
          <w:rFonts w:ascii="Times New Roman" w:hAnsi="Times New Roman"/>
          <w:b/>
          <w:sz w:val="24"/>
        </w:rPr>
        <w:t>En ce qui concerne la participation de la société civile</w:t>
      </w:r>
      <w:r>
        <w:rPr>
          <w:rFonts w:ascii="Times New Roman" w:hAnsi="Times New Roman"/>
          <w:sz w:val="24"/>
        </w:rPr>
        <w:t xml:space="preserve"> à la mise en œuvre et au suivi de l’APE, la Commission convient pleinement de la nécessité d’encourager la participation active </w:t>
      </w:r>
      <w:r>
        <w:rPr>
          <w:rFonts w:ascii="Times New Roman" w:hAnsi="Times New Roman"/>
          <w:sz w:val="24"/>
        </w:rPr>
        <w:lastRenderedPageBreak/>
        <w:t>de la société civile (paragraphe 2). La Commission déploie des efforts considérables en ce sens, sachant que l’APE CDAA ne prévoit pas un tel dialogue avec la société civile. La Commission a néanmoins proposé aux États de l’APE CDAA une plateforme commune pour les acteurs non étatiques – en 2020, la Commission a présenté aux États de l’APE CDAA un document officieux sur la participation des acteurs non étatiques au suivi de l’APE. Toutefois, lors de la 9</w:t>
      </w:r>
      <w:r>
        <w:rPr>
          <w:rFonts w:ascii="Times New Roman" w:hAnsi="Times New Roman"/>
          <w:sz w:val="24"/>
          <w:vertAlign w:val="superscript"/>
        </w:rPr>
        <w:t>e</w:t>
      </w:r>
      <w:r>
        <w:rPr>
          <w:rFonts w:ascii="Times New Roman" w:hAnsi="Times New Roman"/>
          <w:sz w:val="24"/>
        </w:rPr>
        <w:t xml:space="preserve"> réunion du comité «Commerce et développement» en novembre 2022, les États de l’APE CDAA ont expliqué qu’ils n’étaient pas prêts à une telle participation conjointe et qu’ils s’appuieraient plutôt sur leurs propres mécanismes nationaux de consultation de la société civile (ce qui a été confirmé lors de la 10</w:t>
      </w:r>
      <w:r>
        <w:rPr>
          <w:rFonts w:ascii="Times New Roman" w:hAnsi="Times New Roman"/>
          <w:sz w:val="24"/>
          <w:vertAlign w:val="superscript"/>
        </w:rPr>
        <w:t>e</w:t>
      </w:r>
      <w:r>
        <w:rPr>
          <w:rFonts w:ascii="Times New Roman" w:hAnsi="Times New Roman"/>
          <w:sz w:val="24"/>
        </w:rPr>
        <w:t xml:space="preserve"> réunion dudit comité en février 2024). La Commission consulte régulièrement la société civile de l’UE sur la mise en œuvre des accords de libre-échange (ALE). En outre, dans le cadre de l’étude d’évaluation ex post de l’APE, le contractant a organisé plusieurs ateliers sur la mise en œuvre de l’APE avec des parties prenantes locales dans les États de l’APE CDAA, en particulier la société civile et les partenaires sociaux – représentants des entreprises et des travailleurs –, qui ont fourni des informations précieuses sur la manière dont l’APE UE-CDAA est perçu. La Commission continuera d’aborder la question de la participation conjointe des acteurs non étatiques avec les États de l’APE CDAA. Toutefois, la création formelle d’un groupe consultatif interne, comme l’a demandé le Parlement, nécessiterait une modification de l’APE et, partant, un accord des États de l’APE CDAA.</w:t>
      </w:r>
    </w:p>
    <w:p w14:paraId="13DCAFBB" w14:textId="5EBDE41C" w:rsidR="00ED4A4E" w:rsidRPr="00581F67" w:rsidRDefault="00ED4A4E"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 </w:t>
      </w:r>
      <w:r>
        <w:rPr>
          <w:rFonts w:ascii="Times New Roman" w:hAnsi="Times New Roman"/>
          <w:b/>
          <w:sz w:val="24"/>
        </w:rPr>
        <w:t>rapport de suivi conjoint</w:t>
      </w:r>
      <w:r>
        <w:rPr>
          <w:rFonts w:ascii="Times New Roman" w:hAnsi="Times New Roman"/>
          <w:sz w:val="24"/>
        </w:rPr>
        <w:t>, la Commission reconnaît que le processus a connu des retards en raison de problèmes de capacité dans les États de l’APE CDAA (paragraphe 3). Néanmoins, le premier rapport de suivi conjoint est désormais publié sur la base de données européennes et internationales. La Commission poursuivra ses travaux avec les États de l’APE CDAA afin de rationaliser les préparatifs des prochaines éditions du rapport. Les États de l’APE CDAA ont bénéficié d’une assistance technique tout au long de l’année 2023 afin d’améliorer leur capacité de collecte et d’analyse des données.</w:t>
      </w:r>
    </w:p>
    <w:p w14:paraId="4C768B0B" w14:textId="37A4CE78" w:rsidR="00801752" w:rsidRPr="00FE4A09" w:rsidRDefault="00801752"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w:t>
      </w:r>
      <w:r>
        <w:rPr>
          <w:rFonts w:ascii="Times New Roman" w:hAnsi="Times New Roman"/>
          <w:b/>
          <w:sz w:val="24"/>
        </w:rPr>
        <w:t>le commerce et les flux</w:t>
      </w:r>
      <w:r>
        <w:rPr>
          <w:rFonts w:ascii="Times New Roman" w:hAnsi="Times New Roman"/>
          <w:sz w:val="24"/>
        </w:rPr>
        <w:t xml:space="preserve"> (paragraphes 8 et 42), la Commission considère que </w:t>
      </w:r>
      <w:r>
        <w:rPr>
          <w:rFonts w:ascii="Times New Roman" w:hAnsi="Times New Roman"/>
          <w:b/>
          <w:sz w:val="24"/>
        </w:rPr>
        <w:t>l’APE constitue un cadre juridique stable et prévisible</w:t>
      </w:r>
      <w:r>
        <w:rPr>
          <w:rFonts w:ascii="Times New Roman" w:hAnsi="Times New Roman"/>
          <w:sz w:val="24"/>
        </w:rPr>
        <w:t xml:space="preserve"> pour la conduite des échanges et des investissements et renforce la coopération entre les parties. Il est axé sur le développement et offre une ouverture asymétrique de l’accès aux marchés: il consolide l’accès préférentiel au marché de l’UE pour les États de l’APE CDAA, tout en libéralisant progressivement l’accès aux marchés des États de l’APE CDAA pour les exportateurs de l’UE. La Commission se félicite de ce que le Parlement considère comme la </w:t>
      </w:r>
      <w:r>
        <w:rPr>
          <w:rFonts w:ascii="Times New Roman" w:hAnsi="Times New Roman"/>
          <w:b/>
          <w:sz w:val="24"/>
        </w:rPr>
        <w:t>contribution positive de l’APE au développement économique</w:t>
      </w:r>
      <w:r>
        <w:rPr>
          <w:rFonts w:ascii="Times New Roman" w:hAnsi="Times New Roman"/>
          <w:sz w:val="24"/>
        </w:rPr>
        <w:t xml:space="preserve">. En effet, depuis l’application provisoire de l’APE en 2016, les importations de marchandises de l’EU-27 en provenance de la CDAA ont augmenté de 85 % entre 2016 et 2022 et ses exportations de 29 %. L’APE a également renforcé les relations commerciales UE-CDAA, étant donné que l’UE reste le premier partenaire commercial des pays de la CDAA, avec 20 % de ses exportations de biens et 21 % de ses importations. En ce qui concerne la diversification des échanges, la Commission souligne que le secteur automobile est un exemple de diversification réussie des exportations sud-africaines et de création de chaînes de valeur à forte valeur ajoutée. En fait, depuis 2016, les exportations de l’Afrique du Sud vers l’UE dans ce secteur ont augmenté de 22 % et ses importations en provenance de l’UE de 18 %. L’UE exporte principalement des moteurs et l’Afrique du Sud exporte des voitures vers l’UE. Le commerce dans le secteur automobile a atteint 9,5 milliards d’euros en 2022 (17 % de l’ensemble des échanges entre l’UE et l’Afrique du Sud). En outre, l’UE reste l’investisseur étranger le plus important dans la région, et le cadre offert par l’APE a contribué à cette tendance. La Commission reconnaît que le potentiel de l’APE n’a pas encore été pleinement exploité, </w:t>
      </w:r>
      <w:r>
        <w:rPr>
          <w:rFonts w:ascii="Times New Roman" w:hAnsi="Times New Roman"/>
          <w:sz w:val="24"/>
        </w:rPr>
        <w:lastRenderedPageBreak/>
        <w:t>notamment en ce qui concerne la diversification des économies de la CDAA et la coopération économique régionale.</w:t>
      </w:r>
    </w:p>
    <w:p w14:paraId="2B03E671" w14:textId="2B92B4CC" w:rsidR="002B237A" w:rsidRPr="00581F67" w:rsidRDefault="002B237A" w:rsidP="0030703E">
      <w:pPr>
        <w:spacing w:after="120" w:line="240" w:lineRule="auto"/>
        <w:jc w:val="both"/>
        <w:rPr>
          <w:rFonts w:ascii="Times New Roman" w:hAnsi="Times New Roman" w:cs="Times New Roman"/>
          <w:sz w:val="24"/>
          <w:szCs w:val="24"/>
        </w:rPr>
      </w:pPr>
      <w:r>
        <w:rPr>
          <w:rFonts w:ascii="Times New Roman" w:hAnsi="Times New Roman"/>
          <w:sz w:val="24"/>
        </w:rPr>
        <w:t>En ouvrant de nouveaux marchés et en assurant la fluidité des échanges entre les parties, l’APE UE-CDAA offre des possibilités aux entreprises de part et d’autre, en particulier aux petites et moyennes entreprises (paragraphe 46). En conséquence, la Commission, conjointement avec ses États membres et par l’intermédiaire des délégations de l’UE, promeut activement l’accord et la sensibilisation à ses avantages, ainsi que des programmes spécifiques visant à accroître les capacités d’investissement et d’exportation et à améliorer le climat des affaires des États de la CDAA. La Commission promeut également l’accord entre les entreprises de l’UE visant à accroître les possibilités de commerce et d’investissement et à gérer activement les obstacles au commerce pour les entreprises de l’UE.</w:t>
      </w:r>
    </w:p>
    <w:p w14:paraId="055F7FAE" w14:textId="3FB388AD" w:rsidR="00801752" w:rsidRPr="00581F67" w:rsidRDefault="00801752" w:rsidP="0030703E">
      <w:pPr>
        <w:spacing w:after="120" w:line="240" w:lineRule="auto"/>
        <w:jc w:val="both"/>
        <w:rPr>
          <w:rFonts w:ascii="Times New Roman" w:eastAsia="Calibri" w:hAnsi="Times New Roman" w:cs="Times New Roman"/>
          <w:sz w:val="24"/>
          <w:szCs w:val="24"/>
        </w:rPr>
      </w:pPr>
      <w:r>
        <w:rPr>
          <w:rFonts w:ascii="Times New Roman" w:hAnsi="Times New Roman"/>
          <w:sz w:val="24"/>
        </w:rPr>
        <w:t xml:space="preserve">La Commission reconnaît que l’APE présente également certains </w:t>
      </w:r>
      <w:r>
        <w:rPr>
          <w:rFonts w:ascii="Times New Roman" w:hAnsi="Times New Roman"/>
          <w:b/>
          <w:sz w:val="24"/>
        </w:rPr>
        <w:t>défis</w:t>
      </w:r>
      <w:r>
        <w:rPr>
          <w:rFonts w:ascii="Times New Roman" w:hAnsi="Times New Roman"/>
          <w:sz w:val="24"/>
        </w:rPr>
        <w:t>, à l’instar de tout autre accord commercial (paragraphe 11). Consciente de l’existence d’obstacles commerciaux, notamment en ce qui concerne les mesures SPS, la Commission entretient un dialogue régulier avec les partenaires de l’APE CDAA, et en particulier avec l’Afrique du Sud, sur le plan tant technique que politique (paragraphe 17).</w:t>
      </w:r>
    </w:p>
    <w:p w14:paraId="096F8C7D" w14:textId="1EF0990B" w:rsidR="00FC4964" w:rsidRPr="00581F67" w:rsidRDefault="00801752"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note que le Parlement conclut que l’APE n’a pas réussi à approfondir les </w:t>
      </w:r>
      <w:r>
        <w:rPr>
          <w:rFonts w:ascii="Times New Roman" w:hAnsi="Times New Roman"/>
          <w:b/>
          <w:sz w:val="24"/>
        </w:rPr>
        <w:t>chaînes de valeur régionales</w:t>
      </w:r>
      <w:r>
        <w:rPr>
          <w:rFonts w:ascii="Times New Roman" w:hAnsi="Times New Roman"/>
          <w:sz w:val="24"/>
        </w:rPr>
        <w:t xml:space="preserve"> dans la région de la CDAA (paragraphe 22). Comme le Parlement l’a indiqué, l’Afrique du Sud continue de représenter 80 % des échanges commerciaux de l’Union avec les États de l’APE CDAA. L’APE fournit les outils nécessaires pour renforcer l’intégration régionale, en prévoyant une clause de préférence régionale et la possibilité d’un cumul régional pour les règles d’origine. Comme le Parlement l’a noté, les États de l’UDAA ont récemment activé le cumul régional, ce qui devrait faciliter le développement de chaînes de valeur régionales (paragraphe 16). Au niveau continental africain, la Commission souligne que la zone de libre-échange continentale africaine et les APE, y compris l’APE CDAA, se renforcent mutuellement, étant donné que les APE ont permis aux États africains de se familiariser avec les avantages de la libéralisation, d’adopter des politiques budgétaires progressives et favorables au développement, de réformer et de moderniser leurs administrations et d’attirer des capitaux étrangers, propices à la création de richesse, d’emplois, de valeur et d’entreprises supplémentaires. Tous ces éléments soutiendront également la mise en œuvre de la ZLECAf. La Commission estime que les APE et les échanges préférentiels bilatéraux avec l’UE ont joué un rôle important en tant que catalyseurs du développement économique global dans les pays partenaires. Sans les APE, l’attrait du marché africain pour les capitaux étrangers ainsi que la création d’échanges commerciaux entre les pays et régions APE, et avec le reste de l’Afrique, ne seraient pas aussi élevés qu’aujourd’hui.</w:t>
      </w:r>
    </w:p>
    <w:p w14:paraId="4C24D49A" w14:textId="489EECC2" w:rsidR="00126C6F" w:rsidRPr="00126C6F" w:rsidRDefault="005A7593"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reconnaît l’importance du secteur des </w:t>
      </w:r>
      <w:r>
        <w:rPr>
          <w:rFonts w:ascii="Times New Roman" w:hAnsi="Times New Roman"/>
          <w:b/>
          <w:sz w:val="24"/>
        </w:rPr>
        <w:t>services</w:t>
      </w:r>
      <w:r>
        <w:rPr>
          <w:rFonts w:ascii="Times New Roman" w:hAnsi="Times New Roman"/>
          <w:sz w:val="24"/>
        </w:rPr>
        <w:t xml:space="preserve"> pour favoriser la croissance économique et la coopération régionale dans les pays partenaires (point 24). La Commission note également que la </w:t>
      </w:r>
      <w:r>
        <w:rPr>
          <w:rFonts w:ascii="Times New Roman" w:hAnsi="Times New Roman"/>
          <w:b/>
          <w:sz w:val="24"/>
        </w:rPr>
        <w:t>clause de rendez-vous</w:t>
      </w:r>
      <w:r>
        <w:rPr>
          <w:rFonts w:ascii="Times New Roman" w:hAnsi="Times New Roman"/>
          <w:sz w:val="24"/>
        </w:rPr>
        <w:t xml:space="preserve"> de l’APE couvre également les services et les investissements et que ces domaines pourraient être inclus dans l’accord à l’avenir si les parties en conviennent. Il convient de noter que l’APE est toujours d’application provisoire et n’a pas encore été ratifié par 15 États membres. Pour cette raison, un approfondissement substantiel de l’APE ne semble pas approprié avant sa ratification par tous les États membres. En ce qui concerne la </w:t>
      </w:r>
      <w:r>
        <w:rPr>
          <w:rFonts w:ascii="Times New Roman" w:hAnsi="Times New Roman"/>
          <w:b/>
          <w:sz w:val="24"/>
        </w:rPr>
        <w:t>mise en œuvre de l’APE</w:t>
      </w:r>
      <w:r>
        <w:rPr>
          <w:rFonts w:ascii="Times New Roman" w:hAnsi="Times New Roman"/>
          <w:sz w:val="24"/>
        </w:rPr>
        <w:t xml:space="preserve">, la Commission convient que la coopération au développement et l’assistance technique et financière sont des facteurs essentiels, compte tenu des différents besoins de chaque partenaire de l’APE CDAA. Ce sera également le cas pour </w:t>
      </w:r>
      <w:r>
        <w:rPr>
          <w:rFonts w:ascii="Times New Roman" w:hAnsi="Times New Roman"/>
          <w:sz w:val="24"/>
        </w:rPr>
        <w:lastRenderedPageBreak/>
        <w:t>l’Angola lorsqu’il rejoindra l’APE, conformément à l’analyse d’impact de la Commission en la matière.</w:t>
      </w:r>
    </w:p>
    <w:p w14:paraId="59100727" w14:textId="16D80CAD" w:rsidR="00126C6F" w:rsidRP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Chaque État de l’APE CDAA a élaboré, conjointement avec l’UE, des plans nationaux de mise en œuvre de l’APE. L’objectif était de définir les étapes et les mesures nécessaires pour mettre pleinement en œuvre l’APE et maximiser la contribution de l’APE au développement durable à long terme. Au titre du 11</w:t>
      </w:r>
      <w:r>
        <w:rPr>
          <w:rFonts w:ascii="Times New Roman" w:hAnsi="Times New Roman"/>
          <w:sz w:val="24"/>
          <w:vertAlign w:val="superscript"/>
        </w:rPr>
        <w:t>e</w:t>
      </w:r>
      <w:r>
        <w:rPr>
          <w:rFonts w:ascii="Times New Roman" w:hAnsi="Times New Roman"/>
          <w:sz w:val="24"/>
        </w:rPr>
        <w:t xml:space="preserve"> Fonds européen de développement (FED) 2014-2020, l’UE a apporté un soutien à la mise en œuvre des plans nationaux de mise en œuvre de l’APE pour un montant total de 30 millions d’euros couvrant le Botswana, l’Eswatini, le Lesotho, le Mozambique et la Namibie. Au titre de l’instrument de financement de la coopération au développement (ICD), 10 millions d’euros ont été alloués à l’Afrique du Sud aux mêmes fins.</w:t>
      </w:r>
    </w:p>
    <w:p w14:paraId="3D17C412" w14:textId="77777777" w:rsidR="00126C6F" w:rsidRPr="00581F67"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La Commission a également contribué au renforcement des capacités des États de l’APE CDAA en vue de la mise en œuvre des règles d’origine, notamment en ce qui concerne la mise en œuvre du cumul diagonal par les États de l’APE CDAA, ce qui a entraîné l’activation du cumul diagonal par les États de l’APE CDAA. Le Mozambique a indiqué qu’il pourrait être prêt à l’activer au cours du second semestre de 2024.</w:t>
      </w:r>
    </w:p>
    <w:p w14:paraId="3479F696" w14:textId="796AF9FF" w:rsidR="00126C6F" w:rsidRP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En outre, la Commission rappelle le soutien qu’elle a apporté au moyen des programmes régionaux du 11</w:t>
      </w:r>
      <w:r>
        <w:rPr>
          <w:rFonts w:ascii="Times New Roman" w:hAnsi="Times New Roman"/>
          <w:sz w:val="24"/>
          <w:vertAlign w:val="superscript"/>
        </w:rPr>
        <w:t>e</w:t>
      </w:r>
      <w:r>
        <w:rPr>
          <w:rFonts w:ascii="Times New Roman" w:hAnsi="Times New Roman"/>
          <w:sz w:val="24"/>
        </w:rPr>
        <w:t xml:space="preserve"> FED:</w:t>
      </w:r>
    </w:p>
    <w:p w14:paraId="45F5B33B" w14:textId="7D46E52A" w:rsidR="00126C6F" w:rsidRP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 le programme tripartite de facilitation des transports et transit, doté de 18 millions d’euros, a aidé le marché commun de l'Afrique de l'Est et de l'Afrique australe (COMESA), la Communauté de l’Afrique de l’Est (CAE) et les États membres de la CDAA (tripartite) à harmoniser les législations, les politiques, les réglementations, les normes et les systèmes en matière de transport routier dans le but de faciliter l’intensification des échanges;</w:t>
      </w:r>
    </w:p>
    <w:p w14:paraId="7DE9B6FF" w14:textId="01E90396" w:rsidR="00126C6F" w:rsidRP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 le soutien de l’UE et de la CDAA à l’amélioration de l’environnement des investissements et des affaires dans la région de la CDAA (SIBE) (14 millions d’euros) appuie la mise en œuvre du protocole de la CDAA sur l’investissement et le financement en améliorant et en harmonisant le cadre de la politique d’investissement dans la région afin de faciliter et de renforcer l’intégration des marchés financiers;  </w:t>
      </w:r>
    </w:p>
    <w:p w14:paraId="0A1E494E" w14:textId="3CCD55D6" w:rsidR="00126C6F" w:rsidRP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le soutien de l’UE et de la CDAA à l’industrialisation et aux secteurs productifs dans la région de la CDAA (SIPS) (contribution de l’UE: 18 millions d’euros + 4 millions d’euros provenant de l’Allemagne) appuie le développement de deux chaînes de valeur régionales (cuir et industrie pharmaceutique), afin de renforcer l’environnement politique et réglementaire et d’améliorer la participation du secteur privé;</w:t>
      </w:r>
    </w:p>
    <w:p w14:paraId="46EEE1C5" w14:textId="003AC947" w:rsidR="00126C6F" w:rsidRP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 le programme de facilitation des échanges UE-CDAA (15 millions d’euros) vise à faciliter le commerce intrarégional et soutient la mise en œuvre des protocoles de la CDAA sur le commerce et le commerce des services et de ses annexes, ainsi que la mise en œuvre de l’APE UE-CDAA. Il porte également sur les procédures douanières.</w:t>
      </w:r>
    </w:p>
    <w:p w14:paraId="1034F44B" w14:textId="23D2677B" w:rsidR="00126C6F" w:rsidRDefault="00126C6F" w:rsidP="0030703E">
      <w:pPr>
        <w:spacing w:after="120" w:line="240" w:lineRule="auto"/>
        <w:jc w:val="both"/>
        <w:rPr>
          <w:rFonts w:ascii="Times New Roman" w:hAnsi="Times New Roman" w:cs="Times New Roman"/>
          <w:sz w:val="24"/>
          <w:szCs w:val="24"/>
        </w:rPr>
      </w:pPr>
      <w:r>
        <w:rPr>
          <w:rFonts w:ascii="Times New Roman" w:hAnsi="Times New Roman"/>
          <w:sz w:val="24"/>
        </w:rPr>
        <w:t>Dans le cadre de l’exercice de programmation actuel (2021-2027) du programme indicatif pluriannuel régional (PIP) pour l’Afrique subsaharienne, l’«intégration commerciale et économique» reste une priorité régionale essentielle (630 millions d’euros). Dans le cadre de cette priorité, nous examinons la complémentarité du soutien à l’intégration économique et à la mise en œuvre de la ZLECAf et de l’APE, et des programmes sont en cours de discussion.</w:t>
      </w:r>
    </w:p>
    <w:p w14:paraId="30EA99F4" w14:textId="2C6025EB" w:rsidR="00495223" w:rsidRPr="00581F67" w:rsidRDefault="00EA4877"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les </w:t>
      </w:r>
      <w:r>
        <w:rPr>
          <w:rFonts w:ascii="Times New Roman" w:hAnsi="Times New Roman"/>
          <w:b/>
          <w:sz w:val="24"/>
        </w:rPr>
        <w:t>infrastructures et le réseau de transport</w:t>
      </w:r>
      <w:r>
        <w:rPr>
          <w:rFonts w:ascii="Times New Roman" w:hAnsi="Times New Roman"/>
          <w:sz w:val="24"/>
        </w:rPr>
        <w:t>, la Commission est consciente des difficultés rencontrées par les États de l’APE CDAA. À cet égard, la stratégie «</w:t>
      </w:r>
      <w:r>
        <w:rPr>
          <w:rFonts w:ascii="Times New Roman" w:hAnsi="Times New Roman"/>
          <w:b/>
          <w:sz w:val="24"/>
        </w:rPr>
        <w:t xml:space="preserve">Global </w:t>
      </w:r>
      <w:r>
        <w:rPr>
          <w:rFonts w:ascii="Times New Roman" w:hAnsi="Times New Roman"/>
          <w:b/>
          <w:sz w:val="24"/>
        </w:rPr>
        <w:lastRenderedPageBreak/>
        <w:t>Gateway</w:t>
      </w:r>
      <w:r>
        <w:rPr>
          <w:rFonts w:ascii="Times New Roman" w:hAnsi="Times New Roman"/>
          <w:sz w:val="24"/>
        </w:rPr>
        <w:t xml:space="preserve">» soutiendra les corridors de transport stratégiques et mobilisera également les investissements de l’UE en faveur de projets d’infrastructures durables dans la région de la CDAA. Dans le cadre de l’exercice de programmation 2021-2027 de l’UE, le recensement et la hiérarchisation des principaux </w:t>
      </w:r>
      <w:r>
        <w:rPr>
          <w:rFonts w:ascii="Times New Roman" w:hAnsi="Times New Roman"/>
          <w:b/>
          <w:sz w:val="24"/>
        </w:rPr>
        <w:t>corridors stratégiques</w:t>
      </w:r>
      <w:r>
        <w:rPr>
          <w:rFonts w:ascii="Times New Roman" w:hAnsi="Times New Roman"/>
          <w:sz w:val="24"/>
        </w:rPr>
        <w:t xml:space="preserve"> en Afrique, et l’accent mis sur leur développement, constituent une occasion d’approfondir le partenariat Afrique-UE dans une perspective de «primauté des politiques». Les corridors stratégiques sont destinés à soutenir le développement territorial, tant rural qu’urbain, par le déploiement et la maintenance de réseaux et de services de transport et de logistique fiables, ainsi que d’infrastructures numériques et liées à l’énergie. Ils visent à faciliter le commerce intra-africain et Afrique-Europe et à améliorer une mobilité et une connectivité durables, intelligentes, efficaces et sûres, conformément aux objectifs de développement durable entre les deux continents. Les corridors stratégiques sont également censés soutenir le développement de chaînes de valeur en Afrique, qui peuvent bénéficier aux industries tant en Afrique qu’en Europe et contribuer à la réalisation des objectifs de développement. Les États membres de l’UE agiront conjointement avec la Commission en tant qu’Équipe Europe pour atteindre ces objectifs communs en matière de durabilité. La Commission juge ses efforts à cet égard conformes aux appels du Parlement concernant le soutien aux procédures douanières transfrontières de la CDAA, à la connectivité, aux transports et aux efforts en matière de durabilité (paragraphes 13, 23, 32 et 43).</w:t>
      </w:r>
    </w:p>
    <w:p w14:paraId="21991736" w14:textId="0B83276E" w:rsidR="009427A7" w:rsidRPr="00581F67" w:rsidRDefault="00EA4877"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convient de la nécessité d’entreprendre des efforts conjoints de grande envergure en faveur de la décarbonation et reconnaît que la coopération avec les pays partenaires, tels que les États de l’APE CDAA, revêt une importance fondamentale tant pour </w:t>
      </w:r>
      <w:r>
        <w:rPr>
          <w:rFonts w:ascii="Times New Roman" w:hAnsi="Times New Roman"/>
          <w:b/>
          <w:sz w:val="24"/>
        </w:rPr>
        <w:t>lutter contre le changement climatique et promouvoir le développement durable que pour encourager la croissance économique</w:t>
      </w:r>
      <w:r>
        <w:rPr>
          <w:rFonts w:ascii="Times New Roman" w:hAnsi="Times New Roman"/>
          <w:sz w:val="24"/>
        </w:rPr>
        <w:t xml:space="preserve"> (paragraphe 29). À cet égard, la Commission souligne l’importance du partenariat pour une transition énergétique juste (JETP) avec l’Afrique du Sud, signé lors de la COP 26 à Glasgow entre l’Afrique du Sud et l’Allemagne, la France, les États-Unis, le Royaume-Uni et l’UE, qui promet 8,5 milliards de dollars pour aider l’Afrique du Sud à se décarboner et à parvenir à la neutralité climatique. Dans le cadre de cette initiative, la Banque européenne d’investissement (BEI) a prévu un montant de 1 milliard d’euros pour l’Afrique du Sud afin d’accélérer une transition inclusive vers une économie à zéro émission nette et résiliente au changement climatique, conformément aux ambitions les plus élevées de la contribution déterminée au niveau national (CDN) de l’Afrique du Sud. Ce montant est passé à 9,3 milliards d’USD grâce à la majoration des montants accordés par les membres d’origine et à l’adhésion de deux nouveaux partenaires (Danemark et Pays-Bas). L’UE soutient le JETP au moyen de subventions (114 millions d’euros) et de prêts (1 milliard d’euros) de la BEI. Cela vient s’ajouter au soutien des États membres de l’UE.</w:t>
      </w:r>
    </w:p>
    <w:p w14:paraId="158B86D8" w14:textId="42EEAFE8" w:rsidR="00D23992" w:rsidRPr="00581F67" w:rsidRDefault="00E05F0D" w:rsidP="0030703E">
      <w:pPr>
        <w:spacing w:after="120" w:line="240" w:lineRule="auto"/>
        <w:jc w:val="both"/>
        <w:rPr>
          <w:rFonts w:ascii="Times New Roman" w:hAnsi="Times New Roman" w:cs="Times New Roman"/>
          <w:sz w:val="24"/>
          <w:szCs w:val="24"/>
        </w:rPr>
      </w:pPr>
      <w:r>
        <w:rPr>
          <w:rFonts w:ascii="Times New Roman" w:hAnsi="Times New Roman"/>
          <w:sz w:val="24"/>
        </w:rPr>
        <w:t>La Commission convient de la nécessité d’aider les États de l’APE CDAA à faciliter la mise en œuvre des mesures de politique environnementale de l’UE et d’</w:t>
      </w:r>
      <w:r>
        <w:rPr>
          <w:rFonts w:ascii="Times New Roman" w:hAnsi="Times New Roman"/>
          <w:b/>
          <w:sz w:val="24"/>
        </w:rPr>
        <w:t>assurer le dialogue afin de promouvoir la compréhension mutuelle des objectifs et de l’incidence des initiatives de l’UE en matière d’environnement et de climat</w:t>
      </w:r>
      <w:r>
        <w:rPr>
          <w:rFonts w:ascii="Times New Roman" w:hAnsi="Times New Roman"/>
          <w:sz w:val="24"/>
        </w:rPr>
        <w:t xml:space="preserve"> (paragraphe 32). L’UE applique une approche globale de l’engagement extérieur visant à placer ses mesures en matière de durabilité dans un contexte international plus large, collaboratif et qui réponde de manière décisive à l’urgence climatique tout en créant de nouvelles possibilités pour l’UE et ses partenaires internationaux.  En particulier pour les pays africains, y compris les États de l’APE CDAA, la Commission reconnaît que le continent est confronté à des défis spécifiques. En conséquence, la Commission a noué un dialogue avec les pays affectés par le mécanisme d’ajustement carbone aux frontières et le règlement de l’UE sur la déforestation, tant au niveau bilatéral que dans les </w:t>
      </w:r>
      <w:r>
        <w:rPr>
          <w:rFonts w:ascii="Times New Roman" w:hAnsi="Times New Roman"/>
          <w:sz w:val="24"/>
        </w:rPr>
        <w:lastRenderedPageBreak/>
        <w:t xml:space="preserve">enceintes multilatérales. </w:t>
      </w:r>
      <w:r>
        <w:rPr>
          <w:rFonts w:ascii="Times New Roman" w:hAnsi="Times New Roman"/>
          <w:b/>
          <w:sz w:val="24"/>
        </w:rPr>
        <w:t>Le cadre de l’APE CDAA constitue un forum précieux pour ces échanges</w:t>
      </w:r>
      <w:r>
        <w:rPr>
          <w:rFonts w:ascii="Times New Roman" w:hAnsi="Times New Roman"/>
          <w:sz w:val="24"/>
        </w:rPr>
        <w:t xml:space="preserve"> et des sessions bilatérales de discussion ont été organisées dans le cadre des comités concernés. Au niveau multilatéral, la Commission, au nom de l’UE, a régulièrement présenté les deux mesures à l’OMC, y compris, mais pas exclusivement, dans le cadre du comité du commerce et de l’environnement, et a organisé plusieurs séances d’information et ateliers depuis leurs phases d’élaboration afin de garantir un engagement approprié, une transparence et une prise en compte réelle des préoccupations exprimées au sujet des nouvelles exigences de la politique environnementale de l’UE. La Commission poursuivra ce dialogue et celui avec ses partenaires commerciaux, au niveau tant politique que technique.</w:t>
      </w:r>
    </w:p>
    <w:p w14:paraId="5A5B4AC6" w14:textId="64776C65" w:rsidR="001C7B8A" w:rsidRPr="00FE4A09" w:rsidRDefault="001C7B8A"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La Commission convient également que la transition écologique et la réalisation des objectifs du programme de développement durable à l’horizon 2030 et de l’accord de Paris nécessiteront des </w:t>
      </w:r>
      <w:r>
        <w:rPr>
          <w:rFonts w:ascii="Times New Roman" w:hAnsi="Times New Roman"/>
          <w:b/>
          <w:sz w:val="24"/>
        </w:rPr>
        <w:t>ressources financières</w:t>
      </w:r>
      <w:r>
        <w:rPr>
          <w:rFonts w:ascii="Times New Roman" w:hAnsi="Times New Roman"/>
          <w:sz w:val="24"/>
        </w:rPr>
        <w:t xml:space="preserve"> substantielles, tant publiques que privées. C’est la raison pour laquelle la Commission lancera prochainement l’</w:t>
      </w:r>
      <w:r>
        <w:rPr>
          <w:rFonts w:ascii="Times New Roman" w:hAnsi="Times New Roman"/>
          <w:b/>
          <w:sz w:val="24"/>
        </w:rPr>
        <w:t>initiative phare «Initiative mondiale en matière d’obligations vertes» au titre de la stratégie «Global Gateway»</w:t>
      </w:r>
      <w:r>
        <w:rPr>
          <w:rFonts w:ascii="Times New Roman" w:hAnsi="Times New Roman"/>
          <w:sz w:val="24"/>
        </w:rPr>
        <w:t xml:space="preserve">, annoncée en 2023 par la présidente von der Leyen. Cette initiative vise à soutenir le développement des marchés des obligations vertes dans les pays à revenu faible et intermédiaire et à accroître les flux de capitaux privés provenant d’investisseurs institutionnels européens mais aussi internationaux et nationaux vers des projets durables dans les pays partenaires, y compris dans les États de l’APE CDAA. En outre, dans un contexte de contraintes budgétaires et de disponibilité limitée des financements concessionnels, la Commission a chargé un groupe d’experts à haut niveau de recenser les défis et les mesures concrètes qui pourraient être prises pour accroître la finance durable dans les pays à revenu faible et intermédiaire. Le groupe d’experts à haut niveau devrait publier ses principales conclusions et recommandations finales à la Commission au printemps 2024. La Commission a également lancé un </w:t>
      </w:r>
      <w:r>
        <w:rPr>
          <w:rFonts w:ascii="Times New Roman" w:hAnsi="Times New Roman"/>
          <w:b/>
          <w:sz w:val="24"/>
        </w:rPr>
        <w:t>groupe d’experts sur le renforcement de la coordination des outils financiers de l’UE</w:t>
      </w:r>
      <w:r>
        <w:rPr>
          <w:rFonts w:ascii="Times New Roman" w:hAnsi="Times New Roman"/>
          <w:sz w:val="24"/>
        </w:rPr>
        <w:t>, qui réunit les agences de crédit à l’exportation et de financement du développement des États membres de l’UE, ainsi que des fournisseurs de financement au niveau de l’UE tels que la BEI et la Banque européenne pour la reconstruction et le développement (BERD) (paragraphes 40 à 45), dans le but de contribuer à la réalisation des objectifs de l’initiative «Global Gateway». La Commission convient qu’il importe d’accroître le soutien aux investissements dans les priorités de la stratégie «Global Gateway», pour lesquelles différentes modalités de paiement ont un rôle à jouer (paragraphe 44).</w:t>
      </w:r>
    </w:p>
    <w:p w14:paraId="20648AE2" w14:textId="2C62BEF2" w:rsidR="00495223" w:rsidRPr="00581F67" w:rsidRDefault="00E9125A"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L’UE est fermement résolue à aborder la question de la </w:t>
      </w:r>
      <w:r>
        <w:rPr>
          <w:rFonts w:ascii="Times New Roman" w:hAnsi="Times New Roman"/>
          <w:b/>
          <w:sz w:val="24"/>
        </w:rPr>
        <w:t>sécurité alimentaire</w:t>
      </w:r>
      <w:r>
        <w:rPr>
          <w:rFonts w:ascii="Times New Roman" w:hAnsi="Times New Roman"/>
          <w:sz w:val="24"/>
        </w:rPr>
        <w:t xml:space="preserve"> tant au niveau mondial que dans le cadre de ses relations régionales/bilatérales. Il s’agit d’un élément essentiel de son soutien à l’ordre international fondé sur des règles et au programme de développement durable à l’horizon 2030. L’APE UE-CDAA prévoit, en faveur des partenaires de la CDAA, l’exclusion des produits sensibles de la libéralisation, de longues périodes de libéralisation, des règles d’origine flexibles, ainsi que des garanties et mesures spéciales pour l’agriculture, dont l’objectif essentiel est de veiller à ce que leur sécurité alimentaire ne soit pas affectée. Dans le même ordre d’idées, une grande partie des produits agroalimentaires sensibles qui sont essentiels pour la sécurité alimentaire sont définitivement exclus de la libéralisation des échanges. En particulier, l’APE lui-même prévoit des </w:t>
      </w:r>
      <w:r>
        <w:rPr>
          <w:rFonts w:ascii="Times New Roman" w:hAnsi="Times New Roman"/>
          <w:b/>
          <w:sz w:val="24"/>
        </w:rPr>
        <w:t>sauvegardes liées à la sécurité alimentaire</w:t>
      </w:r>
      <w:r>
        <w:rPr>
          <w:rFonts w:ascii="Times New Roman" w:hAnsi="Times New Roman"/>
          <w:sz w:val="24"/>
        </w:rPr>
        <w:t xml:space="preserve"> pour les partenaires de la CDAA et la possibilité, pour les États de la CDAA (à l’exception de l’Afrique du Sud), d’introduire des droits de douane ou des taxes temporaires perçus à l’exportation ou à l’occasion de l’exportation de marchandises ou à l’occasion de celles-ci. En outre, la sécurité alimentaire fait également l’objet de discussions régulières au sein du partenariat agricole et du comité «Commerce et développement» institué par l’APE (paragraphes 22 et 28).</w:t>
      </w:r>
    </w:p>
    <w:p w14:paraId="6F00D878" w14:textId="5E9CCA05" w:rsidR="00C849CC" w:rsidRPr="00581F67" w:rsidRDefault="005C0DEA" w:rsidP="0030703E">
      <w:pPr>
        <w:spacing w:after="120" w:line="240" w:lineRule="auto"/>
        <w:jc w:val="both"/>
        <w:rPr>
          <w:rFonts w:ascii="Times New Roman" w:hAnsi="Times New Roman" w:cs="Times New Roman"/>
          <w:sz w:val="24"/>
          <w:szCs w:val="24"/>
        </w:rPr>
      </w:pPr>
      <w:r>
        <w:rPr>
          <w:rFonts w:ascii="Times New Roman" w:hAnsi="Times New Roman"/>
          <w:sz w:val="24"/>
        </w:rPr>
        <w:lastRenderedPageBreak/>
        <w:t>En dehors du champ d’application de l’APE UE-CDAA, la Commission partage l’avis du Parlement selon lequel l’</w:t>
      </w:r>
      <w:r>
        <w:rPr>
          <w:rFonts w:ascii="Times New Roman" w:hAnsi="Times New Roman"/>
          <w:b/>
          <w:sz w:val="24"/>
        </w:rPr>
        <w:t>AFID UE-Angola</w:t>
      </w:r>
      <w:r>
        <w:rPr>
          <w:rFonts w:ascii="Times New Roman" w:hAnsi="Times New Roman"/>
          <w:sz w:val="24"/>
        </w:rPr>
        <w:t xml:space="preserve"> constitue un outil innovant pour faciliter l’attraction et l’expansion des investissements tout en intégrant les engagements en matière d’environnement et de droits du travail dans les relations entre l’UE et l’Angola (paragraphe 51). La Commission convient que l’AFID complète l’APE dans une certaine mesure, mais souligne qu’il s’agit de deux instruments juridiques distincts sans lien juridique entre eux. Pour cette raison, la Commission ne considère pas qu’un ajustement de l’AFID UE-Angola serait nécessaire après l’adhésion de l’Angola à l’APE.</w:t>
      </w:r>
    </w:p>
    <w:p w14:paraId="2E7B5920" w14:textId="35F1D7B8" w:rsidR="00B75493" w:rsidRPr="00581F67" w:rsidRDefault="00960267" w:rsidP="0030703E">
      <w:pPr>
        <w:spacing w:after="120" w:line="240" w:lineRule="auto"/>
        <w:jc w:val="both"/>
        <w:rPr>
          <w:rFonts w:ascii="Times New Roman" w:hAnsi="Times New Roman" w:cs="Times New Roman"/>
          <w:sz w:val="24"/>
          <w:szCs w:val="24"/>
        </w:rPr>
      </w:pPr>
      <w:r>
        <w:rPr>
          <w:rFonts w:ascii="Times New Roman" w:hAnsi="Times New Roman"/>
          <w:sz w:val="24"/>
        </w:rPr>
        <w:t xml:space="preserve">En ce qui concerne le commerce et les </w:t>
      </w:r>
      <w:r>
        <w:rPr>
          <w:rFonts w:ascii="Times New Roman" w:hAnsi="Times New Roman"/>
          <w:b/>
          <w:sz w:val="24"/>
        </w:rPr>
        <w:t>matières premières</w:t>
      </w:r>
      <w:r>
        <w:rPr>
          <w:rFonts w:ascii="Times New Roman" w:hAnsi="Times New Roman"/>
          <w:sz w:val="24"/>
        </w:rPr>
        <w:t>, la Commission convient qu’il importe de renforcer la coopération au moyen de forums formels et de partenariats stratégiques, tels que celui conclu avec la Namibie sur l’hydrogène renouvelable et les matières premières critiques (paragraphes 54 et 55). Pour l’UE, ces partenariats sont essentiels pour concrétiser les ambitions du pacte vert, en donnant les moyens d’agir aux acteurs des transitions écologique et numérique. Pour nos partenaires, ces partenariats mutuellement bénéfiques offrent des avantages pour faire en sorte que leurs ressources sous-tendent une croissance et un développement économiques durables, propres et inclusifs, permettent la transformation et la diversification économique, ainsi que la valorisation et la création de valeur ajoutée à l’échelle locale. Dans ce contexte, les partenariats stratégiques contribuent au développement de projets industriels tout au long de la chaîne de valeur des matières premières avec la capacité d’approvisionnement de l’industrie de l’UE et déploient un ensemble de mesures visant à soutenir les infrastructures locales (énergie, routes, ports) qui profiteront également aux communautés locales environnantes, à la fourniture de formations, au développement des compétences et au renforcement des capacités tout en maintenant des normes environnementales élevées respectant les droits du travail et les droits de l’homme et en améliorant la gouvernance. La Commission reconnaît qu’il importe d’associer toutes les parties prenantes concernées, en particulier les communautés locales et autochtones, et continuera de soutenir les enceintes multipartites telles que le partenariat européen pour des minerais responsables (EPRM) afin de favoriser la coopération.</w:t>
      </w:r>
    </w:p>
    <w:p w14:paraId="5F42AB5D" w14:textId="01B56A77" w:rsidR="008A1731" w:rsidRPr="00581F67" w:rsidRDefault="00581F67" w:rsidP="0030703E">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L’élaboration de feuilles de route pour la science, la technologie et l’innovation (STI) adaptées aux objectifs de développement durable, telles que l’initiative en cours en Namibie, offre le potentiel d’accélérer l’intégration des solutions en matière d’hydrogène et d’énergies renouvelables. En délimitant les investissements stratégiques dans les STI, ces feuilles de route ouvrent la voie à des avancées dans les transitions écologique et numérique. Le 3 mars 2024, le </w:t>
      </w:r>
      <w:r>
        <w:rPr>
          <w:rFonts w:ascii="Times New Roman" w:hAnsi="Times New Roman"/>
          <w:b/>
          <w:sz w:val="24"/>
        </w:rPr>
        <w:t>forum sur le partenariat pour la sécurité des minéraux (MSP)</w:t>
      </w:r>
      <w:r>
        <w:rPr>
          <w:rFonts w:ascii="Times New Roman" w:hAnsi="Times New Roman"/>
          <w:sz w:val="24"/>
        </w:rPr>
        <w:t xml:space="preserve"> a été officiellement approuvé lors de la réunion des dirigeants du MSP qui s’est tenue à Toronto. La réunion inaugurale du forum sur le MSP s’est tenue le 5 avril à Louvain. Le forum sur le MSP est coprésidé par les États-Unis et l’UE et comporte deux volets principaux: (1) un groupe de projet qui se concentrera sur le soutien et l’accélération de projets individuels dans le domaine des minéraux critiques et (2) un dialogue stratégique sur un approvisionnement sûr et durable en matières premières critiques pour les transitions écologique et numérique. Le «Club des matières premières critiques» annoncé par la présidente de la Commission est donc intégré au forum sur la MSP et en fait partie intégrante. Cinq pays de l’APE CDAA ont été invités au lancement du forum de la PEM en tant que membres potentiels du forum sur la MSP (Angola, Mozambique, Afrique du Sud, Botswana et Namibie). La Namibie a participé physiquement à l’événement de lancement.</w:t>
      </w:r>
    </w:p>
    <w:p w14:paraId="1C06913A" w14:textId="79AD1D69" w:rsidR="00B96A28" w:rsidRPr="00581F67" w:rsidRDefault="00392D4B" w:rsidP="0030703E">
      <w:pPr>
        <w:spacing w:after="120" w:line="240" w:lineRule="auto"/>
        <w:jc w:val="both"/>
        <w:rPr>
          <w:rFonts w:ascii="Times New Roman" w:hAnsi="Times New Roman" w:cs="Times New Roman"/>
          <w:sz w:val="24"/>
          <w:szCs w:val="24"/>
        </w:rPr>
      </w:pPr>
      <w:r>
        <w:rPr>
          <w:rFonts w:ascii="Times New Roman" w:hAnsi="Times New Roman"/>
          <w:sz w:val="24"/>
        </w:rPr>
        <w:lastRenderedPageBreak/>
        <w:t xml:space="preserve">La Commission note que les </w:t>
      </w:r>
      <w:r>
        <w:rPr>
          <w:rFonts w:ascii="Times New Roman" w:hAnsi="Times New Roman"/>
          <w:b/>
          <w:sz w:val="24"/>
        </w:rPr>
        <w:t>taxes à l’exportation</w:t>
      </w:r>
      <w:r>
        <w:rPr>
          <w:rFonts w:ascii="Times New Roman" w:hAnsi="Times New Roman"/>
          <w:sz w:val="24"/>
        </w:rPr>
        <w:t xml:space="preserve"> constituent des entraves aux échanges. Toutefois, l’APE UE-CDAA ne prévoit pas d’interdiction des taxes à l’exportation sur les matières premières (paragraphe 57). Il contient des dispositions qui permettent aux États de l’APE CDAA d’appliquer des taxes à l’exportation dans des circonstances exceptionnelles pour un nombre limité de produits. Cela vaut pour tous les États de l’APE CDAA, à l’exception de l’Afrique du Sud, lorsqu’une telle mesure est nécessaire pour «pour des besoins spécifiques en matière de recettes, qu'elle est nécessaire à la protection d'industries naissantes ou de l'environnement, ou qu'elle est indispensable pour prévenir ou réduire des pénuries graves, générales ou locales, de denrées alimentaires ou d'autres produits essentiels à la sécurité alimentaire».</w:t>
      </w:r>
    </w:p>
    <w:p w14:paraId="7E08FCA0" w14:textId="60B58A0A" w:rsidR="00392D4B" w:rsidRPr="00581F67" w:rsidRDefault="00B96A28" w:rsidP="0030703E">
      <w:pPr>
        <w:spacing w:after="120" w:line="240" w:lineRule="auto"/>
        <w:jc w:val="both"/>
        <w:rPr>
          <w:rFonts w:ascii="Times New Roman" w:hAnsi="Times New Roman" w:cs="Times New Roman"/>
          <w:sz w:val="24"/>
          <w:szCs w:val="24"/>
          <w:highlight w:val="yellow"/>
        </w:rPr>
      </w:pPr>
      <w:r>
        <w:rPr>
          <w:rFonts w:ascii="Times New Roman" w:hAnsi="Times New Roman"/>
          <w:sz w:val="24"/>
        </w:rPr>
        <w:t>En outre, tous les États de l’APE CDAA peuvent introduire temporairement des taxes à l’exportation sur huit produits au maximum à la fois (pour une durée maximale de 12 ans pour répondre aux besoins de développement industriel).</w:t>
      </w:r>
    </w:p>
    <w:p w14:paraId="29024BFA" w14:textId="37F00969" w:rsidR="00E93DBC" w:rsidRPr="00581F67" w:rsidRDefault="00257993" w:rsidP="0030703E">
      <w:pPr>
        <w:spacing w:after="120" w:line="240" w:lineRule="auto"/>
        <w:jc w:val="both"/>
        <w:rPr>
          <w:rFonts w:ascii="Times New Roman" w:hAnsi="Times New Roman" w:cs="Times New Roman"/>
          <w:i/>
          <w:iCs/>
          <w:sz w:val="24"/>
          <w:szCs w:val="24"/>
          <w:highlight w:val="yellow"/>
        </w:rPr>
      </w:pPr>
      <w:r>
        <w:rPr>
          <w:rFonts w:ascii="Times New Roman" w:hAnsi="Times New Roman"/>
          <w:sz w:val="24"/>
        </w:rPr>
        <w:t xml:space="preserve">La Commission souligne l’engagement constructif de l’UE dans les discussions complexes et multiformes sur l’opportunité d’étendre le champ d’application de la décision de </w:t>
      </w:r>
      <w:r>
        <w:rPr>
          <w:rFonts w:ascii="Times New Roman" w:hAnsi="Times New Roman"/>
          <w:b/>
          <w:sz w:val="24"/>
        </w:rPr>
        <w:t xml:space="preserve">l’OMC sur les ADPIC </w:t>
      </w:r>
      <w:r>
        <w:rPr>
          <w:rFonts w:ascii="Times New Roman" w:hAnsi="Times New Roman"/>
          <w:sz w:val="24"/>
        </w:rPr>
        <w:t>aux traitements et diagnostics contre la COVID-19. La Commission note que, malgré les efforts considérables déployés par les membres de l’OMC, il n’a pas été possible de parvenir à un consensus sur cette extension. Lors de la 13</w:t>
      </w:r>
      <w:r>
        <w:rPr>
          <w:rFonts w:ascii="Times New Roman" w:hAnsi="Times New Roman"/>
          <w:sz w:val="24"/>
          <w:vertAlign w:val="superscript"/>
        </w:rPr>
        <w:t>e</w:t>
      </w:r>
      <w:r>
        <w:rPr>
          <w:rFonts w:ascii="Times New Roman" w:hAnsi="Times New Roman"/>
          <w:sz w:val="24"/>
        </w:rPr>
        <w:t xml:space="preserve"> conférence ministérielle, les membres de l’OMC sont convenus de la nécessité de poursuivre les travaux visant à tirer parti des enseignements tirés de la pandémie de COVID-19 afin de trouver des solutions efficaces en cas de futures pandémies. La Commission est prête à poursuivre son engagement constructif au sein de l’OMC et avec les États de l’APE CDAA sur ces questions. Conformément aux obligations internationales de l’UE en matière d’octroi de licences obligatoires énoncées dans l’accord sur les ADPIC, la Commission a proposé un règlement concernant l’octroi de licences obligatoires pour la gestion de crises, dans le cadre du paquet «brevets» adopté le 27 avril 2023. Ce règlement proposé vise à créer, au niveau de l’UE, un cadre efficace d’octroi de licences obligatoires pour faire face aux crises qui ont une incidence pour l’UE. La licence obligatoire de l’Union servira d’outil exceptionnel en période de crise lorsque les accords volontaires n’offrent pas de solutions adéquates et garantissent une portée territoriale appropriée de l’octroi de licences obligatoires pour couvrir les chaînes d’approvisionnement transfrontières. Elle s’appuiera sur le système existant d’instruments de crise de l’UE.</w:t>
      </w:r>
    </w:p>
    <w:sectPr w:rsidR="00E93DBC" w:rsidRPr="00581F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06FDF" w14:textId="77777777" w:rsidR="001A7085" w:rsidRDefault="001A7085">
      <w:pPr>
        <w:spacing w:after="0" w:line="240" w:lineRule="auto"/>
      </w:pPr>
      <w:r>
        <w:separator/>
      </w:r>
    </w:p>
  </w:endnote>
  <w:endnote w:type="continuationSeparator" w:id="0">
    <w:p w14:paraId="152752E7" w14:textId="77777777" w:rsidR="001A7085" w:rsidRDefault="001A7085">
      <w:pPr>
        <w:spacing w:after="0" w:line="240" w:lineRule="auto"/>
      </w:pPr>
      <w:r>
        <w:continuationSeparator/>
      </w:r>
    </w:p>
  </w:endnote>
  <w:endnote w:type="continuationNotice" w:id="1">
    <w:p w14:paraId="55BB40D5" w14:textId="77777777" w:rsidR="001A7085" w:rsidRDefault="001A7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2C08" w14:textId="77777777" w:rsidR="00FA6E73" w:rsidRDefault="00FA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207303"/>
      <w:docPartObj>
        <w:docPartGallery w:val="Page Numbers (Bottom of Page)"/>
        <w:docPartUnique/>
      </w:docPartObj>
    </w:sdtPr>
    <w:sdtEndPr>
      <w:rPr>
        <w:noProof/>
      </w:rPr>
    </w:sdtEndPr>
    <w:sdtContent>
      <w:p w14:paraId="597D43D8" w14:textId="50A9E8E2" w:rsidR="00E83029" w:rsidRDefault="00E83029">
        <w:pPr>
          <w:pStyle w:val="Footer"/>
          <w:jc w:val="center"/>
        </w:pPr>
        <w:r>
          <w:fldChar w:fldCharType="begin"/>
        </w:r>
        <w:r>
          <w:instrText xml:space="preserve"> PAGE   \* MERGEFORMAT </w:instrText>
        </w:r>
        <w:r>
          <w:fldChar w:fldCharType="separate"/>
        </w:r>
        <w:r w:rsidR="00123ACC">
          <w:rPr>
            <w:noProof/>
          </w:rPr>
          <w:t>1</w:t>
        </w:r>
        <w:r>
          <w:fldChar w:fldCharType="end"/>
        </w:r>
      </w:p>
    </w:sdtContent>
  </w:sdt>
  <w:p w14:paraId="46F0E008" w14:textId="77777777" w:rsidR="005F64B1" w:rsidRDefault="005F6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2DC8" w14:textId="77777777" w:rsidR="00FA6E73" w:rsidRDefault="00FA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A75B1" w14:textId="77777777" w:rsidR="001A7085" w:rsidRDefault="001A7085">
      <w:pPr>
        <w:spacing w:after="0" w:line="240" w:lineRule="auto"/>
      </w:pPr>
      <w:r>
        <w:separator/>
      </w:r>
    </w:p>
  </w:footnote>
  <w:footnote w:type="continuationSeparator" w:id="0">
    <w:p w14:paraId="16F45446" w14:textId="77777777" w:rsidR="001A7085" w:rsidRDefault="001A7085">
      <w:pPr>
        <w:spacing w:after="0" w:line="240" w:lineRule="auto"/>
      </w:pPr>
      <w:r>
        <w:continuationSeparator/>
      </w:r>
    </w:p>
  </w:footnote>
  <w:footnote w:type="continuationNotice" w:id="1">
    <w:p w14:paraId="77599CAA" w14:textId="77777777" w:rsidR="001A7085" w:rsidRDefault="001A7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544D" w14:textId="77777777" w:rsidR="00FA6E73" w:rsidRDefault="00FA6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4DDA" w14:textId="77777777" w:rsidR="00FA6E73" w:rsidRDefault="00FA6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A17C" w14:textId="77777777" w:rsidR="00FA6E73" w:rsidRDefault="00FA6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C80"/>
    <w:multiLevelType w:val="hybridMultilevel"/>
    <w:tmpl w:val="70BEB6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03C7933"/>
    <w:multiLevelType w:val="hybridMultilevel"/>
    <w:tmpl w:val="93AE0022"/>
    <w:lvl w:ilvl="0" w:tplc="371C8346">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54F"/>
    <w:rsid w:val="00006E3E"/>
    <w:rsid w:val="0001107E"/>
    <w:rsid w:val="000306B8"/>
    <w:rsid w:val="000355E7"/>
    <w:rsid w:val="000374F9"/>
    <w:rsid w:val="00043420"/>
    <w:rsid w:val="00047E3F"/>
    <w:rsid w:val="0007273B"/>
    <w:rsid w:val="0007541E"/>
    <w:rsid w:val="00075E44"/>
    <w:rsid w:val="000B5138"/>
    <w:rsid w:val="000D4D2B"/>
    <w:rsid w:val="000D7781"/>
    <w:rsid w:val="000F4B2B"/>
    <w:rsid w:val="000F5078"/>
    <w:rsid w:val="000F76D9"/>
    <w:rsid w:val="00100A15"/>
    <w:rsid w:val="00104918"/>
    <w:rsid w:val="001237EB"/>
    <w:rsid w:val="00123ACC"/>
    <w:rsid w:val="00126C6F"/>
    <w:rsid w:val="00142FA0"/>
    <w:rsid w:val="00164ACD"/>
    <w:rsid w:val="00193DA5"/>
    <w:rsid w:val="001A3FF6"/>
    <w:rsid w:val="001A7085"/>
    <w:rsid w:val="001B1176"/>
    <w:rsid w:val="001C15FF"/>
    <w:rsid w:val="001C7B8A"/>
    <w:rsid w:val="001E111B"/>
    <w:rsid w:val="001E412F"/>
    <w:rsid w:val="001E7259"/>
    <w:rsid w:val="001F6E39"/>
    <w:rsid w:val="001F7995"/>
    <w:rsid w:val="00201D6C"/>
    <w:rsid w:val="00216E7B"/>
    <w:rsid w:val="00234B88"/>
    <w:rsid w:val="002510C8"/>
    <w:rsid w:val="0025737F"/>
    <w:rsid w:val="00257993"/>
    <w:rsid w:val="00257D9A"/>
    <w:rsid w:val="0026755F"/>
    <w:rsid w:val="00285914"/>
    <w:rsid w:val="00285D96"/>
    <w:rsid w:val="002A08A8"/>
    <w:rsid w:val="002A73EE"/>
    <w:rsid w:val="002A79F5"/>
    <w:rsid w:val="002B237A"/>
    <w:rsid w:val="002B7F5A"/>
    <w:rsid w:val="002C6051"/>
    <w:rsid w:val="002D6A01"/>
    <w:rsid w:val="002E7FC6"/>
    <w:rsid w:val="002F3E62"/>
    <w:rsid w:val="002F3EA9"/>
    <w:rsid w:val="0030703E"/>
    <w:rsid w:val="00310BF3"/>
    <w:rsid w:val="00326A4F"/>
    <w:rsid w:val="00332ACE"/>
    <w:rsid w:val="00341FFF"/>
    <w:rsid w:val="003654E6"/>
    <w:rsid w:val="00375053"/>
    <w:rsid w:val="00380EEF"/>
    <w:rsid w:val="00390EC5"/>
    <w:rsid w:val="00392D4B"/>
    <w:rsid w:val="003A395D"/>
    <w:rsid w:val="003B3BEC"/>
    <w:rsid w:val="003F0E80"/>
    <w:rsid w:val="00404AF8"/>
    <w:rsid w:val="00405F53"/>
    <w:rsid w:val="00406BE9"/>
    <w:rsid w:val="00407B9E"/>
    <w:rsid w:val="00414271"/>
    <w:rsid w:val="00425C8A"/>
    <w:rsid w:val="0042760D"/>
    <w:rsid w:val="0043032C"/>
    <w:rsid w:val="00447214"/>
    <w:rsid w:val="004627A8"/>
    <w:rsid w:val="0048037A"/>
    <w:rsid w:val="0048147B"/>
    <w:rsid w:val="00495223"/>
    <w:rsid w:val="004B13ED"/>
    <w:rsid w:val="004C4589"/>
    <w:rsid w:val="004C5893"/>
    <w:rsid w:val="004D102B"/>
    <w:rsid w:val="004D659D"/>
    <w:rsid w:val="004E2910"/>
    <w:rsid w:val="004F4123"/>
    <w:rsid w:val="00513528"/>
    <w:rsid w:val="0052061E"/>
    <w:rsid w:val="00531A80"/>
    <w:rsid w:val="00536A3C"/>
    <w:rsid w:val="00540DFF"/>
    <w:rsid w:val="00551613"/>
    <w:rsid w:val="00553915"/>
    <w:rsid w:val="00581F67"/>
    <w:rsid w:val="005929ED"/>
    <w:rsid w:val="00595E88"/>
    <w:rsid w:val="005A7593"/>
    <w:rsid w:val="005B3CC1"/>
    <w:rsid w:val="005C0DEA"/>
    <w:rsid w:val="005D34D1"/>
    <w:rsid w:val="005E5FED"/>
    <w:rsid w:val="005F64B1"/>
    <w:rsid w:val="006078FF"/>
    <w:rsid w:val="00642683"/>
    <w:rsid w:val="00655DEE"/>
    <w:rsid w:val="00660ED1"/>
    <w:rsid w:val="00664EC5"/>
    <w:rsid w:val="00674C14"/>
    <w:rsid w:val="00683D28"/>
    <w:rsid w:val="006A1AB3"/>
    <w:rsid w:val="006A27B1"/>
    <w:rsid w:val="006B5014"/>
    <w:rsid w:val="006E354F"/>
    <w:rsid w:val="006E56CE"/>
    <w:rsid w:val="0070589C"/>
    <w:rsid w:val="00711E05"/>
    <w:rsid w:val="007264F7"/>
    <w:rsid w:val="00750F76"/>
    <w:rsid w:val="00755499"/>
    <w:rsid w:val="0076069D"/>
    <w:rsid w:val="00765230"/>
    <w:rsid w:val="00765F8F"/>
    <w:rsid w:val="00774441"/>
    <w:rsid w:val="00786771"/>
    <w:rsid w:val="007A5190"/>
    <w:rsid w:val="007B3912"/>
    <w:rsid w:val="007F02BE"/>
    <w:rsid w:val="007F4DB8"/>
    <w:rsid w:val="00801752"/>
    <w:rsid w:val="00802B39"/>
    <w:rsid w:val="008040CD"/>
    <w:rsid w:val="008126A7"/>
    <w:rsid w:val="0082052D"/>
    <w:rsid w:val="00824326"/>
    <w:rsid w:val="00824DD4"/>
    <w:rsid w:val="00825B9C"/>
    <w:rsid w:val="00843EA9"/>
    <w:rsid w:val="00851793"/>
    <w:rsid w:val="0087578D"/>
    <w:rsid w:val="00885251"/>
    <w:rsid w:val="00890721"/>
    <w:rsid w:val="008A11B5"/>
    <w:rsid w:val="008A1731"/>
    <w:rsid w:val="008B4705"/>
    <w:rsid w:val="008B5CF9"/>
    <w:rsid w:val="008C0CFE"/>
    <w:rsid w:val="008C1188"/>
    <w:rsid w:val="008E7CFC"/>
    <w:rsid w:val="008F2974"/>
    <w:rsid w:val="00900C4A"/>
    <w:rsid w:val="00904826"/>
    <w:rsid w:val="009103B1"/>
    <w:rsid w:val="00910704"/>
    <w:rsid w:val="00913106"/>
    <w:rsid w:val="0091329E"/>
    <w:rsid w:val="009203BD"/>
    <w:rsid w:val="00921D84"/>
    <w:rsid w:val="009249C9"/>
    <w:rsid w:val="009427A7"/>
    <w:rsid w:val="00942B7F"/>
    <w:rsid w:val="00960267"/>
    <w:rsid w:val="0096769E"/>
    <w:rsid w:val="009717BB"/>
    <w:rsid w:val="00974276"/>
    <w:rsid w:val="00981585"/>
    <w:rsid w:val="0099369D"/>
    <w:rsid w:val="009B7A98"/>
    <w:rsid w:val="009C71BE"/>
    <w:rsid w:val="009D0BE0"/>
    <w:rsid w:val="009D762D"/>
    <w:rsid w:val="009E7314"/>
    <w:rsid w:val="009F4C9F"/>
    <w:rsid w:val="00A054AD"/>
    <w:rsid w:val="00A147C6"/>
    <w:rsid w:val="00A3103D"/>
    <w:rsid w:val="00A443B6"/>
    <w:rsid w:val="00A47631"/>
    <w:rsid w:val="00A62B88"/>
    <w:rsid w:val="00A81FD8"/>
    <w:rsid w:val="00A82DE7"/>
    <w:rsid w:val="00A92D67"/>
    <w:rsid w:val="00A96AF4"/>
    <w:rsid w:val="00AC6B5C"/>
    <w:rsid w:val="00AF0A5F"/>
    <w:rsid w:val="00B16D29"/>
    <w:rsid w:val="00B425B9"/>
    <w:rsid w:val="00B4664F"/>
    <w:rsid w:val="00B476C6"/>
    <w:rsid w:val="00B519F8"/>
    <w:rsid w:val="00B52CC9"/>
    <w:rsid w:val="00B70EFA"/>
    <w:rsid w:val="00B75493"/>
    <w:rsid w:val="00B7681B"/>
    <w:rsid w:val="00B836DC"/>
    <w:rsid w:val="00B958CA"/>
    <w:rsid w:val="00B96A28"/>
    <w:rsid w:val="00BA6F94"/>
    <w:rsid w:val="00BB1DD6"/>
    <w:rsid w:val="00BB24F7"/>
    <w:rsid w:val="00BC7997"/>
    <w:rsid w:val="00BD4C92"/>
    <w:rsid w:val="00BD540C"/>
    <w:rsid w:val="00BD7DA5"/>
    <w:rsid w:val="00BF5981"/>
    <w:rsid w:val="00C33B02"/>
    <w:rsid w:val="00C34951"/>
    <w:rsid w:val="00C5029B"/>
    <w:rsid w:val="00C8275C"/>
    <w:rsid w:val="00C8465C"/>
    <w:rsid w:val="00C849CC"/>
    <w:rsid w:val="00C97773"/>
    <w:rsid w:val="00CA1ACD"/>
    <w:rsid w:val="00CB3EA5"/>
    <w:rsid w:val="00CB549C"/>
    <w:rsid w:val="00CD261A"/>
    <w:rsid w:val="00CD5D12"/>
    <w:rsid w:val="00CD790B"/>
    <w:rsid w:val="00CF3E87"/>
    <w:rsid w:val="00D04F48"/>
    <w:rsid w:val="00D23992"/>
    <w:rsid w:val="00D30AF1"/>
    <w:rsid w:val="00D36C48"/>
    <w:rsid w:val="00D41053"/>
    <w:rsid w:val="00D5562B"/>
    <w:rsid w:val="00D7015D"/>
    <w:rsid w:val="00D95AC6"/>
    <w:rsid w:val="00D97D0D"/>
    <w:rsid w:val="00DA3396"/>
    <w:rsid w:val="00DB09DA"/>
    <w:rsid w:val="00DB29B4"/>
    <w:rsid w:val="00DB3E98"/>
    <w:rsid w:val="00DB61F1"/>
    <w:rsid w:val="00DB627F"/>
    <w:rsid w:val="00DC016F"/>
    <w:rsid w:val="00DD01AF"/>
    <w:rsid w:val="00DD7563"/>
    <w:rsid w:val="00E04C68"/>
    <w:rsid w:val="00E04F96"/>
    <w:rsid w:val="00E05F0D"/>
    <w:rsid w:val="00E32224"/>
    <w:rsid w:val="00E3427E"/>
    <w:rsid w:val="00E45604"/>
    <w:rsid w:val="00E550FB"/>
    <w:rsid w:val="00E667BA"/>
    <w:rsid w:val="00E713B1"/>
    <w:rsid w:val="00E730F2"/>
    <w:rsid w:val="00E83029"/>
    <w:rsid w:val="00E9125A"/>
    <w:rsid w:val="00E93DBC"/>
    <w:rsid w:val="00E95499"/>
    <w:rsid w:val="00EA4877"/>
    <w:rsid w:val="00EB6C69"/>
    <w:rsid w:val="00EC3201"/>
    <w:rsid w:val="00ED4A4E"/>
    <w:rsid w:val="00EF35EE"/>
    <w:rsid w:val="00F00BF2"/>
    <w:rsid w:val="00F02E47"/>
    <w:rsid w:val="00F03263"/>
    <w:rsid w:val="00F03308"/>
    <w:rsid w:val="00F25EE4"/>
    <w:rsid w:val="00F55F3A"/>
    <w:rsid w:val="00F75706"/>
    <w:rsid w:val="00F817A6"/>
    <w:rsid w:val="00F87D60"/>
    <w:rsid w:val="00F942BD"/>
    <w:rsid w:val="00FA6E73"/>
    <w:rsid w:val="00FB2B09"/>
    <w:rsid w:val="00FC4964"/>
    <w:rsid w:val="00FD4D27"/>
    <w:rsid w:val="00FE4A09"/>
    <w:rsid w:val="00FE5BD8"/>
    <w:rsid w:val="00FF76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AE3A"/>
  <w15:chartTrackingRefBased/>
  <w15:docId w15:val="{7F17A56A-1474-4AF2-8CBF-F4C0E4A3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54F"/>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4F"/>
    <w:pPr>
      <w:ind w:left="720"/>
      <w:contextualSpacing/>
    </w:pPr>
  </w:style>
  <w:style w:type="paragraph" w:styleId="Footer">
    <w:name w:val="footer"/>
    <w:basedOn w:val="Normal"/>
    <w:link w:val="FooterChar"/>
    <w:uiPriority w:val="99"/>
    <w:unhideWhenUsed/>
    <w:rsid w:val="006E3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54F"/>
    <w:rPr>
      <w:rFonts w:asciiTheme="minorHAnsi" w:hAnsiTheme="minorHAnsi" w:cstheme="minorBidi"/>
      <w:sz w:val="22"/>
      <w:szCs w:val="22"/>
      <w:lang w:val="fr-FR"/>
    </w:rPr>
  </w:style>
  <w:style w:type="character" w:styleId="CommentReference">
    <w:name w:val="annotation reference"/>
    <w:basedOn w:val="DefaultParagraphFont"/>
    <w:uiPriority w:val="99"/>
    <w:semiHidden/>
    <w:unhideWhenUsed/>
    <w:rsid w:val="00595E88"/>
    <w:rPr>
      <w:sz w:val="16"/>
      <w:szCs w:val="16"/>
    </w:rPr>
  </w:style>
  <w:style w:type="paragraph" w:styleId="CommentText">
    <w:name w:val="annotation text"/>
    <w:basedOn w:val="Normal"/>
    <w:link w:val="CommentTextChar"/>
    <w:uiPriority w:val="99"/>
    <w:unhideWhenUsed/>
    <w:rsid w:val="00595E88"/>
    <w:pPr>
      <w:spacing w:line="240" w:lineRule="auto"/>
    </w:pPr>
    <w:rPr>
      <w:sz w:val="20"/>
      <w:szCs w:val="20"/>
    </w:rPr>
  </w:style>
  <w:style w:type="character" w:customStyle="1" w:styleId="CommentTextChar">
    <w:name w:val="Comment Text Char"/>
    <w:basedOn w:val="DefaultParagraphFont"/>
    <w:link w:val="CommentText"/>
    <w:uiPriority w:val="99"/>
    <w:rsid w:val="00595E88"/>
    <w:rPr>
      <w:rFonts w:asciiTheme="minorHAnsi" w:hAnsiTheme="minorHAnsi" w:cstheme="minorBidi"/>
      <w:sz w:val="20"/>
      <w:szCs w:val="20"/>
      <w:lang w:val="fr-FR"/>
    </w:rPr>
  </w:style>
  <w:style w:type="paragraph" w:styleId="CommentSubject">
    <w:name w:val="annotation subject"/>
    <w:basedOn w:val="CommentText"/>
    <w:next w:val="CommentText"/>
    <w:link w:val="CommentSubjectChar"/>
    <w:uiPriority w:val="99"/>
    <w:semiHidden/>
    <w:unhideWhenUsed/>
    <w:rsid w:val="00595E88"/>
    <w:rPr>
      <w:b/>
      <w:bCs/>
    </w:rPr>
  </w:style>
  <w:style w:type="character" w:customStyle="1" w:styleId="CommentSubjectChar">
    <w:name w:val="Comment Subject Char"/>
    <w:basedOn w:val="CommentTextChar"/>
    <w:link w:val="CommentSubject"/>
    <w:uiPriority w:val="99"/>
    <w:semiHidden/>
    <w:rsid w:val="00595E88"/>
    <w:rPr>
      <w:rFonts w:asciiTheme="minorHAnsi" w:hAnsiTheme="minorHAnsi" w:cstheme="minorBidi"/>
      <w:b/>
      <w:bCs/>
      <w:sz w:val="20"/>
      <w:szCs w:val="20"/>
      <w:lang w:val="fr-FR"/>
    </w:rPr>
  </w:style>
  <w:style w:type="table" w:styleId="TableGrid">
    <w:name w:val="Table Grid"/>
    <w:basedOn w:val="TableNormal"/>
    <w:uiPriority w:val="59"/>
    <w:rsid w:val="00F817A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E73"/>
    <w:rPr>
      <w:rFonts w:asciiTheme="minorHAnsi" w:hAnsiTheme="minorHAnsi" w:cstheme="minorBidi"/>
      <w:sz w:val="22"/>
      <w:szCs w:val="22"/>
      <w:lang w:val="fr-FR"/>
    </w:rPr>
  </w:style>
  <w:style w:type="character" w:styleId="Hyperlink">
    <w:name w:val="Hyperlink"/>
    <w:basedOn w:val="DefaultParagraphFont"/>
    <w:uiPriority w:val="99"/>
    <w:unhideWhenUsed/>
    <w:rsid w:val="00FA6E73"/>
    <w:rPr>
      <w:color w:val="0000FF"/>
      <w:u w:val="single"/>
    </w:rPr>
  </w:style>
  <w:style w:type="paragraph" w:styleId="FootnoteText">
    <w:name w:val="footnote text"/>
    <w:basedOn w:val="Normal"/>
    <w:link w:val="FootnoteTextChar"/>
    <w:uiPriority w:val="99"/>
    <w:semiHidden/>
    <w:unhideWhenUsed/>
    <w:rsid w:val="00FA6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E73"/>
    <w:rPr>
      <w:rFonts w:asciiTheme="minorHAnsi" w:hAnsiTheme="minorHAnsi" w:cstheme="minorBidi"/>
      <w:sz w:val="20"/>
      <w:szCs w:val="20"/>
      <w:lang w:val="fr-FR"/>
    </w:rPr>
  </w:style>
  <w:style w:type="character" w:styleId="FootnoteReference">
    <w:name w:val="footnote reference"/>
    <w:basedOn w:val="DefaultParagraphFont"/>
    <w:uiPriority w:val="99"/>
    <w:semiHidden/>
    <w:unhideWhenUsed/>
    <w:rsid w:val="00FA6E73"/>
    <w:rPr>
      <w:vertAlign w:val="superscript"/>
    </w:rPr>
  </w:style>
  <w:style w:type="character" w:styleId="FollowedHyperlink">
    <w:name w:val="FollowedHyperlink"/>
    <w:basedOn w:val="DefaultParagraphFont"/>
    <w:uiPriority w:val="99"/>
    <w:semiHidden/>
    <w:unhideWhenUsed/>
    <w:rsid w:val="00FA6E73"/>
    <w:rPr>
      <w:color w:val="800080" w:themeColor="followedHyperlink"/>
      <w:u w:val="single"/>
    </w:rPr>
  </w:style>
  <w:style w:type="paragraph" w:styleId="Revision">
    <w:name w:val="Revision"/>
    <w:hidden/>
    <w:uiPriority w:val="99"/>
    <w:semiHidden/>
    <w:rsid w:val="00E667BA"/>
    <w:pPr>
      <w:spacing w:after="0" w:line="240" w:lineRule="auto"/>
    </w:pPr>
    <w:rPr>
      <w:rFonts w:asciiTheme="minorHAnsi" w:hAnsiTheme="minorHAnsi" w:cstheme="minorBidi"/>
      <w:sz w:val="22"/>
      <w:szCs w:val="22"/>
    </w:rPr>
  </w:style>
  <w:style w:type="character" w:customStyle="1" w:styleId="UnresolvedMention">
    <w:name w:val="Unresolved Mention"/>
    <w:basedOn w:val="DefaultParagraphFont"/>
    <w:uiPriority w:val="99"/>
    <w:semiHidden/>
    <w:unhideWhenUsed/>
    <w:rsid w:val="00E32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7629">
      <w:bodyDiv w:val="1"/>
      <w:marLeft w:val="0"/>
      <w:marRight w:val="0"/>
      <w:marTop w:val="0"/>
      <w:marBottom w:val="0"/>
      <w:divBdr>
        <w:top w:val="none" w:sz="0" w:space="0" w:color="auto"/>
        <w:left w:val="none" w:sz="0" w:space="0" w:color="auto"/>
        <w:bottom w:val="none" w:sz="0" w:space="0" w:color="auto"/>
        <w:right w:val="none" w:sz="0" w:space="0" w:color="auto"/>
      </w:divBdr>
      <w:divsChild>
        <w:div w:id="98910856">
          <w:marLeft w:val="547"/>
          <w:marRight w:val="0"/>
          <w:marTop w:val="0"/>
          <w:marBottom w:val="0"/>
          <w:divBdr>
            <w:top w:val="none" w:sz="0" w:space="0" w:color="auto"/>
            <w:left w:val="none" w:sz="0" w:space="0" w:color="auto"/>
            <w:bottom w:val="none" w:sz="0" w:space="0" w:color="auto"/>
            <w:right w:val="none" w:sz="0" w:space="0" w:color="auto"/>
          </w:divBdr>
        </w:div>
      </w:divsChild>
    </w:div>
    <w:div w:id="227226313">
      <w:bodyDiv w:val="1"/>
      <w:marLeft w:val="0"/>
      <w:marRight w:val="0"/>
      <w:marTop w:val="0"/>
      <w:marBottom w:val="0"/>
      <w:divBdr>
        <w:top w:val="none" w:sz="0" w:space="0" w:color="auto"/>
        <w:left w:val="none" w:sz="0" w:space="0" w:color="auto"/>
        <w:bottom w:val="none" w:sz="0" w:space="0" w:color="auto"/>
        <w:right w:val="none" w:sz="0" w:space="0" w:color="auto"/>
      </w:divBdr>
    </w:div>
    <w:div w:id="252864261">
      <w:bodyDiv w:val="1"/>
      <w:marLeft w:val="0"/>
      <w:marRight w:val="0"/>
      <w:marTop w:val="0"/>
      <w:marBottom w:val="0"/>
      <w:divBdr>
        <w:top w:val="none" w:sz="0" w:space="0" w:color="auto"/>
        <w:left w:val="none" w:sz="0" w:space="0" w:color="auto"/>
        <w:bottom w:val="none" w:sz="0" w:space="0" w:color="auto"/>
        <w:right w:val="none" w:sz="0" w:space="0" w:color="auto"/>
      </w:divBdr>
    </w:div>
    <w:div w:id="295647036">
      <w:bodyDiv w:val="1"/>
      <w:marLeft w:val="0"/>
      <w:marRight w:val="0"/>
      <w:marTop w:val="0"/>
      <w:marBottom w:val="0"/>
      <w:divBdr>
        <w:top w:val="none" w:sz="0" w:space="0" w:color="auto"/>
        <w:left w:val="none" w:sz="0" w:space="0" w:color="auto"/>
        <w:bottom w:val="none" w:sz="0" w:space="0" w:color="auto"/>
        <w:right w:val="none" w:sz="0" w:space="0" w:color="auto"/>
      </w:divBdr>
    </w:div>
    <w:div w:id="349528459">
      <w:bodyDiv w:val="1"/>
      <w:marLeft w:val="0"/>
      <w:marRight w:val="0"/>
      <w:marTop w:val="0"/>
      <w:marBottom w:val="0"/>
      <w:divBdr>
        <w:top w:val="none" w:sz="0" w:space="0" w:color="auto"/>
        <w:left w:val="none" w:sz="0" w:space="0" w:color="auto"/>
        <w:bottom w:val="none" w:sz="0" w:space="0" w:color="auto"/>
        <w:right w:val="none" w:sz="0" w:space="0" w:color="auto"/>
      </w:divBdr>
    </w:div>
    <w:div w:id="383720511">
      <w:bodyDiv w:val="1"/>
      <w:marLeft w:val="0"/>
      <w:marRight w:val="0"/>
      <w:marTop w:val="0"/>
      <w:marBottom w:val="0"/>
      <w:divBdr>
        <w:top w:val="none" w:sz="0" w:space="0" w:color="auto"/>
        <w:left w:val="none" w:sz="0" w:space="0" w:color="auto"/>
        <w:bottom w:val="none" w:sz="0" w:space="0" w:color="auto"/>
        <w:right w:val="none" w:sz="0" w:space="0" w:color="auto"/>
      </w:divBdr>
      <w:divsChild>
        <w:div w:id="95256512">
          <w:marLeft w:val="360"/>
          <w:marRight w:val="0"/>
          <w:marTop w:val="0"/>
          <w:marBottom w:val="360"/>
          <w:divBdr>
            <w:top w:val="none" w:sz="0" w:space="0" w:color="auto"/>
            <w:left w:val="none" w:sz="0" w:space="0" w:color="auto"/>
            <w:bottom w:val="none" w:sz="0" w:space="0" w:color="auto"/>
            <w:right w:val="none" w:sz="0" w:space="0" w:color="auto"/>
          </w:divBdr>
        </w:div>
      </w:divsChild>
    </w:div>
    <w:div w:id="450633681">
      <w:bodyDiv w:val="1"/>
      <w:marLeft w:val="0"/>
      <w:marRight w:val="0"/>
      <w:marTop w:val="0"/>
      <w:marBottom w:val="0"/>
      <w:divBdr>
        <w:top w:val="none" w:sz="0" w:space="0" w:color="auto"/>
        <w:left w:val="none" w:sz="0" w:space="0" w:color="auto"/>
        <w:bottom w:val="none" w:sz="0" w:space="0" w:color="auto"/>
        <w:right w:val="none" w:sz="0" w:space="0" w:color="auto"/>
      </w:divBdr>
    </w:div>
    <w:div w:id="653333613">
      <w:bodyDiv w:val="1"/>
      <w:marLeft w:val="0"/>
      <w:marRight w:val="0"/>
      <w:marTop w:val="0"/>
      <w:marBottom w:val="0"/>
      <w:divBdr>
        <w:top w:val="none" w:sz="0" w:space="0" w:color="auto"/>
        <w:left w:val="none" w:sz="0" w:space="0" w:color="auto"/>
        <w:bottom w:val="none" w:sz="0" w:space="0" w:color="auto"/>
        <w:right w:val="none" w:sz="0" w:space="0" w:color="auto"/>
      </w:divBdr>
    </w:div>
    <w:div w:id="834953771">
      <w:bodyDiv w:val="1"/>
      <w:marLeft w:val="0"/>
      <w:marRight w:val="0"/>
      <w:marTop w:val="0"/>
      <w:marBottom w:val="0"/>
      <w:divBdr>
        <w:top w:val="none" w:sz="0" w:space="0" w:color="auto"/>
        <w:left w:val="none" w:sz="0" w:space="0" w:color="auto"/>
        <w:bottom w:val="none" w:sz="0" w:space="0" w:color="auto"/>
        <w:right w:val="none" w:sz="0" w:space="0" w:color="auto"/>
      </w:divBdr>
    </w:div>
    <w:div w:id="977221102">
      <w:bodyDiv w:val="1"/>
      <w:marLeft w:val="0"/>
      <w:marRight w:val="0"/>
      <w:marTop w:val="0"/>
      <w:marBottom w:val="0"/>
      <w:divBdr>
        <w:top w:val="none" w:sz="0" w:space="0" w:color="auto"/>
        <w:left w:val="none" w:sz="0" w:space="0" w:color="auto"/>
        <w:bottom w:val="none" w:sz="0" w:space="0" w:color="auto"/>
        <w:right w:val="none" w:sz="0" w:space="0" w:color="auto"/>
      </w:divBdr>
    </w:div>
    <w:div w:id="1118525844">
      <w:bodyDiv w:val="1"/>
      <w:marLeft w:val="0"/>
      <w:marRight w:val="0"/>
      <w:marTop w:val="0"/>
      <w:marBottom w:val="0"/>
      <w:divBdr>
        <w:top w:val="none" w:sz="0" w:space="0" w:color="auto"/>
        <w:left w:val="none" w:sz="0" w:space="0" w:color="auto"/>
        <w:bottom w:val="none" w:sz="0" w:space="0" w:color="auto"/>
        <w:right w:val="none" w:sz="0" w:space="0" w:color="auto"/>
      </w:divBdr>
    </w:div>
    <w:div w:id="1283339948">
      <w:bodyDiv w:val="1"/>
      <w:marLeft w:val="0"/>
      <w:marRight w:val="0"/>
      <w:marTop w:val="0"/>
      <w:marBottom w:val="0"/>
      <w:divBdr>
        <w:top w:val="none" w:sz="0" w:space="0" w:color="auto"/>
        <w:left w:val="none" w:sz="0" w:space="0" w:color="auto"/>
        <w:bottom w:val="none" w:sz="0" w:space="0" w:color="auto"/>
        <w:right w:val="none" w:sz="0" w:space="0" w:color="auto"/>
      </w:divBdr>
    </w:div>
    <w:div w:id="1448040687">
      <w:bodyDiv w:val="1"/>
      <w:marLeft w:val="0"/>
      <w:marRight w:val="0"/>
      <w:marTop w:val="0"/>
      <w:marBottom w:val="0"/>
      <w:divBdr>
        <w:top w:val="none" w:sz="0" w:space="0" w:color="auto"/>
        <w:left w:val="none" w:sz="0" w:space="0" w:color="auto"/>
        <w:bottom w:val="none" w:sz="0" w:space="0" w:color="auto"/>
        <w:right w:val="none" w:sz="0" w:space="0" w:color="auto"/>
      </w:divBdr>
    </w:div>
    <w:div w:id="1457601810">
      <w:bodyDiv w:val="1"/>
      <w:marLeft w:val="0"/>
      <w:marRight w:val="0"/>
      <w:marTop w:val="0"/>
      <w:marBottom w:val="0"/>
      <w:divBdr>
        <w:top w:val="none" w:sz="0" w:space="0" w:color="auto"/>
        <w:left w:val="none" w:sz="0" w:space="0" w:color="auto"/>
        <w:bottom w:val="none" w:sz="0" w:space="0" w:color="auto"/>
        <w:right w:val="none" w:sz="0" w:space="0" w:color="auto"/>
      </w:divBdr>
    </w:div>
    <w:div w:id="1617832933">
      <w:bodyDiv w:val="1"/>
      <w:marLeft w:val="0"/>
      <w:marRight w:val="0"/>
      <w:marTop w:val="0"/>
      <w:marBottom w:val="0"/>
      <w:divBdr>
        <w:top w:val="none" w:sz="0" w:space="0" w:color="auto"/>
        <w:left w:val="none" w:sz="0" w:space="0" w:color="auto"/>
        <w:bottom w:val="none" w:sz="0" w:space="0" w:color="auto"/>
        <w:right w:val="none" w:sz="0" w:space="0" w:color="auto"/>
      </w:divBdr>
    </w:div>
    <w:div w:id="1737360240">
      <w:bodyDiv w:val="1"/>
      <w:marLeft w:val="0"/>
      <w:marRight w:val="0"/>
      <w:marTop w:val="0"/>
      <w:marBottom w:val="0"/>
      <w:divBdr>
        <w:top w:val="none" w:sz="0" w:space="0" w:color="auto"/>
        <w:left w:val="none" w:sz="0" w:space="0" w:color="auto"/>
        <w:bottom w:val="none" w:sz="0" w:space="0" w:color="auto"/>
        <w:right w:val="none" w:sz="0" w:space="0" w:color="auto"/>
      </w:divBdr>
    </w:div>
    <w:div w:id="1870332229">
      <w:bodyDiv w:val="1"/>
      <w:marLeft w:val="0"/>
      <w:marRight w:val="0"/>
      <w:marTop w:val="0"/>
      <w:marBottom w:val="0"/>
      <w:divBdr>
        <w:top w:val="none" w:sz="0" w:space="0" w:color="auto"/>
        <w:left w:val="none" w:sz="0" w:space="0" w:color="auto"/>
        <w:bottom w:val="none" w:sz="0" w:space="0" w:color="auto"/>
        <w:right w:val="none" w:sz="0" w:space="0" w:color="auto"/>
      </w:divBdr>
    </w:div>
    <w:div w:id="1910112799">
      <w:bodyDiv w:val="1"/>
      <w:marLeft w:val="0"/>
      <w:marRight w:val="0"/>
      <w:marTop w:val="0"/>
      <w:marBottom w:val="0"/>
      <w:divBdr>
        <w:top w:val="none" w:sz="0" w:space="0" w:color="auto"/>
        <w:left w:val="none" w:sz="0" w:space="0" w:color="auto"/>
        <w:bottom w:val="none" w:sz="0" w:space="0" w:color="auto"/>
        <w:right w:val="none" w:sz="0" w:space="0" w:color="auto"/>
      </w:divBdr>
      <w:divsChild>
        <w:div w:id="945384038">
          <w:marLeft w:val="1138"/>
          <w:marRight w:val="0"/>
          <w:marTop w:val="120"/>
          <w:marBottom w:val="120"/>
          <w:divBdr>
            <w:top w:val="none" w:sz="0" w:space="0" w:color="auto"/>
            <w:left w:val="none" w:sz="0" w:space="0" w:color="auto"/>
            <w:bottom w:val="none" w:sz="0" w:space="0" w:color="auto"/>
            <w:right w:val="none" w:sz="0" w:space="0" w:color="auto"/>
          </w:divBdr>
        </w:div>
      </w:divsChild>
    </w:div>
    <w:div w:id="1941527948">
      <w:bodyDiv w:val="1"/>
      <w:marLeft w:val="0"/>
      <w:marRight w:val="0"/>
      <w:marTop w:val="0"/>
      <w:marBottom w:val="0"/>
      <w:divBdr>
        <w:top w:val="none" w:sz="0" w:space="0" w:color="auto"/>
        <w:left w:val="none" w:sz="0" w:space="0" w:color="auto"/>
        <w:bottom w:val="none" w:sz="0" w:space="0" w:color="auto"/>
        <w:right w:val="none" w:sz="0" w:space="0" w:color="auto"/>
      </w:divBdr>
    </w:div>
    <w:div w:id="21085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67DE-BEBD-457C-B6D5-FB928EC1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6716</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 Marianna (TRADE)</dc:creator>
  <cp:keywords/>
  <dc:description/>
  <cp:lastModifiedBy>DE BRABANDER Liesbet</cp:lastModifiedBy>
  <cp:revision>3</cp:revision>
  <cp:lastPrinted>2023-12-15T14:01:00Z</cp:lastPrinted>
  <dcterms:created xsi:type="dcterms:W3CDTF">2024-08-01T13:10:00Z</dcterms:created>
  <dcterms:modified xsi:type="dcterms:W3CDTF">2024-08-12T13:21:00Z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2023-12-06T15:40:21Z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c5cc4af8-f12b-4ea5-9d68-0ab0bfae233b</vt:lpwstr>
  </property>
  <property fmtid="{D5CDD505-2E9C-101B-9397-08002B2CF9AE}" pid="8" name="MSIP_Label_6bd9ddd1-4d20-43f6-abfa-fc3c07406f94_ContentBits">
    <vt:lpwstr>0</vt:lpwstr>
  </property>
</Properties>
</file>