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5F34" w14:textId="50EB01C5" w:rsidR="00331DB9" w:rsidRPr="00331DB9" w:rsidRDefault="004A6C66" w:rsidP="00A824B4">
      <w:pPr>
        <w:spacing w:after="720"/>
        <w:jc w:val="center"/>
        <w:rPr>
          <w:b/>
          <w:rFonts w:ascii="Times New Roman" w:hAnsi="Times New Roman"/>
        </w:rPr>
      </w:pPr>
      <w:r>
        <w:rPr>
          <w:b/>
          <w:rFonts w:ascii="Times New Roman" w:hAnsi="Times New Roman"/>
        </w:rPr>
        <w:t xml:space="preserve">Suite donnée à la résolution non législative du Parlement européen sur la conscience historique européenne</w:t>
      </w:r>
    </w:p>
    <w:p w14:paraId="630E2FEF" w14:textId="57B942C3" w:rsidR="004A6C66" w:rsidRPr="00F64D29" w:rsidRDefault="004A6C66" w:rsidP="00A824B4">
      <w:pPr>
        <w:numPr>
          <w:ilvl w:val="0"/>
          <w:numId w:val="27"/>
        </w:numPr>
        <w:ind w:left="567" w:hanging="567"/>
        <w:rPr>
          <w:b/>
          <w:szCs w:val="24"/>
          <w:rFonts w:ascii="Times New Roman" w:hAnsi="Times New Roman"/>
        </w:rPr>
      </w:pPr>
      <w:r>
        <w:rPr>
          <w:b/>
          <w:rFonts w:ascii="Times New Roman" w:hAnsi="Times New Roman"/>
        </w:rPr>
        <w:t xml:space="preserve">Rapporteure:</w:t>
      </w:r>
      <w:r>
        <w:rPr>
          <w:b/>
          <w:rFonts w:ascii="Times New Roman" w:hAnsi="Times New Roman"/>
        </w:rPr>
        <w:t xml:space="preserve"> </w:t>
      </w:r>
      <w:r>
        <w:rPr>
          <w:rFonts w:ascii="Times New Roman" w:hAnsi="Times New Roman"/>
        </w:rPr>
        <w:t xml:space="preserve">Sabine VERHEYEN (PPE/DE)</w:t>
      </w:r>
    </w:p>
    <w:p w14:paraId="3251C48F" w14:textId="1B84995A" w:rsidR="004A6C66" w:rsidRPr="00BF1D18" w:rsidRDefault="00535D4D" w:rsidP="00A824B4">
      <w:pPr>
        <w:numPr>
          <w:ilvl w:val="0"/>
          <w:numId w:val="27"/>
        </w:numPr>
        <w:ind w:left="567" w:hanging="567"/>
        <w:rPr>
          <w:bCs/>
          <w:i/>
          <w:szCs w:val="24"/>
          <w:rFonts w:ascii="Times New Roman" w:hAnsi="Times New Roman"/>
        </w:rPr>
      </w:pPr>
      <w:r>
        <w:rPr>
          <w:b/>
          <w:rFonts w:ascii="Times New Roman" w:hAnsi="Times New Roman"/>
        </w:rPr>
        <w:t xml:space="preserve">Numéros de référence:</w:t>
      </w:r>
      <w:r>
        <w:rPr>
          <w:b/>
          <w:rFonts w:ascii="Times New Roman" w:hAnsi="Times New Roman"/>
        </w:rPr>
        <w:t xml:space="preserve"> </w:t>
      </w:r>
      <w:r>
        <w:rPr>
          <w:rFonts w:ascii="Times New Roman" w:hAnsi="Times New Roman"/>
        </w:rPr>
        <w:t xml:space="preserve">2023/2112 (INI) / A9-0402/2023 / P9 TA(2024)0030</w:t>
      </w:r>
    </w:p>
    <w:p w14:paraId="05EE6889" w14:textId="02936370" w:rsidR="005A00C3" w:rsidRPr="00E07C2D" w:rsidRDefault="004A6C66" w:rsidP="00A824B4">
      <w:pPr>
        <w:numPr>
          <w:ilvl w:val="0"/>
          <w:numId w:val="27"/>
        </w:numPr>
        <w:ind w:left="567" w:hanging="567"/>
        <w:rPr>
          <w:szCs w:val="24"/>
          <w:rFonts w:ascii="Times New Roman" w:hAnsi="Times New Roman"/>
        </w:rPr>
      </w:pPr>
      <w:r>
        <w:rPr>
          <w:b/>
          <w:rFonts w:ascii="Times New Roman" w:hAnsi="Times New Roman"/>
        </w:rPr>
        <w:t xml:space="preserve">Date d’adoption de la résolution:</w:t>
      </w:r>
      <w:r>
        <w:rPr>
          <w:b/>
          <w:rFonts w:ascii="Times New Roman" w:hAnsi="Times New Roman"/>
        </w:rPr>
        <w:t xml:space="preserve"> </w:t>
      </w:r>
      <w:r>
        <w:rPr>
          <w:rFonts w:ascii="Times New Roman" w:hAnsi="Times New Roman"/>
        </w:rPr>
        <w:t xml:space="preserve">17 janvier 2024</w:t>
      </w:r>
    </w:p>
    <w:p w14:paraId="262D074B" w14:textId="57D5617E" w:rsidR="00EC0A27" w:rsidRPr="00F64D29" w:rsidRDefault="00EC0A27" w:rsidP="00A824B4">
      <w:pPr>
        <w:numPr>
          <w:ilvl w:val="0"/>
          <w:numId w:val="27"/>
        </w:numPr>
        <w:ind w:left="567" w:hanging="567"/>
        <w:rPr>
          <w:iCs/>
          <w:szCs w:val="24"/>
          <w:rFonts w:ascii="Times New Roman" w:hAnsi="Times New Roman"/>
        </w:rPr>
      </w:pPr>
      <w:r>
        <w:rPr>
          <w:b/>
          <w:rFonts w:ascii="Times New Roman" w:hAnsi="Times New Roman"/>
        </w:rPr>
        <w:t xml:space="preserve">Commission parlementaire compétente:</w:t>
      </w:r>
      <w:r>
        <w:t xml:space="preserve"> </w:t>
      </w:r>
      <w:r>
        <w:rPr>
          <w:rFonts w:ascii="Times New Roman" w:hAnsi="Times New Roman"/>
        </w:rPr>
        <w:t xml:space="preserve">commission de la culture et de l’éducation (CULT)</w:t>
      </w:r>
    </w:p>
    <w:p w14:paraId="199F1006" w14:textId="77777777" w:rsidR="002B16B5" w:rsidRPr="002B16B5" w:rsidRDefault="004A6C66" w:rsidP="005C7B0A">
      <w:pPr>
        <w:widowControl w:val="0"/>
        <w:numPr>
          <w:ilvl w:val="0"/>
          <w:numId w:val="27"/>
        </w:numPr>
        <w:ind w:left="567" w:hanging="567"/>
        <w:rPr>
          <w:bCs/>
          <w:szCs w:val="24"/>
          <w:rFonts w:ascii="Times New Roman" w:hAnsi="Times New Roman"/>
        </w:rPr>
      </w:pPr>
      <w:r>
        <w:rPr>
          <w:b/>
          <w:rFonts w:ascii="Times New Roman" w:hAnsi="Times New Roman"/>
        </w:rPr>
        <w:t xml:space="preserve">Analyse/évaluation succincte de la résolution et des demandes qu’elle contient:</w:t>
      </w:r>
      <w:r>
        <w:rPr>
          <w:rFonts w:ascii="Times New Roman" w:hAnsi="Times New Roman"/>
        </w:rPr>
        <w:t xml:space="preserve"> </w:t>
      </w:r>
    </w:p>
    <w:p w14:paraId="374E6225" w14:textId="4D7B15C3" w:rsidR="006339FB" w:rsidRPr="002B16B5" w:rsidRDefault="009A71B7" w:rsidP="00F64D29">
      <w:pPr>
        <w:widowControl w:val="0"/>
        <w:spacing w:after="120"/>
        <w:rPr>
          <w:bCs/>
          <w:szCs w:val="24"/>
          <w:rFonts w:ascii="Times New Roman" w:hAnsi="Times New Roman"/>
        </w:rPr>
      </w:pPr>
      <w:r>
        <w:rPr>
          <w:rFonts w:ascii="Times New Roman" w:hAnsi="Times New Roman"/>
        </w:rPr>
        <w:t xml:space="preserve">La résolution souligne que le passé de l’Europe représente à la fois un défi et un avantage pour l’intégration européenne et insiste sur la nécessité d’une compréhension plus large et plus globale de l’histoire européenne fondée sur des valeurs européennes communes.</w:t>
      </w:r>
      <w:r>
        <w:rPr>
          <w:rFonts w:ascii="Times New Roman" w:hAnsi="Times New Roman"/>
        </w:rPr>
        <w:t xml:space="preserve"> </w:t>
      </w:r>
      <w:r>
        <w:rPr>
          <w:rFonts w:ascii="Times New Roman" w:hAnsi="Times New Roman"/>
        </w:rPr>
        <w:t xml:space="preserve">Afin de protéger et de promouvoir ces valeurs, le Parlement européen a invité la Commission à utiliser le mécanisme européen de protection de l’état de droit, à travailler dans le cadre du groupe de travail sur l’égalité et les valeurs dans l’éducation et la formation de l’Espace européen de l’éducation et à renforcer les programmes Erasmus+ et «Citoyens, égalité, droits et valeurs» (CERV), ainsi que l’éducation aux médias et au numérique.</w:t>
      </w:r>
    </w:p>
    <w:p w14:paraId="067044E9" w14:textId="77777777" w:rsidR="00747F9D" w:rsidRPr="00747F9D" w:rsidRDefault="004A6C66" w:rsidP="007A6739">
      <w:pPr>
        <w:widowControl w:val="0"/>
        <w:numPr>
          <w:ilvl w:val="0"/>
          <w:numId w:val="27"/>
        </w:numPr>
        <w:ind w:left="567" w:hanging="567"/>
        <w:rPr>
          <w:bCs/>
          <w:iCs/>
          <w:szCs w:val="24"/>
          <w:rFonts w:ascii="Times New Roman" w:hAnsi="Times New Roman"/>
        </w:rPr>
      </w:pPr>
      <w:r>
        <w:rPr>
          <w:b/>
          <w:rFonts w:ascii="Times New Roman" w:hAnsi="Times New Roman"/>
        </w:rPr>
        <w:t xml:space="preserve">Réponse à ces demandes et aperçu des mesures que la Commission a prises ou envisage de prendre:</w:t>
      </w:r>
      <w:r>
        <w:rPr>
          <w:rFonts w:ascii="Times New Roman" w:hAnsi="Times New Roman"/>
        </w:rPr>
        <w:t xml:space="preserve"> </w:t>
      </w:r>
    </w:p>
    <w:p w14:paraId="16E834CE" w14:textId="59FCC5C9" w:rsidR="000952EE" w:rsidRPr="00226FA0" w:rsidRDefault="00C0174E" w:rsidP="00F64D29">
      <w:pPr>
        <w:widowControl w:val="0"/>
        <w:spacing w:after="120"/>
        <w:rPr>
          <w:bCs/>
          <w:iCs/>
          <w:szCs w:val="24"/>
          <w:rFonts w:ascii="Times New Roman" w:hAnsi="Times New Roman"/>
        </w:rPr>
      </w:pPr>
      <w:bookmarkStart w:id="0" w:name="_Hlk161067472"/>
      <w:r>
        <w:rPr>
          <w:rFonts w:ascii="Times New Roman" w:hAnsi="Times New Roman"/>
        </w:rPr>
        <w:t xml:space="preserve">En ce qui concerne l’élargissement du champ d’application du rapport de la Commission sur l’état de droit à la liberté d’expression artistique et à la liberté académique (</w:t>
      </w:r>
      <w:r>
        <w:rPr>
          <w:b/>
          <w:rFonts w:ascii="Times New Roman" w:hAnsi="Times New Roman"/>
        </w:rPr>
        <w:t xml:space="preserve">paragraphe 11</w:t>
      </w:r>
      <w:r>
        <w:rPr>
          <w:rFonts w:ascii="Times New Roman" w:hAnsi="Times New Roman"/>
        </w:rPr>
        <w:t xml:space="preserve">), la Commission souligne que le rapport sur l’état de droit n’est qu’un élément s’inscrivant dans un effort plus large au niveau de l’Union qui vise à renforcer les valeurs fondatrices de l’Union que sont la démocratie, l’égalité et le respect des droits de l’homme.</w:t>
      </w:r>
      <w:r>
        <w:rPr>
          <w:rFonts w:ascii="Times New Roman" w:hAnsi="Times New Roman"/>
        </w:rPr>
        <w:t xml:space="preserve"> </w:t>
      </w:r>
      <w:r>
        <w:rPr>
          <w:rFonts w:ascii="Times New Roman" w:hAnsi="Times New Roman"/>
        </w:rPr>
        <w:t xml:space="preserve">Il est complété par d’autres initiatives, notamment le plan d’action pour la démocratie européenne</w:t>
      </w:r>
      <w:r w:rsidR="00565B8D">
        <w:rPr>
          <w:rStyle w:val="FootnoteReference"/>
          <w:rFonts w:ascii="Times New Roman" w:hAnsi="Times New Roman"/>
          <w:bCs/>
          <w:iCs/>
          <w:szCs w:val="24"/>
        </w:rPr>
        <w:footnoteReference w:id="1"/>
      </w:r>
      <w:r>
        <w:rPr>
          <w:rFonts w:ascii="Times New Roman" w:hAnsi="Times New Roman"/>
        </w:rPr>
        <w:t xml:space="preserve">, la stratégie visant à renforcer l’application de la charte des droits fondamentaux dans l’Union, conjointement avec ses rapports thématiques annuels axés sur les domaines d’importance stratégique régis par le droit de l’Union, et des stratégies ciblées visant à répondre aux besoins des plus vulnérables.</w:t>
      </w:r>
    </w:p>
    <w:bookmarkEnd w:id="0"/>
    <w:p w14:paraId="0B4BE32F" w14:textId="1F1939B4" w:rsidR="009D0C9E" w:rsidRDefault="00D8351F" w:rsidP="00F64D29">
      <w:pPr>
        <w:widowControl w:val="0"/>
        <w:spacing w:after="120"/>
        <w:rPr>
          <w:bCs/>
          <w:szCs w:val="24"/>
          <w:rFonts w:ascii="Times New Roman" w:hAnsi="Times New Roman"/>
        </w:rPr>
      </w:pPr>
      <w:r>
        <w:rPr>
          <w:rFonts w:ascii="Times New Roman" w:hAnsi="Times New Roman"/>
        </w:rPr>
        <w:t xml:space="preserve">En ce qui concerne l’invitation à travailler à l’élaboration d’éléments spécifiquement axés sur le développement d’une conscience historique européenne (</w:t>
      </w:r>
      <w:r>
        <w:rPr>
          <w:b/>
          <w:rFonts w:ascii="Times New Roman" w:hAnsi="Times New Roman"/>
        </w:rPr>
        <w:t xml:space="preserve">paragraphe 13</w:t>
      </w:r>
      <w:r>
        <w:rPr>
          <w:rFonts w:ascii="Times New Roman" w:hAnsi="Times New Roman"/>
        </w:rPr>
        <w:t xml:space="preserve">), depuis 2018, la Commission soutient la mise en œuvre par les États membres de la recommandation du Conseil relative à la promotion de valeurs communes, à l’éducation inclusive et à la dimension européenne de l’enseignement</w:t>
      </w:r>
      <w:r w:rsidR="00565B8D">
        <w:rPr>
          <w:rStyle w:val="FootnoteReference"/>
          <w:rFonts w:ascii="Times New Roman" w:hAnsi="Times New Roman"/>
          <w:bCs/>
          <w:szCs w:val="24"/>
          <w:lang w:val="en-IE"/>
        </w:rPr>
        <w:footnoteReference w:id="2"/>
      </w:r>
      <w:r>
        <w:rPr>
          <w:rFonts w:ascii="Times New Roman" w:hAnsi="Times New Roman"/>
        </w:rPr>
        <w:t xml:space="preserve"> en facilitant l’apprentissage mutuel et l’échange de bonnes pratiques.</w:t>
      </w:r>
      <w:r>
        <w:rPr>
          <w:rFonts w:ascii="Times New Roman" w:hAnsi="Times New Roman"/>
        </w:rPr>
        <w:t xml:space="preserve"> </w:t>
      </w:r>
      <w:r>
        <w:rPr>
          <w:rFonts w:ascii="Times New Roman" w:hAnsi="Times New Roman"/>
        </w:rPr>
        <w:t xml:space="preserve">Depuis 2021, dans le cadre stratégique de l’espace européen de l’éducation, le soutien de la Commission à la mise en œuvre de cette recommandation par les États membres se poursuit par l’intermédiaire du </w:t>
      </w:r>
      <w:bookmarkStart w:id="1" w:name="_Hlk160781883"/>
      <w:r>
        <w:rPr>
          <w:rFonts w:ascii="Times New Roman" w:hAnsi="Times New Roman"/>
        </w:rPr>
        <w:t xml:space="preserve">groupe de travail sur l’égalité et les valeurs dans l’éducation et la formation</w:t>
      </w:r>
      <w:r w:rsidR="00565B8D">
        <w:rPr>
          <w:rStyle w:val="FootnoteReference"/>
          <w:rFonts w:ascii="Times New Roman" w:hAnsi="Times New Roman"/>
          <w:bCs/>
          <w:szCs w:val="24"/>
          <w:lang w:val="en-IE"/>
        </w:rPr>
        <w:footnoteReference w:id="3"/>
      </w:r>
      <w:bookmarkEnd w:id="1"/>
      <w:r>
        <w:rPr>
          <w:rFonts w:ascii="Times New Roman" w:hAnsi="Times New Roman"/>
        </w:rPr>
        <w:t xml:space="preserve">.</w:t>
      </w:r>
      <w:r>
        <w:rPr>
          <w:rFonts w:ascii="Times New Roman" w:hAnsi="Times New Roman"/>
        </w:rPr>
        <w:t xml:space="preserve"> </w:t>
      </w:r>
      <w:r>
        <w:rPr>
          <w:rFonts w:ascii="Times New Roman" w:hAnsi="Times New Roman"/>
        </w:rPr>
        <w:t xml:space="preserve">Le document thématique sur l’éducation à la citoyenneté</w:t>
      </w:r>
      <w:r w:rsidR="00365783">
        <w:rPr>
          <w:rStyle w:val="FootnoteReference"/>
          <w:rFonts w:ascii="Times New Roman" w:hAnsi="Times New Roman"/>
          <w:bCs/>
          <w:szCs w:val="24"/>
        </w:rPr>
        <w:footnoteReference w:id="4"/>
      </w:r>
      <w:r>
        <w:rPr>
          <w:rFonts w:ascii="Times New Roman" w:hAnsi="Times New Roman"/>
        </w:rPr>
        <w:t xml:space="preserve"> de ce groupe de travail souligne que l’enseignement des questions controversées de l’histoire européenne, telles que l’esclavage, le colonialisme et les génocides, ne doit pas être ignoré, mais doit être abordé avec soin et respect.</w:t>
      </w:r>
    </w:p>
    <w:p w14:paraId="09F58032" w14:textId="2A97B81F" w:rsidR="00420026" w:rsidRDefault="00420026" w:rsidP="00F64D29">
      <w:pPr>
        <w:spacing w:after="120"/>
        <w:rPr>
          <w:bCs/>
          <w:szCs w:val="24"/>
          <w:rFonts w:ascii="Times New Roman" w:hAnsi="Times New Roman"/>
        </w:rPr>
      </w:pPr>
      <w:bookmarkStart w:id="2" w:name="_Hlk160782813"/>
      <w:r>
        <w:rPr>
          <w:rFonts w:ascii="Times New Roman" w:hAnsi="Times New Roman"/>
        </w:rPr>
        <w:t xml:space="preserve">Dans le cadre du programme Erasmus+, la Commission soutient l’enseignement, l’apprentissage et la recherche sur l’UE, son histoire, ses objectifs, ses structures, son fonctionnement et ses politiques dans le monde entier au moyen des actions Jean Monnet dans l’enseignement supérieur.</w:t>
      </w:r>
      <w:r>
        <w:rPr>
          <w:rFonts w:ascii="Times New Roman" w:hAnsi="Times New Roman"/>
        </w:rPr>
        <w:t xml:space="preserve"> </w:t>
      </w:r>
      <w:r>
        <w:rPr>
          <w:rFonts w:ascii="Times New Roman" w:hAnsi="Times New Roman"/>
        </w:rPr>
        <w:t xml:space="preserve">Les actions visent à promouvoir les valeurs fondatrices de l’Union européenne et la citoyenneté européenne active.</w:t>
      </w:r>
      <w:r>
        <w:rPr>
          <w:rFonts w:ascii="Times New Roman" w:hAnsi="Times New Roman"/>
        </w:rPr>
        <w:t xml:space="preserve"> </w:t>
      </w:r>
      <w:r>
        <w:rPr>
          <w:rFonts w:ascii="Times New Roman" w:hAnsi="Times New Roman"/>
        </w:rPr>
        <w:t xml:space="preserve">Depuis 2021, la Commission a étendu les activités Jean Monnet à d’autres domaines de l’éducation et de la formation afin de promouvoir une meilleure compréhension de l’Union européenne, tant dans l’enseignement général que dans l’enseignement et la formation professionnels.</w:t>
      </w:r>
      <w:r>
        <w:rPr>
          <w:rFonts w:ascii="Times New Roman" w:hAnsi="Times New Roman"/>
        </w:rPr>
        <w:t xml:space="preserve"> </w:t>
      </w:r>
      <w:r>
        <w:rPr>
          <w:rFonts w:ascii="Times New Roman" w:hAnsi="Times New Roman"/>
        </w:rPr>
        <w:t xml:space="preserve">Ces activités permettent aux jeunes Européens, élèves et étudiants de bénéficier d’un enseignement renforcé sur les questions européennes (démocratie, histoire de l’UE, fonctionnement de l’UE, diversité culturelle) et d’une meilleure compréhension de la manière dont les politiques de l’UE contribuent à leur vie quotidienne.</w:t>
      </w:r>
    </w:p>
    <w:p w14:paraId="2314FF8E" w14:textId="6D4FEFD3" w:rsidR="00590F0D" w:rsidRPr="00F64D29" w:rsidRDefault="00C25770" w:rsidP="00F64D29">
      <w:pPr>
        <w:spacing w:after="120"/>
        <w:rPr>
          <w:rFonts w:ascii="Times New Roman" w:hAnsi="Times New Roman"/>
        </w:rPr>
      </w:pPr>
      <w:r>
        <w:rPr>
          <w:rFonts w:ascii="Times New Roman" w:hAnsi="Times New Roman"/>
        </w:rPr>
        <w:t xml:space="preserve">La Commission a également coopéré avec l’Observatoire de l’enseignement de l’histoire du Conseil de l’Europe, dans le cadre du projet commun HISTOLAB</w:t>
      </w:r>
      <w:r w:rsidR="00590F0D">
        <w:rPr>
          <w:rStyle w:val="FootnoteReference"/>
          <w:rFonts w:ascii="Times New Roman" w:hAnsi="Times New Roman"/>
          <w:bCs/>
          <w:szCs w:val="24"/>
          <w:lang w:val="en-IE"/>
        </w:rPr>
        <w:footnoteReference w:id="5"/>
      </w:r>
      <w:r>
        <w:rPr>
          <w:rFonts w:ascii="Times New Roman" w:hAnsi="Times New Roman"/>
        </w:rPr>
        <w:t xml:space="preserve"> (avril 2022-avril 2024), qui rassemble des idées innovantes sur la manière d’améliorer l’enseignement de l’histoire.</w:t>
      </w:r>
      <w:r>
        <w:rPr>
          <w:rFonts w:ascii="Times New Roman" w:hAnsi="Times New Roman"/>
        </w:rPr>
        <w:t xml:space="preserve"> </w:t>
      </w:r>
      <w:r>
        <w:rPr>
          <w:rFonts w:ascii="Times New Roman" w:hAnsi="Times New Roman"/>
        </w:rPr>
        <w:t xml:space="preserve">Le projet permet le partage des connaissances et l’apprentissage grâce aux expériences nationales et européennes.</w:t>
      </w:r>
      <w:r>
        <w:rPr>
          <w:rFonts w:ascii="Times New Roman" w:hAnsi="Times New Roman"/>
        </w:rPr>
        <w:t xml:space="preserve"> </w:t>
      </w:r>
      <w:r>
        <w:rPr>
          <w:rFonts w:ascii="Times New Roman" w:hAnsi="Times New Roman"/>
        </w:rPr>
        <w:t xml:space="preserve">Il favorise la coopération en matière d’enseignement de l’histoire au moyen d’une plateforme en ligne de parties prenantes spécialisée et promeut les points communs de l’histoire européenne, favorisant ainsi une identité européenne commune.</w:t>
      </w:r>
      <w:r>
        <w:rPr>
          <w:rFonts w:ascii="Times New Roman" w:hAnsi="Times New Roman"/>
        </w:rPr>
        <w:t xml:space="preserve"> </w:t>
      </w:r>
      <w:r>
        <w:rPr>
          <w:rFonts w:ascii="Times New Roman" w:hAnsi="Times New Roman"/>
        </w:rPr>
        <w:t xml:space="preserve">Parmi les principaux résultats figurent les «Journées européennes de l’innovation dans l’enseignement de l’histoire», un pôle numérique, un </w:t>
      </w:r>
      <w:hyperlink r:id="rId8" w:history="1">
        <w:r>
          <w:rPr>
            <w:rFonts w:ascii="Times New Roman" w:hAnsi="Times New Roman"/>
          </w:rPr>
          <w:t xml:space="preserve">guide pour réfuter les fausses informations dans les cours d’histoire</w:t>
        </w:r>
      </w:hyperlink>
      <w:r>
        <w:rPr>
          <w:rFonts w:ascii="Times New Roman" w:hAnsi="Times New Roman"/>
        </w:rPr>
        <w:t xml:space="preserve">, </w:t>
      </w:r>
      <w:hyperlink r:id="rId9" w:history="1">
        <w:r>
          <w:rPr>
            <w:rFonts w:ascii="Times New Roman" w:hAnsi="Times New Roman"/>
          </w:rPr>
          <w:t xml:space="preserve">des prix pour des projets scolaires innovants dans le domaine de l’enseignement de l’histoire</w:t>
        </w:r>
      </w:hyperlink>
      <w:r>
        <w:rPr>
          <w:rFonts w:ascii="Times New Roman" w:hAnsi="Times New Roman"/>
        </w:rPr>
        <w:t xml:space="preserve">, des bourses pour des doctorants et une série de tutoriels.</w:t>
      </w:r>
    </w:p>
    <w:p w14:paraId="4DA529C4" w14:textId="4F27B6A2" w:rsidR="00F82383" w:rsidRDefault="00F82383" w:rsidP="00F64D29">
      <w:pPr>
        <w:widowControl w:val="0"/>
        <w:spacing w:after="120"/>
        <w:rPr>
          <w:bCs/>
          <w:szCs w:val="24"/>
          <w:rFonts w:ascii="Times New Roman" w:hAnsi="Times New Roman"/>
        </w:rPr>
      </w:pPr>
      <w:r>
        <w:rPr>
          <w:rFonts w:ascii="Times New Roman" w:hAnsi="Times New Roman"/>
        </w:rPr>
        <w:t xml:space="preserve">Les agences nationales Erasmus+ préparent des modules qui auront pour but de présenter l’intégration européenne d’un point de vue civique et politique aux participants du programme de mobilité à des fins d’éducation et de formation.</w:t>
      </w:r>
      <w:r>
        <w:rPr>
          <w:rFonts w:ascii="Times New Roman" w:hAnsi="Times New Roman"/>
        </w:rPr>
        <w:t xml:space="preserve"> </w:t>
      </w:r>
      <w:r>
        <w:rPr>
          <w:rFonts w:ascii="Times New Roman" w:hAnsi="Times New Roman"/>
        </w:rPr>
        <w:t xml:space="preserve">Ces activités sont menées dans le cadre d’activités de coopération à long terme entre les agences nationales, soutenues par le programme, et feront l’objet d’un suivi régulier de la Commission.</w:t>
      </w:r>
    </w:p>
    <w:bookmarkEnd w:id="2"/>
    <w:p w14:paraId="7C09CD89" w14:textId="1121E70F" w:rsidR="00547907" w:rsidRPr="00226FA0" w:rsidRDefault="000952EE" w:rsidP="00F64D29">
      <w:pPr>
        <w:widowControl w:val="0"/>
        <w:spacing w:after="120"/>
        <w:rPr>
          <w:bCs/>
          <w:szCs w:val="24"/>
          <w:rFonts w:ascii="Times New Roman" w:hAnsi="Times New Roman"/>
        </w:rPr>
      </w:pPr>
      <w:r>
        <w:rPr>
          <w:rFonts w:ascii="Times New Roman" w:hAnsi="Times New Roman"/>
        </w:rPr>
        <w:t xml:space="preserve">Enfin, en réponse aux recommandations formulées par les citoyens lors de la conférence sur l’avenir de l’Europe concernant l’amélioration de l’information sur les droits liés à la citoyenneté de l’Union, la Commission s’est engagée à «rendre la citoyenneté européenne plus tangible, y compris en renforçant les droits qui y sont attachés et en fournissant des informations fiables et facilement accessibles à ce sujet».</w:t>
      </w:r>
      <w:r>
        <w:rPr>
          <w:rFonts w:ascii="Times New Roman" w:hAnsi="Times New Roman"/>
        </w:rPr>
        <w:t xml:space="preserve"> </w:t>
      </w:r>
      <w:r>
        <w:rPr>
          <w:rFonts w:ascii="Times New Roman" w:hAnsi="Times New Roman"/>
        </w:rPr>
        <w:t xml:space="preserve">Le 6 décembre 2023, la Commission a présenté un train de mesures sur la citoyenneté</w:t>
      </w:r>
      <w:r>
        <w:rPr>
          <w:rStyle w:val="FootnoteReference"/>
          <w:rFonts w:ascii="Times New Roman" w:hAnsi="Times New Roman"/>
          <w:bCs/>
          <w:szCs w:val="24"/>
          <w:lang w:val="en-IE"/>
        </w:rPr>
        <w:footnoteReference w:id="6"/>
      </w:r>
      <w:r>
        <w:rPr>
          <w:rFonts w:ascii="Times New Roman" w:hAnsi="Times New Roman"/>
        </w:rPr>
        <w:t xml:space="preserve">, destiné à encore faire progresser les droits liés à la citoyenneté de l’Union et à les rendre plus tangibles pour les citoyens de l’Union.</w:t>
      </w:r>
      <w:r>
        <w:rPr>
          <w:rFonts w:ascii="Times New Roman" w:hAnsi="Times New Roman"/>
        </w:rPr>
        <w:t xml:space="preserve"> </w:t>
      </w:r>
      <w:r>
        <w:rPr>
          <w:rFonts w:ascii="Times New Roman" w:hAnsi="Times New Roman"/>
        </w:rPr>
        <w:t xml:space="preserve">Ce train de mesures comprend un guide de la citoyenneté de l’Union, qui aide les jeunes et les nouveaux citoyens de l’Union à se familiariser avec l’histoire, les valeurs, les droits et les responsabilités qui découlent de leur statut de citoyen de l’Union, de façon attrayante et facile à comprendre.</w:t>
      </w:r>
      <w:r>
        <w:rPr>
          <w:rFonts w:ascii="Times New Roman" w:hAnsi="Times New Roman"/>
        </w:rPr>
        <w:t xml:space="preserve"> </w:t>
      </w:r>
      <w:r>
        <w:rPr>
          <w:rFonts w:ascii="Times New Roman" w:hAnsi="Times New Roman"/>
        </w:rPr>
        <w:t xml:space="preserve">Il montre également les avantages de la citoyenneté de l’Union et les possibilités qu’elle offre en matière d’engagement démocratique.</w:t>
      </w:r>
    </w:p>
    <w:p w14:paraId="217E8AE4" w14:textId="11C3B90C" w:rsidR="00862CE6" w:rsidRPr="00226FA0" w:rsidRDefault="005B066C" w:rsidP="00F64D29">
      <w:pPr>
        <w:widowControl w:val="0"/>
        <w:spacing w:after="120"/>
        <w:rPr>
          <w:bCs/>
          <w:szCs w:val="24"/>
          <w:rFonts w:ascii="Times New Roman" w:hAnsi="Times New Roman"/>
        </w:rPr>
      </w:pPr>
      <w:r>
        <w:rPr>
          <w:rFonts w:ascii="Times New Roman" w:hAnsi="Times New Roman"/>
        </w:rPr>
        <w:t xml:space="preserve">En ce qui concerne les efforts pour renforcer l’éducation aux médias et au numérique (</w:t>
      </w:r>
      <w:r>
        <w:rPr>
          <w:b/>
          <w:rFonts w:ascii="Times New Roman" w:hAnsi="Times New Roman"/>
        </w:rPr>
        <w:t xml:space="preserve">paragraphe 21</w:t>
      </w:r>
      <w:r>
        <w:rPr>
          <w:rFonts w:ascii="Times New Roman" w:hAnsi="Times New Roman"/>
        </w:rPr>
        <w:t xml:space="preserve">), la Commission s’emploie, dans plusieurs domaines, à soutenir la fourniture de compétences et d’outils en matière d’éducation aux médias et au numérique aux enseignants et aux étudiants à tous les niveaux dans les États membres.</w:t>
      </w:r>
      <w:r>
        <w:rPr>
          <w:rFonts w:ascii="Times New Roman" w:hAnsi="Times New Roman"/>
        </w:rPr>
        <w:t xml:space="preserve"> </w:t>
      </w:r>
      <w:r>
        <w:rPr>
          <w:rFonts w:ascii="Times New Roman" w:hAnsi="Times New Roman"/>
        </w:rPr>
        <w:t xml:space="preserve">Des lignes directrices pour les enseignants et les éducateurs en matière de lutte contre la désinformation et de promotion de l’habileté numérique par l’éducation et la formation</w:t>
      </w:r>
      <w:r w:rsidR="00365783">
        <w:rPr>
          <w:rStyle w:val="FootnoteReference"/>
          <w:rFonts w:ascii="Times New Roman" w:hAnsi="Times New Roman"/>
          <w:bCs/>
          <w:szCs w:val="24"/>
        </w:rPr>
        <w:footnoteReference w:id="7"/>
      </w:r>
      <w:r>
        <w:rPr>
          <w:rFonts w:ascii="Times New Roman" w:hAnsi="Times New Roman"/>
        </w:rPr>
        <w:t xml:space="preserve"> ont été publiées en 2022 afin de fournir des orientations pratiques aux enseignants et aux éducateurs pour parvenir à comprendre comment renforcer l’habileté numérique et lutter contre la désinformation, comment utiliser les technologies numériques de façon responsable et comment évaluer les compétences des étudiants.</w:t>
      </w:r>
    </w:p>
    <w:p w14:paraId="4B97962D" w14:textId="17D86797" w:rsidR="00E226E2" w:rsidRPr="00366DF0" w:rsidRDefault="00E226E2" w:rsidP="00F64D29">
      <w:pPr>
        <w:widowControl w:val="0"/>
        <w:spacing w:after="120"/>
        <w:rPr>
          <w:bCs/>
          <w:szCs w:val="24"/>
          <w:rFonts w:ascii="Times New Roman" w:hAnsi="Times New Roman"/>
        </w:rPr>
      </w:pPr>
      <w:r>
        <w:rPr>
          <w:rFonts w:ascii="Times New Roman" w:hAnsi="Times New Roman"/>
        </w:rPr>
        <w:t xml:space="preserve">En ce qui concerne l’appel à renforcer le programme Erasmus+ et à créer davantage de possibilités de mobilité à des fins d’apprentissage (</w:t>
      </w:r>
      <w:r>
        <w:rPr>
          <w:b/>
          <w:rFonts w:ascii="Times New Roman" w:hAnsi="Times New Roman"/>
        </w:rPr>
        <w:t xml:space="preserve">paragraphe 23</w:t>
      </w:r>
      <w:r>
        <w:rPr>
          <w:rFonts w:ascii="Times New Roman" w:hAnsi="Times New Roman"/>
        </w:rPr>
        <w:t xml:space="preserve">):</w:t>
      </w:r>
      <w:r>
        <w:rPr>
          <w:rFonts w:ascii="Times New Roman" w:hAnsi="Times New Roman"/>
        </w:rPr>
        <w:t xml:space="preserve"> </w:t>
      </w:r>
      <w:r>
        <w:rPr>
          <w:rFonts w:ascii="Times New Roman" w:hAnsi="Times New Roman"/>
        </w:rPr>
        <w:t xml:space="preserve">le budget alloué à la mobilité à des fins d’apprentissage augmente d’année en année dans le cadre du programme 2021-2027, permettant à un nombre croissant de personnes de bénéficier d’une période d’apprentissage à l’étranger.</w:t>
      </w:r>
      <w:r>
        <w:rPr>
          <w:rFonts w:ascii="Times New Roman" w:hAnsi="Times New Roman"/>
        </w:rPr>
        <w:t xml:space="preserve"> </w:t>
      </w:r>
      <w:r>
        <w:rPr>
          <w:rFonts w:ascii="Times New Roman" w:hAnsi="Times New Roman"/>
        </w:rPr>
        <w:t xml:space="preserve">La Commission a également pris des mesures pour rendre ces possibilités de plus en plus accessibles aux participants ayant moins d’occasions.</w:t>
      </w:r>
      <w:r>
        <w:rPr>
          <w:rFonts w:ascii="Times New Roman" w:hAnsi="Times New Roman"/>
        </w:rPr>
        <w:t xml:space="preserve"> </w:t>
      </w:r>
      <w:r>
        <w:rPr>
          <w:rFonts w:ascii="Times New Roman" w:hAnsi="Times New Roman"/>
        </w:rPr>
        <w:t xml:space="preserve">En 2022, 1,2 million de personnes ont participé à ces activités de mobilité.</w:t>
      </w:r>
      <w:r>
        <w:rPr>
          <w:rFonts w:ascii="Times New Roman" w:hAnsi="Times New Roman"/>
        </w:rPr>
        <w:t xml:space="preserve"> </w:t>
      </w:r>
      <w:r>
        <w:rPr>
          <w:rFonts w:ascii="Times New Roman" w:hAnsi="Times New Roman"/>
        </w:rPr>
        <w:t xml:space="preserve">La participation à la vie démocratique, aux valeurs communes et à l’engagement civique est également l’une des priorités transversales du programme Erasmus+, qui joue un rôle essentiel dans le renforcement de l’identité et des valeurs européennes.</w:t>
      </w:r>
      <w:r>
        <w:rPr>
          <w:rFonts w:ascii="Times New Roman" w:hAnsi="Times New Roman"/>
        </w:rPr>
        <w:t xml:space="preserve"> </w:t>
      </w:r>
      <w:r>
        <w:rPr>
          <w:rFonts w:ascii="Times New Roman" w:hAnsi="Times New Roman"/>
        </w:rPr>
        <w:t xml:space="preserve">Dans l’actuel programme Erasmus+, plus de 23 % du budget disponible pour les projets de coopération a été alloué à des projets soutenant la participation démocratique, avec une subvention supérieure à 339 millions d’euros en 2022.</w:t>
      </w:r>
      <w:r>
        <w:rPr>
          <w:rFonts w:ascii="Times New Roman" w:hAnsi="Times New Roman"/>
        </w:rPr>
        <w:t xml:space="preserve"> </w:t>
      </w:r>
      <w:r>
        <w:rPr>
          <w:rFonts w:ascii="Times New Roman" w:hAnsi="Times New Roman"/>
        </w:rPr>
        <w:t xml:space="preserve">Grâce à leur participation à des projets Erasmus+, plus de 82 % des personnes ont déclaré se sentir plus européennes, 72 % se sont plus intéressées aux sujets européens et 52 % ont pris davantage conscience des valeurs européennes (source:</w:t>
      </w:r>
      <w:r>
        <w:rPr>
          <w:rFonts w:ascii="Times New Roman" w:hAnsi="Times New Roman"/>
        </w:rPr>
        <w:t xml:space="preserve"> </w:t>
      </w:r>
      <w:r>
        <w:rPr>
          <w:rFonts w:ascii="Times New Roman" w:hAnsi="Times New Roman"/>
        </w:rPr>
        <w:t xml:space="preserve">rapport annuel Erasmus+ 2022).</w:t>
      </w:r>
      <w:r>
        <w:rPr>
          <w:rFonts w:ascii="Times New Roman" w:hAnsi="Times New Roman"/>
        </w:rPr>
        <w:t xml:space="preserve"> </w:t>
      </w:r>
      <w:r>
        <w:rPr>
          <w:rFonts w:ascii="Times New Roman" w:hAnsi="Times New Roman"/>
        </w:rPr>
        <w:t xml:space="preserve">En outre, la proposition de recommandation du Conseil présentée par la Commission et intitulée «L’Europe en mouvement — Des possibilités de mobilité à des fins d’apprentissage offertes à tous» [COM(2013) 719 final], adoptée le 15 novembre 2023, vise à créer les conditions propices à ce que davantage de personnes puissent bénéficier du programme Erasmus+ et d’autres programmes de mobilité transfrontalière à des fins d’apprentissage, dans le cadre du train de mesures sur la mobilité des talents.</w:t>
      </w:r>
    </w:p>
    <w:p w14:paraId="7101C08A" w14:textId="2DFC77C4" w:rsidR="009D0C9E" w:rsidRDefault="00F82383" w:rsidP="00F64D29">
      <w:pPr>
        <w:widowControl w:val="0"/>
        <w:spacing w:after="120"/>
        <w:rPr>
          <w:bCs/>
          <w:szCs w:val="24"/>
          <w:rFonts w:ascii="Times New Roman" w:hAnsi="Times New Roman"/>
        </w:rPr>
      </w:pPr>
      <w:r>
        <w:rPr>
          <w:rFonts w:ascii="Times New Roman" w:hAnsi="Times New Roman"/>
        </w:rPr>
        <w:t xml:space="preserve">En ce qui concerne le renforcement du programme CERV (</w:t>
      </w:r>
      <w:r>
        <w:rPr>
          <w:b/>
          <w:rFonts w:ascii="Times New Roman" w:hAnsi="Times New Roman"/>
        </w:rPr>
        <w:t xml:space="preserve">paragraphe 23</w:t>
      </w:r>
      <w:r>
        <w:rPr>
          <w:rFonts w:ascii="Times New Roman" w:hAnsi="Times New Roman"/>
        </w:rPr>
        <w:t xml:space="preserve">), son volet «Engagement et participation des citoyens» continuera de financer des activités qui promeuvent la diversité culturelle et la connaissance de l’histoire commune.</w:t>
      </w:r>
      <w:r>
        <w:rPr>
          <w:rFonts w:ascii="Times New Roman" w:hAnsi="Times New Roman"/>
        </w:rPr>
        <w:t xml:space="preserve"> </w:t>
      </w:r>
      <w:r>
        <w:rPr>
          <w:rFonts w:ascii="Times New Roman" w:hAnsi="Times New Roman"/>
        </w:rPr>
        <w:t xml:space="preserve">Le programme continuera d’encourager la participation civique démocratique et responsable des citoyens de l’Union pour façonner l’avenir de l’UE.</w:t>
      </w:r>
      <w:r>
        <w:rPr>
          <w:rFonts w:ascii="Times New Roman" w:hAnsi="Times New Roman"/>
        </w:rPr>
        <w:t xml:space="preserve"> </w:t>
      </w:r>
      <w:r>
        <w:rPr>
          <w:rFonts w:ascii="Times New Roman" w:hAnsi="Times New Roman"/>
        </w:rPr>
        <w:t xml:space="preserve">En ce qui concerne le travail de mémoire européenne, le programme continuera de soutenir des projets commémorant des événements marquants de l’histoire européenne moderne, notamment les causes et les conséquences des régimes autoritaires et totalitaires, ainsi que des projets sur la mémoire de l’Holocauste.</w:t>
      </w:r>
      <w:r>
        <w:rPr>
          <w:rFonts w:ascii="Times New Roman" w:hAnsi="Times New Roman"/>
        </w:rPr>
        <w:t xml:space="preserve"> </w:t>
      </w:r>
      <w:r>
        <w:rPr>
          <w:rFonts w:ascii="Times New Roman" w:hAnsi="Times New Roman"/>
        </w:rPr>
        <w:t xml:space="preserve">Les activités financées visent à sensibiliser les Européens à leur histoire, à leur culture, à leurs valeurs et à leur patrimoine culturel communs, en améliorant leur compréhension de l’UE, de ses origines, de ses objectifs, de sa diversité et de ses réalisations, ainsi que de l’importance de la compréhension et de la tolérance mutuelles.</w:t>
      </w:r>
      <w:r>
        <w:rPr>
          <w:rFonts w:ascii="Times New Roman" w:hAnsi="Times New Roman"/>
        </w:rPr>
        <w:t xml:space="preserve"> </w:t>
      </w:r>
      <w:r>
        <w:rPr>
          <w:rFonts w:ascii="Times New Roman" w:hAnsi="Times New Roman"/>
        </w:rPr>
        <w:t xml:space="preserve">Enfin, le programme finance également plusieurs organisations partenaires stratégiques actives au niveau de l’UE et dans le domaine de la mémoire européenne et de l’engagement des citoyens</w:t>
      </w:r>
      <w:r>
        <w:rPr>
          <w:rFonts w:ascii="Times New Roman" w:hAnsi="Times New Roman"/>
        </w:rPr>
        <w:t xml:space="preserve">.</w:t>
      </w:r>
      <w:r>
        <w:rPr>
          <w:rFonts w:ascii="Times New Roman" w:hAnsi="Times New Roman"/>
        </w:rPr>
        <w:t xml:space="preserve"> </w:t>
      </w:r>
      <w:r>
        <w:rPr>
          <w:rFonts w:ascii="Times New Roman" w:hAnsi="Times New Roman"/>
        </w:rPr>
        <w:t xml:space="preserve">Compte tenu du profil financier du programme, la continuité du soutien au titre du CERV sera possible chaque année jusqu’à la fin du programme en 2027.</w:t>
      </w:r>
    </w:p>
    <w:p w14:paraId="57C886F1" w14:textId="730472A7" w:rsidR="004B402F" w:rsidRPr="00226FA0" w:rsidRDefault="00C65773" w:rsidP="00F64D29">
      <w:pPr>
        <w:widowControl w:val="0"/>
        <w:spacing w:after="120"/>
        <w:rPr>
          <w:bCs/>
          <w:szCs w:val="24"/>
          <w:rFonts w:ascii="Times New Roman" w:hAnsi="Times New Roman"/>
        </w:rPr>
      </w:pPr>
      <w:r>
        <w:rPr>
          <w:rFonts w:ascii="Times New Roman" w:hAnsi="Times New Roman"/>
        </w:rPr>
        <w:t xml:space="preserve">En ce qui concerne le </w:t>
      </w:r>
      <w:r>
        <w:rPr>
          <w:b/>
          <w:rFonts w:ascii="Times New Roman" w:hAnsi="Times New Roman"/>
        </w:rPr>
        <w:t xml:space="preserve">paragraphe 24</w:t>
      </w:r>
      <w:r>
        <w:rPr>
          <w:rFonts w:ascii="Times New Roman" w:hAnsi="Times New Roman"/>
        </w:rPr>
        <w:t xml:space="preserve">, le paquet «élargissement» 2023 souligne qu’il reste essentiel de surmonter l’héritage du passé et de régler les différends résultant des conflits des années 1990 pour le processus d’élargissement.</w:t>
      </w:r>
      <w:r>
        <w:rPr>
          <w:rFonts w:ascii="Times New Roman" w:hAnsi="Times New Roman"/>
        </w:rPr>
        <w:t xml:space="preserve"> </w:t>
      </w:r>
      <w:r>
        <w:rPr>
          <w:rFonts w:ascii="Times New Roman" w:hAnsi="Times New Roman"/>
        </w:rPr>
        <w:t xml:space="preserve">Les questions bilatérales en suspens doivent être résolues, notamment les questions frontalières et la nécessité de rendre justice aux victimes de crimes de guerre, d’identifier les personnes disparues et d’établir un bilan précis des atrocités du passé au niveau régional.</w:t>
      </w:r>
      <w:r>
        <w:rPr>
          <w:rFonts w:ascii="Times New Roman" w:hAnsi="Times New Roman"/>
        </w:rPr>
        <w:t xml:space="preserve"> </w:t>
      </w:r>
      <w:r>
        <w:rPr>
          <w:rFonts w:ascii="Times New Roman" w:hAnsi="Times New Roman"/>
        </w:rPr>
        <w:t xml:space="preserve">Il n’y a pas de place dans l’UE pour les discours incendiaires ni pour la glorification de criminels de guerre de l’un ou l’autre camp.</w:t>
      </w:r>
    </w:p>
    <w:p w14:paraId="17ABD8B4" w14:textId="013C1FD4" w:rsidR="00C61E03" w:rsidRPr="00862CE6" w:rsidRDefault="004B402F" w:rsidP="00F64D29">
      <w:pPr>
        <w:widowControl w:val="0"/>
        <w:spacing w:after="120"/>
        <w:rPr>
          <w:b/>
          <w:i/>
          <w:szCs w:val="24"/>
          <w:rFonts w:ascii="Times New Roman" w:hAnsi="Times New Roman"/>
        </w:rPr>
      </w:pPr>
      <w:r>
        <w:rPr>
          <w:rFonts w:ascii="Times New Roman" w:hAnsi="Times New Roman"/>
        </w:rPr>
        <w:t xml:space="preserve">Pour soutenir les objectifs mentionnés ci-dessus, il existe deux programmes financés au niveau régional par l’intermédiaire de l’instrument d’aide de préadhésion (IAP) pour les Balkans occidentaux.</w:t>
      </w:r>
      <w:r>
        <w:rPr>
          <w:rFonts w:ascii="Times New Roman" w:hAnsi="Times New Roman"/>
        </w:rPr>
        <w:t xml:space="preserve"> </w:t>
      </w:r>
      <w:r>
        <w:rPr>
          <w:rFonts w:ascii="Times New Roman" w:hAnsi="Times New Roman"/>
        </w:rPr>
        <w:t xml:space="preserve">Le premier s’appuie sur le mécanisme international appelé à exercer les fonctions résiduelles des Tribunaux pénaux (MIFRTP) </w:t>
      </w:r>
      <w:r>
        <w:rPr>
          <w:rFonts w:ascii="Times New Roman" w:hAnsi="Times New Roman"/>
        </w:rPr>
        <w:t xml:space="preserve">pour les poursuites contre les criminels de guerre et consiste à utiliser les archives du Tribunal pénal international pour l’ex-Yougoslavie (TPIY) pour partager une image fidèle du passé, notamment en travaillant avec des associations d’enseignants d’histoire et d’universités (2024-2026).</w:t>
      </w:r>
      <w:r>
        <w:rPr>
          <w:rFonts w:ascii="Times New Roman" w:hAnsi="Times New Roman"/>
        </w:rPr>
        <w:t xml:space="preserve"> </w:t>
      </w:r>
      <w:r>
        <w:rPr>
          <w:rFonts w:ascii="Times New Roman" w:hAnsi="Times New Roman"/>
        </w:rPr>
        <w:t xml:space="preserve">Le deuxième relève du programme des Nations unies pour le développement (PNUD) et vise la réconciliation, le renforcement des capacités des acteurs nationaux chargés du traitement des crimes de guerre, et la sensibilisation par l’intermédiaire d’organisations de la société civile (2023-2026).</w:t>
      </w:r>
      <w:r>
        <w:rPr>
          <w:rFonts w:ascii="Times New Roman" w:hAnsi="Times New Roman"/>
        </w:rPr>
        <w:t xml:space="preserve"> </w:t>
      </w:r>
      <w:r>
        <w:rPr>
          <w:rFonts w:ascii="Times New Roman" w:hAnsi="Times New Roman"/>
        </w:rPr>
        <w:t xml:space="preserve">De plus, un soutien bilatéral à la réconciliation et à la consolidation de la paix est apporté aux organisations de la société civile par l’intermédiaire de la présence de l’UE dans les pays partenaires des Balkans occidentaux touchés.</w:t>
      </w:r>
    </w:p>
    <w:sectPr w:rsidR="00C61E03" w:rsidRPr="00862CE6" w:rsidSect="000A07D2">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6BBC" w14:textId="77777777" w:rsidR="00380EFD" w:rsidRDefault="00380EFD">
      <w:r>
        <w:separator/>
      </w:r>
    </w:p>
  </w:endnote>
  <w:endnote w:type="continuationSeparator" w:id="0">
    <w:p w14:paraId="756C69AD" w14:textId="77777777" w:rsidR="00380EFD" w:rsidRDefault="0038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1DBA"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00885BF7"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BB54"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246D">
      <w:rPr>
        <w:rStyle w:val="PageNumber"/>
      </w:rPr>
      <w:t>2</w:t>
    </w:r>
    <w:r>
      <w:rPr>
        <w:rStyle w:val="PageNumber"/>
      </w:rPr>
      <w:fldChar w:fldCharType="end"/>
    </w:r>
  </w:p>
  <w:p w14:paraId="185B6CBB"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BBAA" w14:textId="77777777" w:rsidR="00F64D29" w:rsidRDefault="00F64D29">
    <w:pPr>
      <w:pStyle w:val="Footer"/>
      <w:jc w:val="center"/>
    </w:pPr>
    <w:r>
      <w:fldChar w:fldCharType="begin"/>
    </w:r>
    <w:r>
      <w:instrText xml:space="preserve"> PAGE   \* MERGEFORMAT </w:instrText>
    </w:r>
    <w:r>
      <w:fldChar w:fldCharType="separate"/>
    </w:r>
    <w:r>
      <w:t>2</w:t>
    </w:r>
    <w:r>
      <w:fldChar w:fldCharType="end"/>
    </w:r>
  </w:p>
  <w:p w14:paraId="3AF4FFDF" w14:textId="10D7552A" w:rsidR="005E6EC2" w:rsidRPr="00F64D29" w:rsidRDefault="005E6EC2" w:rsidP="00F64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FB6A" w14:textId="77777777" w:rsidR="00380EFD" w:rsidRDefault="00380EFD">
      <w:r>
        <w:separator/>
      </w:r>
    </w:p>
  </w:footnote>
  <w:footnote w:type="continuationSeparator" w:id="0">
    <w:p w14:paraId="2C7EE765" w14:textId="77777777" w:rsidR="00380EFD" w:rsidRDefault="00380EFD">
      <w:r>
        <w:continuationSeparator/>
      </w:r>
    </w:p>
  </w:footnote>
  <w:footnote w:id="1">
    <w:p w14:paraId="1E2A9D7B" w14:textId="6B9519E0" w:rsidR="00565B8D" w:rsidRPr="0095223F" w:rsidRDefault="00565B8D" w:rsidP="00226FA0">
      <w:pPr>
        <w:pStyle w:val="FootnoteText"/>
        <w:spacing w:after="0"/>
        <w:rPr>
          <w:sz w:val="18"/>
          <w:szCs w:val="18"/>
          <w:rFonts w:ascii="Times New Roman" w:hAnsi="Times New Roman"/>
        </w:rPr>
      </w:pPr>
      <w:r>
        <w:rPr>
          <w:rStyle w:val="FootnoteReference"/>
          <w:rFonts w:ascii="Times New Roman" w:hAnsi="Times New Roman"/>
        </w:rPr>
        <w:footnoteRef/>
      </w:r>
      <w:r>
        <w:t xml:space="preserve">.</w:t>
      </w:r>
      <w:r>
        <w:tab/>
      </w:r>
      <w:hyperlink w:anchor="what-is-the-european-democracy-action-plan" w:history="1">
        <w:r>
          <w:rPr>
            <w:rStyle w:val="Hyperlink"/>
            <w:sz w:val="18"/>
            <w:rFonts w:ascii="Times New Roman" w:hAnsi="Times New Roman"/>
          </w:rPr>
          <w:t xml:space="preserve">https://commission.europa.eu/strategy-and-policy/priorities-2019-2024/new-push-european-democracy/protecting-democracy_fr#what-is-the-european-democracy-action-plan</w:t>
        </w:r>
      </w:hyperlink>
      <w:r>
        <w:rPr>
          <w:sz w:val="18"/>
          <w:rFonts w:ascii="Times New Roman" w:hAnsi="Times New Roman"/>
        </w:rPr>
        <w:t xml:space="preserve"> </w:t>
      </w:r>
    </w:p>
  </w:footnote>
  <w:footnote w:id="2">
    <w:p w14:paraId="4E6F3B4F" w14:textId="199B3D1B" w:rsidR="00565B8D" w:rsidRPr="00226FA0" w:rsidRDefault="00565B8D" w:rsidP="00226FA0">
      <w:pPr>
        <w:pStyle w:val="FootnoteText"/>
        <w:spacing w:after="0"/>
        <w:rPr>
          <w:rFonts w:ascii="Times New Roman" w:hAnsi="Times New Roman"/>
        </w:rPr>
      </w:pPr>
      <w:r>
        <w:rPr>
          <w:rStyle w:val="FootnoteReference"/>
          <w:rFonts w:ascii="Times New Roman" w:hAnsi="Times New Roman"/>
        </w:rPr>
        <w:footnoteRef/>
      </w:r>
      <w:r>
        <w:t xml:space="preserve"> </w:t>
      </w:r>
      <w:r>
        <w:tab/>
      </w:r>
      <w:hyperlink r:id="rId2" w:history="1">
        <w:r>
          <w:rPr>
            <w:rStyle w:val="Hyperlink"/>
            <w:sz w:val="18"/>
            <w:rFonts w:ascii="Times New Roman" w:hAnsi="Times New Roman"/>
          </w:rPr>
          <w:t xml:space="preserve">https://eur-lex.europa.eu/legal-content/FR/TXT/PDF/?uri=CELEX:32018H0607(01)</w:t>
        </w:r>
      </w:hyperlink>
      <w:r>
        <w:rPr>
          <w:rFonts w:ascii="Times New Roman" w:hAnsi="Times New Roman"/>
        </w:rPr>
        <w:t xml:space="preserve"> </w:t>
      </w:r>
    </w:p>
  </w:footnote>
  <w:footnote w:id="3">
    <w:p w14:paraId="1F3A1BE4" w14:textId="2D3B4627" w:rsidR="00565B8D" w:rsidRPr="00226FA0" w:rsidRDefault="00565B8D" w:rsidP="00226FA0">
      <w:pPr>
        <w:pStyle w:val="FootnoteText"/>
        <w:spacing w:after="0"/>
        <w:rPr>
          <w:rStyle w:val="Hyperlink"/>
          <w:rFonts w:ascii="Times New Roman" w:hAnsi="Times New Roman"/>
        </w:rPr>
      </w:pPr>
      <w:r>
        <w:rPr>
          <w:rStyle w:val="FootnoteReference"/>
        </w:rPr>
        <w:footnoteRef/>
      </w:r>
      <w:r>
        <w:t xml:space="preserve"> </w:t>
      </w:r>
      <w:r>
        <w:tab/>
      </w:r>
      <w:hyperlink r:id="rId3" w:history="1">
        <w:r>
          <w:rPr>
            <w:rStyle w:val="Hyperlink"/>
            <w:sz w:val="18"/>
            <w:rFonts w:ascii="Times New Roman" w:hAnsi="Times New Roman"/>
          </w:rPr>
          <w:t xml:space="preserve">https://education.ec.europa.eu/fr/about-eea/working-groups</w:t>
        </w:r>
      </w:hyperlink>
      <w:r>
        <w:rPr>
          <w:rStyle w:val="Hyperlink"/>
          <w:rFonts w:ascii="Times New Roman" w:hAnsi="Times New Roman"/>
        </w:rPr>
        <w:t xml:space="preserve"> </w:t>
      </w:r>
    </w:p>
  </w:footnote>
  <w:footnote w:id="4">
    <w:p w14:paraId="6150480C" w14:textId="25560C13" w:rsidR="00365783" w:rsidRPr="00226FA0" w:rsidRDefault="00365783" w:rsidP="00226FA0">
      <w:pPr>
        <w:pStyle w:val="FootnoteText"/>
        <w:spacing w:after="0"/>
      </w:pPr>
      <w:r>
        <w:rPr>
          <w:rStyle w:val="FootnoteReference"/>
          <w:rFonts w:ascii="Times New Roman" w:hAnsi="Times New Roman"/>
        </w:rPr>
        <w:footnoteRef/>
      </w:r>
      <w:r>
        <w:t xml:space="preserve"> </w:t>
      </w:r>
      <w:r>
        <w:tab/>
      </w:r>
      <w:hyperlink r:id="rId4" w:history="1">
        <w:r>
          <w:rPr>
            <w:rStyle w:val="Hyperlink"/>
            <w:sz w:val="18"/>
            <w:rFonts w:ascii="Times New Roman" w:hAnsi="Times New Roman"/>
          </w:rPr>
          <w:t xml:space="preserve">https://op.europa.eu/fr/publication-detail/-/publication/03af1d4e-582b-11ee-9220-01aa75ed71a1</w:t>
        </w:r>
      </w:hyperlink>
      <w:r>
        <w:rPr>
          <w:rFonts w:ascii="Times New Roman" w:hAnsi="Times New Roman"/>
        </w:rPr>
        <w:t xml:space="preserve"> </w:t>
      </w:r>
    </w:p>
  </w:footnote>
  <w:footnote w:id="5">
    <w:p w14:paraId="672826F4" w14:textId="581796EC" w:rsidR="00590F0D" w:rsidRPr="00F64D29" w:rsidRDefault="00590F0D" w:rsidP="00F64D29">
      <w:pPr>
        <w:pStyle w:val="FootnoteText"/>
        <w:spacing w:after="0"/>
        <w:rPr>
          <w:color w:val="000000"/>
          <w:rFonts w:ascii="Times New Roman" w:hAnsi="Times New Roman"/>
        </w:rPr>
      </w:pPr>
      <w:r>
        <w:rPr>
          <w:rStyle w:val="FootnoteReference"/>
        </w:rPr>
        <w:footnoteRef/>
      </w:r>
      <w:r>
        <w:t xml:space="preserve"> </w:t>
      </w:r>
      <w:r>
        <w:tab/>
      </w:r>
      <w:hyperlink w:history="1">
        <w:r>
          <w:rPr>
            <w:rStyle w:val="Hyperlink"/>
            <w:color w:val="000000"/>
            <w:rFonts w:ascii="Times New Roman" w:hAnsi="Times New Roman"/>
          </w:rPr>
          <w:t xml:space="preserve">https://histolab.coe.int </w:t>
        </w:r>
      </w:hyperlink>
    </w:p>
  </w:footnote>
  <w:footnote w:id="6">
    <w:p w14:paraId="1FC2A039" w14:textId="3195C9CF" w:rsidR="000952EE" w:rsidRPr="00F64D29" w:rsidRDefault="000952EE" w:rsidP="00F64D29">
      <w:pPr>
        <w:spacing w:after="0"/>
        <w:ind w:left="357" w:hanging="357"/>
        <w:rPr>
          <w:color w:val="000000"/>
          <w:sz w:val="20"/>
          <w:rFonts w:ascii="Times New Roman" w:hAnsi="Times New Roman"/>
        </w:rPr>
      </w:pPr>
      <w:r>
        <w:rPr>
          <w:rStyle w:val="FootnoteReference"/>
          <w:rFonts w:ascii="Times New Roman" w:hAnsi="Times New Roman"/>
          <w:color w:val="000000"/>
          <w:sz w:val="20"/>
        </w:rPr>
        <w:footnoteRef/>
      </w:r>
      <w:r>
        <w:rPr>
          <w:color w:val="000000"/>
          <w:sz w:val="20"/>
          <w:rFonts w:ascii="Times New Roman" w:hAnsi="Times New Roman"/>
        </w:rPr>
        <w:t xml:space="preserve"> </w:t>
      </w:r>
      <w:r>
        <w:rPr>
          <w:color w:val="000000"/>
          <w:sz w:val="20"/>
          <w:rFonts w:ascii="Times New Roman" w:hAnsi="Times New Roman"/>
        </w:rPr>
        <w:tab/>
      </w:r>
      <w:hyperlink r:id="rId5" w:history="1">
        <w:r>
          <w:rPr>
            <w:rStyle w:val="Hyperlink"/>
            <w:color w:val="000000"/>
            <w:sz w:val="20"/>
            <w:rFonts w:ascii="Times New Roman" w:hAnsi="Times New Roman"/>
          </w:rPr>
          <w:t xml:space="preserve">https://commission.europa.eu/publications/citizenship-package_en?prefLang=fr</w:t>
        </w:r>
      </w:hyperlink>
      <w:r>
        <w:rPr>
          <w:color w:val="000000"/>
          <w:sz w:val="20"/>
          <w:rFonts w:ascii="Times New Roman" w:hAnsi="Times New Roman"/>
        </w:rPr>
        <w:t xml:space="preserve">.</w:t>
      </w:r>
      <w:r>
        <w:rPr>
          <w:color w:val="000000"/>
          <w:sz w:val="20"/>
          <w:rFonts w:ascii="Times New Roman" w:hAnsi="Times New Roman"/>
        </w:rPr>
        <w:t xml:space="preserve"> </w:t>
      </w:r>
      <w:r>
        <w:rPr>
          <w:color w:val="000000"/>
          <w:sz w:val="20"/>
          <w:rFonts w:ascii="Times New Roman" w:hAnsi="Times New Roman"/>
        </w:rPr>
        <w:t xml:space="preserve">Ce train de mesures comprend 1) une proposition de directive du Conseil modifiant la directive (UE) 2015/637 établissant les mesures de coordination et de coopération nécessaires pour faciliter la protection consulaire des citoyens de l’Union non représentés dans des pays tiers et la directive (UE) 2019/997 établissant un titre de voyage provisoire de l’Union européenne, COM/2023/930 final;</w:t>
      </w:r>
      <w:r>
        <w:rPr>
          <w:color w:val="000000"/>
          <w:sz w:val="20"/>
          <w:rFonts w:ascii="Times New Roman" w:hAnsi="Times New Roman"/>
        </w:rPr>
        <w:t xml:space="preserve"> </w:t>
      </w:r>
      <w:r>
        <w:rPr>
          <w:color w:val="000000"/>
          <w:sz w:val="20"/>
          <w:rFonts w:ascii="Times New Roman" w:hAnsi="Times New Roman"/>
        </w:rPr>
        <w:t xml:space="preserve">2) un rapport de la Commission au Parlement européen, au Conseil, au Comité économique et social européen et au Comité des régions établi en application de l’article 25 du TFUE concernant les progrès réalisés sur la voie de l’exercice effectif de la citoyenneté de l’Union pour la période 2020-2023, COM/2023/931 final;</w:t>
      </w:r>
      <w:r>
        <w:rPr>
          <w:color w:val="000000"/>
          <w:sz w:val="20"/>
          <w:rFonts w:ascii="Times New Roman" w:hAnsi="Times New Roman"/>
        </w:rPr>
        <w:t xml:space="preserve"> </w:t>
      </w:r>
      <w:r>
        <w:rPr>
          <w:color w:val="000000"/>
          <w:sz w:val="20"/>
          <w:rFonts w:ascii="Times New Roman" w:hAnsi="Times New Roman"/>
        </w:rPr>
        <w:t xml:space="preserve">3) la communication de la Commission intitulée «Orientations sur le droit à la libre circulation des citoyens de l’Union et des membres de leur famille», C/2023/8500 final, JO C, C/2023/1392, du 22.12.2023;</w:t>
      </w:r>
      <w:r>
        <w:rPr>
          <w:color w:val="000000"/>
          <w:sz w:val="20"/>
          <w:rFonts w:ascii="Times New Roman" w:hAnsi="Times New Roman"/>
        </w:rPr>
        <w:t xml:space="preserve"> </w:t>
      </w:r>
      <w:r>
        <w:rPr>
          <w:color w:val="000000"/>
          <w:sz w:val="20"/>
          <w:rFonts w:ascii="Times New Roman" w:hAnsi="Times New Roman"/>
        </w:rPr>
        <w:t xml:space="preserve">4) un document de travail des services de la Commission intitulé «Guide de bonnes pratiques électorales concernant la participation des citoyens handicapés au processus électoral», SWD(2023) 408 final;</w:t>
      </w:r>
      <w:r>
        <w:rPr>
          <w:color w:val="000000"/>
          <w:sz w:val="20"/>
          <w:rFonts w:ascii="Times New Roman" w:hAnsi="Times New Roman"/>
        </w:rPr>
        <w:t xml:space="preserve"> </w:t>
      </w:r>
      <w:r>
        <w:rPr>
          <w:color w:val="000000"/>
          <w:sz w:val="20"/>
          <w:rFonts w:ascii="Times New Roman" w:hAnsi="Times New Roman"/>
        </w:rPr>
        <w:t xml:space="preserve">5) un recueil des pratiques en matière de vote électronique et d’autres technologies de l’information et de la communication (</w:t>
      </w:r>
      <w:hyperlink r:id="rId6" w:history="1">
        <w:r>
          <w:rPr>
            <w:rStyle w:val="Hyperlink"/>
            <w:color w:val="000000"/>
            <w:sz w:val="20"/>
            <w:rFonts w:ascii="Times New Roman" w:hAnsi="Times New Roman"/>
          </w:rPr>
          <w:t xml:space="preserve">https://commission.europa.eu/publications/compendium-e-voting-and-other-ict-practices_en?prefLang=fr</w:t>
        </w:r>
      </w:hyperlink>
      <w:r>
        <w:rPr>
          <w:color w:val="000000"/>
          <w:sz w:val="20"/>
          <w:rFonts w:ascii="Times New Roman" w:hAnsi="Times New Roman"/>
        </w:rPr>
        <w:t xml:space="preserve">) et 6) un guide de la citoyenneté de l’Union (</w:t>
      </w:r>
      <w:hyperlink r:id="rId7" w:history="1">
        <w:r>
          <w:rPr>
            <w:rStyle w:val="Hyperlink"/>
            <w:sz w:val="20"/>
            <w:rFonts w:ascii="Times New Roman" w:hAnsi="Times New Roman"/>
          </w:rPr>
          <w:t xml:space="preserve">https://commission.europa.eu/publications/guide-eu-citizenship_en?prefLang=fr</w:t>
        </w:r>
      </w:hyperlink>
      <w:r>
        <w:rPr>
          <w:color w:val="000000"/>
          <w:sz w:val="20"/>
          <w:rFonts w:ascii="Times New Roman" w:hAnsi="Times New Roman"/>
        </w:rPr>
        <w:t xml:space="preserve">)</w:t>
      </w:r>
    </w:p>
  </w:footnote>
  <w:footnote w:id="7">
    <w:p w14:paraId="4DF710E1" w14:textId="6B44BA04" w:rsidR="00F84FA1" w:rsidRPr="00F64D29" w:rsidRDefault="00365783" w:rsidP="00F64D29">
      <w:pPr>
        <w:pStyle w:val="FootnoteText"/>
        <w:spacing w:after="0"/>
        <w:rPr>
          <w:rFonts w:ascii="Times New Roman" w:hAnsi="Times New Roman"/>
        </w:rPr>
      </w:pPr>
      <w:r>
        <w:rPr>
          <w:rStyle w:val="FootnoteReference"/>
          <w:rFonts w:ascii="Times New Roman" w:hAnsi="Times New Roman"/>
          <w:color w:val="000000"/>
        </w:rPr>
        <w:footnoteRef/>
      </w:r>
      <w:r>
        <w:rPr>
          <w:color w:val="000000"/>
          <w:rFonts w:ascii="Times New Roman" w:hAnsi="Times New Roman"/>
        </w:rPr>
        <w:t xml:space="preserve"> </w:t>
      </w:r>
      <w:r>
        <w:rPr>
          <w:color w:val="000000"/>
          <w:rFonts w:ascii="Times New Roman" w:hAnsi="Times New Roman"/>
        </w:rPr>
        <w:tab/>
      </w:r>
      <w:hyperlink r:id="rId8" w:history="1">
        <w:r>
          <w:rPr>
            <w:rStyle w:val="Hyperlink"/>
            <w:color w:val="000000"/>
            <w:rFonts w:ascii="Times New Roman" w:hAnsi="Times New Roman"/>
          </w:rPr>
          <w:t xml:space="preserve">Lignes directrices pour les enseignants et les éducateurs en matière de lutte contre la désinformation et de promotion de l’habileté numérique par l’éducation et la formation – Office des publications de l’UE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DF2B" w14:textId="77777777" w:rsidR="00F64D29" w:rsidRDefault="00F64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B13E" w14:textId="77777777" w:rsidR="00F64D29" w:rsidRDefault="00F64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CC37" w14:textId="77777777" w:rsidR="00F64D29" w:rsidRDefault="00F64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DA232C7"/>
    <w:multiLevelType w:val="hybridMultilevel"/>
    <w:tmpl w:val="657CAF8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9"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2"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3"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182672168">
    <w:abstractNumId w:val="6"/>
  </w:num>
  <w:num w:numId="2" w16cid:durableId="1731419247">
    <w:abstractNumId w:val="1"/>
  </w:num>
  <w:num w:numId="3" w16cid:durableId="770929542">
    <w:abstractNumId w:val="32"/>
  </w:num>
  <w:num w:numId="4" w16cid:durableId="810947831">
    <w:abstractNumId w:val="12"/>
  </w:num>
  <w:num w:numId="5" w16cid:durableId="437523508">
    <w:abstractNumId w:val="25"/>
  </w:num>
  <w:num w:numId="6" w16cid:durableId="890962466">
    <w:abstractNumId w:val="10"/>
  </w:num>
  <w:num w:numId="7" w16cid:durableId="1927500062">
    <w:abstractNumId w:val="5"/>
  </w:num>
  <w:num w:numId="8" w16cid:durableId="634918359">
    <w:abstractNumId w:val="15"/>
  </w:num>
  <w:num w:numId="9" w16cid:durableId="828833886">
    <w:abstractNumId w:val="31"/>
  </w:num>
  <w:num w:numId="10" w16cid:durableId="1046027966">
    <w:abstractNumId w:val="21"/>
  </w:num>
  <w:num w:numId="11" w16cid:durableId="484664273">
    <w:abstractNumId w:val="23"/>
  </w:num>
  <w:num w:numId="12" w16cid:durableId="2092509106">
    <w:abstractNumId w:val="11"/>
  </w:num>
  <w:num w:numId="13" w16cid:durableId="368725495">
    <w:abstractNumId w:val="16"/>
  </w:num>
  <w:num w:numId="14" w16cid:durableId="479271977">
    <w:abstractNumId w:val="27"/>
  </w:num>
  <w:num w:numId="15" w16cid:durableId="1792741200">
    <w:abstractNumId w:val="14"/>
  </w:num>
  <w:num w:numId="16" w16cid:durableId="1227378138">
    <w:abstractNumId w:val="33"/>
  </w:num>
  <w:num w:numId="17" w16cid:durableId="718364123">
    <w:abstractNumId w:val="30"/>
  </w:num>
  <w:num w:numId="18" w16cid:durableId="668020715">
    <w:abstractNumId w:val="19"/>
  </w:num>
  <w:num w:numId="19" w16cid:durableId="818695808">
    <w:abstractNumId w:val="20"/>
  </w:num>
  <w:num w:numId="20" w16cid:durableId="947388835">
    <w:abstractNumId w:val="24"/>
  </w:num>
  <w:num w:numId="21" w16cid:durableId="1476097278">
    <w:abstractNumId w:val="3"/>
  </w:num>
  <w:num w:numId="22" w16cid:durableId="1353147744">
    <w:abstractNumId w:val="4"/>
  </w:num>
  <w:num w:numId="23" w16cid:durableId="1779593453">
    <w:abstractNumId w:val="18"/>
  </w:num>
  <w:num w:numId="24" w16cid:durableId="1889299408">
    <w:abstractNumId w:val="28"/>
  </w:num>
  <w:num w:numId="25" w16cid:durableId="501236151">
    <w:abstractNumId w:val="9"/>
  </w:num>
  <w:num w:numId="26" w16cid:durableId="517545695">
    <w:abstractNumId w:val="29"/>
  </w:num>
  <w:num w:numId="27" w16cid:durableId="635911546">
    <w:abstractNumId w:val="8"/>
  </w:num>
  <w:num w:numId="28" w16cid:durableId="1494223597">
    <w:abstractNumId w:val="2"/>
  </w:num>
  <w:num w:numId="29" w16cid:durableId="17315654">
    <w:abstractNumId w:val="13"/>
  </w:num>
  <w:num w:numId="30" w16cid:durableId="540897911">
    <w:abstractNumId w:val="22"/>
  </w:num>
  <w:num w:numId="31" w16cid:durableId="680593784">
    <w:abstractNumId w:val="32"/>
  </w:num>
  <w:num w:numId="32" w16cid:durableId="595482187">
    <w:abstractNumId w:val="26"/>
  </w:num>
  <w:num w:numId="33" w16cid:durableId="98844389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EC5"/>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621"/>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A76"/>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2EE"/>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38"/>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5EBB"/>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75F"/>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6E8"/>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4D9"/>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2F"/>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6ED"/>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0AF"/>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3F8"/>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6FA0"/>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6B5"/>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15B"/>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59B"/>
    <w:rsid w:val="002E7AA9"/>
    <w:rsid w:val="002E7ABC"/>
    <w:rsid w:val="002E7BCD"/>
    <w:rsid w:val="002E7D0A"/>
    <w:rsid w:val="002E7FBE"/>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652"/>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4C0"/>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19"/>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2D94"/>
    <w:rsid w:val="00313B7C"/>
    <w:rsid w:val="00313C32"/>
    <w:rsid w:val="00314017"/>
    <w:rsid w:val="00314034"/>
    <w:rsid w:val="00314397"/>
    <w:rsid w:val="003144BA"/>
    <w:rsid w:val="00314523"/>
    <w:rsid w:val="00314645"/>
    <w:rsid w:val="003149A3"/>
    <w:rsid w:val="00314B2A"/>
    <w:rsid w:val="00315000"/>
    <w:rsid w:val="003153D9"/>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DCC"/>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309"/>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783"/>
    <w:rsid w:val="00365C98"/>
    <w:rsid w:val="00365EE8"/>
    <w:rsid w:val="00365F42"/>
    <w:rsid w:val="00365F6D"/>
    <w:rsid w:val="00366965"/>
    <w:rsid w:val="00366DF0"/>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0EFD"/>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836"/>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5F"/>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33"/>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026"/>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A89"/>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57F99"/>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77DC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1FA1"/>
    <w:rsid w:val="004B203E"/>
    <w:rsid w:val="004B20F7"/>
    <w:rsid w:val="004B277F"/>
    <w:rsid w:val="004B28A2"/>
    <w:rsid w:val="004B2BFD"/>
    <w:rsid w:val="004B33B9"/>
    <w:rsid w:val="004B340E"/>
    <w:rsid w:val="004B3420"/>
    <w:rsid w:val="004B37E4"/>
    <w:rsid w:val="004B399F"/>
    <w:rsid w:val="004B39D5"/>
    <w:rsid w:val="004B39F4"/>
    <w:rsid w:val="004B402F"/>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1D1"/>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CF6"/>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C3C"/>
    <w:rsid w:val="00544E23"/>
    <w:rsid w:val="00545062"/>
    <w:rsid w:val="0054534A"/>
    <w:rsid w:val="0054540D"/>
    <w:rsid w:val="005459D3"/>
    <w:rsid w:val="00545C38"/>
    <w:rsid w:val="00545D61"/>
    <w:rsid w:val="005462CB"/>
    <w:rsid w:val="00546375"/>
    <w:rsid w:val="0054653E"/>
    <w:rsid w:val="00546B02"/>
    <w:rsid w:val="00546C4E"/>
    <w:rsid w:val="00546D0E"/>
    <w:rsid w:val="00546D32"/>
    <w:rsid w:val="00546D78"/>
    <w:rsid w:val="0054707A"/>
    <w:rsid w:val="005473EA"/>
    <w:rsid w:val="005475E1"/>
    <w:rsid w:val="0054763F"/>
    <w:rsid w:val="00547671"/>
    <w:rsid w:val="00547841"/>
    <w:rsid w:val="00547907"/>
    <w:rsid w:val="00547A50"/>
    <w:rsid w:val="00547DF0"/>
    <w:rsid w:val="00547F6E"/>
    <w:rsid w:val="005501E1"/>
    <w:rsid w:val="0055043E"/>
    <w:rsid w:val="0055050E"/>
    <w:rsid w:val="005508DC"/>
    <w:rsid w:val="00550BFF"/>
    <w:rsid w:val="00550CF4"/>
    <w:rsid w:val="00550F07"/>
    <w:rsid w:val="00550FC4"/>
    <w:rsid w:val="00551073"/>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E6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B8D"/>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94C"/>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0F0D"/>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0FFB"/>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66C"/>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6D"/>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48"/>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9FB"/>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7C8"/>
    <w:rsid w:val="00671A60"/>
    <w:rsid w:val="00671D6A"/>
    <w:rsid w:val="00672129"/>
    <w:rsid w:val="0067253E"/>
    <w:rsid w:val="00672583"/>
    <w:rsid w:val="00672646"/>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3FBA"/>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47F9D"/>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6F0A"/>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3CA"/>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A7FB4"/>
    <w:rsid w:val="007B0002"/>
    <w:rsid w:val="007B017D"/>
    <w:rsid w:val="007B01AF"/>
    <w:rsid w:val="007B075C"/>
    <w:rsid w:val="007B083D"/>
    <w:rsid w:val="007B09B4"/>
    <w:rsid w:val="007B09D1"/>
    <w:rsid w:val="007B1265"/>
    <w:rsid w:val="007B1A21"/>
    <w:rsid w:val="007B1ACD"/>
    <w:rsid w:val="007B1DF1"/>
    <w:rsid w:val="007B21B1"/>
    <w:rsid w:val="007B234D"/>
    <w:rsid w:val="007B2493"/>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EA0"/>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CCC"/>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0412"/>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CE6"/>
    <w:rsid w:val="00862DAC"/>
    <w:rsid w:val="00862F25"/>
    <w:rsid w:val="0086311F"/>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7DF"/>
    <w:rsid w:val="00880834"/>
    <w:rsid w:val="0088089B"/>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0D69"/>
    <w:rsid w:val="008A1609"/>
    <w:rsid w:val="008A1BAA"/>
    <w:rsid w:val="008A1BC1"/>
    <w:rsid w:val="008A1E72"/>
    <w:rsid w:val="008A2413"/>
    <w:rsid w:val="008A25A6"/>
    <w:rsid w:val="008A2904"/>
    <w:rsid w:val="008A291F"/>
    <w:rsid w:val="008A29ED"/>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9CF"/>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23F"/>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1B7"/>
    <w:rsid w:val="009A724D"/>
    <w:rsid w:val="009A727F"/>
    <w:rsid w:val="009A742A"/>
    <w:rsid w:val="009A7692"/>
    <w:rsid w:val="009A772C"/>
    <w:rsid w:val="009A794E"/>
    <w:rsid w:val="009A7C10"/>
    <w:rsid w:val="009B000F"/>
    <w:rsid w:val="009B010F"/>
    <w:rsid w:val="009B018C"/>
    <w:rsid w:val="009B05DA"/>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A75"/>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C9E"/>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4DF"/>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B27"/>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8E5"/>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900"/>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4D6"/>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6E8E"/>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5E93"/>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4E60"/>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BC7"/>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4FE"/>
    <w:rsid w:val="00B066FD"/>
    <w:rsid w:val="00B06898"/>
    <w:rsid w:val="00B0726C"/>
    <w:rsid w:val="00B073B7"/>
    <w:rsid w:val="00B073DD"/>
    <w:rsid w:val="00B07491"/>
    <w:rsid w:val="00B07527"/>
    <w:rsid w:val="00B07569"/>
    <w:rsid w:val="00B07601"/>
    <w:rsid w:val="00B076A4"/>
    <w:rsid w:val="00B076F5"/>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9DD"/>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608"/>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47"/>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CE5"/>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B93"/>
    <w:rsid w:val="00B74FAA"/>
    <w:rsid w:val="00B75285"/>
    <w:rsid w:val="00B75336"/>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0ED4"/>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13"/>
    <w:rsid w:val="00BF0E35"/>
    <w:rsid w:val="00BF0F33"/>
    <w:rsid w:val="00BF132A"/>
    <w:rsid w:val="00BF16CF"/>
    <w:rsid w:val="00BF198A"/>
    <w:rsid w:val="00BF19BB"/>
    <w:rsid w:val="00BF1AF8"/>
    <w:rsid w:val="00BF1D1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74E"/>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6D2D"/>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770"/>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81F"/>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03"/>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73"/>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24F"/>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689"/>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D8"/>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51F"/>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6BA"/>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5F8"/>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4F64"/>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6E2"/>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579"/>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69"/>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022"/>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14B"/>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0C"/>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95D"/>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4D29"/>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383"/>
    <w:rsid w:val="00F825BB"/>
    <w:rsid w:val="00F82643"/>
    <w:rsid w:val="00F8269D"/>
    <w:rsid w:val="00F826E7"/>
    <w:rsid w:val="00F82BA1"/>
    <w:rsid w:val="00F82F93"/>
    <w:rsid w:val="00F83049"/>
    <w:rsid w:val="00F834DC"/>
    <w:rsid w:val="00F835CA"/>
    <w:rsid w:val="00F83BAB"/>
    <w:rsid w:val="00F840B5"/>
    <w:rsid w:val="00F8419D"/>
    <w:rsid w:val="00F842E1"/>
    <w:rsid w:val="00F84779"/>
    <w:rsid w:val="00F84D8D"/>
    <w:rsid w:val="00F84E62"/>
    <w:rsid w:val="00F84EA8"/>
    <w:rsid w:val="00F84EF1"/>
    <w:rsid w:val="00F84FA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22"/>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4BA"/>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2241"/>
  <w15:docId w15:val="{D8E72ABB-9DD3-4C50-B0E9-591CA4B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val="fr-FR"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fr-FR"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fr-FR"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val="fr-FR"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FR"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FR"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FR"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fr-FR"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fr-FR"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fr-FR"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fr-FR"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fr-FR"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fr-FR"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fr-FR" w:eastAsia="en-US"/>
    </w:rPr>
  </w:style>
  <w:style w:type="paragraph" w:customStyle="1" w:styleId="Char1">
    <w:name w:val="Char1"/>
    <w:basedOn w:val="Normal"/>
    <w:rsid w:val="00F47B73"/>
    <w:pPr>
      <w:spacing w:after="160" w:line="240" w:lineRule="exact"/>
      <w:jc w:val="left"/>
    </w:pPr>
    <w:rPr>
      <w:rFonts w:ascii="Tahoma" w:hAnsi="Tahoma"/>
      <w:sz w:val="20"/>
      <w:lang w:val="fr-FR" w:eastAsia="en-US"/>
    </w:rPr>
  </w:style>
  <w:style w:type="paragraph" w:customStyle="1" w:styleId="Char">
    <w:name w:val="Char"/>
    <w:basedOn w:val="Normal"/>
    <w:rsid w:val="00124A7A"/>
    <w:pPr>
      <w:spacing w:after="160" w:line="240" w:lineRule="exact"/>
      <w:jc w:val="left"/>
    </w:pPr>
    <w:rPr>
      <w:rFonts w:ascii="Tahoma" w:hAnsi="Tahoma"/>
      <w:sz w:val="20"/>
      <w:lang w:val="fr-FR"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fr-FR"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fr-FR"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fr-FR"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val="fr-FR" w:eastAsia="en-US"/>
    </w:rPr>
  </w:style>
  <w:style w:type="paragraph" w:customStyle="1" w:styleId="Car">
    <w:name w:val="Car"/>
    <w:basedOn w:val="Normal"/>
    <w:rsid w:val="00F02465"/>
    <w:pPr>
      <w:spacing w:after="160" w:line="240" w:lineRule="exact"/>
      <w:jc w:val="left"/>
    </w:pPr>
    <w:rPr>
      <w:rFonts w:ascii="Arial" w:hAnsi="Arial" w:cs="Arial"/>
      <w:sz w:val="28"/>
      <w:szCs w:val="28"/>
      <w:lang w:val="fr-FR"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fr-FR"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fr-FR" w:eastAsia="en-US"/>
    </w:rPr>
  </w:style>
  <w:style w:type="paragraph" w:customStyle="1" w:styleId="Znak">
    <w:name w:val="Znak"/>
    <w:basedOn w:val="Normal"/>
    <w:rsid w:val="00A76EE9"/>
    <w:pPr>
      <w:spacing w:after="160" w:line="240" w:lineRule="exact"/>
      <w:jc w:val="left"/>
    </w:pPr>
    <w:rPr>
      <w:rFonts w:ascii="Tahoma" w:hAnsi="Tahoma"/>
      <w:sz w:val="20"/>
      <w:lang w:val="fr-FR"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fr-FR"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fr-FR"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fr-FR"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fr-FR"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fr-FR"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val="fr-FR"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fr-FR"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fr-FR" w:eastAsia="en-US"/>
    </w:rPr>
  </w:style>
  <w:style w:type="paragraph" w:customStyle="1" w:styleId="MediumGrid21">
    <w:name w:val="Medium Grid 21"/>
    <w:link w:val="MediumGrid2Char"/>
    <w:uiPriority w:val="1"/>
    <w:qFormat/>
    <w:rsid w:val="007C5D8A"/>
    <w:rPr>
      <w:rFonts w:ascii="Arial" w:hAnsi="Arial"/>
      <w:sz w:val="22"/>
      <w:szCs w:val="22"/>
      <w:lang w:val="fr-FR"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fr-FR" w:eastAsia="en-GB"/>
    </w:rPr>
  </w:style>
  <w:style w:type="paragraph" w:customStyle="1" w:styleId="CM3">
    <w:name w:val="CM3"/>
    <w:basedOn w:val="Default"/>
    <w:next w:val="Default"/>
    <w:uiPriority w:val="99"/>
    <w:rsid w:val="007C5D8A"/>
    <w:rPr>
      <w:rFonts w:ascii="EUAlbertina" w:hAnsi="EUAlbertina"/>
      <w:color w:val="auto"/>
      <w:lang w:val="fr-FR" w:eastAsia="en-GB"/>
    </w:rPr>
  </w:style>
  <w:style w:type="paragraph" w:customStyle="1" w:styleId="CM4">
    <w:name w:val="CM4"/>
    <w:basedOn w:val="Default"/>
    <w:next w:val="Default"/>
    <w:uiPriority w:val="99"/>
    <w:rsid w:val="007C5D8A"/>
    <w:rPr>
      <w:rFonts w:ascii="EUAlbertina" w:hAnsi="EUAlbertina"/>
      <w:color w:val="auto"/>
      <w:lang w:val="fr-FR"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fr-FR"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styleId="UnresolvedMention">
    <w:name w:val="Unresolved Mention"/>
    <w:uiPriority w:val="99"/>
    <w:semiHidden/>
    <w:unhideWhenUsed/>
    <w:rsid w:val="00C61E03"/>
    <w:rPr>
      <w:color w:val="605E5C"/>
      <w:shd w:val="clear" w:color="auto" w:fill="E1DFDD"/>
    </w:rPr>
  </w:style>
  <w:style w:type="paragraph" w:customStyle="1" w:styleId="paragraph">
    <w:name w:val="paragraph"/>
    <w:basedOn w:val="Normal"/>
    <w:rsid w:val="004B402F"/>
    <w:pPr>
      <w:spacing w:before="100" w:beforeAutospacing="1" w:after="100" w:afterAutospacing="1"/>
      <w:jc w:val="left"/>
    </w:pPr>
    <w:rPr>
      <w:rFonts w:ascii="Times New Roman" w:hAnsi="Times New Roman"/>
      <w:szCs w:val="24"/>
      <w:lang w:val="fr-FR"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7911">
      <w:bodyDiv w:val="1"/>
      <w:marLeft w:val="0"/>
      <w:marRight w:val="0"/>
      <w:marTop w:val="0"/>
      <w:marBottom w:val="0"/>
      <w:divBdr>
        <w:top w:val="none" w:sz="0" w:space="0" w:color="auto"/>
        <w:left w:val="none" w:sz="0" w:space="0" w:color="auto"/>
        <w:bottom w:val="none" w:sz="0" w:space="0" w:color="auto"/>
        <w:right w:val="none" w:sz="0" w:space="0" w:color="auto"/>
      </w:divBdr>
    </w:div>
    <w:div w:id="348989292">
      <w:bodyDiv w:val="1"/>
      <w:marLeft w:val="0"/>
      <w:marRight w:val="0"/>
      <w:marTop w:val="0"/>
      <w:marBottom w:val="0"/>
      <w:divBdr>
        <w:top w:val="none" w:sz="0" w:space="0" w:color="auto"/>
        <w:left w:val="none" w:sz="0" w:space="0" w:color="auto"/>
        <w:bottom w:val="none" w:sz="0" w:space="0" w:color="auto"/>
        <w:right w:val="none" w:sz="0" w:space="0" w:color="auto"/>
      </w:divBdr>
    </w:div>
    <w:div w:id="363403974">
      <w:bodyDiv w:val="1"/>
      <w:marLeft w:val="0"/>
      <w:marRight w:val="0"/>
      <w:marTop w:val="0"/>
      <w:marBottom w:val="0"/>
      <w:divBdr>
        <w:top w:val="none" w:sz="0" w:space="0" w:color="auto"/>
        <w:left w:val="none" w:sz="0" w:space="0" w:color="auto"/>
        <w:bottom w:val="none" w:sz="0" w:space="0" w:color="auto"/>
        <w:right w:val="none" w:sz="0" w:space="0" w:color="auto"/>
      </w:divBdr>
    </w:div>
    <w:div w:id="675039138">
      <w:bodyDiv w:val="1"/>
      <w:marLeft w:val="0"/>
      <w:marRight w:val="0"/>
      <w:marTop w:val="0"/>
      <w:marBottom w:val="0"/>
      <w:divBdr>
        <w:top w:val="none" w:sz="0" w:space="0" w:color="auto"/>
        <w:left w:val="none" w:sz="0" w:space="0" w:color="auto"/>
        <w:bottom w:val="none" w:sz="0" w:space="0" w:color="auto"/>
        <w:right w:val="none" w:sz="0" w:space="0" w:color="auto"/>
      </w:divBdr>
    </w:div>
    <w:div w:id="855466014">
      <w:bodyDiv w:val="1"/>
      <w:marLeft w:val="0"/>
      <w:marRight w:val="0"/>
      <w:marTop w:val="0"/>
      <w:marBottom w:val="0"/>
      <w:divBdr>
        <w:top w:val="none" w:sz="0" w:space="0" w:color="auto"/>
        <w:left w:val="none" w:sz="0" w:space="0" w:color="auto"/>
        <w:bottom w:val="none" w:sz="0" w:space="0" w:color="auto"/>
        <w:right w:val="none" w:sz="0" w:space="0" w:color="auto"/>
      </w:divBdr>
    </w:div>
    <w:div w:id="1205865797">
      <w:bodyDiv w:val="1"/>
      <w:marLeft w:val="0"/>
      <w:marRight w:val="0"/>
      <w:marTop w:val="0"/>
      <w:marBottom w:val="0"/>
      <w:divBdr>
        <w:top w:val="none" w:sz="0" w:space="0" w:color="auto"/>
        <w:left w:val="none" w:sz="0" w:space="0" w:color="auto"/>
        <w:bottom w:val="none" w:sz="0" w:space="0" w:color="auto"/>
        <w:right w:val="none" w:sz="0" w:space="0" w:color="auto"/>
      </w:divBdr>
    </w:div>
    <w:div w:id="162175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s://histolab.coe.int/activities/toolk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istolab.coe.int/activities/school-award" TargetMode="External"/><Relationship Id="rId14" Type="http://schemas.openxmlformats.org/officeDocument/2006/relationships/header" Target="header3.xml"/></Relationships>
</file>

<file path=word/_rels/footnotes.xml.rels>&#65279;<?xml version="1.0" encoding="UTF-8" standalone="yes"?>
<Relationships xmlns="http://schemas.openxmlformats.org/package/2006/relationships"><Relationship Id="rId8" Type="http://schemas.openxmlformats.org/officeDocument/2006/relationships/hyperlink" Target="https://op.europa.eu/fr/publication-detail/-/publication/a224c235-4843-11ed-92ed-01aa75ed71a1/language-fr" TargetMode="External"/><Relationship Id="rId3" Type="http://schemas.openxmlformats.org/officeDocument/2006/relationships/hyperlink" Target="https://education.ec.europa.eu/fr/about-eea/working-groups" TargetMode="External"/><Relationship Id="rId7" Type="http://schemas.openxmlformats.org/officeDocument/2006/relationships/hyperlink" Target="https://commission.europa.eu/publications/guide-eu-citizenship_en?prefLang=fr" TargetMode="External"/><Relationship Id="rId2" Type="http://schemas.openxmlformats.org/officeDocument/2006/relationships/hyperlink" Target="https://eur-lex.europa.eu/legal-content/FR/TXT/PDF/?uri=CELEX:32018H0607(01)" TargetMode="External"/><Relationship Id="rId1" Type="http://schemas.openxmlformats.org/officeDocument/2006/relationships/hyperlink" Target="https://commission.europa.eu/strategy-and-policy/priorities-2019-2024/new-push-european-democracy/protecting-democracy_en" TargetMode="External"/><Relationship Id="rId6" Type="http://schemas.openxmlformats.org/officeDocument/2006/relationships/hyperlink" Target="https://commission.europa.eu/publications/compendium-e-voting-and-other-ict-practices_en?prefLang=fr" TargetMode="External"/><Relationship Id="rId5" Type="http://schemas.openxmlformats.org/officeDocument/2006/relationships/hyperlink" Target="https://commission.europa.eu/publications/citizenship-package_en?prefLang=fr" TargetMode="External"/><Relationship Id="rId4" Type="http://schemas.openxmlformats.org/officeDocument/2006/relationships/hyperlink" Target="https://op.europa.eu/fr/publication-detail/-/publication/03af1d4e-582b-11ee-9220-01aa75ed71a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8B0A7-7E3D-4314-B193-6281F8B22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1</TotalTime>
  <Pages>4</Pages>
  <Words>1532</Words>
  <Characters>8874</Characters>
  <Application>Microsoft Office Word</Application>
  <DocSecurity>0</DocSecurity>
  <PresentationFormat>Microsoft Word 8.0b</PresentationFormat>
  <Lines>132</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10384</CharactersWithSpaces>
  <SharedDoc>false</SharedDoc>
  <HLinks>
    <vt:vector size="6" baseType="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DODEKOVA Gabriela (SG)</cp:lastModifiedBy>
  <cp:revision>2</cp:revision>
  <cp:lastPrinted>2017-11-23T08:32:00Z</cp:lastPrinted>
  <dcterms:created xsi:type="dcterms:W3CDTF">2024-07-03T07:58:00Z</dcterms:created>
  <dcterms:modified xsi:type="dcterms:W3CDTF">2024-07-03T07:58:00Z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2024-03-05T15:20:20Z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2dada356-a172-43bd-8157-832528e091d2</vt:lpwstr>
  </property>
  <property fmtid="{D5CDD505-2E9C-101B-9397-08002B2CF9AE}" pid="19" name="MSIP_Label_6bd9ddd1-4d20-43f6-abfa-fc3c07406f94_ContentBits">
    <vt:lpwstr>0</vt:lpwstr>
  </property>
</Properties>
</file>