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BE3" w:rsidRPr="00547BE3" w:rsidRDefault="00547BE3" w:rsidP="00547BE3">
      <w:pPr>
        <w:spacing w:after="240"/>
        <w:jc w:val="center"/>
        <w:rPr>
          <w:rFonts w:eastAsia="Times New Roman"/>
          <w:b/>
          <w:caps/>
          <w:szCs w:val="20"/>
          <w:lang w:val="fr-FR" w:eastAsia="en-GB"/>
        </w:rPr>
      </w:pPr>
      <w:bookmarkStart w:id="0" w:name="_GoBack"/>
      <w:bookmarkEnd w:id="0"/>
      <w:r w:rsidRPr="00547BE3">
        <w:rPr>
          <w:rFonts w:eastAsia="Times New Roman"/>
          <w:b/>
          <w:caps/>
          <w:szCs w:val="20"/>
          <w:lang w:val="fr-FR" w:eastAsia="en-GB"/>
        </w:rPr>
        <w:t>Procédure</w:t>
      </w:r>
      <w:r w:rsidRPr="00547BE3">
        <w:rPr>
          <w:rFonts w:eastAsia="Times New Roman"/>
          <w:b/>
          <w:szCs w:val="20"/>
          <w:lang w:val="fr-FR" w:eastAsia="en-GB"/>
        </w:rPr>
        <w:t xml:space="preserve"> LÉGISLATIVE ORDINAIRE</w:t>
      </w:r>
    </w:p>
    <w:p w:rsidR="00547BE3" w:rsidRPr="00547BE3" w:rsidRDefault="00547BE3" w:rsidP="00547BE3">
      <w:pPr>
        <w:spacing w:after="240"/>
        <w:jc w:val="center"/>
        <w:rPr>
          <w:rFonts w:eastAsia="Times New Roman"/>
          <w:szCs w:val="20"/>
          <w:lang w:val="fr-FR" w:eastAsia="en-GB"/>
        </w:rPr>
      </w:pPr>
      <w:r w:rsidRPr="00547BE3">
        <w:rPr>
          <w:rFonts w:eastAsia="Times New Roman"/>
          <w:b/>
          <w:smallCaps/>
          <w:szCs w:val="20"/>
          <w:lang w:val="fr-FR" w:eastAsia="en-GB"/>
        </w:rPr>
        <w:t>(Première lecture sans négociations interinstitutionnelles préalables)</w:t>
      </w:r>
    </w:p>
    <w:p w:rsidR="00547BE3" w:rsidRPr="00547BE3" w:rsidRDefault="00547BE3" w:rsidP="00547BE3">
      <w:pPr>
        <w:spacing w:after="600"/>
        <w:jc w:val="center"/>
        <w:rPr>
          <w:rFonts w:eastAsia="Times New Roman"/>
          <w:b/>
          <w:bCs/>
          <w:lang w:val="fr-FR" w:eastAsia="en-GB"/>
        </w:rPr>
      </w:pPr>
      <w:bookmarkStart w:id="1" w:name="water"/>
      <w:r w:rsidRPr="00547BE3">
        <w:rPr>
          <w:rFonts w:eastAsia="Times New Roman"/>
          <w:b/>
          <w:szCs w:val="20"/>
          <w:lang w:val="fr-FR" w:eastAsia="en-GB"/>
        </w:rPr>
        <w:t>Suite donnée à la résolution législative du Parlement européen sur la proposition de directive du Parlement européen et du Conseil modifiant la directive 2000/60/CE établissant un cadre pour une politique communautaire dans le domaine de l’eau, la directive 2006/118/CE sur la protection des eaux souterraines contre la pollution et la détérioration, et la directive 2008/105/CE établissant des normes de qualité environnementale dans le domaine de l'eau</w:t>
      </w:r>
    </w:p>
    <w:bookmarkEnd w:id="1"/>
    <w:p w:rsidR="00547BE3" w:rsidRPr="00547BE3" w:rsidRDefault="00547BE3" w:rsidP="00547BE3">
      <w:pPr>
        <w:spacing w:after="240" w:line="240" w:lineRule="atLeast"/>
        <w:ind w:left="567" w:hanging="567"/>
        <w:jc w:val="left"/>
        <w:rPr>
          <w:rFonts w:eastAsia="Times New Roman"/>
          <w:szCs w:val="20"/>
          <w:lang w:val="fr-FR" w:eastAsia="en-GB"/>
        </w:rPr>
      </w:pPr>
      <w:r w:rsidRPr="00547BE3">
        <w:rPr>
          <w:rFonts w:eastAsia="Times New Roman"/>
          <w:b/>
          <w:szCs w:val="20"/>
          <w:lang w:val="fr-FR" w:eastAsia="en-GB"/>
        </w:rPr>
        <w:t>1.</w:t>
      </w:r>
      <w:r w:rsidRPr="00547BE3">
        <w:rPr>
          <w:rFonts w:eastAsia="Times New Roman"/>
          <w:szCs w:val="20"/>
          <w:lang w:val="fr-FR" w:eastAsia="en-GB"/>
        </w:rPr>
        <w:tab/>
      </w:r>
      <w:r w:rsidRPr="00547BE3">
        <w:rPr>
          <w:rFonts w:eastAsia="Times New Roman"/>
          <w:b/>
          <w:szCs w:val="20"/>
          <w:lang w:val="fr-FR" w:eastAsia="en-GB"/>
        </w:rPr>
        <w:t xml:space="preserve">Rapporteur: </w:t>
      </w:r>
      <w:r w:rsidRPr="00547BE3">
        <w:rPr>
          <w:rFonts w:eastAsia="Times New Roman"/>
          <w:szCs w:val="20"/>
          <w:lang w:val="fr-FR" w:eastAsia="en-GB"/>
        </w:rPr>
        <w:t>Milan BRGLEZ (S&amp;D/SI)</w:t>
      </w:r>
    </w:p>
    <w:p w:rsidR="00547BE3" w:rsidRPr="00547BE3" w:rsidRDefault="00547BE3" w:rsidP="00547BE3">
      <w:pPr>
        <w:spacing w:after="240" w:line="240" w:lineRule="atLeast"/>
        <w:ind w:left="567" w:hanging="567"/>
        <w:rPr>
          <w:rFonts w:eastAsia="Times New Roman"/>
          <w:szCs w:val="20"/>
          <w:lang w:val="fr-FR" w:eastAsia="en-GB"/>
        </w:rPr>
      </w:pPr>
      <w:r w:rsidRPr="00547BE3">
        <w:rPr>
          <w:rFonts w:eastAsia="Times New Roman"/>
          <w:b/>
          <w:szCs w:val="20"/>
          <w:lang w:val="fr-FR" w:eastAsia="en-GB"/>
        </w:rPr>
        <w:t>2.</w:t>
      </w:r>
      <w:r w:rsidRPr="00547BE3">
        <w:rPr>
          <w:rFonts w:eastAsia="Times New Roman"/>
          <w:szCs w:val="20"/>
          <w:lang w:val="fr-FR" w:eastAsia="en-GB"/>
        </w:rPr>
        <w:tab/>
      </w:r>
      <w:r w:rsidRPr="00547BE3">
        <w:rPr>
          <w:rFonts w:eastAsia="Times New Roman"/>
          <w:b/>
          <w:szCs w:val="20"/>
          <w:lang w:val="fr-FR" w:eastAsia="en-GB"/>
        </w:rPr>
        <w:t>Numéros de référence:</w:t>
      </w:r>
      <w:r w:rsidRPr="00547BE3">
        <w:rPr>
          <w:rFonts w:eastAsia="Times New Roman"/>
          <w:szCs w:val="20"/>
          <w:lang w:val="fr-FR" w:eastAsia="en-GB"/>
        </w:rPr>
        <w:t xml:space="preserve"> 2022/0344 (COD) / A9-0238/2023 / P9_TA(2024)0358</w:t>
      </w:r>
    </w:p>
    <w:p w:rsidR="00547BE3" w:rsidRPr="00547BE3" w:rsidRDefault="00547BE3" w:rsidP="00547BE3">
      <w:pPr>
        <w:spacing w:after="240" w:line="240" w:lineRule="atLeast"/>
        <w:ind w:left="567" w:hanging="567"/>
        <w:jc w:val="left"/>
        <w:rPr>
          <w:rFonts w:eastAsia="Times New Roman"/>
          <w:szCs w:val="20"/>
          <w:lang w:val="fr-FR" w:eastAsia="en-GB"/>
        </w:rPr>
      </w:pPr>
      <w:r w:rsidRPr="00547BE3">
        <w:rPr>
          <w:rFonts w:eastAsia="Times New Roman"/>
          <w:b/>
          <w:szCs w:val="20"/>
          <w:lang w:val="fr-FR" w:eastAsia="en-GB"/>
        </w:rPr>
        <w:t>3.</w:t>
      </w:r>
      <w:r w:rsidRPr="00547BE3">
        <w:rPr>
          <w:rFonts w:eastAsia="Times New Roman"/>
          <w:szCs w:val="20"/>
          <w:lang w:val="fr-FR" w:eastAsia="en-GB"/>
        </w:rPr>
        <w:tab/>
      </w:r>
      <w:r w:rsidRPr="00547BE3">
        <w:rPr>
          <w:rFonts w:eastAsia="Times New Roman"/>
          <w:b/>
          <w:szCs w:val="20"/>
          <w:lang w:val="fr-FR" w:eastAsia="en-GB"/>
        </w:rPr>
        <w:t>Date d'adoption de la résolution:</w:t>
      </w:r>
      <w:r w:rsidRPr="00547BE3">
        <w:rPr>
          <w:rFonts w:eastAsia="Times New Roman"/>
          <w:szCs w:val="20"/>
          <w:lang w:val="fr-FR" w:eastAsia="en-GB"/>
        </w:rPr>
        <w:t xml:space="preserve"> 24 avril 2024</w:t>
      </w:r>
    </w:p>
    <w:p w:rsidR="00547BE3" w:rsidRPr="00547BE3" w:rsidRDefault="00547BE3" w:rsidP="00547BE3">
      <w:pPr>
        <w:spacing w:after="240" w:line="240" w:lineRule="atLeast"/>
        <w:ind w:left="567" w:hanging="567"/>
        <w:rPr>
          <w:rFonts w:eastAsia="Times New Roman"/>
          <w:szCs w:val="20"/>
          <w:lang w:val="fr-FR" w:eastAsia="en-GB"/>
        </w:rPr>
      </w:pPr>
      <w:r w:rsidRPr="00547BE3">
        <w:rPr>
          <w:rFonts w:eastAsia="Times New Roman"/>
          <w:b/>
          <w:szCs w:val="20"/>
          <w:lang w:val="fr-FR" w:eastAsia="en-GB"/>
        </w:rPr>
        <w:t>4.</w:t>
      </w:r>
      <w:r w:rsidRPr="00547BE3">
        <w:rPr>
          <w:rFonts w:eastAsia="Times New Roman"/>
          <w:szCs w:val="20"/>
          <w:lang w:val="fr-FR" w:eastAsia="en-GB"/>
        </w:rPr>
        <w:tab/>
      </w:r>
      <w:r w:rsidRPr="00547BE3">
        <w:rPr>
          <w:rFonts w:eastAsia="Times New Roman"/>
          <w:b/>
          <w:szCs w:val="20"/>
          <w:lang w:val="fr-FR" w:eastAsia="en-GB"/>
        </w:rPr>
        <w:t>Base juridique:</w:t>
      </w:r>
      <w:r w:rsidRPr="00547BE3">
        <w:rPr>
          <w:rFonts w:eastAsia="Times New Roman"/>
          <w:szCs w:val="20"/>
          <w:lang w:val="fr-FR" w:eastAsia="en-GB"/>
        </w:rPr>
        <w:t xml:space="preserve"> article 192, paragraphe 1, du traité sur le fonctionnement de l’Union européenne</w:t>
      </w:r>
    </w:p>
    <w:p w:rsidR="00547BE3" w:rsidRPr="00547BE3" w:rsidRDefault="00547BE3" w:rsidP="00547BE3">
      <w:pPr>
        <w:spacing w:after="240" w:line="240" w:lineRule="atLeast"/>
        <w:ind w:left="567" w:hanging="567"/>
        <w:rPr>
          <w:rFonts w:eastAsia="Times New Roman"/>
          <w:lang w:val="fr-FR" w:eastAsia="en-GB"/>
        </w:rPr>
      </w:pPr>
      <w:r w:rsidRPr="00547BE3">
        <w:rPr>
          <w:rFonts w:eastAsia="Times New Roman"/>
          <w:b/>
          <w:szCs w:val="20"/>
          <w:lang w:val="fr-FR" w:eastAsia="en-GB"/>
        </w:rPr>
        <w:t>5.</w:t>
      </w:r>
      <w:r w:rsidRPr="00547BE3">
        <w:rPr>
          <w:rFonts w:eastAsia="Times New Roman"/>
          <w:szCs w:val="20"/>
          <w:lang w:val="fr-FR" w:eastAsia="en-GB"/>
        </w:rPr>
        <w:tab/>
      </w:r>
      <w:r w:rsidRPr="00547BE3">
        <w:rPr>
          <w:rFonts w:eastAsia="Times New Roman"/>
          <w:b/>
          <w:szCs w:val="20"/>
          <w:lang w:val="fr-FR" w:eastAsia="en-GB"/>
        </w:rPr>
        <w:t>Commission parlementaire compétente:</w:t>
      </w:r>
      <w:r w:rsidRPr="00547BE3">
        <w:rPr>
          <w:rFonts w:eastAsia="Times New Roman"/>
          <w:szCs w:val="20"/>
          <w:lang w:val="fr-FR" w:eastAsia="en-GB"/>
        </w:rPr>
        <w:t xml:space="preserve"> commission de l’environnement, de la santé publique et de la sécurité alimentaire (ENVI)</w:t>
      </w:r>
    </w:p>
    <w:p w:rsidR="00547BE3" w:rsidRPr="00547BE3" w:rsidRDefault="00547BE3" w:rsidP="00547BE3">
      <w:pPr>
        <w:tabs>
          <w:tab w:val="left" w:pos="567"/>
        </w:tabs>
        <w:spacing w:after="120"/>
        <w:ind w:left="567" w:hanging="567"/>
        <w:rPr>
          <w:rFonts w:eastAsia="Times New Roman"/>
          <w:color w:val="000000"/>
          <w:lang w:val="fr-FR" w:eastAsia="en-GB"/>
        </w:rPr>
      </w:pPr>
      <w:r w:rsidRPr="00547BE3">
        <w:rPr>
          <w:rFonts w:eastAsia="Times New Roman"/>
          <w:b/>
          <w:szCs w:val="20"/>
          <w:lang w:val="fr-FR" w:eastAsia="en-GB"/>
        </w:rPr>
        <w:t>6.</w:t>
      </w:r>
      <w:r w:rsidRPr="00547BE3">
        <w:rPr>
          <w:rFonts w:eastAsia="Times New Roman"/>
          <w:szCs w:val="20"/>
          <w:lang w:val="fr-FR" w:eastAsia="en-GB"/>
        </w:rPr>
        <w:tab/>
      </w:r>
      <w:r w:rsidRPr="00547BE3">
        <w:rPr>
          <w:rFonts w:eastAsia="Times New Roman"/>
          <w:b/>
          <w:szCs w:val="20"/>
          <w:lang w:val="fr-FR" w:eastAsia="en-GB"/>
        </w:rPr>
        <w:t>Position de la Commission:</w:t>
      </w:r>
      <w:r w:rsidRPr="00547BE3">
        <w:rPr>
          <w:rFonts w:eastAsia="Times New Roman"/>
          <w:color w:val="000000"/>
          <w:sz w:val="22"/>
          <w:szCs w:val="20"/>
          <w:lang w:val="fr-FR" w:eastAsia="en-GB"/>
        </w:rPr>
        <w:t xml:space="preserve"> </w:t>
      </w:r>
    </w:p>
    <w:p w:rsidR="00547BE3" w:rsidRPr="00547BE3" w:rsidRDefault="00547BE3" w:rsidP="00547BE3">
      <w:pPr>
        <w:spacing w:after="120"/>
        <w:rPr>
          <w:rFonts w:eastAsia="Times New Roman"/>
          <w:lang w:val="fr-FR" w:eastAsia="en-GB"/>
        </w:rPr>
      </w:pPr>
      <w:r w:rsidRPr="00547BE3">
        <w:rPr>
          <w:rFonts w:eastAsia="Times New Roman"/>
          <w:b/>
          <w:szCs w:val="20"/>
          <w:lang w:val="fr-FR" w:eastAsia="en-GB"/>
        </w:rPr>
        <w:t>se félicite</w:t>
      </w:r>
      <w:r w:rsidRPr="00547BE3">
        <w:rPr>
          <w:rFonts w:eastAsia="Times New Roman"/>
          <w:szCs w:val="20"/>
          <w:lang w:val="fr-FR" w:eastAsia="en-GB"/>
        </w:rPr>
        <w:t xml:space="preserve"> du soutien résolu du Parlement à la proposition et de sa détermination à améliorer la qualité de l’eau douce dans l’Union, et note en particulier le soutien, voire l’ambition accrue, en faveur de la liste de polluants supplémentaires et des normes de qualité environnementale connexes figurant dans les annexes de la directive sur les normes de qualité environnementale et de la directive sur les eaux souterraines, ainsi que le soutien à la proposition de la Commission visant à accroître la transparence des données de surveillance et d’état au moyen de mécanismes automatisés de notification;</w:t>
      </w:r>
    </w:p>
    <w:p w:rsidR="00547BE3" w:rsidRPr="00547BE3" w:rsidRDefault="00547BE3" w:rsidP="00547BE3">
      <w:pPr>
        <w:spacing w:after="120"/>
        <w:rPr>
          <w:rFonts w:eastAsia="Times New Roman"/>
          <w:lang w:val="fr-FR" w:eastAsia="en-GB"/>
        </w:rPr>
      </w:pPr>
      <w:r w:rsidRPr="00547BE3">
        <w:rPr>
          <w:rFonts w:eastAsia="Times New Roman"/>
          <w:b/>
          <w:szCs w:val="20"/>
          <w:lang w:val="fr-FR" w:eastAsia="en-GB"/>
        </w:rPr>
        <w:t>déplore</w:t>
      </w:r>
      <w:r w:rsidRPr="00547BE3">
        <w:rPr>
          <w:rFonts w:eastAsia="Times New Roman"/>
          <w:szCs w:val="20"/>
          <w:lang w:val="fr-FR" w:eastAsia="en-GB"/>
        </w:rPr>
        <w:t xml:space="preserve"> le rejet des propositions de la Commission visant à simplifier et à lever certaines obligations en matière de notification;</w:t>
      </w:r>
    </w:p>
    <w:p w:rsidR="008765BE" w:rsidRDefault="00547BE3" w:rsidP="00547BE3">
      <w:r w:rsidRPr="00547BE3">
        <w:rPr>
          <w:rFonts w:eastAsia="Times New Roman"/>
          <w:b/>
          <w:szCs w:val="20"/>
          <w:bdr w:val="none" w:sz="0" w:space="0" w:color="auto" w:frame="1"/>
          <w:lang w:val="fr-FR" w:eastAsia="en-GB"/>
        </w:rPr>
        <w:t>insiste sur</w:t>
      </w:r>
      <w:r w:rsidRPr="00547BE3">
        <w:rPr>
          <w:rFonts w:eastAsia="Times New Roman"/>
          <w:szCs w:val="20"/>
          <w:bdr w:val="none" w:sz="0" w:space="0" w:color="auto" w:frame="1"/>
          <w:lang w:val="fr-FR" w:eastAsia="en-GB"/>
        </w:rPr>
        <w:t xml:space="preserve"> la nécessité de doter l’UE d’un système suffisamment dynamique pour qu’elle soit en mesure de réagir aux menaces émergentes et, partant, souligne l’importance des actes délégués pour modifier toutes les annexes de la directive sur les normes de qualité environnementale et de la directive sur les eaux souterraines afin de garantir une protection adéquate de la santé humaine et de l’environnement.</w:t>
      </w:r>
    </w:p>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BE3"/>
    <w:rsid w:val="00547BE3"/>
    <w:rsid w:val="005762E3"/>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E6B54-EB41-4D46-B8D1-ECDA327C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1813</Characters>
  <Application>Microsoft Office Word</Application>
  <DocSecurity>0</DocSecurity>
  <Lines>15</Lines>
  <Paragraphs>4</Paragraphs>
  <ScaleCrop>false</ScaleCrop>
  <Company>European Parliament</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1</cp:revision>
  <dcterms:created xsi:type="dcterms:W3CDTF">2024-08-09T11:17:00Z</dcterms:created>
  <dcterms:modified xsi:type="dcterms:W3CDTF">2024-08-09T11:17:00Z</dcterms:modified>
</cp:coreProperties>
</file>