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52" w:rsidRPr="00B52152" w:rsidRDefault="00B52152" w:rsidP="00B52152">
      <w:pPr>
        <w:spacing w:after="240"/>
        <w:jc w:val="center"/>
        <w:rPr>
          <w:rFonts w:eastAsia="Times New Roman"/>
          <w:b/>
          <w:caps/>
          <w:szCs w:val="20"/>
          <w:lang w:val="fr-FR" w:eastAsia="en-GB"/>
        </w:rPr>
      </w:pPr>
      <w:bookmarkStart w:id="0" w:name="_GoBack"/>
      <w:bookmarkEnd w:id="0"/>
      <w:r w:rsidRPr="00B52152">
        <w:rPr>
          <w:rFonts w:eastAsia="Times New Roman"/>
          <w:b/>
          <w:caps/>
          <w:szCs w:val="20"/>
          <w:lang w:val="fr-FR" w:eastAsia="en-GB"/>
        </w:rPr>
        <w:t>Procédure</w:t>
      </w:r>
      <w:r w:rsidRPr="00B52152">
        <w:rPr>
          <w:rFonts w:eastAsia="Times New Roman"/>
          <w:b/>
          <w:szCs w:val="20"/>
          <w:lang w:val="fr-FR" w:eastAsia="en-GB"/>
        </w:rPr>
        <w:t xml:space="preserve"> LÉGISLATIVE ORDINAIRE</w:t>
      </w:r>
    </w:p>
    <w:p w:rsidR="00B52152" w:rsidRPr="00B52152" w:rsidRDefault="00B52152" w:rsidP="00B52152">
      <w:pPr>
        <w:spacing w:after="240"/>
        <w:jc w:val="center"/>
        <w:rPr>
          <w:rFonts w:eastAsia="Times New Roman"/>
          <w:szCs w:val="20"/>
          <w:lang w:val="fr-FR" w:eastAsia="en-GB"/>
        </w:rPr>
      </w:pPr>
      <w:r w:rsidRPr="00B52152">
        <w:rPr>
          <w:rFonts w:eastAsia="Times New Roman"/>
          <w:b/>
          <w:smallCaps/>
          <w:szCs w:val="20"/>
          <w:lang w:val="fr-FR" w:eastAsia="en-GB"/>
        </w:rPr>
        <w:t>(Première lecture sans négociations interinstitutionnelles préalables)</w:t>
      </w:r>
    </w:p>
    <w:p w:rsidR="00B52152" w:rsidRPr="00B52152" w:rsidRDefault="00B52152" w:rsidP="00B52152">
      <w:pPr>
        <w:spacing w:after="600"/>
        <w:jc w:val="center"/>
        <w:rPr>
          <w:rFonts w:eastAsia="Times New Roman"/>
          <w:b/>
          <w:bCs/>
          <w:lang w:val="fr-FR" w:eastAsia="en-GB"/>
        </w:rPr>
      </w:pPr>
      <w:bookmarkStart w:id="1" w:name="microplastic"/>
      <w:r w:rsidRPr="00B52152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règlement du Parlement européen et du Conseil relatif à la prévention des pertes de granulés plastiques en vue de réduire la pollution par les microplastiques</w:t>
      </w:r>
    </w:p>
    <w:bookmarkEnd w:id="1"/>
    <w:p w:rsidR="00B52152" w:rsidRPr="00B52152" w:rsidRDefault="00B52152" w:rsidP="00B52152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pt-PT" w:eastAsia="en-GB"/>
        </w:rPr>
      </w:pPr>
      <w:r w:rsidRPr="00B52152">
        <w:rPr>
          <w:rFonts w:eastAsia="Times New Roman"/>
          <w:b/>
          <w:szCs w:val="20"/>
          <w:lang w:val="pt-PT" w:eastAsia="en-GB"/>
        </w:rPr>
        <w:t>1.</w:t>
      </w:r>
      <w:r w:rsidRPr="00B52152">
        <w:rPr>
          <w:rFonts w:eastAsia="Times New Roman"/>
          <w:szCs w:val="20"/>
          <w:lang w:val="pt-PT" w:eastAsia="en-GB"/>
        </w:rPr>
        <w:tab/>
      </w:r>
      <w:r w:rsidRPr="00B52152">
        <w:rPr>
          <w:rFonts w:eastAsia="Times New Roman"/>
          <w:b/>
          <w:szCs w:val="20"/>
          <w:lang w:val="pt-PT" w:eastAsia="en-GB"/>
        </w:rPr>
        <w:t xml:space="preserve">Rapporteur: </w:t>
      </w:r>
      <w:r w:rsidRPr="00B52152">
        <w:rPr>
          <w:rFonts w:eastAsia="Times New Roman"/>
          <w:szCs w:val="20"/>
          <w:lang w:val="pt-PT" w:eastAsia="en-GB"/>
        </w:rPr>
        <w:t>João ALBUQUERQUE (S&amp;D/PT)</w:t>
      </w:r>
    </w:p>
    <w:p w:rsidR="00B52152" w:rsidRPr="00B52152" w:rsidRDefault="00B52152" w:rsidP="00B52152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B52152">
        <w:rPr>
          <w:rFonts w:eastAsia="Times New Roman"/>
          <w:b/>
          <w:szCs w:val="20"/>
          <w:lang w:val="fr-FR" w:eastAsia="en-GB"/>
        </w:rPr>
        <w:t>2.</w:t>
      </w:r>
      <w:r w:rsidRPr="00B52152">
        <w:rPr>
          <w:rFonts w:eastAsia="Times New Roman"/>
          <w:szCs w:val="20"/>
          <w:lang w:val="fr-FR" w:eastAsia="en-GB"/>
        </w:rPr>
        <w:tab/>
      </w:r>
      <w:r w:rsidRPr="00B52152">
        <w:rPr>
          <w:rFonts w:eastAsia="Times New Roman"/>
          <w:b/>
          <w:szCs w:val="20"/>
          <w:lang w:val="fr-FR" w:eastAsia="en-GB"/>
        </w:rPr>
        <w:t>Numéros de référence:</w:t>
      </w:r>
      <w:r w:rsidRPr="00B52152">
        <w:rPr>
          <w:rFonts w:eastAsia="Times New Roman"/>
          <w:szCs w:val="20"/>
          <w:lang w:val="fr-FR" w:eastAsia="en-GB"/>
        </w:rPr>
        <w:t xml:space="preserve"> 2023/0373 (COD) / A9-0148/2024 / P9_TA(2024)0307</w:t>
      </w:r>
    </w:p>
    <w:p w:rsidR="00B52152" w:rsidRPr="00B52152" w:rsidRDefault="00B52152" w:rsidP="00B52152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B52152">
        <w:rPr>
          <w:rFonts w:eastAsia="Times New Roman"/>
          <w:b/>
          <w:szCs w:val="20"/>
          <w:lang w:val="fr-FR" w:eastAsia="en-GB"/>
        </w:rPr>
        <w:t>3.</w:t>
      </w:r>
      <w:r w:rsidRPr="00B52152">
        <w:rPr>
          <w:rFonts w:eastAsia="Times New Roman"/>
          <w:szCs w:val="20"/>
          <w:lang w:val="fr-FR" w:eastAsia="en-GB"/>
        </w:rPr>
        <w:tab/>
      </w:r>
      <w:r w:rsidRPr="00B52152">
        <w:rPr>
          <w:rFonts w:eastAsia="Times New Roman"/>
          <w:b/>
          <w:szCs w:val="20"/>
          <w:lang w:val="fr-FR" w:eastAsia="en-GB"/>
        </w:rPr>
        <w:t>Date d'adoption de la résolution:</w:t>
      </w:r>
      <w:r w:rsidRPr="00B52152">
        <w:rPr>
          <w:rFonts w:eastAsia="Times New Roman"/>
          <w:szCs w:val="20"/>
          <w:lang w:val="fr-FR" w:eastAsia="en-GB"/>
        </w:rPr>
        <w:t xml:space="preserve"> 23 avril 2024</w:t>
      </w:r>
    </w:p>
    <w:p w:rsidR="00B52152" w:rsidRPr="00B52152" w:rsidRDefault="00B52152" w:rsidP="00B52152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B52152">
        <w:rPr>
          <w:rFonts w:eastAsia="Times New Roman"/>
          <w:b/>
          <w:szCs w:val="20"/>
          <w:lang w:val="fr-FR" w:eastAsia="en-GB"/>
        </w:rPr>
        <w:t>4.</w:t>
      </w:r>
      <w:r w:rsidRPr="00B52152">
        <w:rPr>
          <w:rFonts w:eastAsia="Times New Roman"/>
          <w:szCs w:val="20"/>
          <w:lang w:val="fr-FR" w:eastAsia="en-GB"/>
        </w:rPr>
        <w:tab/>
      </w:r>
      <w:r w:rsidRPr="00B52152">
        <w:rPr>
          <w:rFonts w:eastAsia="Times New Roman"/>
          <w:b/>
          <w:szCs w:val="20"/>
          <w:lang w:val="fr-FR" w:eastAsia="en-GB"/>
        </w:rPr>
        <w:t>Base juridique:</w:t>
      </w:r>
      <w:r w:rsidRPr="00B52152">
        <w:rPr>
          <w:rFonts w:eastAsia="Times New Roman"/>
          <w:szCs w:val="20"/>
          <w:lang w:val="fr-FR" w:eastAsia="en-GB"/>
        </w:rPr>
        <w:t xml:space="preserve"> article 192, paragraphe 1, du traité sur le fonctionnement de l’Union européenne</w:t>
      </w:r>
    </w:p>
    <w:p w:rsidR="00B52152" w:rsidRPr="00B52152" w:rsidRDefault="00B52152" w:rsidP="00B52152">
      <w:pPr>
        <w:spacing w:after="240" w:line="240" w:lineRule="atLeast"/>
        <w:ind w:left="567" w:hanging="567"/>
        <w:rPr>
          <w:rFonts w:eastAsia="Times New Roman"/>
          <w:lang w:val="fr-FR" w:eastAsia="en-GB"/>
        </w:rPr>
      </w:pPr>
      <w:r w:rsidRPr="00B52152">
        <w:rPr>
          <w:rFonts w:eastAsia="Times New Roman"/>
          <w:b/>
          <w:szCs w:val="20"/>
          <w:lang w:val="fr-FR" w:eastAsia="en-GB"/>
        </w:rPr>
        <w:t>5.</w:t>
      </w:r>
      <w:r w:rsidRPr="00B52152">
        <w:rPr>
          <w:rFonts w:eastAsia="Times New Roman"/>
          <w:szCs w:val="20"/>
          <w:lang w:val="fr-FR" w:eastAsia="en-GB"/>
        </w:rPr>
        <w:tab/>
      </w:r>
      <w:r w:rsidRPr="00B52152">
        <w:rPr>
          <w:rFonts w:eastAsia="Times New Roman"/>
          <w:b/>
          <w:szCs w:val="20"/>
          <w:lang w:val="fr-FR" w:eastAsia="en-GB"/>
        </w:rPr>
        <w:t>Commission parlementaire compétente:</w:t>
      </w:r>
      <w:r w:rsidRPr="00B52152">
        <w:rPr>
          <w:rFonts w:eastAsia="Times New Roman"/>
          <w:szCs w:val="20"/>
          <w:lang w:val="fr-FR" w:eastAsia="en-GB"/>
        </w:rPr>
        <w:t xml:space="preserve"> commission de l’environnement, de la santé publique et de la sécurité alimentaire (ENVI)</w:t>
      </w:r>
    </w:p>
    <w:p w:rsidR="00B52152" w:rsidRPr="00B52152" w:rsidRDefault="00B52152" w:rsidP="00B52152">
      <w:pPr>
        <w:tabs>
          <w:tab w:val="left" w:pos="567"/>
        </w:tabs>
        <w:spacing w:after="240"/>
        <w:ind w:left="567" w:hanging="567"/>
        <w:rPr>
          <w:rFonts w:eastAsia="Times New Roman"/>
          <w:color w:val="000000"/>
          <w:lang w:val="fr-FR" w:eastAsia="en-GB"/>
        </w:rPr>
      </w:pPr>
      <w:r w:rsidRPr="00B52152">
        <w:rPr>
          <w:rFonts w:eastAsia="Times New Roman"/>
          <w:b/>
          <w:szCs w:val="20"/>
          <w:lang w:val="fr-FR" w:eastAsia="en-GB"/>
        </w:rPr>
        <w:t>6.</w:t>
      </w:r>
      <w:r w:rsidRPr="00B52152">
        <w:rPr>
          <w:rFonts w:eastAsia="Times New Roman"/>
          <w:szCs w:val="20"/>
          <w:lang w:val="fr-FR" w:eastAsia="en-GB"/>
        </w:rPr>
        <w:tab/>
      </w:r>
      <w:r w:rsidRPr="00B52152">
        <w:rPr>
          <w:rFonts w:eastAsia="Times New Roman"/>
          <w:b/>
          <w:szCs w:val="20"/>
          <w:lang w:val="fr-FR" w:eastAsia="en-GB"/>
        </w:rPr>
        <w:t>Position de la Commission:</w:t>
      </w:r>
    </w:p>
    <w:p w:rsidR="00B52152" w:rsidRPr="00B52152" w:rsidRDefault="00B52152" w:rsidP="00B5215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eastAsia="Times New Roman"/>
          <w:szCs w:val="20"/>
          <w:lang w:val="fr-FR" w:eastAsia="en-GB"/>
        </w:rPr>
      </w:pPr>
      <w:r w:rsidRPr="00B52152">
        <w:rPr>
          <w:rFonts w:eastAsia="Times New Roman"/>
          <w:b/>
          <w:szCs w:val="20"/>
          <w:lang w:val="fr-FR" w:eastAsia="en-GB"/>
        </w:rPr>
        <w:t>se félicite</w:t>
      </w:r>
      <w:r w:rsidRPr="00B52152">
        <w:rPr>
          <w:rFonts w:eastAsia="Times New Roman"/>
          <w:szCs w:val="20"/>
          <w:lang w:val="fr-FR" w:eastAsia="en-GB"/>
        </w:rPr>
        <w:t xml:space="preserve"> du soutien du Parlement en ce qui concerne les éléments clés de la proposition;</w:t>
      </w:r>
    </w:p>
    <w:p w:rsidR="00B52152" w:rsidRPr="00B52152" w:rsidRDefault="00B52152" w:rsidP="00B5215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eastAsia="Times New Roman"/>
          <w:szCs w:val="20"/>
          <w:lang w:val="fr-FR" w:eastAsia="en-GB"/>
        </w:rPr>
      </w:pPr>
      <w:r w:rsidRPr="00B52152">
        <w:rPr>
          <w:rFonts w:eastAsia="Times New Roman"/>
          <w:b/>
          <w:szCs w:val="20"/>
          <w:lang w:val="fr-FR" w:eastAsia="en-GB"/>
        </w:rPr>
        <w:t>se déclare préoccupée</w:t>
      </w:r>
      <w:r w:rsidRPr="00B52152">
        <w:rPr>
          <w:rFonts w:eastAsia="Times New Roman"/>
          <w:szCs w:val="20"/>
          <w:lang w:val="fr-FR" w:eastAsia="en-GB"/>
        </w:rPr>
        <w:t xml:space="preserve"> par l’introduction de certaines nouvelles obligations qui sont lourdes, en particulier pour les petites entreprises, notamment en ce qui concerne le changement de logique réglementaire, c’est-à-dire le fait de rendre toutes les </w:t>
      </w:r>
      <w:r w:rsidRPr="00B52152">
        <w:rPr>
          <w:rFonts w:eastAsia="Times New Roman"/>
          <w:b/>
          <w:szCs w:val="20"/>
          <w:lang w:val="fr-FR" w:eastAsia="en-GB"/>
        </w:rPr>
        <w:t>mesures de l’annexe I obligatoires pour tous les opérateurs</w:t>
      </w:r>
      <w:r w:rsidRPr="00B52152">
        <w:rPr>
          <w:rFonts w:eastAsia="Times New Roman"/>
          <w:szCs w:val="20"/>
          <w:lang w:val="fr-FR" w:eastAsia="en-GB"/>
        </w:rPr>
        <w:t>;</w:t>
      </w:r>
    </w:p>
    <w:p w:rsidR="008765BE" w:rsidRDefault="00B52152" w:rsidP="00B52152">
      <w:r w:rsidRPr="00B52152">
        <w:rPr>
          <w:rFonts w:eastAsia="Times New Roman"/>
          <w:b/>
          <w:szCs w:val="20"/>
          <w:lang w:val="fr-FR" w:eastAsia="en-GB"/>
        </w:rPr>
        <w:t>en ce qui concerne l’inclusion du transport maritime de granulés</w:t>
      </w:r>
      <w:r w:rsidRPr="00B52152">
        <w:rPr>
          <w:rFonts w:eastAsia="Times New Roman"/>
          <w:szCs w:val="20"/>
          <w:lang w:val="fr-FR" w:eastAsia="en-GB"/>
        </w:rPr>
        <w:t>, la Commission insiste sur des règles mondiales tout en restant disponible pour aider les colégislateurs à étudier les mesures possibles au niveau de l’UE en tenant compte des initiatives liées à l’Organisation maritime internationale (OMI).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52"/>
    <w:rsid w:val="005762E3"/>
    <w:rsid w:val="008765BE"/>
    <w:rsid w:val="00B5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85AA6-A7BA-409C-B781-ED039B65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>European Parliament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2024-08-09T11:17:00Z</dcterms:created>
  <dcterms:modified xsi:type="dcterms:W3CDTF">2024-08-09T11:17:00Z</dcterms:modified>
</cp:coreProperties>
</file>