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1B6" w:rsidRPr="00A651B6" w:rsidRDefault="00A651B6" w:rsidP="00A651B6">
      <w:pPr>
        <w:spacing w:after="240"/>
        <w:jc w:val="center"/>
        <w:rPr>
          <w:rFonts w:eastAsia="Times New Roman"/>
          <w:szCs w:val="20"/>
          <w:lang w:val="fr-FR" w:eastAsia="en-GB"/>
        </w:rPr>
      </w:pPr>
      <w:bookmarkStart w:id="0" w:name="_GoBack"/>
      <w:bookmarkEnd w:id="0"/>
      <w:r w:rsidRPr="00A651B6">
        <w:rPr>
          <w:rFonts w:eastAsia="Times New Roman"/>
          <w:b/>
          <w:caps/>
          <w:szCs w:val="20"/>
          <w:lang w:val="fr-FR" w:eastAsia="en-GB"/>
        </w:rPr>
        <w:t>Procédure</w:t>
      </w:r>
      <w:r w:rsidRPr="00A651B6">
        <w:rPr>
          <w:rFonts w:eastAsia="Times New Roman"/>
          <w:b/>
          <w:szCs w:val="20"/>
          <w:lang w:val="fr-FR" w:eastAsia="en-GB"/>
        </w:rPr>
        <w:t xml:space="preserve"> LÉGISLATIVE ORDINAIRE</w:t>
      </w:r>
    </w:p>
    <w:p w:rsidR="00A651B6" w:rsidRPr="00A651B6" w:rsidRDefault="00A651B6" w:rsidP="00A651B6">
      <w:pPr>
        <w:spacing w:after="600"/>
        <w:jc w:val="center"/>
        <w:rPr>
          <w:rFonts w:eastAsia="Times New Roman"/>
          <w:b/>
          <w:bCs/>
          <w:lang w:val="fr-FR" w:eastAsia="en-GB"/>
        </w:rPr>
      </w:pPr>
      <w:bookmarkStart w:id="1" w:name="passengerinfo"/>
      <w:r w:rsidRPr="00A651B6">
        <w:rPr>
          <w:rFonts w:eastAsia="Times New Roman"/>
          <w:b/>
          <w:szCs w:val="20"/>
          <w:lang w:val="fr-FR" w:eastAsia="en-GB"/>
        </w:rPr>
        <w:t>Suite donnée à la résolution législative du Parlement européen sur la proposition de règlement du Parlement européen et du Conseil relatif à la collecte et au transfert des informations préalables sur les passagers pour la prévention et la détection des infractions terroristes et des formes graves de criminalité, ainsi que pour les enquêtes et les poursuites en la matière, et modifiant le règlement (UE) 2019/818</w:t>
      </w:r>
      <w:bookmarkEnd w:id="1"/>
    </w:p>
    <w:p w:rsidR="00A651B6" w:rsidRPr="00A651B6" w:rsidRDefault="00A651B6" w:rsidP="00A651B6">
      <w:pPr>
        <w:spacing w:after="240" w:line="240" w:lineRule="atLeast"/>
        <w:ind w:left="567" w:hanging="567"/>
        <w:jc w:val="left"/>
        <w:rPr>
          <w:rFonts w:eastAsia="Times New Roman"/>
          <w:szCs w:val="20"/>
          <w:lang w:val="fr-FR" w:eastAsia="en-GB"/>
        </w:rPr>
      </w:pPr>
      <w:r w:rsidRPr="00A651B6">
        <w:rPr>
          <w:rFonts w:eastAsia="Times New Roman"/>
          <w:b/>
          <w:szCs w:val="20"/>
          <w:lang w:val="fr-FR" w:eastAsia="en-GB"/>
        </w:rPr>
        <w:t>1.</w:t>
      </w:r>
      <w:r w:rsidRPr="00A651B6">
        <w:rPr>
          <w:rFonts w:eastAsia="Times New Roman"/>
          <w:szCs w:val="20"/>
          <w:lang w:val="fr-FR" w:eastAsia="en-GB"/>
        </w:rPr>
        <w:tab/>
      </w:r>
      <w:r w:rsidRPr="00A651B6">
        <w:rPr>
          <w:rFonts w:eastAsia="Times New Roman"/>
          <w:b/>
          <w:szCs w:val="20"/>
          <w:lang w:val="fr-FR" w:eastAsia="en-GB"/>
        </w:rPr>
        <w:t xml:space="preserve">Rapporteure: </w:t>
      </w:r>
      <w:r w:rsidRPr="00A651B6">
        <w:rPr>
          <w:rFonts w:eastAsia="Times New Roman"/>
          <w:szCs w:val="20"/>
          <w:lang w:val="fr-FR" w:eastAsia="en-GB"/>
        </w:rPr>
        <w:t>Assita KANKO (ECR/BE)</w:t>
      </w:r>
    </w:p>
    <w:p w:rsidR="00A651B6" w:rsidRPr="00A651B6" w:rsidRDefault="00A651B6" w:rsidP="00A651B6">
      <w:pPr>
        <w:spacing w:after="240" w:line="240" w:lineRule="atLeast"/>
        <w:ind w:left="567" w:hanging="567"/>
        <w:rPr>
          <w:rFonts w:eastAsia="Times New Roman"/>
          <w:szCs w:val="20"/>
          <w:lang w:val="fr-FR" w:eastAsia="en-GB"/>
        </w:rPr>
      </w:pPr>
      <w:r w:rsidRPr="00A651B6">
        <w:rPr>
          <w:rFonts w:eastAsia="Times New Roman"/>
          <w:b/>
          <w:szCs w:val="20"/>
          <w:lang w:val="fr-FR" w:eastAsia="en-GB"/>
        </w:rPr>
        <w:t>2.</w:t>
      </w:r>
      <w:r w:rsidRPr="00A651B6">
        <w:rPr>
          <w:rFonts w:eastAsia="Times New Roman"/>
          <w:szCs w:val="20"/>
          <w:lang w:val="fr-FR" w:eastAsia="en-GB"/>
        </w:rPr>
        <w:tab/>
      </w:r>
      <w:r w:rsidRPr="00A651B6">
        <w:rPr>
          <w:rFonts w:eastAsia="Times New Roman"/>
          <w:b/>
          <w:szCs w:val="20"/>
          <w:lang w:val="fr-FR" w:eastAsia="en-GB"/>
        </w:rPr>
        <w:t>Numéros de référence:</w:t>
      </w:r>
      <w:r w:rsidRPr="00A651B6">
        <w:rPr>
          <w:rFonts w:eastAsia="Times New Roman"/>
          <w:szCs w:val="20"/>
          <w:lang w:val="fr-FR" w:eastAsia="en-GB"/>
        </w:rPr>
        <w:t xml:space="preserve"> 2022/0425 (COD) / A9-0411/2023 / P9_TA(2024)0377</w:t>
      </w:r>
    </w:p>
    <w:p w:rsidR="00A651B6" w:rsidRPr="00A651B6" w:rsidRDefault="00A651B6" w:rsidP="00A651B6">
      <w:pPr>
        <w:spacing w:after="240" w:line="240" w:lineRule="atLeast"/>
        <w:ind w:left="567" w:hanging="567"/>
        <w:jc w:val="left"/>
        <w:rPr>
          <w:rFonts w:eastAsia="Times New Roman"/>
          <w:szCs w:val="20"/>
          <w:lang w:val="fr-FR" w:eastAsia="en-GB"/>
        </w:rPr>
      </w:pPr>
      <w:r w:rsidRPr="00A651B6">
        <w:rPr>
          <w:rFonts w:eastAsia="Times New Roman"/>
          <w:b/>
          <w:szCs w:val="20"/>
          <w:lang w:val="fr-FR" w:eastAsia="en-GB"/>
        </w:rPr>
        <w:t>3.</w:t>
      </w:r>
      <w:r w:rsidRPr="00A651B6">
        <w:rPr>
          <w:rFonts w:eastAsia="Times New Roman"/>
          <w:szCs w:val="20"/>
          <w:lang w:val="fr-FR" w:eastAsia="en-GB"/>
        </w:rPr>
        <w:tab/>
      </w:r>
      <w:r w:rsidRPr="00A651B6">
        <w:rPr>
          <w:rFonts w:eastAsia="Times New Roman"/>
          <w:b/>
          <w:szCs w:val="20"/>
          <w:lang w:val="fr-FR" w:eastAsia="en-GB"/>
        </w:rPr>
        <w:t>Date d'adoption de la résolution:</w:t>
      </w:r>
      <w:r w:rsidRPr="00A651B6">
        <w:rPr>
          <w:rFonts w:eastAsia="Times New Roman"/>
          <w:szCs w:val="20"/>
          <w:lang w:val="fr-FR" w:eastAsia="en-GB"/>
        </w:rPr>
        <w:t xml:space="preserve"> 25 avril 2024</w:t>
      </w:r>
    </w:p>
    <w:p w:rsidR="00A651B6" w:rsidRPr="00A651B6" w:rsidRDefault="00A651B6" w:rsidP="00A651B6">
      <w:pPr>
        <w:spacing w:after="240" w:line="240" w:lineRule="atLeast"/>
        <w:ind w:left="567" w:hanging="567"/>
        <w:rPr>
          <w:rFonts w:eastAsia="Times New Roman"/>
          <w:szCs w:val="20"/>
          <w:lang w:val="fr-FR" w:eastAsia="en-GB"/>
        </w:rPr>
      </w:pPr>
      <w:r w:rsidRPr="00A651B6">
        <w:rPr>
          <w:rFonts w:eastAsia="Times New Roman"/>
          <w:b/>
          <w:szCs w:val="20"/>
          <w:lang w:val="fr-FR" w:eastAsia="en-GB"/>
        </w:rPr>
        <w:t>4.</w:t>
      </w:r>
      <w:r w:rsidRPr="00A651B6">
        <w:rPr>
          <w:rFonts w:eastAsia="Times New Roman"/>
          <w:szCs w:val="20"/>
          <w:lang w:val="fr-FR" w:eastAsia="en-GB"/>
        </w:rPr>
        <w:tab/>
      </w:r>
      <w:r w:rsidRPr="00A651B6">
        <w:rPr>
          <w:rFonts w:eastAsia="Times New Roman"/>
          <w:b/>
          <w:szCs w:val="20"/>
          <w:lang w:val="fr-FR" w:eastAsia="en-GB"/>
        </w:rPr>
        <w:t xml:space="preserve">Base juridique: </w:t>
      </w:r>
      <w:r w:rsidRPr="00A651B6">
        <w:rPr>
          <w:rFonts w:eastAsia="Times New Roman"/>
          <w:szCs w:val="20"/>
          <w:lang w:val="fr-FR" w:eastAsia="en-GB"/>
        </w:rPr>
        <w:t>article 82, paragraphe 1, point d), et article 87, paragraphe 2, point a), du traité sur le fonctionnement de l’Union européenne</w:t>
      </w:r>
    </w:p>
    <w:p w:rsidR="00A651B6" w:rsidRPr="00A651B6" w:rsidRDefault="00A651B6" w:rsidP="00A651B6">
      <w:pPr>
        <w:spacing w:after="240" w:line="240" w:lineRule="atLeast"/>
        <w:ind w:left="567" w:hanging="567"/>
        <w:rPr>
          <w:rFonts w:eastAsia="Times New Roman"/>
          <w:lang w:val="fr-FR" w:eastAsia="en-GB"/>
        </w:rPr>
      </w:pPr>
      <w:r w:rsidRPr="00A651B6">
        <w:rPr>
          <w:rFonts w:eastAsia="Times New Roman"/>
          <w:b/>
          <w:szCs w:val="20"/>
          <w:lang w:val="fr-FR" w:eastAsia="en-GB"/>
        </w:rPr>
        <w:t>5.</w:t>
      </w:r>
      <w:r w:rsidRPr="00A651B6">
        <w:rPr>
          <w:rFonts w:eastAsia="Times New Roman"/>
          <w:szCs w:val="20"/>
          <w:lang w:val="fr-FR" w:eastAsia="en-GB"/>
        </w:rPr>
        <w:tab/>
      </w:r>
      <w:r w:rsidRPr="00A651B6">
        <w:rPr>
          <w:rFonts w:eastAsia="Times New Roman"/>
          <w:b/>
          <w:szCs w:val="20"/>
          <w:lang w:val="fr-FR" w:eastAsia="en-GB"/>
        </w:rPr>
        <w:t>Commission parlementaire compétente:</w:t>
      </w:r>
      <w:r w:rsidRPr="00A651B6">
        <w:rPr>
          <w:rFonts w:eastAsia="Times New Roman"/>
          <w:szCs w:val="20"/>
          <w:lang w:val="fr-FR" w:eastAsia="en-GB"/>
        </w:rPr>
        <w:t xml:space="preserve"> commission des libertés civiles, de la justice et des affaires intérieures (LIBE)</w:t>
      </w:r>
    </w:p>
    <w:p w:rsidR="008765BE" w:rsidRDefault="00A651B6" w:rsidP="00A651B6">
      <w:r w:rsidRPr="00A651B6">
        <w:rPr>
          <w:rFonts w:eastAsia="Times New Roman"/>
          <w:b/>
          <w:szCs w:val="20"/>
          <w:lang w:val="fr-FR" w:eastAsia="en-GB"/>
        </w:rPr>
        <w:t>6.</w:t>
      </w:r>
      <w:r w:rsidRPr="00A651B6">
        <w:rPr>
          <w:rFonts w:eastAsia="Times New Roman"/>
          <w:szCs w:val="20"/>
          <w:lang w:val="fr-FR" w:eastAsia="en-GB"/>
        </w:rPr>
        <w:tab/>
      </w:r>
      <w:r w:rsidRPr="00A651B6">
        <w:rPr>
          <w:rFonts w:eastAsia="Times New Roman"/>
          <w:b/>
          <w:szCs w:val="20"/>
          <w:lang w:val="fr-FR" w:eastAsia="en-GB"/>
        </w:rPr>
        <w:t>Position de la Commission:</w:t>
      </w:r>
      <w:r w:rsidRPr="00A651B6">
        <w:rPr>
          <w:rFonts w:eastAsia="Times New Roman"/>
          <w:color w:val="000000"/>
          <w:sz w:val="22"/>
          <w:szCs w:val="20"/>
          <w:lang w:val="fr-FR" w:eastAsia="en-GB"/>
        </w:rPr>
        <w:t xml:space="preserve"> </w:t>
      </w:r>
      <w:r w:rsidRPr="00A651B6">
        <w:rPr>
          <w:rFonts w:eastAsia="Times New Roman"/>
          <w:color w:val="000000"/>
          <w:szCs w:val="20"/>
          <w:lang w:val="fr-FR" w:eastAsia="en-GB"/>
        </w:rPr>
        <w:t>la Commission accepte tous les amendements.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1B6"/>
    <w:rsid w:val="005762E3"/>
    <w:rsid w:val="008765BE"/>
    <w:rsid w:val="00A65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04647-C28E-4D30-83E5-04EBD14F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European Parliament</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2024-08-09T11:17:00Z</dcterms:created>
  <dcterms:modified xsi:type="dcterms:W3CDTF">2024-08-09T11:17:00Z</dcterms:modified>
</cp:coreProperties>
</file>