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B70D" w14:textId="77777777" w:rsidR="00713742" w:rsidRDefault="00713742" w:rsidP="00713742">
      <w:pPr>
        <w:spacing w:after="600"/>
        <w:jc w:val="center"/>
        <w:rPr>
          <w:rFonts w:ascii="Times New Roman" w:hAnsi="Times New Roman"/>
          <w:b/>
          <w:bCs/>
          <w:szCs w:val="24"/>
        </w:rPr>
      </w:pPr>
      <w:bookmarkStart w:id="0" w:name="STARTUPS"/>
      <w:r w:rsidRPr="00313481">
        <w:rPr>
          <w:rFonts w:ascii="Times New Roman" w:hAnsi="Times New Roman"/>
          <w:b/>
          <w:bCs/>
          <w:szCs w:val="24"/>
        </w:rPr>
        <w:t xml:space="preserve">Follow up to the European </w:t>
      </w:r>
      <w:r>
        <w:rPr>
          <w:rFonts w:ascii="Times New Roman" w:hAnsi="Times New Roman"/>
          <w:b/>
          <w:bCs/>
          <w:szCs w:val="24"/>
        </w:rPr>
        <w:t>Parliament</w:t>
      </w:r>
      <w:r w:rsidRPr="003A50BD">
        <w:rPr>
          <w:rFonts w:ascii="Times New Roman" w:hAnsi="Times New Roman"/>
          <w:b/>
          <w:bCs/>
          <w:szCs w:val="24"/>
        </w:rPr>
        <w:t xml:space="preserve"> </w:t>
      </w:r>
      <w:r>
        <w:rPr>
          <w:rFonts w:ascii="Times New Roman" w:hAnsi="Times New Roman"/>
          <w:b/>
          <w:bCs/>
          <w:szCs w:val="24"/>
        </w:rPr>
        <w:t>non-legislative resolution</w:t>
      </w:r>
      <w:r w:rsidRPr="003A50BD">
        <w:rPr>
          <w:rFonts w:ascii="Times New Roman" w:hAnsi="Times New Roman"/>
          <w:b/>
          <w:bCs/>
          <w:szCs w:val="24"/>
        </w:rPr>
        <w:t xml:space="preserve"> on </w:t>
      </w:r>
      <w:r>
        <w:rPr>
          <w:rFonts w:ascii="Times New Roman" w:hAnsi="Times New Roman"/>
          <w:b/>
          <w:bCs/>
          <w:szCs w:val="24"/>
        </w:rPr>
        <w:t>i</w:t>
      </w:r>
      <w:r w:rsidRPr="003A50BD">
        <w:rPr>
          <w:rFonts w:ascii="Times New Roman" w:hAnsi="Times New Roman"/>
          <w:b/>
          <w:bCs/>
          <w:szCs w:val="24"/>
        </w:rPr>
        <w:t>ncreasing innovation, industrial and technological competitiveness through a favourable environment for start-ups and scale-</w:t>
      </w:r>
      <w:proofErr w:type="gramStart"/>
      <w:r w:rsidRPr="003A50BD">
        <w:rPr>
          <w:rFonts w:ascii="Times New Roman" w:hAnsi="Times New Roman"/>
          <w:b/>
          <w:bCs/>
          <w:szCs w:val="24"/>
        </w:rPr>
        <w:t>ups</w:t>
      </w:r>
      <w:proofErr w:type="gramEnd"/>
    </w:p>
    <w:bookmarkEnd w:id="0"/>
    <w:p w14:paraId="3224361B" w14:textId="77777777" w:rsidR="00713742" w:rsidRPr="00313481" w:rsidRDefault="00713742" w:rsidP="00713742">
      <w:pPr>
        <w:numPr>
          <w:ilvl w:val="0"/>
          <w:numId w:val="28"/>
        </w:numPr>
        <w:ind w:left="567" w:hanging="567"/>
        <w:rPr>
          <w:rFonts w:ascii="Times New Roman" w:hAnsi="Times New Roman"/>
          <w:b/>
          <w:bCs/>
          <w:szCs w:val="24"/>
          <w:lang w:val="fr-BE"/>
        </w:rPr>
      </w:pPr>
      <w:proofErr w:type="gramStart"/>
      <w:r w:rsidRPr="00313481">
        <w:rPr>
          <w:rFonts w:ascii="Times New Roman" w:hAnsi="Times New Roman"/>
          <w:b/>
          <w:bCs/>
          <w:szCs w:val="24"/>
          <w:lang w:val="fr-BE"/>
        </w:rPr>
        <w:t>Rapporteur:</w:t>
      </w:r>
      <w:proofErr w:type="gramEnd"/>
      <w:r w:rsidRPr="00313481">
        <w:rPr>
          <w:rFonts w:ascii="Times New Roman" w:hAnsi="Times New Roman"/>
          <w:b/>
          <w:bCs/>
          <w:szCs w:val="24"/>
          <w:lang w:val="fr-BE"/>
        </w:rPr>
        <w:t xml:space="preserve"> </w:t>
      </w:r>
      <w:proofErr w:type="spellStart"/>
      <w:r w:rsidRPr="00247306">
        <w:rPr>
          <w:rFonts w:ascii="Times New Roman" w:hAnsi="Times New Roman"/>
          <w:szCs w:val="24"/>
          <w:lang w:val="fr-BE"/>
        </w:rPr>
        <w:t>Tsvetelina</w:t>
      </w:r>
      <w:proofErr w:type="spellEnd"/>
      <w:r w:rsidRPr="00247306">
        <w:rPr>
          <w:rFonts w:ascii="Times New Roman" w:hAnsi="Times New Roman"/>
          <w:szCs w:val="24"/>
          <w:lang w:val="fr-BE"/>
        </w:rPr>
        <w:t xml:space="preserve"> P</w:t>
      </w:r>
      <w:r>
        <w:rPr>
          <w:rFonts w:ascii="Times New Roman" w:hAnsi="Times New Roman"/>
          <w:szCs w:val="24"/>
          <w:lang w:val="fr-BE"/>
        </w:rPr>
        <w:t>ENKOVA</w:t>
      </w:r>
      <w:r w:rsidRPr="00313481">
        <w:rPr>
          <w:rFonts w:ascii="Times New Roman" w:hAnsi="Times New Roman"/>
          <w:szCs w:val="24"/>
          <w:lang w:val="fr-BE"/>
        </w:rPr>
        <w:t xml:space="preserve"> (</w:t>
      </w:r>
      <w:r w:rsidRPr="00247306">
        <w:rPr>
          <w:rFonts w:ascii="Times New Roman" w:hAnsi="Times New Roman"/>
          <w:szCs w:val="24"/>
          <w:lang w:val="fr-BE"/>
        </w:rPr>
        <w:t>S&amp;D</w:t>
      </w:r>
      <w:r>
        <w:rPr>
          <w:rFonts w:ascii="Times New Roman" w:hAnsi="Times New Roman"/>
          <w:szCs w:val="24"/>
          <w:lang w:val="fr-BE"/>
        </w:rPr>
        <w:t xml:space="preserve"> </w:t>
      </w:r>
      <w:r w:rsidRPr="00247306">
        <w:rPr>
          <w:rFonts w:ascii="Times New Roman" w:hAnsi="Times New Roman"/>
          <w:szCs w:val="24"/>
          <w:lang w:val="fr-BE"/>
        </w:rPr>
        <w:t>/</w:t>
      </w:r>
      <w:r>
        <w:rPr>
          <w:rFonts w:ascii="Times New Roman" w:hAnsi="Times New Roman"/>
          <w:szCs w:val="24"/>
          <w:lang w:val="fr-BE"/>
        </w:rPr>
        <w:t xml:space="preserve"> </w:t>
      </w:r>
      <w:r w:rsidRPr="00247306">
        <w:rPr>
          <w:rFonts w:ascii="Times New Roman" w:hAnsi="Times New Roman"/>
          <w:szCs w:val="24"/>
          <w:lang w:val="fr-BE"/>
        </w:rPr>
        <w:t>BG</w:t>
      </w:r>
      <w:r w:rsidRPr="00313481">
        <w:rPr>
          <w:rFonts w:ascii="Times New Roman" w:hAnsi="Times New Roman"/>
          <w:szCs w:val="24"/>
          <w:lang w:val="fr-BE"/>
        </w:rPr>
        <w:t>)</w:t>
      </w:r>
    </w:p>
    <w:p w14:paraId="323C6F1E" w14:textId="77777777" w:rsidR="00713742" w:rsidRPr="00313481" w:rsidRDefault="00713742" w:rsidP="00713742">
      <w:pPr>
        <w:numPr>
          <w:ilvl w:val="0"/>
          <w:numId w:val="28"/>
        </w:numPr>
        <w:ind w:left="567" w:hanging="567"/>
        <w:rPr>
          <w:rFonts w:ascii="Times New Roman" w:hAnsi="Times New Roman"/>
          <w:i/>
          <w:iCs/>
          <w:szCs w:val="24"/>
        </w:rPr>
      </w:pPr>
      <w:r w:rsidRPr="00313481">
        <w:rPr>
          <w:rFonts w:ascii="Times New Roman" w:hAnsi="Times New Roman"/>
          <w:b/>
          <w:bCs/>
          <w:szCs w:val="24"/>
        </w:rPr>
        <w:t xml:space="preserve">Reference numbers: </w:t>
      </w:r>
      <w:r w:rsidRPr="003A50BD">
        <w:rPr>
          <w:rFonts w:ascii="Times New Roman" w:hAnsi="Times New Roman"/>
          <w:szCs w:val="24"/>
        </w:rPr>
        <w:t xml:space="preserve">2023/2110 </w:t>
      </w:r>
      <w:r w:rsidRPr="00313481">
        <w:rPr>
          <w:rFonts w:ascii="Times New Roman" w:hAnsi="Times New Roman"/>
          <w:szCs w:val="24"/>
        </w:rPr>
        <w:t xml:space="preserve">(INI) </w:t>
      </w:r>
      <w:r>
        <w:rPr>
          <w:rFonts w:ascii="Times New Roman" w:hAnsi="Times New Roman"/>
          <w:szCs w:val="24"/>
        </w:rPr>
        <w:t xml:space="preserve">/ A9-0383/2023 / </w:t>
      </w:r>
      <w:r w:rsidRPr="003A50BD">
        <w:rPr>
          <w:rFonts w:ascii="Times New Roman" w:hAnsi="Times New Roman"/>
          <w:szCs w:val="24"/>
        </w:rPr>
        <w:t>P9_</w:t>
      </w:r>
      <w:proofErr w:type="gramStart"/>
      <w:r w:rsidRPr="003A50BD">
        <w:rPr>
          <w:rFonts w:ascii="Times New Roman" w:hAnsi="Times New Roman"/>
          <w:szCs w:val="24"/>
        </w:rPr>
        <w:t>TA(</w:t>
      </w:r>
      <w:proofErr w:type="gramEnd"/>
      <w:r w:rsidRPr="003A50BD">
        <w:rPr>
          <w:rFonts w:ascii="Times New Roman" w:hAnsi="Times New Roman"/>
          <w:szCs w:val="24"/>
        </w:rPr>
        <w:t>2023)0480</w:t>
      </w:r>
    </w:p>
    <w:p w14:paraId="537FAC69" w14:textId="77777777" w:rsidR="00713742" w:rsidRPr="00313481" w:rsidRDefault="00713742" w:rsidP="00713742">
      <w:pPr>
        <w:numPr>
          <w:ilvl w:val="0"/>
          <w:numId w:val="28"/>
        </w:numPr>
        <w:ind w:left="567" w:hanging="567"/>
        <w:rPr>
          <w:rFonts w:ascii="Times New Roman" w:hAnsi="Times New Roman"/>
          <w:szCs w:val="24"/>
        </w:rPr>
      </w:pPr>
      <w:r w:rsidRPr="00313481">
        <w:rPr>
          <w:rFonts w:ascii="Times New Roman" w:hAnsi="Times New Roman"/>
          <w:b/>
          <w:bCs/>
          <w:szCs w:val="24"/>
        </w:rPr>
        <w:t xml:space="preserve">Date of adoption of the resolution: </w:t>
      </w:r>
      <w:r>
        <w:rPr>
          <w:rFonts w:ascii="Times New Roman" w:hAnsi="Times New Roman"/>
          <w:szCs w:val="24"/>
        </w:rPr>
        <w:t>14 December 2023</w:t>
      </w:r>
    </w:p>
    <w:p w14:paraId="6406222B" w14:textId="77777777" w:rsidR="00713742" w:rsidRPr="00313481" w:rsidRDefault="00713742" w:rsidP="00713742">
      <w:pPr>
        <w:numPr>
          <w:ilvl w:val="0"/>
          <w:numId w:val="28"/>
        </w:numPr>
        <w:ind w:left="567" w:hanging="567"/>
        <w:rPr>
          <w:rFonts w:ascii="Times New Roman" w:hAnsi="Times New Roman"/>
          <w:i/>
          <w:iCs/>
          <w:szCs w:val="24"/>
        </w:rPr>
      </w:pPr>
      <w:r w:rsidRPr="00313481">
        <w:rPr>
          <w:rFonts w:ascii="Times New Roman" w:hAnsi="Times New Roman"/>
          <w:b/>
          <w:bCs/>
          <w:szCs w:val="24"/>
        </w:rPr>
        <w:t>Competent Parliamentary Committee:</w:t>
      </w:r>
      <w:r w:rsidRPr="00313481">
        <w:rPr>
          <w:rFonts w:ascii="Times New Roman" w:hAnsi="Times New Roman"/>
          <w:szCs w:val="24"/>
        </w:rPr>
        <w:t xml:space="preserve"> Committee on the Internal Market and Consumer Protection (IMCO)</w:t>
      </w:r>
    </w:p>
    <w:p w14:paraId="5A59A648" w14:textId="77777777" w:rsidR="00713742" w:rsidRDefault="00713742" w:rsidP="00713742">
      <w:pPr>
        <w:widowControl w:val="0"/>
        <w:numPr>
          <w:ilvl w:val="0"/>
          <w:numId w:val="28"/>
        </w:numPr>
        <w:ind w:left="567" w:hanging="567"/>
        <w:rPr>
          <w:rFonts w:ascii="Times New Roman" w:hAnsi="Times New Roman"/>
          <w:szCs w:val="24"/>
        </w:rPr>
      </w:pPr>
      <w:r w:rsidRPr="00313481">
        <w:rPr>
          <w:rFonts w:ascii="Times New Roman" w:hAnsi="Times New Roman"/>
          <w:b/>
          <w:bCs/>
          <w:szCs w:val="24"/>
        </w:rPr>
        <w:t>Brief analysis/ assessment of the resolution and requests made in it:</w:t>
      </w:r>
      <w:r w:rsidRPr="00313481" w:rsidDel="008C56FD">
        <w:rPr>
          <w:rFonts w:ascii="Times New Roman" w:hAnsi="Times New Roman"/>
          <w:szCs w:val="24"/>
        </w:rPr>
        <w:t xml:space="preserve"> </w:t>
      </w:r>
    </w:p>
    <w:p w14:paraId="3C4D101E" w14:textId="77777777" w:rsidR="00713742" w:rsidRPr="009D52AF" w:rsidRDefault="00713742" w:rsidP="00713742">
      <w:pPr>
        <w:widowControl w:val="0"/>
        <w:spacing w:after="120"/>
        <w:rPr>
          <w:rFonts w:ascii="Times New Roman" w:hAnsi="Times New Roman"/>
          <w:szCs w:val="24"/>
        </w:rPr>
      </w:pPr>
      <w:r>
        <w:rPr>
          <w:rFonts w:ascii="Times New Roman" w:hAnsi="Times New Roman"/>
          <w:szCs w:val="24"/>
        </w:rPr>
        <w:t>On d</w:t>
      </w:r>
      <w:r w:rsidRPr="009D52AF">
        <w:rPr>
          <w:rFonts w:ascii="Times New Roman" w:hAnsi="Times New Roman"/>
          <w:szCs w:val="24"/>
        </w:rPr>
        <w:t>efinitions</w:t>
      </w:r>
      <w:r>
        <w:rPr>
          <w:rFonts w:ascii="Times New Roman" w:hAnsi="Times New Roman"/>
          <w:szCs w:val="24"/>
        </w:rPr>
        <w:t>, t</w:t>
      </w:r>
      <w:r w:rsidRPr="009D52AF">
        <w:rPr>
          <w:rFonts w:ascii="Times New Roman" w:hAnsi="Times New Roman"/>
          <w:szCs w:val="24"/>
        </w:rPr>
        <w:t xml:space="preserve">he resolution calls for harmonized and broad definitions of start-ups and scale-ups, </w:t>
      </w:r>
      <w:proofErr w:type="gramStart"/>
      <w:r w:rsidRPr="009D52AF">
        <w:rPr>
          <w:rFonts w:ascii="Times New Roman" w:hAnsi="Times New Roman"/>
          <w:szCs w:val="24"/>
        </w:rPr>
        <w:t>taking into account</w:t>
      </w:r>
      <w:proofErr w:type="gramEnd"/>
      <w:r w:rsidRPr="009D52AF">
        <w:rPr>
          <w:rFonts w:ascii="Times New Roman" w:hAnsi="Times New Roman"/>
          <w:szCs w:val="24"/>
        </w:rPr>
        <w:t xml:space="preserve"> their differences from </w:t>
      </w:r>
      <w:r>
        <w:rPr>
          <w:rFonts w:ascii="Times New Roman" w:hAnsi="Times New Roman"/>
          <w:szCs w:val="24"/>
        </w:rPr>
        <w:t>small and medium sized enterprises (</w:t>
      </w:r>
      <w:r w:rsidRPr="009D52AF">
        <w:rPr>
          <w:rFonts w:ascii="Times New Roman" w:hAnsi="Times New Roman"/>
          <w:szCs w:val="24"/>
        </w:rPr>
        <w:t>SMEs</w:t>
      </w:r>
      <w:r>
        <w:rPr>
          <w:rFonts w:ascii="Times New Roman" w:hAnsi="Times New Roman"/>
          <w:szCs w:val="24"/>
        </w:rPr>
        <w:t xml:space="preserve">), </w:t>
      </w:r>
      <w:r w:rsidRPr="009D52AF">
        <w:rPr>
          <w:rFonts w:ascii="Times New Roman" w:hAnsi="Times New Roman"/>
          <w:szCs w:val="24"/>
        </w:rPr>
        <w:t>to prevent the</w:t>
      </w:r>
      <w:r>
        <w:rPr>
          <w:rFonts w:ascii="Times New Roman" w:hAnsi="Times New Roman"/>
          <w:szCs w:val="24"/>
        </w:rPr>
        <w:t>ir</w:t>
      </w:r>
      <w:r w:rsidRPr="009D52AF">
        <w:rPr>
          <w:rFonts w:ascii="Times New Roman" w:hAnsi="Times New Roman"/>
          <w:szCs w:val="24"/>
        </w:rPr>
        <w:t xml:space="preserve"> exclusion due to restrictive definitions</w:t>
      </w:r>
      <w:r>
        <w:rPr>
          <w:rFonts w:ascii="Times New Roman" w:hAnsi="Times New Roman"/>
          <w:szCs w:val="24"/>
        </w:rPr>
        <w:t xml:space="preserve"> as well as for</w:t>
      </w:r>
      <w:r w:rsidRPr="009D52AF">
        <w:rPr>
          <w:rFonts w:ascii="Times New Roman" w:hAnsi="Times New Roman"/>
          <w:szCs w:val="24"/>
        </w:rPr>
        <w:t xml:space="preserve"> increase</w:t>
      </w:r>
      <w:r w:rsidRPr="0055123F">
        <w:rPr>
          <w:rFonts w:ascii="Times New Roman" w:hAnsi="Times New Roman"/>
          <w:szCs w:val="24"/>
          <w:lang w:val="en-IE"/>
        </w:rPr>
        <w:t>d</w:t>
      </w:r>
      <w:r w:rsidRPr="009D52AF">
        <w:rPr>
          <w:rFonts w:ascii="Times New Roman" w:hAnsi="Times New Roman"/>
          <w:szCs w:val="24"/>
        </w:rPr>
        <w:t xml:space="preserve"> opportunities for support and access to European capital markets and private investors.</w:t>
      </w:r>
    </w:p>
    <w:p w14:paraId="73702151" w14:textId="77777777" w:rsidR="00713742" w:rsidRPr="009D52AF" w:rsidRDefault="00713742" w:rsidP="00713742">
      <w:pPr>
        <w:widowControl w:val="0"/>
        <w:spacing w:after="120"/>
        <w:rPr>
          <w:rFonts w:ascii="Times New Roman" w:hAnsi="Times New Roman"/>
          <w:szCs w:val="24"/>
        </w:rPr>
      </w:pPr>
      <w:proofErr w:type="gramStart"/>
      <w:r>
        <w:rPr>
          <w:rFonts w:ascii="Times New Roman" w:hAnsi="Times New Roman"/>
          <w:szCs w:val="24"/>
        </w:rPr>
        <w:t>With regard to</w:t>
      </w:r>
      <w:proofErr w:type="gramEnd"/>
      <w:r>
        <w:rPr>
          <w:rFonts w:ascii="Times New Roman" w:hAnsi="Times New Roman"/>
          <w:szCs w:val="24"/>
        </w:rPr>
        <w:t xml:space="preserve"> a</w:t>
      </w:r>
      <w:r w:rsidRPr="009D52AF">
        <w:rPr>
          <w:rFonts w:ascii="Times New Roman" w:hAnsi="Times New Roman"/>
          <w:szCs w:val="24"/>
        </w:rPr>
        <w:t xml:space="preserve">ccess to </w:t>
      </w:r>
      <w:r>
        <w:rPr>
          <w:rFonts w:ascii="Times New Roman" w:hAnsi="Times New Roman"/>
          <w:szCs w:val="24"/>
        </w:rPr>
        <w:t>f</w:t>
      </w:r>
      <w:r w:rsidRPr="009D52AF">
        <w:rPr>
          <w:rFonts w:ascii="Times New Roman" w:hAnsi="Times New Roman"/>
          <w:szCs w:val="24"/>
        </w:rPr>
        <w:t>unding</w:t>
      </w:r>
      <w:r>
        <w:rPr>
          <w:rFonts w:ascii="Times New Roman" w:hAnsi="Times New Roman"/>
          <w:szCs w:val="24"/>
        </w:rPr>
        <w:t>, the resolution stresses the challenges faced by</w:t>
      </w:r>
      <w:r w:rsidRPr="009D52AF">
        <w:rPr>
          <w:rFonts w:ascii="Times New Roman" w:hAnsi="Times New Roman"/>
          <w:szCs w:val="24"/>
        </w:rPr>
        <w:t xml:space="preserve"> European start-ups</w:t>
      </w:r>
      <w:r>
        <w:rPr>
          <w:rFonts w:ascii="Times New Roman" w:hAnsi="Times New Roman"/>
          <w:szCs w:val="24"/>
        </w:rPr>
        <w:t xml:space="preserve"> and scale ups </w:t>
      </w:r>
      <w:r w:rsidRPr="009D52AF">
        <w:rPr>
          <w:rFonts w:ascii="Times New Roman" w:hAnsi="Times New Roman"/>
          <w:szCs w:val="24"/>
        </w:rPr>
        <w:t>in accessing financing</w:t>
      </w:r>
      <w:r>
        <w:rPr>
          <w:rFonts w:ascii="Times New Roman" w:hAnsi="Times New Roman"/>
          <w:szCs w:val="24"/>
        </w:rPr>
        <w:t xml:space="preserve"> and</w:t>
      </w:r>
      <w:r w:rsidRPr="009D52AF">
        <w:rPr>
          <w:rFonts w:ascii="Times New Roman" w:hAnsi="Times New Roman"/>
          <w:szCs w:val="24"/>
        </w:rPr>
        <w:t xml:space="preserve"> urges governments, financial institutions, and private investors to collaborate and develop strategies to cultivate a risk-tolerant investment culture. The </w:t>
      </w:r>
      <w:r>
        <w:rPr>
          <w:rFonts w:ascii="Times New Roman" w:hAnsi="Times New Roman"/>
          <w:szCs w:val="24"/>
        </w:rPr>
        <w:t>r</w:t>
      </w:r>
      <w:r w:rsidRPr="009D52AF">
        <w:rPr>
          <w:rFonts w:ascii="Times New Roman" w:hAnsi="Times New Roman"/>
          <w:szCs w:val="24"/>
        </w:rPr>
        <w:t>esolution also calls for digital solutions to facilitate faster invoice payments, allowing institutional investors to invest a larger portion of their portfolios in venture capital and early-stage investments, and targeted public support in the form of grants, loans, and loan guarantees.</w:t>
      </w:r>
    </w:p>
    <w:p w14:paraId="2FBB1923" w14:textId="77777777" w:rsidR="00713742" w:rsidRPr="009D52AF" w:rsidRDefault="00713742" w:rsidP="00713742">
      <w:pPr>
        <w:widowControl w:val="0"/>
        <w:spacing w:after="120"/>
        <w:rPr>
          <w:rFonts w:ascii="Times New Roman" w:hAnsi="Times New Roman"/>
          <w:szCs w:val="24"/>
        </w:rPr>
      </w:pPr>
      <w:r>
        <w:rPr>
          <w:rFonts w:ascii="Times New Roman" w:hAnsi="Times New Roman"/>
          <w:szCs w:val="24"/>
        </w:rPr>
        <w:t>Regrading r</w:t>
      </w:r>
      <w:r w:rsidRPr="009D52AF">
        <w:rPr>
          <w:rFonts w:ascii="Times New Roman" w:hAnsi="Times New Roman"/>
          <w:szCs w:val="24"/>
        </w:rPr>
        <w:t xml:space="preserve">egulatory </w:t>
      </w:r>
      <w:r>
        <w:rPr>
          <w:rFonts w:ascii="Times New Roman" w:hAnsi="Times New Roman"/>
          <w:szCs w:val="24"/>
        </w:rPr>
        <w:t>b</w:t>
      </w:r>
      <w:r w:rsidRPr="009D52AF">
        <w:rPr>
          <w:rFonts w:ascii="Times New Roman" w:hAnsi="Times New Roman"/>
          <w:szCs w:val="24"/>
        </w:rPr>
        <w:t>urdens</w:t>
      </w:r>
      <w:r>
        <w:rPr>
          <w:rFonts w:ascii="Times New Roman" w:hAnsi="Times New Roman"/>
          <w:szCs w:val="24"/>
        </w:rPr>
        <w:t xml:space="preserve">, the resolution </w:t>
      </w:r>
      <w:r w:rsidRPr="000E125F">
        <w:rPr>
          <w:rFonts w:ascii="Times New Roman" w:hAnsi="Times New Roman"/>
          <w:szCs w:val="24"/>
          <w:lang w:val="en-IE"/>
        </w:rPr>
        <w:t>call</w:t>
      </w:r>
      <w:r>
        <w:rPr>
          <w:rFonts w:ascii="Times New Roman" w:hAnsi="Times New Roman"/>
          <w:szCs w:val="24"/>
        </w:rPr>
        <w:t>s</w:t>
      </w:r>
      <w:r w:rsidRPr="000E125F">
        <w:rPr>
          <w:rFonts w:ascii="Times New Roman" w:hAnsi="Times New Roman"/>
          <w:szCs w:val="24"/>
          <w:lang w:val="en-IE"/>
        </w:rPr>
        <w:t xml:space="preserve"> for the consistent application of the ‘think small first’ principle </w:t>
      </w:r>
      <w:r>
        <w:rPr>
          <w:rFonts w:ascii="Times New Roman" w:hAnsi="Times New Roman"/>
          <w:szCs w:val="24"/>
        </w:rPr>
        <w:t xml:space="preserve">both </w:t>
      </w:r>
      <w:r w:rsidRPr="000E125F">
        <w:rPr>
          <w:rFonts w:ascii="Times New Roman" w:hAnsi="Times New Roman"/>
          <w:szCs w:val="24"/>
          <w:lang w:val="en-IE"/>
        </w:rPr>
        <w:t>in internal deliberations and across relevant legislative proposals.</w:t>
      </w:r>
      <w:r>
        <w:rPr>
          <w:rFonts w:ascii="Times New Roman" w:hAnsi="Times New Roman"/>
          <w:szCs w:val="24"/>
        </w:rPr>
        <w:t xml:space="preserve"> Moreover, it</w:t>
      </w:r>
      <w:r w:rsidRPr="000E125F">
        <w:rPr>
          <w:rFonts w:ascii="Times New Roman" w:hAnsi="Times New Roman"/>
          <w:szCs w:val="24"/>
          <w:lang w:val="en-IE"/>
        </w:rPr>
        <w:t xml:space="preserve"> </w:t>
      </w:r>
      <w:proofErr w:type="spellStart"/>
      <w:r w:rsidRPr="000E125F">
        <w:rPr>
          <w:rFonts w:ascii="Times New Roman" w:hAnsi="Times New Roman"/>
          <w:szCs w:val="24"/>
          <w:lang w:val="en-IE"/>
        </w:rPr>
        <w:t>underlin</w:t>
      </w:r>
      <w:proofErr w:type="spellEnd"/>
      <w:r>
        <w:rPr>
          <w:rFonts w:ascii="Times New Roman" w:hAnsi="Times New Roman"/>
          <w:szCs w:val="24"/>
        </w:rPr>
        <w:t>es</w:t>
      </w:r>
      <w:r w:rsidRPr="000E125F">
        <w:rPr>
          <w:rFonts w:ascii="Times New Roman" w:hAnsi="Times New Roman"/>
          <w:szCs w:val="24"/>
          <w:lang w:val="en-IE"/>
        </w:rPr>
        <w:t xml:space="preserve"> the importance of limiting compliance costs for start-ups and scale-ups and call</w:t>
      </w:r>
      <w:r>
        <w:rPr>
          <w:rFonts w:ascii="Times New Roman" w:hAnsi="Times New Roman"/>
          <w:szCs w:val="24"/>
        </w:rPr>
        <w:t>s</w:t>
      </w:r>
      <w:r w:rsidRPr="000E125F">
        <w:rPr>
          <w:rFonts w:ascii="Times New Roman" w:hAnsi="Times New Roman"/>
          <w:szCs w:val="24"/>
          <w:lang w:val="en-IE"/>
        </w:rPr>
        <w:t xml:space="preserve"> on the Commission to expand support for SMEs, </w:t>
      </w:r>
      <w:proofErr w:type="gramStart"/>
      <w:r w:rsidRPr="000E125F">
        <w:rPr>
          <w:rFonts w:ascii="Times New Roman" w:hAnsi="Times New Roman"/>
          <w:szCs w:val="24"/>
          <w:lang w:val="en-IE"/>
        </w:rPr>
        <w:t>start-ups</w:t>
      </w:r>
      <w:proofErr w:type="gramEnd"/>
      <w:r w:rsidRPr="000E125F">
        <w:rPr>
          <w:rFonts w:ascii="Times New Roman" w:hAnsi="Times New Roman"/>
          <w:szCs w:val="24"/>
          <w:lang w:val="en-IE"/>
        </w:rPr>
        <w:t xml:space="preserve"> and scale-ups in navigating regulatory complexity.</w:t>
      </w:r>
      <w:r>
        <w:rPr>
          <w:rFonts w:ascii="Times New Roman" w:hAnsi="Times New Roman"/>
          <w:szCs w:val="24"/>
        </w:rPr>
        <w:t xml:space="preserve"> Finally, it</w:t>
      </w:r>
      <w:r w:rsidRPr="000E125F">
        <w:rPr>
          <w:rFonts w:ascii="Times New Roman" w:hAnsi="Times New Roman"/>
          <w:szCs w:val="24"/>
          <w:lang w:val="en-IE"/>
        </w:rPr>
        <w:t xml:space="preserve"> urge</w:t>
      </w:r>
      <w:r>
        <w:rPr>
          <w:rFonts w:ascii="Times New Roman" w:hAnsi="Times New Roman"/>
          <w:szCs w:val="24"/>
        </w:rPr>
        <w:t>s</w:t>
      </w:r>
      <w:r w:rsidRPr="000E125F">
        <w:rPr>
          <w:rFonts w:ascii="Times New Roman" w:hAnsi="Times New Roman"/>
          <w:szCs w:val="24"/>
          <w:lang w:val="en-IE"/>
        </w:rPr>
        <w:t xml:space="preserve"> the Commission to adopt a ‘start-up test’, along the same lines as the SME test </w:t>
      </w:r>
      <w:proofErr w:type="gramStart"/>
      <w:r w:rsidRPr="000E125F">
        <w:rPr>
          <w:rFonts w:ascii="Times New Roman" w:hAnsi="Times New Roman"/>
          <w:szCs w:val="24"/>
          <w:lang w:val="en-IE"/>
        </w:rPr>
        <w:t>in order to</w:t>
      </w:r>
      <w:proofErr w:type="gramEnd"/>
      <w:r w:rsidRPr="000E125F">
        <w:rPr>
          <w:rFonts w:ascii="Times New Roman" w:hAnsi="Times New Roman"/>
          <w:szCs w:val="24"/>
          <w:lang w:val="en-IE"/>
        </w:rPr>
        <w:t xml:space="preserve"> better assess the impact of legislation focusing on innovation, financing and competitiveness.</w:t>
      </w:r>
    </w:p>
    <w:p w14:paraId="37C01F2B" w14:textId="77777777" w:rsidR="00713742" w:rsidRPr="009D52AF" w:rsidRDefault="00713742" w:rsidP="00713742">
      <w:pPr>
        <w:widowControl w:val="0"/>
        <w:spacing w:after="120"/>
        <w:rPr>
          <w:rFonts w:ascii="Times New Roman" w:hAnsi="Times New Roman"/>
          <w:szCs w:val="24"/>
        </w:rPr>
      </w:pPr>
      <w:proofErr w:type="gramStart"/>
      <w:r>
        <w:rPr>
          <w:rFonts w:ascii="Times New Roman" w:hAnsi="Times New Roman"/>
          <w:szCs w:val="24"/>
        </w:rPr>
        <w:t>With regard to</w:t>
      </w:r>
      <w:proofErr w:type="gramEnd"/>
      <w:r>
        <w:rPr>
          <w:rFonts w:ascii="Times New Roman" w:hAnsi="Times New Roman"/>
          <w:szCs w:val="24"/>
        </w:rPr>
        <w:t xml:space="preserve"> t</w:t>
      </w:r>
      <w:r w:rsidRPr="009D52AF">
        <w:rPr>
          <w:rFonts w:ascii="Times New Roman" w:hAnsi="Times New Roman"/>
          <w:szCs w:val="24"/>
        </w:rPr>
        <w:t xml:space="preserve">alent </w:t>
      </w:r>
      <w:r>
        <w:rPr>
          <w:rFonts w:ascii="Times New Roman" w:hAnsi="Times New Roman"/>
          <w:szCs w:val="24"/>
        </w:rPr>
        <w:t>a</w:t>
      </w:r>
      <w:r w:rsidRPr="009D52AF">
        <w:rPr>
          <w:rFonts w:ascii="Times New Roman" w:hAnsi="Times New Roman"/>
          <w:szCs w:val="24"/>
        </w:rPr>
        <w:t>cquisition</w:t>
      </w:r>
      <w:r>
        <w:rPr>
          <w:rFonts w:ascii="Times New Roman" w:hAnsi="Times New Roman"/>
          <w:szCs w:val="24"/>
        </w:rPr>
        <w:t>, t</w:t>
      </w:r>
      <w:r w:rsidRPr="009D52AF">
        <w:rPr>
          <w:rFonts w:ascii="Times New Roman" w:hAnsi="Times New Roman"/>
          <w:szCs w:val="24"/>
        </w:rPr>
        <w:t xml:space="preserve">he </w:t>
      </w:r>
      <w:r>
        <w:rPr>
          <w:rFonts w:ascii="Times New Roman" w:hAnsi="Times New Roman"/>
          <w:szCs w:val="24"/>
        </w:rPr>
        <w:t>r</w:t>
      </w:r>
      <w:r w:rsidRPr="009D52AF">
        <w:rPr>
          <w:rFonts w:ascii="Times New Roman" w:hAnsi="Times New Roman"/>
          <w:szCs w:val="24"/>
        </w:rPr>
        <w:t xml:space="preserve">esolution highlights the importance of bridging the talent gap in the technology sector, promoting digital and industrial skills, and encouraging collaboration between academic institutions and industry. </w:t>
      </w:r>
      <w:r>
        <w:rPr>
          <w:rFonts w:ascii="Times New Roman" w:hAnsi="Times New Roman"/>
          <w:szCs w:val="24"/>
        </w:rPr>
        <w:t>The resolution</w:t>
      </w:r>
      <w:r w:rsidRPr="009D52AF">
        <w:rPr>
          <w:rFonts w:ascii="Times New Roman" w:hAnsi="Times New Roman"/>
          <w:szCs w:val="24"/>
        </w:rPr>
        <w:t xml:space="preserve"> also stresses the need for awareness campaigns to promote jobs in digital and industrial environments, focusing on attracting more female talent.</w:t>
      </w:r>
    </w:p>
    <w:p w14:paraId="60788B16" w14:textId="77777777" w:rsidR="00713742" w:rsidRPr="009D52AF" w:rsidRDefault="00713742" w:rsidP="00713742">
      <w:pPr>
        <w:widowControl w:val="0"/>
        <w:spacing w:after="120"/>
        <w:rPr>
          <w:rFonts w:ascii="Times New Roman" w:hAnsi="Times New Roman"/>
          <w:szCs w:val="24"/>
        </w:rPr>
      </w:pPr>
      <w:r>
        <w:rPr>
          <w:rFonts w:ascii="Times New Roman" w:hAnsi="Times New Roman"/>
          <w:szCs w:val="24"/>
        </w:rPr>
        <w:t>On m</w:t>
      </w:r>
      <w:r w:rsidRPr="009D52AF">
        <w:rPr>
          <w:rFonts w:ascii="Times New Roman" w:hAnsi="Times New Roman"/>
          <w:szCs w:val="24"/>
        </w:rPr>
        <w:t xml:space="preserve">arket </w:t>
      </w:r>
      <w:r>
        <w:rPr>
          <w:rFonts w:ascii="Times New Roman" w:hAnsi="Times New Roman"/>
          <w:szCs w:val="24"/>
        </w:rPr>
        <w:t>a</w:t>
      </w:r>
      <w:r w:rsidRPr="009D52AF">
        <w:rPr>
          <w:rFonts w:ascii="Times New Roman" w:hAnsi="Times New Roman"/>
          <w:szCs w:val="24"/>
        </w:rPr>
        <w:t xml:space="preserve">ccess and </w:t>
      </w:r>
      <w:r>
        <w:rPr>
          <w:rFonts w:ascii="Times New Roman" w:hAnsi="Times New Roman"/>
          <w:szCs w:val="24"/>
        </w:rPr>
        <w:t>c</w:t>
      </w:r>
      <w:r w:rsidRPr="009D52AF">
        <w:rPr>
          <w:rFonts w:ascii="Times New Roman" w:hAnsi="Times New Roman"/>
          <w:szCs w:val="24"/>
        </w:rPr>
        <w:t>ompetition</w:t>
      </w:r>
      <w:r>
        <w:rPr>
          <w:rFonts w:ascii="Times New Roman" w:hAnsi="Times New Roman"/>
          <w:szCs w:val="24"/>
        </w:rPr>
        <w:t>, t</w:t>
      </w:r>
      <w:r w:rsidRPr="009D52AF">
        <w:rPr>
          <w:rFonts w:ascii="Times New Roman" w:hAnsi="Times New Roman"/>
          <w:szCs w:val="24"/>
        </w:rPr>
        <w:t>he resolution emphasizes the importance of creating a simple, clear, and predictable environment for innovative businesses to operate, promoting collaboration, and mitigating risks associated with international expansion. It calls for the Unitary Patent reform to provide uniform protection and urges the Commission and the Member States to develop comprehensive plans to use start-up and scale-up innovation for competitiveness and achieving climate targets.</w:t>
      </w:r>
    </w:p>
    <w:p w14:paraId="0B7CBC5D" w14:textId="77777777" w:rsidR="00713742" w:rsidRPr="00CF34C5" w:rsidRDefault="00713742" w:rsidP="00713742">
      <w:pPr>
        <w:widowControl w:val="0"/>
        <w:spacing w:after="120"/>
        <w:rPr>
          <w:rFonts w:ascii="Times New Roman" w:hAnsi="Times New Roman"/>
          <w:szCs w:val="24"/>
        </w:rPr>
      </w:pPr>
      <w:r>
        <w:rPr>
          <w:rFonts w:ascii="Times New Roman" w:hAnsi="Times New Roman"/>
          <w:szCs w:val="24"/>
        </w:rPr>
        <w:t>Finally, the resolution calls on t</w:t>
      </w:r>
      <w:r w:rsidRPr="000E125F">
        <w:rPr>
          <w:rFonts w:ascii="Times New Roman" w:hAnsi="Times New Roman"/>
          <w:szCs w:val="24"/>
          <w:lang w:val="en-IE"/>
        </w:rPr>
        <w:t xml:space="preserve">he Commission </w:t>
      </w:r>
      <w:r>
        <w:rPr>
          <w:rFonts w:ascii="Times New Roman" w:hAnsi="Times New Roman"/>
          <w:szCs w:val="24"/>
        </w:rPr>
        <w:t>to</w:t>
      </w:r>
      <w:r w:rsidRPr="000E125F">
        <w:rPr>
          <w:rFonts w:ascii="Times New Roman" w:hAnsi="Times New Roman"/>
          <w:szCs w:val="24"/>
          <w:lang w:val="en-IE"/>
        </w:rPr>
        <w:t xml:space="preserve"> consider how additional initiatives could be put forward to increase the competitiveness of European start-ups and scale-ups involved in net-zero technology value chains</w:t>
      </w:r>
      <w:r>
        <w:rPr>
          <w:rFonts w:ascii="Times New Roman" w:hAnsi="Times New Roman"/>
          <w:szCs w:val="24"/>
        </w:rPr>
        <w:t>.</w:t>
      </w:r>
    </w:p>
    <w:p w14:paraId="4B52E871" w14:textId="77777777" w:rsidR="00713742" w:rsidRPr="00313481" w:rsidRDefault="00713742" w:rsidP="00713742">
      <w:pPr>
        <w:keepNext/>
        <w:keepLines/>
        <w:numPr>
          <w:ilvl w:val="0"/>
          <w:numId w:val="28"/>
        </w:numPr>
        <w:ind w:left="567" w:hanging="567"/>
        <w:rPr>
          <w:rFonts w:ascii="Times New Roman" w:hAnsi="Times New Roman"/>
          <w:b/>
          <w:bCs/>
          <w:i/>
          <w:iCs/>
          <w:szCs w:val="24"/>
        </w:rPr>
      </w:pPr>
      <w:r w:rsidRPr="00313481">
        <w:rPr>
          <w:rFonts w:ascii="Times New Roman" w:hAnsi="Times New Roman"/>
          <w:b/>
          <w:bCs/>
          <w:szCs w:val="24"/>
        </w:rPr>
        <w:lastRenderedPageBreak/>
        <w:t>Response to the requests and overview of the action taken, or intended to be taken, by the Commission:</w:t>
      </w:r>
    </w:p>
    <w:p w14:paraId="46AC1AC8" w14:textId="77777777" w:rsidR="00713742" w:rsidRDefault="00713742" w:rsidP="00713742">
      <w:pPr>
        <w:keepNext/>
        <w:keepLines/>
        <w:spacing w:after="120"/>
        <w:rPr>
          <w:rFonts w:ascii="Times New Roman" w:hAnsi="Times New Roman"/>
          <w:b/>
          <w:bCs/>
          <w:i/>
          <w:iCs/>
          <w:szCs w:val="24"/>
        </w:rPr>
      </w:pPr>
      <w:r>
        <w:rPr>
          <w:rFonts w:ascii="Times New Roman" w:hAnsi="Times New Roman"/>
          <w:b/>
          <w:bCs/>
          <w:i/>
          <w:iCs/>
          <w:szCs w:val="24"/>
        </w:rPr>
        <w:t>Definitions</w:t>
      </w:r>
    </w:p>
    <w:p w14:paraId="538C3B6E" w14:textId="77777777" w:rsidR="00713742" w:rsidRPr="00247306" w:rsidRDefault="00713742" w:rsidP="00713742">
      <w:pPr>
        <w:widowControl w:val="0"/>
        <w:spacing w:after="120"/>
        <w:rPr>
          <w:rFonts w:ascii="Times New Roman" w:hAnsi="Times New Roman"/>
          <w:b/>
          <w:bCs/>
          <w:i/>
          <w:iCs/>
          <w:szCs w:val="24"/>
        </w:rPr>
      </w:pPr>
      <w:r>
        <w:rPr>
          <w:rFonts w:ascii="Times New Roman" w:hAnsi="Times New Roman"/>
          <w:szCs w:val="24"/>
        </w:rPr>
        <w:t>On</w:t>
      </w:r>
      <w:r w:rsidRPr="007B2E41">
        <w:rPr>
          <w:rFonts w:ascii="Times New Roman" w:hAnsi="Times New Roman"/>
          <w:szCs w:val="24"/>
          <w:lang w:val="en-IE"/>
        </w:rPr>
        <w:t xml:space="preserve"> to</w:t>
      </w:r>
      <w:r>
        <w:rPr>
          <w:rFonts w:ascii="Times New Roman" w:hAnsi="Times New Roman"/>
          <w:szCs w:val="24"/>
          <w:lang w:val="en-IE"/>
        </w:rPr>
        <w:t xml:space="preserve"> </w:t>
      </w:r>
      <w:r w:rsidRPr="008D593F">
        <w:rPr>
          <w:rFonts w:ascii="Times New Roman" w:hAnsi="Times New Roman"/>
          <w:szCs w:val="24"/>
        </w:rPr>
        <w:t>the introduction of dedicated definitions from start-ups and scale-ups</w:t>
      </w:r>
      <w:r>
        <w:rPr>
          <w:rFonts w:ascii="Times New Roman" w:hAnsi="Times New Roman"/>
          <w:szCs w:val="24"/>
        </w:rPr>
        <w:t xml:space="preserve"> </w:t>
      </w:r>
      <w:r w:rsidRPr="00247306">
        <w:rPr>
          <w:rFonts w:ascii="Times New Roman" w:hAnsi="Times New Roman"/>
          <w:szCs w:val="24"/>
        </w:rPr>
        <w:t>(</w:t>
      </w:r>
      <w:r w:rsidRPr="00247306">
        <w:rPr>
          <w:rFonts w:ascii="Times New Roman" w:hAnsi="Times New Roman"/>
          <w:b/>
          <w:bCs/>
          <w:szCs w:val="24"/>
        </w:rPr>
        <w:t>paragraph</w:t>
      </w:r>
      <w:r>
        <w:rPr>
          <w:rFonts w:ascii="Times New Roman" w:hAnsi="Times New Roman"/>
          <w:b/>
          <w:bCs/>
          <w:szCs w:val="24"/>
        </w:rPr>
        <w:t> </w:t>
      </w:r>
      <w:r w:rsidRPr="00247306">
        <w:rPr>
          <w:rFonts w:ascii="Times New Roman" w:hAnsi="Times New Roman"/>
          <w:b/>
          <w:bCs/>
          <w:szCs w:val="24"/>
        </w:rPr>
        <w:t>1</w:t>
      </w:r>
      <w:r w:rsidRPr="00247306">
        <w:rPr>
          <w:rFonts w:ascii="Times New Roman" w:hAnsi="Times New Roman"/>
          <w:szCs w:val="24"/>
        </w:rPr>
        <w:t>)</w:t>
      </w:r>
      <w:r>
        <w:rPr>
          <w:rFonts w:ascii="Times New Roman" w:hAnsi="Times New Roman"/>
          <w:szCs w:val="24"/>
        </w:rPr>
        <w:t xml:space="preserve">, </w:t>
      </w:r>
      <w:r w:rsidRPr="00247306">
        <w:rPr>
          <w:rFonts w:ascii="Times New Roman" w:hAnsi="Times New Roman"/>
          <w:szCs w:val="24"/>
        </w:rPr>
        <w:t>the Commission already uses more informal, but fully appropriate start-up</w:t>
      </w:r>
      <w:r>
        <w:rPr>
          <w:rStyle w:val="FootnoteReference"/>
          <w:rFonts w:ascii="Times New Roman" w:hAnsi="Times New Roman"/>
          <w:szCs w:val="24"/>
        </w:rPr>
        <w:footnoteReference w:id="2"/>
      </w:r>
      <w:r w:rsidRPr="00247306">
        <w:rPr>
          <w:rFonts w:ascii="Times New Roman" w:hAnsi="Times New Roman"/>
          <w:szCs w:val="24"/>
        </w:rPr>
        <w:t xml:space="preserve"> and scale-up</w:t>
      </w:r>
      <w:r>
        <w:rPr>
          <w:rStyle w:val="FootnoteReference"/>
          <w:rFonts w:ascii="Times New Roman" w:hAnsi="Times New Roman"/>
          <w:szCs w:val="24"/>
        </w:rPr>
        <w:footnoteReference w:id="3"/>
      </w:r>
      <w:r w:rsidRPr="00247306">
        <w:rPr>
          <w:rFonts w:ascii="Times New Roman" w:hAnsi="Times New Roman"/>
          <w:szCs w:val="24"/>
        </w:rPr>
        <w:t xml:space="preserve"> definitions that are fit for purpose in the specific contexts in which they are used.</w:t>
      </w:r>
      <w:r>
        <w:rPr>
          <w:rFonts w:ascii="Times New Roman" w:hAnsi="Times New Roman"/>
          <w:szCs w:val="24"/>
        </w:rPr>
        <w:t xml:space="preserve"> These </w:t>
      </w:r>
      <w:proofErr w:type="gramStart"/>
      <w:r>
        <w:rPr>
          <w:rFonts w:ascii="Times New Roman" w:hAnsi="Times New Roman"/>
          <w:szCs w:val="24"/>
        </w:rPr>
        <w:t>take into account</w:t>
      </w:r>
      <w:proofErr w:type="gramEnd"/>
      <w:r>
        <w:rPr>
          <w:rFonts w:ascii="Times New Roman" w:hAnsi="Times New Roman"/>
          <w:szCs w:val="24"/>
        </w:rPr>
        <w:t xml:space="preserve"> </w:t>
      </w:r>
      <w:r w:rsidRPr="00247306">
        <w:rPr>
          <w:rFonts w:ascii="Times New Roman" w:hAnsi="Times New Roman"/>
          <w:szCs w:val="24"/>
        </w:rPr>
        <w:t xml:space="preserve">discussions in the context of Eurostat, the </w:t>
      </w:r>
      <w:r w:rsidRPr="00AF3260">
        <w:rPr>
          <w:rFonts w:ascii="Times New Roman" w:hAnsi="Times New Roman"/>
          <w:szCs w:val="24"/>
        </w:rPr>
        <w:t xml:space="preserve">Organisation for Economic Co-operation and Development (OECD) </w:t>
      </w:r>
      <w:r w:rsidRPr="00247306">
        <w:rPr>
          <w:rFonts w:ascii="Times New Roman" w:hAnsi="Times New Roman"/>
          <w:szCs w:val="24"/>
        </w:rPr>
        <w:t>and other fora</w:t>
      </w:r>
      <w:r>
        <w:rPr>
          <w:rFonts w:ascii="Times New Roman" w:hAnsi="Times New Roman"/>
          <w:szCs w:val="24"/>
        </w:rPr>
        <w:t xml:space="preserve">, which demonstrate the </w:t>
      </w:r>
      <w:r w:rsidRPr="00644B24">
        <w:rPr>
          <w:rFonts w:ascii="Times New Roman" w:hAnsi="Times New Roman"/>
          <w:szCs w:val="24"/>
        </w:rPr>
        <w:t xml:space="preserve">statistical and legal </w:t>
      </w:r>
      <w:r>
        <w:rPr>
          <w:rFonts w:ascii="Times New Roman" w:hAnsi="Times New Roman"/>
          <w:szCs w:val="24"/>
        </w:rPr>
        <w:t xml:space="preserve">challenges in determining </w:t>
      </w:r>
      <w:r w:rsidRPr="00247306">
        <w:rPr>
          <w:rFonts w:ascii="Times New Roman" w:hAnsi="Times New Roman"/>
          <w:szCs w:val="24"/>
        </w:rPr>
        <w:t xml:space="preserve">a </w:t>
      </w:r>
      <w:r>
        <w:rPr>
          <w:rFonts w:ascii="Times New Roman" w:hAnsi="Times New Roman"/>
          <w:szCs w:val="24"/>
        </w:rPr>
        <w:t xml:space="preserve">relevant and </w:t>
      </w:r>
      <w:r w:rsidRPr="00247306">
        <w:rPr>
          <w:rFonts w:ascii="Times New Roman" w:hAnsi="Times New Roman"/>
          <w:szCs w:val="24"/>
        </w:rPr>
        <w:t xml:space="preserve">sound uniform definition, especially for start-ups </w:t>
      </w:r>
      <w:r w:rsidRPr="00247306">
        <w:rPr>
          <w:rFonts w:ascii="Times New Roman" w:hAnsi="Times New Roman"/>
          <w:b/>
          <w:bCs/>
          <w:szCs w:val="24"/>
        </w:rPr>
        <w:t>(paragraph 2)</w:t>
      </w:r>
      <w:r w:rsidRPr="00247306">
        <w:rPr>
          <w:rFonts w:ascii="Times New Roman" w:hAnsi="Times New Roman"/>
          <w:szCs w:val="24"/>
        </w:rPr>
        <w:t>.</w:t>
      </w:r>
      <w:r>
        <w:rPr>
          <w:rFonts w:ascii="Times New Roman" w:hAnsi="Times New Roman"/>
          <w:szCs w:val="24"/>
        </w:rPr>
        <w:t xml:space="preserve"> For example, </w:t>
      </w:r>
      <w:r w:rsidRPr="00247306">
        <w:rPr>
          <w:rFonts w:ascii="Times New Roman" w:hAnsi="Times New Roman"/>
          <w:szCs w:val="24"/>
        </w:rPr>
        <w:t xml:space="preserve">a potential definition would have to ensure a watertight distinction between start-up in the spirit of the initiative and any newly started business. </w:t>
      </w:r>
      <w:r>
        <w:rPr>
          <w:rFonts w:ascii="Times New Roman" w:hAnsi="Times New Roman"/>
          <w:szCs w:val="24"/>
        </w:rPr>
        <w:t>I</w:t>
      </w:r>
      <w:r w:rsidRPr="00247306">
        <w:rPr>
          <w:rFonts w:ascii="Times New Roman" w:hAnsi="Times New Roman"/>
          <w:szCs w:val="24"/>
        </w:rPr>
        <w:t>t should be noted that the Commission</w:t>
      </w:r>
      <w:r>
        <w:rPr>
          <w:rFonts w:ascii="Times New Roman" w:hAnsi="Times New Roman"/>
          <w:szCs w:val="24"/>
        </w:rPr>
        <w:t xml:space="preserve"> </w:t>
      </w:r>
      <w:r w:rsidRPr="00247306">
        <w:rPr>
          <w:rFonts w:ascii="Times New Roman" w:hAnsi="Times New Roman"/>
          <w:szCs w:val="24"/>
        </w:rPr>
        <w:t xml:space="preserve">has </w:t>
      </w:r>
      <w:r>
        <w:rPr>
          <w:rFonts w:ascii="Times New Roman" w:hAnsi="Times New Roman"/>
          <w:szCs w:val="24"/>
        </w:rPr>
        <w:t xml:space="preserve">various </w:t>
      </w:r>
      <w:r w:rsidRPr="00247306">
        <w:rPr>
          <w:rFonts w:ascii="Times New Roman" w:hAnsi="Times New Roman"/>
          <w:szCs w:val="24"/>
        </w:rPr>
        <w:t xml:space="preserve">instruments at its disposal that are geared towards the specific interests of SMEs, </w:t>
      </w:r>
      <w:proofErr w:type="gramStart"/>
      <w:r w:rsidRPr="00247306">
        <w:rPr>
          <w:rFonts w:ascii="Times New Roman" w:hAnsi="Times New Roman"/>
          <w:szCs w:val="24"/>
        </w:rPr>
        <w:t>start-ups</w:t>
      </w:r>
      <w:proofErr w:type="gramEnd"/>
      <w:r w:rsidRPr="00247306">
        <w:rPr>
          <w:rFonts w:ascii="Times New Roman" w:hAnsi="Times New Roman"/>
          <w:szCs w:val="24"/>
        </w:rPr>
        <w:t xml:space="preserve"> and scale-ups </w:t>
      </w:r>
      <w:r w:rsidRPr="00247306">
        <w:rPr>
          <w:rFonts w:ascii="Times New Roman" w:hAnsi="Times New Roman"/>
          <w:b/>
          <w:bCs/>
          <w:szCs w:val="24"/>
        </w:rPr>
        <w:t>(paragraph 3)</w:t>
      </w:r>
      <w:r w:rsidRPr="00AF3260">
        <w:rPr>
          <w:rFonts w:ascii="Times New Roman" w:hAnsi="Times New Roman"/>
          <w:szCs w:val="24"/>
        </w:rPr>
        <w:t>.</w:t>
      </w:r>
      <w:r w:rsidRPr="00247306">
        <w:rPr>
          <w:rFonts w:ascii="Times New Roman" w:hAnsi="Times New Roman"/>
          <w:szCs w:val="24"/>
        </w:rPr>
        <w:t xml:space="preserve"> </w:t>
      </w:r>
      <w:r>
        <w:rPr>
          <w:rFonts w:ascii="Times New Roman" w:hAnsi="Times New Roman"/>
          <w:szCs w:val="24"/>
        </w:rPr>
        <w:t xml:space="preserve">Regarding the </w:t>
      </w:r>
      <w:r w:rsidRPr="004A6CA7">
        <w:rPr>
          <w:rFonts w:ascii="Times New Roman" w:hAnsi="Times New Roman"/>
          <w:szCs w:val="24"/>
        </w:rPr>
        <w:t>efforts to attract private capital in start-ups and scale-ups</w:t>
      </w:r>
      <w:r>
        <w:rPr>
          <w:rFonts w:ascii="Times New Roman" w:hAnsi="Times New Roman"/>
          <w:szCs w:val="24"/>
        </w:rPr>
        <w:t>, t</w:t>
      </w:r>
      <w:r w:rsidRPr="00247306">
        <w:rPr>
          <w:rFonts w:ascii="Times New Roman" w:hAnsi="Times New Roman"/>
          <w:szCs w:val="24"/>
        </w:rPr>
        <w:t xml:space="preserve">he Commission is fully aligned with the proposed idea of further improving </w:t>
      </w:r>
      <w:r>
        <w:rPr>
          <w:rFonts w:ascii="Times New Roman" w:hAnsi="Times New Roman"/>
          <w:szCs w:val="24"/>
        </w:rPr>
        <w:t>it</w:t>
      </w:r>
      <w:r w:rsidRPr="00247306">
        <w:rPr>
          <w:rFonts w:ascii="Times New Roman" w:hAnsi="Times New Roman"/>
          <w:szCs w:val="24"/>
        </w:rPr>
        <w:t xml:space="preserve"> for start-ups and scale-ups and ensur</w:t>
      </w:r>
      <w:r>
        <w:rPr>
          <w:rFonts w:ascii="Times New Roman" w:hAnsi="Times New Roman"/>
          <w:szCs w:val="24"/>
        </w:rPr>
        <w:t>ing</w:t>
      </w:r>
      <w:r w:rsidRPr="00247306">
        <w:rPr>
          <w:rFonts w:ascii="Times New Roman" w:hAnsi="Times New Roman"/>
          <w:szCs w:val="24"/>
        </w:rPr>
        <w:t xml:space="preserve"> an effective coordination between Member States and the EU level. This is also reflected in the dedicated measures included in the recent SME relief package</w:t>
      </w:r>
      <w:r>
        <w:rPr>
          <w:rFonts w:ascii="Times New Roman" w:hAnsi="Times New Roman"/>
          <w:szCs w:val="24"/>
        </w:rPr>
        <w:t xml:space="preserve"> as well as</w:t>
      </w:r>
      <w:r w:rsidRPr="00247306">
        <w:rPr>
          <w:rFonts w:ascii="Times New Roman" w:hAnsi="Times New Roman"/>
          <w:szCs w:val="24"/>
        </w:rPr>
        <w:t xml:space="preserve"> in the SME strategy and in the Start-up and Scale-up Initiative </w:t>
      </w:r>
      <w:r w:rsidRPr="00247306">
        <w:rPr>
          <w:rFonts w:ascii="Times New Roman" w:hAnsi="Times New Roman"/>
          <w:b/>
          <w:bCs/>
          <w:szCs w:val="24"/>
        </w:rPr>
        <w:t>(paragraph 4)</w:t>
      </w:r>
      <w:r w:rsidRPr="00AF3260">
        <w:rPr>
          <w:rFonts w:ascii="Times New Roman" w:hAnsi="Times New Roman"/>
          <w:szCs w:val="24"/>
        </w:rPr>
        <w:t xml:space="preserve">. </w:t>
      </w:r>
      <w:r w:rsidRPr="00247306">
        <w:rPr>
          <w:rFonts w:ascii="Times New Roman" w:hAnsi="Times New Roman"/>
          <w:szCs w:val="24"/>
        </w:rPr>
        <w:t>Also, it should be noted that various initiatives are already in place to address the start-up and scale-up gaps by attracting private capital, in coordination with Member States. As an example, the E</w:t>
      </w:r>
      <w:r>
        <w:rPr>
          <w:rFonts w:ascii="Times New Roman" w:hAnsi="Times New Roman"/>
          <w:szCs w:val="24"/>
        </w:rPr>
        <w:t xml:space="preserve">uropean </w:t>
      </w:r>
      <w:r w:rsidRPr="00247306">
        <w:rPr>
          <w:rFonts w:ascii="Times New Roman" w:hAnsi="Times New Roman"/>
          <w:szCs w:val="24"/>
        </w:rPr>
        <w:t>I</w:t>
      </w:r>
      <w:r>
        <w:rPr>
          <w:rFonts w:ascii="Times New Roman" w:hAnsi="Times New Roman"/>
          <w:szCs w:val="24"/>
        </w:rPr>
        <w:t xml:space="preserve">nvestment </w:t>
      </w:r>
      <w:r w:rsidRPr="00247306">
        <w:rPr>
          <w:rFonts w:ascii="Times New Roman" w:hAnsi="Times New Roman"/>
          <w:szCs w:val="24"/>
        </w:rPr>
        <w:t>B</w:t>
      </w:r>
      <w:r>
        <w:rPr>
          <w:rFonts w:ascii="Times New Roman" w:hAnsi="Times New Roman"/>
          <w:szCs w:val="24"/>
        </w:rPr>
        <w:t>ank</w:t>
      </w:r>
      <w:r w:rsidRPr="00247306">
        <w:rPr>
          <w:rFonts w:ascii="Times New Roman" w:hAnsi="Times New Roman"/>
          <w:szCs w:val="24"/>
        </w:rPr>
        <w:t xml:space="preserve"> </w:t>
      </w:r>
      <w:r>
        <w:rPr>
          <w:rFonts w:ascii="Times New Roman" w:hAnsi="Times New Roman"/>
          <w:szCs w:val="24"/>
        </w:rPr>
        <w:t>G</w:t>
      </w:r>
      <w:r w:rsidRPr="00247306">
        <w:rPr>
          <w:rFonts w:ascii="Times New Roman" w:hAnsi="Times New Roman"/>
          <w:szCs w:val="24"/>
        </w:rPr>
        <w:t>roup and five EU Member States (</w:t>
      </w:r>
      <w:r>
        <w:rPr>
          <w:rFonts w:ascii="Times New Roman" w:hAnsi="Times New Roman"/>
          <w:szCs w:val="24"/>
        </w:rPr>
        <w:t>Germany</w:t>
      </w:r>
      <w:r w:rsidRPr="00247306">
        <w:rPr>
          <w:rFonts w:ascii="Times New Roman" w:hAnsi="Times New Roman"/>
          <w:szCs w:val="24"/>
        </w:rPr>
        <w:t>, F</w:t>
      </w:r>
      <w:r>
        <w:rPr>
          <w:rFonts w:ascii="Times New Roman" w:hAnsi="Times New Roman"/>
          <w:szCs w:val="24"/>
        </w:rPr>
        <w:t>rance,</w:t>
      </w:r>
      <w:r w:rsidRPr="00247306">
        <w:rPr>
          <w:rFonts w:ascii="Times New Roman" w:hAnsi="Times New Roman"/>
          <w:szCs w:val="24"/>
        </w:rPr>
        <w:t xml:space="preserve"> S</w:t>
      </w:r>
      <w:r>
        <w:rPr>
          <w:rFonts w:ascii="Times New Roman" w:hAnsi="Times New Roman"/>
          <w:szCs w:val="24"/>
        </w:rPr>
        <w:t>pain</w:t>
      </w:r>
      <w:r w:rsidRPr="00247306">
        <w:rPr>
          <w:rFonts w:ascii="Times New Roman" w:hAnsi="Times New Roman"/>
          <w:szCs w:val="24"/>
        </w:rPr>
        <w:t xml:space="preserve">, </w:t>
      </w:r>
      <w:proofErr w:type="gramStart"/>
      <w:r w:rsidRPr="00247306">
        <w:rPr>
          <w:rFonts w:ascii="Times New Roman" w:hAnsi="Times New Roman"/>
          <w:szCs w:val="24"/>
        </w:rPr>
        <w:t>I</w:t>
      </w:r>
      <w:r>
        <w:rPr>
          <w:rFonts w:ascii="Times New Roman" w:hAnsi="Times New Roman"/>
          <w:szCs w:val="24"/>
        </w:rPr>
        <w:t>taly</w:t>
      </w:r>
      <w:proofErr w:type="gramEnd"/>
      <w:r w:rsidRPr="00247306">
        <w:rPr>
          <w:rFonts w:ascii="Times New Roman" w:hAnsi="Times New Roman"/>
          <w:szCs w:val="24"/>
        </w:rPr>
        <w:t xml:space="preserve"> and B</w:t>
      </w:r>
      <w:r>
        <w:rPr>
          <w:rFonts w:ascii="Times New Roman" w:hAnsi="Times New Roman"/>
          <w:szCs w:val="24"/>
        </w:rPr>
        <w:t>elgium</w:t>
      </w:r>
      <w:r w:rsidRPr="00247306">
        <w:rPr>
          <w:rFonts w:ascii="Times New Roman" w:hAnsi="Times New Roman"/>
          <w:szCs w:val="24"/>
        </w:rPr>
        <w:t>) launched in February 2023 the European Tech Champions Initiative (ETCI</w:t>
      </w:r>
      <w:r w:rsidRPr="00247306">
        <w:rPr>
          <w:rStyle w:val="FootnoteReference"/>
          <w:rFonts w:ascii="Times New Roman" w:hAnsi="Times New Roman"/>
          <w:szCs w:val="24"/>
        </w:rPr>
        <w:footnoteReference w:id="4"/>
      </w:r>
      <w:r w:rsidRPr="00247306">
        <w:rPr>
          <w:rFonts w:ascii="Times New Roman" w:hAnsi="Times New Roman"/>
          <w:szCs w:val="24"/>
        </w:rPr>
        <w:t>), a fund of funds structure that will channel late-stage growth capital to promising European innovative companies.</w:t>
      </w:r>
    </w:p>
    <w:p w14:paraId="45D0BD75" w14:textId="77777777" w:rsidR="00713742" w:rsidRPr="00247306" w:rsidRDefault="00713742" w:rsidP="00713742">
      <w:pPr>
        <w:widowControl w:val="0"/>
        <w:spacing w:after="120"/>
        <w:rPr>
          <w:rFonts w:ascii="Times New Roman" w:hAnsi="Times New Roman"/>
          <w:b/>
          <w:bCs/>
          <w:i/>
          <w:iCs/>
          <w:szCs w:val="24"/>
        </w:rPr>
      </w:pPr>
      <w:r w:rsidRPr="00247306">
        <w:rPr>
          <w:rFonts w:ascii="Times New Roman" w:hAnsi="Times New Roman"/>
          <w:b/>
          <w:bCs/>
          <w:i/>
          <w:iCs/>
          <w:szCs w:val="24"/>
        </w:rPr>
        <w:t>Access to funding</w:t>
      </w:r>
    </w:p>
    <w:p w14:paraId="74010AD1" w14:textId="77777777" w:rsidR="00713742" w:rsidRPr="00D77857" w:rsidRDefault="00713742" w:rsidP="00713742">
      <w:pPr>
        <w:spacing w:after="120"/>
        <w:rPr>
          <w:rFonts w:ascii="Times New Roman" w:hAnsi="Times New Roman"/>
          <w:i/>
          <w:iCs/>
          <w:szCs w:val="24"/>
        </w:rPr>
      </w:pPr>
      <w:r w:rsidRPr="00247306">
        <w:rPr>
          <w:rFonts w:ascii="Times New Roman" w:hAnsi="Times New Roman"/>
          <w:szCs w:val="24"/>
        </w:rPr>
        <w:t>A</w:t>
      </w:r>
      <w:r>
        <w:rPr>
          <w:rFonts w:ascii="Times New Roman" w:hAnsi="Times New Roman"/>
          <w:szCs w:val="24"/>
        </w:rPr>
        <w:t>bout</w:t>
      </w:r>
      <w:r w:rsidRPr="00247306">
        <w:rPr>
          <w:rFonts w:ascii="Times New Roman" w:hAnsi="Times New Roman"/>
          <w:szCs w:val="24"/>
        </w:rPr>
        <w:t xml:space="preserve"> access to finance </w:t>
      </w:r>
      <w:r w:rsidRPr="00247306">
        <w:rPr>
          <w:rFonts w:ascii="Times New Roman" w:hAnsi="Times New Roman"/>
          <w:b/>
          <w:bCs/>
          <w:szCs w:val="24"/>
        </w:rPr>
        <w:t>(paragraph 5)</w:t>
      </w:r>
      <w:r w:rsidRPr="00247306">
        <w:rPr>
          <w:rFonts w:ascii="Times New Roman" w:hAnsi="Times New Roman"/>
          <w:szCs w:val="24"/>
        </w:rPr>
        <w:t xml:space="preserve"> the Commission acknowledges the challenges faced by European start-ups in scaling up across Europe. Under the Commission’s New European Innovation Agenda, several actions aim at tackling the funding gap for deep tech scale ups. In addition, the European Scale-Up Action for Risk Capital (ESCALAR</w:t>
      </w:r>
      <w:r w:rsidRPr="00247306">
        <w:rPr>
          <w:rStyle w:val="FootnoteReference"/>
          <w:rFonts w:ascii="Times New Roman" w:hAnsi="Times New Roman"/>
          <w:szCs w:val="24"/>
        </w:rPr>
        <w:footnoteReference w:id="5"/>
      </w:r>
      <w:r w:rsidRPr="00247306">
        <w:rPr>
          <w:rFonts w:ascii="Times New Roman" w:hAnsi="Times New Roman"/>
          <w:szCs w:val="24"/>
        </w:rPr>
        <w:t xml:space="preserve">) mechanism under </w:t>
      </w:r>
      <w:proofErr w:type="spellStart"/>
      <w:r w:rsidRPr="00247306">
        <w:rPr>
          <w:rFonts w:ascii="Times New Roman" w:hAnsi="Times New Roman"/>
          <w:szCs w:val="24"/>
        </w:rPr>
        <w:t>InvestEU</w:t>
      </w:r>
      <w:proofErr w:type="spellEnd"/>
      <w:r w:rsidRPr="00247306">
        <w:rPr>
          <w:rFonts w:ascii="Times New Roman" w:hAnsi="Times New Roman"/>
          <w:szCs w:val="24"/>
        </w:rPr>
        <w:t xml:space="preserve"> has been expanded with the aim of mobilising funding for high-growth scale-ups in the EU. In particular, the initiative aims at stimulating more involvement of risk-averse private investors into scale-up venture capital funds. The E</w:t>
      </w:r>
      <w:r>
        <w:rPr>
          <w:rFonts w:ascii="Times New Roman" w:hAnsi="Times New Roman"/>
          <w:szCs w:val="24"/>
        </w:rPr>
        <w:t xml:space="preserve">uropean Investment </w:t>
      </w:r>
      <w:r w:rsidRPr="00247306">
        <w:rPr>
          <w:rFonts w:ascii="Times New Roman" w:hAnsi="Times New Roman"/>
          <w:szCs w:val="24"/>
        </w:rPr>
        <w:t>F</w:t>
      </w:r>
      <w:r>
        <w:rPr>
          <w:rFonts w:ascii="Times New Roman" w:hAnsi="Times New Roman"/>
          <w:szCs w:val="24"/>
        </w:rPr>
        <w:t>und (EIF)</w:t>
      </w:r>
      <w:r w:rsidRPr="00247306">
        <w:rPr>
          <w:rFonts w:ascii="Times New Roman" w:hAnsi="Times New Roman"/>
          <w:szCs w:val="24"/>
        </w:rPr>
        <w:t xml:space="preserve"> is expected to select the most appropriate candidates </w:t>
      </w:r>
      <w:r w:rsidRPr="00247306">
        <w:rPr>
          <w:rFonts w:ascii="Times New Roman" w:hAnsi="Times New Roman"/>
          <w:szCs w:val="24"/>
        </w:rPr>
        <w:lastRenderedPageBreak/>
        <w:t>during 2024.</w:t>
      </w:r>
      <w:r>
        <w:rPr>
          <w:rFonts w:ascii="Times New Roman" w:hAnsi="Times New Roman"/>
          <w:szCs w:val="24"/>
        </w:rPr>
        <w:t xml:space="preserve"> </w:t>
      </w:r>
      <w:r w:rsidRPr="00D77857">
        <w:rPr>
          <w:rFonts w:ascii="Times New Roman" w:hAnsi="Times New Roman"/>
          <w:szCs w:val="24"/>
        </w:rPr>
        <w:t>The Commission also ensures that the competition policy framework allows for sufficient flexibility to support these companies, if need be.</w:t>
      </w:r>
      <w:r w:rsidRPr="00D77857">
        <w:rPr>
          <w:rFonts w:ascii="Times New Roman" w:hAnsi="Times New Roman"/>
          <w:b/>
          <w:bCs/>
          <w:szCs w:val="24"/>
        </w:rPr>
        <w:t xml:space="preserve"> </w:t>
      </w:r>
      <w:r w:rsidRPr="00D77857">
        <w:rPr>
          <w:rFonts w:ascii="Times New Roman" w:hAnsi="Times New Roman"/>
          <w:szCs w:val="24"/>
        </w:rPr>
        <w:t>Moreover, the State aid for access to finance framework offers a differentiated set of rules, allowing Member States to offer tailored support to start-ups and scale-ups: for example, the</w:t>
      </w:r>
      <w:r w:rsidRPr="00D77857">
        <w:rPr>
          <w:rFonts w:ascii="Times New Roman" w:hAnsi="Times New Roman"/>
          <w:szCs w:val="24"/>
          <w:lang w:val="en-IE"/>
        </w:rPr>
        <w:t xml:space="preserve"> State </w:t>
      </w:r>
      <w:r w:rsidRPr="00D77857">
        <w:rPr>
          <w:rFonts w:ascii="Times New Roman" w:hAnsi="Times New Roman"/>
          <w:szCs w:val="24"/>
        </w:rPr>
        <w:t>aid for start-ups under the General Block Exemption Regulation</w:t>
      </w:r>
      <w:r>
        <w:rPr>
          <w:rFonts w:ascii="Times New Roman" w:hAnsi="Times New Roman"/>
          <w:szCs w:val="24"/>
        </w:rPr>
        <w:t xml:space="preserve"> (BGER)</w:t>
      </w:r>
      <w:r w:rsidRPr="00D77857">
        <w:rPr>
          <w:rFonts w:ascii="Times New Roman" w:hAnsi="Times New Roman"/>
          <w:szCs w:val="24"/>
        </w:rPr>
        <w:t xml:space="preserve"> can be directly provided by Member States to start-ups, without involvement of financial intermediaries and using financial instruments and grants. </w:t>
      </w:r>
    </w:p>
    <w:p w14:paraId="6708E18B" w14:textId="77777777" w:rsidR="00713742" w:rsidRPr="00D77857" w:rsidRDefault="00713742" w:rsidP="00713742">
      <w:pPr>
        <w:spacing w:after="120"/>
        <w:rPr>
          <w:rFonts w:ascii="Times New Roman" w:hAnsi="Times New Roman"/>
          <w:szCs w:val="24"/>
        </w:rPr>
      </w:pPr>
      <w:r w:rsidRPr="00D77857">
        <w:rPr>
          <w:rFonts w:ascii="Times New Roman" w:hAnsi="Times New Roman"/>
          <w:szCs w:val="24"/>
        </w:rPr>
        <w:t xml:space="preserve">The Commission is in complete alignment as regards the seriousness of the problem of late payments </w:t>
      </w:r>
      <w:r w:rsidRPr="00D77857">
        <w:rPr>
          <w:rFonts w:ascii="Times New Roman" w:hAnsi="Times New Roman"/>
          <w:b/>
          <w:bCs/>
          <w:szCs w:val="24"/>
        </w:rPr>
        <w:t>(paragraph 6)</w:t>
      </w:r>
      <w:r w:rsidRPr="00AF3260">
        <w:rPr>
          <w:rFonts w:ascii="Times New Roman" w:hAnsi="Times New Roman"/>
          <w:szCs w:val="24"/>
        </w:rPr>
        <w:t xml:space="preserve">. </w:t>
      </w:r>
      <w:r w:rsidRPr="00D77857">
        <w:rPr>
          <w:rFonts w:ascii="Times New Roman" w:hAnsi="Times New Roman"/>
          <w:szCs w:val="24"/>
        </w:rPr>
        <w:t>It also agrees with the importance of transparency and digital solutions to speed up payments. However, the experience in the context of the existing late payment directive has shown that this is not enough. Therefore, in the context of the SME relief package the Commission has also proposed a revision of the directive</w:t>
      </w:r>
      <w:r>
        <w:rPr>
          <w:rFonts w:ascii="Times New Roman" w:hAnsi="Times New Roman"/>
          <w:szCs w:val="24"/>
        </w:rPr>
        <w:t>,</w:t>
      </w:r>
      <w:r w:rsidRPr="00D77857">
        <w:rPr>
          <w:rFonts w:ascii="Times New Roman" w:hAnsi="Times New Roman"/>
          <w:szCs w:val="24"/>
        </w:rPr>
        <w:t xml:space="preserve"> which will further reduce payment terms and strengthen sanction mechanism</w:t>
      </w:r>
      <w:r>
        <w:rPr>
          <w:rFonts w:ascii="Times New Roman" w:hAnsi="Times New Roman"/>
          <w:szCs w:val="24"/>
        </w:rPr>
        <w:t>s</w:t>
      </w:r>
      <w:r w:rsidRPr="00D77857">
        <w:rPr>
          <w:rFonts w:ascii="Times New Roman" w:hAnsi="Times New Roman"/>
          <w:szCs w:val="24"/>
        </w:rPr>
        <w:t xml:space="preserve"> for firms that do not respect the statuary payment terms. The Commission’s proposal for the revision introduces obligations for the Member States to provide training on financial literacy, credit management and digital payment solutions and facilitate access of SMEs to them. Institutional investors, such as pension funds and insurance companies play a crucial role in financing start-up and scale-up firms (</w:t>
      </w:r>
      <w:r w:rsidRPr="00D77857">
        <w:rPr>
          <w:rFonts w:ascii="Times New Roman" w:hAnsi="Times New Roman"/>
          <w:b/>
          <w:bCs/>
          <w:szCs w:val="24"/>
        </w:rPr>
        <w:t>paragraph 7)</w:t>
      </w:r>
      <w:r w:rsidRPr="00AF3260">
        <w:rPr>
          <w:rFonts w:ascii="Times New Roman" w:hAnsi="Times New Roman"/>
          <w:szCs w:val="24"/>
        </w:rPr>
        <w:t>.</w:t>
      </w:r>
      <w:r w:rsidRPr="00D77857">
        <w:rPr>
          <w:rFonts w:ascii="Times New Roman" w:hAnsi="Times New Roman"/>
          <w:szCs w:val="24"/>
        </w:rPr>
        <w:t xml:space="preserve"> Moreover, Member States can set-up risk finance schemes under the </w:t>
      </w:r>
      <w:r>
        <w:rPr>
          <w:rFonts w:ascii="Times New Roman" w:hAnsi="Times New Roman"/>
          <w:szCs w:val="24"/>
        </w:rPr>
        <w:t>GBER</w:t>
      </w:r>
      <w:r w:rsidRPr="00D77857">
        <w:rPr>
          <w:rFonts w:ascii="Times New Roman" w:hAnsi="Times New Roman"/>
          <w:szCs w:val="24"/>
        </w:rPr>
        <w:t xml:space="preserve"> to support early-stage SMEs beyond the start-up phase.</w:t>
      </w:r>
    </w:p>
    <w:p w14:paraId="5AC187CE" w14:textId="77777777" w:rsidR="00713742" w:rsidRDefault="00713742" w:rsidP="00713742">
      <w:pPr>
        <w:spacing w:after="120"/>
        <w:rPr>
          <w:rFonts w:ascii="Times New Roman" w:hAnsi="Times New Roman"/>
          <w:szCs w:val="24"/>
        </w:rPr>
      </w:pPr>
      <w:r w:rsidRPr="00D77857">
        <w:rPr>
          <w:rFonts w:ascii="Times New Roman" w:hAnsi="Times New Roman"/>
          <w:szCs w:val="24"/>
        </w:rPr>
        <w:t xml:space="preserve">The Commission fully concurs that public support needs to be targeted and that a clear economic rationale, for example in the form of market failure, </w:t>
      </w:r>
      <w:proofErr w:type="gramStart"/>
      <w:r w:rsidRPr="00D77857">
        <w:rPr>
          <w:rFonts w:ascii="Times New Roman" w:hAnsi="Times New Roman"/>
          <w:szCs w:val="24"/>
        </w:rPr>
        <w:t>has to</w:t>
      </w:r>
      <w:proofErr w:type="gramEnd"/>
      <w:r w:rsidRPr="00D77857">
        <w:rPr>
          <w:rFonts w:ascii="Times New Roman" w:hAnsi="Times New Roman"/>
          <w:szCs w:val="24"/>
        </w:rPr>
        <w:t xml:space="preserve"> exist to justify its use </w:t>
      </w:r>
      <w:r w:rsidRPr="00D77857">
        <w:rPr>
          <w:rFonts w:ascii="Times New Roman" w:hAnsi="Times New Roman"/>
          <w:b/>
          <w:bCs/>
          <w:szCs w:val="24"/>
        </w:rPr>
        <w:t>(paragraph 8).</w:t>
      </w:r>
      <w:r w:rsidRPr="00D77857">
        <w:rPr>
          <w:rFonts w:ascii="Times New Roman" w:hAnsi="Times New Roman"/>
          <w:szCs w:val="24"/>
        </w:rPr>
        <w:t xml:space="preserve"> Having said that, aid for start-ups under the GBER can be directly provided by </w:t>
      </w:r>
      <w:r>
        <w:rPr>
          <w:rFonts w:ascii="Times New Roman" w:hAnsi="Times New Roman"/>
          <w:szCs w:val="24"/>
        </w:rPr>
        <w:t xml:space="preserve">the </w:t>
      </w:r>
      <w:r w:rsidRPr="00D77857">
        <w:rPr>
          <w:rFonts w:ascii="Times New Roman" w:hAnsi="Times New Roman"/>
          <w:szCs w:val="24"/>
        </w:rPr>
        <w:t xml:space="preserve">Member States, without involvement of financial intermediaries and using financial instruments and grants. Thus, because of the possibility to provide grants (or subordinated loans/quasi-equity), there is no necessity to rely on equity for company financing. Private co-investments are not required. The State aid rules </w:t>
      </w:r>
      <w:proofErr w:type="gramStart"/>
      <w:r w:rsidRPr="00D77857">
        <w:rPr>
          <w:rFonts w:ascii="Times New Roman" w:hAnsi="Times New Roman"/>
          <w:szCs w:val="24"/>
        </w:rPr>
        <w:t>take into account</w:t>
      </w:r>
      <w:proofErr w:type="gramEnd"/>
      <w:r w:rsidRPr="00D77857">
        <w:rPr>
          <w:rFonts w:ascii="Times New Roman" w:hAnsi="Times New Roman"/>
          <w:szCs w:val="24"/>
        </w:rPr>
        <w:t xml:space="preserve"> the characteristics of smaller and nascent firms. Typically, under State aid rules there are fewer constraints on aid to SMEs. Moreover, State aid rules also provide for specific, more permissive, rules for start-ups, which are a subset of SMEs (start-ups are small enterprises up to 5 years old). It should also be noted that the Commission’s new approach to the application of the referral mechanism (Article 22 of the Merger Regulation) may enable a greater extent of control over “killer acquisitions” by established players of nascent competitors with highly competitive potential, particularly benefiting SMEs and start-ups that compete with the merged entity or that are dependent on it for critical inputs or supplies.</w:t>
      </w:r>
    </w:p>
    <w:p w14:paraId="4D83E2C5" w14:textId="77777777" w:rsidR="00713742" w:rsidRDefault="00713742" w:rsidP="00713742">
      <w:pPr>
        <w:spacing w:after="120"/>
        <w:rPr>
          <w:rFonts w:ascii="Times New Roman" w:hAnsi="Times New Roman"/>
          <w:szCs w:val="24"/>
        </w:rPr>
      </w:pPr>
      <w:r>
        <w:rPr>
          <w:rFonts w:ascii="Times New Roman" w:hAnsi="Times New Roman"/>
          <w:szCs w:val="24"/>
        </w:rPr>
        <w:t>T</w:t>
      </w:r>
      <w:r w:rsidRPr="00247306">
        <w:rPr>
          <w:rFonts w:ascii="Times New Roman" w:hAnsi="Times New Roman"/>
          <w:szCs w:val="24"/>
        </w:rPr>
        <w:t>he Commission recognises that barriers to EU businesses raising market-based financing still exist at various stages of the funding escalator</w:t>
      </w:r>
      <w:r>
        <w:rPr>
          <w:rFonts w:ascii="Times New Roman" w:hAnsi="Times New Roman"/>
          <w:szCs w:val="24"/>
        </w:rPr>
        <w:t xml:space="preserve"> </w:t>
      </w:r>
      <w:r w:rsidRPr="00C075E3">
        <w:rPr>
          <w:rFonts w:ascii="Times New Roman" w:hAnsi="Times New Roman"/>
          <w:b/>
          <w:bCs/>
          <w:szCs w:val="24"/>
        </w:rPr>
        <w:t>(paragraph 9)</w:t>
      </w:r>
      <w:r w:rsidRPr="00247306">
        <w:rPr>
          <w:rFonts w:ascii="Times New Roman" w:hAnsi="Times New Roman"/>
          <w:szCs w:val="24"/>
        </w:rPr>
        <w:t xml:space="preserve">. These barriers may limit </w:t>
      </w:r>
      <w:proofErr w:type="gramStart"/>
      <w:r w:rsidRPr="00247306">
        <w:rPr>
          <w:rFonts w:ascii="Times New Roman" w:hAnsi="Times New Roman"/>
          <w:szCs w:val="24"/>
        </w:rPr>
        <w:t>in particular smaller</w:t>
      </w:r>
      <w:proofErr w:type="gramEnd"/>
      <w:r w:rsidRPr="00247306">
        <w:rPr>
          <w:rFonts w:ascii="Times New Roman" w:hAnsi="Times New Roman"/>
          <w:szCs w:val="24"/>
        </w:rPr>
        <w:t xml:space="preserve"> companies from raising equity and debt financing. T</w:t>
      </w:r>
      <w:r>
        <w:rPr>
          <w:rFonts w:ascii="Times New Roman" w:hAnsi="Times New Roman"/>
          <w:szCs w:val="24"/>
        </w:rPr>
        <w:t>his is why</w:t>
      </w:r>
      <w:r w:rsidRPr="00247306">
        <w:rPr>
          <w:rFonts w:ascii="Times New Roman" w:hAnsi="Times New Roman"/>
          <w:szCs w:val="24"/>
        </w:rPr>
        <w:t xml:space="preserve">, one of the key objectives of the 2020 Capital Markets Union </w:t>
      </w:r>
      <w:r>
        <w:rPr>
          <w:rFonts w:ascii="Times New Roman" w:hAnsi="Times New Roman"/>
          <w:szCs w:val="24"/>
        </w:rPr>
        <w:t xml:space="preserve">(CMU) </w:t>
      </w:r>
      <w:r w:rsidRPr="00247306">
        <w:rPr>
          <w:rFonts w:ascii="Times New Roman" w:hAnsi="Times New Roman"/>
          <w:szCs w:val="24"/>
        </w:rPr>
        <w:t xml:space="preserve">Action Plan is to facilitate access to the necessary funds for companies of all sizes, </w:t>
      </w:r>
      <w:r>
        <w:rPr>
          <w:rFonts w:ascii="Times New Roman" w:hAnsi="Times New Roman"/>
          <w:szCs w:val="24"/>
        </w:rPr>
        <w:t>with a specific focus on</w:t>
      </w:r>
      <w:r w:rsidRPr="00247306">
        <w:rPr>
          <w:rFonts w:ascii="Times New Roman" w:hAnsi="Times New Roman"/>
          <w:szCs w:val="24"/>
        </w:rPr>
        <w:t xml:space="preserve"> SMEs, and to ensure that capital can freely flow across the borders. The actions</w:t>
      </w:r>
      <w:r>
        <w:rPr>
          <w:rFonts w:ascii="Times New Roman" w:hAnsi="Times New Roman"/>
          <w:szCs w:val="24"/>
        </w:rPr>
        <w:t xml:space="preserve"> </w:t>
      </w:r>
      <w:r w:rsidRPr="00247306">
        <w:rPr>
          <w:rFonts w:ascii="Times New Roman" w:hAnsi="Times New Roman"/>
          <w:szCs w:val="24"/>
        </w:rPr>
        <w:t>proposed by the Commission under this mandate</w:t>
      </w:r>
      <w:r>
        <w:rPr>
          <w:rFonts w:ascii="Times New Roman" w:hAnsi="Times New Roman"/>
          <w:szCs w:val="24"/>
        </w:rPr>
        <w:t>’s CMU Action Plan</w:t>
      </w:r>
      <w:r w:rsidRPr="00247306">
        <w:rPr>
          <w:rFonts w:ascii="Times New Roman" w:hAnsi="Times New Roman"/>
          <w:szCs w:val="24"/>
        </w:rPr>
        <w:t xml:space="preserve"> include the creation of the European Single Access Point to </w:t>
      </w:r>
      <w:r>
        <w:rPr>
          <w:rFonts w:ascii="Times New Roman" w:hAnsi="Times New Roman"/>
          <w:szCs w:val="24"/>
        </w:rPr>
        <w:t>render</w:t>
      </w:r>
      <w:r w:rsidRPr="00247306">
        <w:rPr>
          <w:rFonts w:ascii="Times New Roman" w:hAnsi="Times New Roman"/>
          <w:szCs w:val="24"/>
        </w:rPr>
        <w:t xml:space="preserve"> smaller companies</w:t>
      </w:r>
      <w:r>
        <w:rPr>
          <w:rFonts w:ascii="Times New Roman" w:hAnsi="Times New Roman"/>
          <w:szCs w:val="24"/>
        </w:rPr>
        <w:t>, in particular,</w:t>
      </w:r>
      <w:r w:rsidRPr="00247306">
        <w:rPr>
          <w:rFonts w:ascii="Times New Roman" w:hAnsi="Times New Roman"/>
          <w:szCs w:val="24"/>
        </w:rPr>
        <w:t xml:space="preserve"> more visible to cross-border investors, the revision of listing rules to facilitate both the access of companies to public equity financing and the exit for earlier-stage investors, and the revision of rules for the European long-term investment funds to better channel retail investments in smaller unlisted companies. The Commission welcomes the strong political ambition to implement these initiatives in a timely manner </w:t>
      </w:r>
      <w:r>
        <w:rPr>
          <w:rFonts w:ascii="Times New Roman" w:hAnsi="Times New Roman"/>
          <w:szCs w:val="24"/>
        </w:rPr>
        <w:t>to</w:t>
      </w:r>
      <w:r w:rsidRPr="00247306">
        <w:rPr>
          <w:rFonts w:ascii="Times New Roman" w:hAnsi="Times New Roman"/>
          <w:szCs w:val="24"/>
        </w:rPr>
        <w:t xml:space="preserve"> ensure a variety of funding alternatives for companies, and in particular smaller companies, reducing the dependence on a single source or single provider of financing and narrowing the funding </w:t>
      </w:r>
      <w:r w:rsidRPr="00247306">
        <w:rPr>
          <w:rFonts w:ascii="Times New Roman" w:hAnsi="Times New Roman"/>
          <w:szCs w:val="24"/>
        </w:rPr>
        <w:lastRenderedPageBreak/>
        <w:t>gap.</w:t>
      </w:r>
      <w:r>
        <w:rPr>
          <w:rFonts w:ascii="Times New Roman" w:hAnsi="Times New Roman"/>
          <w:szCs w:val="24"/>
        </w:rPr>
        <w:t xml:space="preserve"> </w:t>
      </w:r>
      <w:r w:rsidRPr="00247306">
        <w:rPr>
          <w:rFonts w:ascii="Times New Roman" w:hAnsi="Times New Roman"/>
          <w:szCs w:val="24"/>
          <w:lang w:val="en-IE"/>
        </w:rPr>
        <w:t>In addition, c</w:t>
      </w:r>
      <w:proofErr w:type="spellStart"/>
      <w:r w:rsidRPr="00247306">
        <w:rPr>
          <w:rFonts w:ascii="Times New Roman" w:hAnsi="Times New Roman"/>
          <w:szCs w:val="24"/>
        </w:rPr>
        <w:t>ohesion</w:t>
      </w:r>
      <w:proofErr w:type="spellEnd"/>
      <w:r w:rsidRPr="00247306">
        <w:rPr>
          <w:rFonts w:ascii="Times New Roman" w:hAnsi="Times New Roman"/>
          <w:szCs w:val="24"/>
        </w:rPr>
        <w:t xml:space="preserve"> policy instruments are available to Member States and regions to support SMEs, including start-ups and scale-ups. Member States and regions</w:t>
      </w:r>
      <w:r>
        <w:rPr>
          <w:rFonts w:ascii="Times New Roman" w:hAnsi="Times New Roman"/>
          <w:szCs w:val="24"/>
        </w:rPr>
        <w:t>’</w:t>
      </w:r>
      <w:r w:rsidRPr="00247306">
        <w:rPr>
          <w:rFonts w:ascii="Times New Roman" w:hAnsi="Times New Roman"/>
          <w:szCs w:val="24"/>
        </w:rPr>
        <w:t xml:space="preserve"> support for SMEs goes to a large extent to production expansion and modernisation but also R</w:t>
      </w:r>
      <w:r>
        <w:rPr>
          <w:rFonts w:ascii="Times New Roman" w:hAnsi="Times New Roman"/>
          <w:szCs w:val="24"/>
        </w:rPr>
        <w:t>esearch and Innovation</w:t>
      </w:r>
      <w:r w:rsidRPr="00247306">
        <w:rPr>
          <w:rFonts w:ascii="Times New Roman" w:hAnsi="Times New Roman"/>
          <w:szCs w:val="24"/>
        </w:rPr>
        <w:t xml:space="preserve"> activities, incubators, business development and internationalisation, innovation cluster support and business networks for SMEs. All of them are specific for each Member State or region and important for creating a start-up and scale-up supporting ecosystem based on the local needs.</w:t>
      </w:r>
    </w:p>
    <w:p w14:paraId="579F7FD9" w14:textId="77777777" w:rsidR="00713742" w:rsidRDefault="00713742" w:rsidP="00713742">
      <w:pPr>
        <w:spacing w:after="120"/>
        <w:rPr>
          <w:rFonts w:ascii="Times New Roman" w:hAnsi="Times New Roman"/>
          <w:szCs w:val="24"/>
        </w:rPr>
      </w:pPr>
      <w:r w:rsidRPr="00247306">
        <w:rPr>
          <w:rFonts w:ascii="Times New Roman" w:hAnsi="Times New Roman"/>
          <w:szCs w:val="24"/>
        </w:rPr>
        <w:t xml:space="preserve">The Commission is aware that easy and unbureaucratic access to adequate EU financial support instruments is of utmost importance, especially in the current difficult business environment </w:t>
      </w:r>
      <w:r w:rsidRPr="00247306">
        <w:rPr>
          <w:rFonts w:ascii="Times New Roman" w:hAnsi="Times New Roman"/>
          <w:b/>
          <w:bCs/>
          <w:szCs w:val="24"/>
        </w:rPr>
        <w:t>(paragraph 10)</w:t>
      </w:r>
      <w:r w:rsidRPr="00530BE4">
        <w:rPr>
          <w:rFonts w:ascii="Times New Roman" w:hAnsi="Times New Roman"/>
          <w:szCs w:val="24"/>
        </w:rPr>
        <w:t>.</w:t>
      </w:r>
      <w:r w:rsidRPr="00247306">
        <w:rPr>
          <w:rFonts w:ascii="Times New Roman" w:hAnsi="Times New Roman"/>
          <w:szCs w:val="24"/>
        </w:rPr>
        <w:t xml:space="preserve"> </w:t>
      </w:r>
      <w:r>
        <w:rPr>
          <w:rFonts w:ascii="Times New Roman" w:hAnsi="Times New Roman"/>
          <w:szCs w:val="24"/>
        </w:rPr>
        <w:t>In this regard, the Commission</w:t>
      </w:r>
      <w:r w:rsidRPr="00247306">
        <w:rPr>
          <w:rFonts w:ascii="Times New Roman" w:hAnsi="Times New Roman"/>
          <w:szCs w:val="24"/>
        </w:rPr>
        <w:t xml:space="preserve"> would like to recall</w:t>
      </w:r>
      <w:r>
        <w:rPr>
          <w:rFonts w:ascii="Times New Roman" w:hAnsi="Times New Roman"/>
          <w:szCs w:val="24"/>
        </w:rPr>
        <w:t xml:space="preserve"> the numerous programmes and initiatives already in place.</w:t>
      </w:r>
      <w:r w:rsidRPr="00247306">
        <w:rPr>
          <w:rFonts w:ascii="Times New Roman" w:hAnsi="Times New Roman"/>
          <w:szCs w:val="24"/>
        </w:rPr>
        <w:t xml:space="preserve"> </w:t>
      </w:r>
      <w:r>
        <w:rPr>
          <w:rFonts w:ascii="Times New Roman" w:hAnsi="Times New Roman"/>
          <w:szCs w:val="24"/>
        </w:rPr>
        <w:t>“</w:t>
      </w:r>
      <w:r w:rsidRPr="00247306">
        <w:rPr>
          <w:rFonts w:ascii="Times New Roman" w:hAnsi="Times New Roman"/>
          <w:szCs w:val="24"/>
        </w:rPr>
        <w:t>Access to EU Finance”</w:t>
      </w:r>
      <w:r w:rsidRPr="00247306">
        <w:rPr>
          <w:rStyle w:val="FootnoteReference"/>
          <w:rFonts w:ascii="Times New Roman" w:hAnsi="Times New Roman"/>
          <w:szCs w:val="24"/>
        </w:rPr>
        <w:footnoteReference w:id="6"/>
      </w:r>
      <w:r w:rsidRPr="00247306">
        <w:rPr>
          <w:rFonts w:ascii="Times New Roman" w:hAnsi="Times New Roman"/>
          <w:szCs w:val="24"/>
        </w:rPr>
        <w:t xml:space="preserve"> allows businesses to get an overview of all financial instruments supported by structural funds, EU centrally managed programmes, </w:t>
      </w:r>
      <w:r>
        <w:rPr>
          <w:rFonts w:ascii="Times New Roman" w:hAnsi="Times New Roman"/>
          <w:szCs w:val="24"/>
        </w:rPr>
        <w:t xml:space="preserve">European Investment Bank </w:t>
      </w:r>
      <w:r w:rsidRPr="00247306">
        <w:rPr>
          <w:rFonts w:ascii="Times New Roman" w:hAnsi="Times New Roman"/>
          <w:szCs w:val="24"/>
        </w:rPr>
        <w:t>and EIF. In addition, anyone seeking advice on financing support programmes and application for support is invited to seek support locally through the Enterprise Europe Network</w:t>
      </w:r>
      <w:r w:rsidRPr="00247306">
        <w:rPr>
          <w:rStyle w:val="FootnoteReference"/>
          <w:rFonts w:ascii="Times New Roman" w:hAnsi="Times New Roman"/>
          <w:szCs w:val="24"/>
        </w:rPr>
        <w:footnoteReference w:id="7"/>
      </w:r>
      <w:r w:rsidRPr="00247306">
        <w:rPr>
          <w:rFonts w:ascii="Times New Roman" w:hAnsi="Times New Roman"/>
          <w:szCs w:val="24"/>
        </w:rPr>
        <w:t>.</w:t>
      </w:r>
      <w:r>
        <w:rPr>
          <w:rFonts w:ascii="Times New Roman" w:hAnsi="Times New Roman"/>
          <w:szCs w:val="24"/>
        </w:rPr>
        <w:t xml:space="preserve"> Moreover, i</w:t>
      </w:r>
      <w:r w:rsidRPr="00247306">
        <w:rPr>
          <w:rFonts w:ascii="Times New Roman" w:hAnsi="Times New Roman"/>
          <w:szCs w:val="24"/>
        </w:rPr>
        <w:t xml:space="preserve">n the current programming period, the Commission is providing significant support to start-ups and scale-ups through </w:t>
      </w:r>
      <w:proofErr w:type="spellStart"/>
      <w:r w:rsidRPr="00247306">
        <w:rPr>
          <w:rFonts w:ascii="Times New Roman" w:hAnsi="Times New Roman"/>
          <w:szCs w:val="24"/>
        </w:rPr>
        <w:t>InvestEU</w:t>
      </w:r>
      <w:proofErr w:type="spellEnd"/>
      <w:r w:rsidRPr="00247306">
        <w:rPr>
          <w:rStyle w:val="FootnoteReference"/>
          <w:rFonts w:ascii="Times New Roman" w:hAnsi="Times New Roman"/>
          <w:szCs w:val="24"/>
        </w:rPr>
        <w:footnoteReference w:id="8"/>
      </w:r>
      <w:r w:rsidRPr="00247306">
        <w:rPr>
          <w:rFonts w:ascii="Times New Roman" w:hAnsi="Times New Roman"/>
          <w:szCs w:val="24"/>
        </w:rPr>
        <w:t>, the Commission</w:t>
      </w:r>
      <w:r>
        <w:rPr>
          <w:rFonts w:ascii="Times New Roman" w:hAnsi="Times New Roman"/>
          <w:szCs w:val="24"/>
        </w:rPr>
        <w:t>’</w:t>
      </w:r>
      <w:r w:rsidRPr="00247306">
        <w:rPr>
          <w:rFonts w:ascii="Times New Roman" w:hAnsi="Times New Roman"/>
          <w:szCs w:val="24"/>
        </w:rPr>
        <w:t>s flagship investment programme</w:t>
      </w:r>
      <w:r w:rsidRPr="00247306">
        <w:rPr>
          <w:rStyle w:val="FootnoteReference"/>
          <w:rFonts w:ascii="Times New Roman" w:hAnsi="Times New Roman"/>
          <w:szCs w:val="24"/>
        </w:rPr>
        <w:footnoteReference w:id="9"/>
      </w:r>
      <w:r w:rsidRPr="00247306">
        <w:rPr>
          <w:rFonts w:ascii="Times New Roman" w:hAnsi="Times New Roman"/>
          <w:szCs w:val="24"/>
        </w:rPr>
        <w:t xml:space="preserve">. To facilitate access, the Commission has bundled all financial instruments under one EU programme (compared to 13 programmes in the past). This resulted in a simplified governance and ensured a faster flow of funding. </w:t>
      </w:r>
      <w:r>
        <w:rPr>
          <w:rStyle w:val="eop"/>
          <w:rFonts w:ascii="Times New Roman" w:hAnsi="Times New Roman"/>
          <w:szCs w:val="24"/>
        </w:rPr>
        <w:t>On top of that, with</w:t>
      </w:r>
      <w:r w:rsidRPr="00247306">
        <w:rPr>
          <w:rStyle w:val="eop"/>
          <w:rFonts w:ascii="Times New Roman" w:hAnsi="Times New Roman"/>
          <w:szCs w:val="24"/>
        </w:rPr>
        <w:t xml:space="preserve"> the Strategic Technologies for Europe Platform (STEP) initiative</w:t>
      </w:r>
      <w:r>
        <w:rPr>
          <w:rStyle w:val="FootnoteReference"/>
          <w:rFonts w:ascii="Times New Roman" w:hAnsi="Times New Roman"/>
          <w:szCs w:val="24"/>
        </w:rPr>
        <w:footnoteReference w:id="10"/>
      </w:r>
      <w:r w:rsidRPr="00247306">
        <w:rPr>
          <w:rStyle w:val="eop"/>
          <w:rFonts w:ascii="Times New Roman" w:hAnsi="Times New Roman"/>
          <w:szCs w:val="24"/>
        </w:rPr>
        <w:t xml:space="preserve"> the Commission seeks to further facilitate access to EU funding for </w:t>
      </w:r>
      <w:r>
        <w:rPr>
          <w:rStyle w:val="eop"/>
          <w:rFonts w:ascii="Times New Roman" w:hAnsi="Times New Roman"/>
          <w:szCs w:val="24"/>
        </w:rPr>
        <w:t>industry</w:t>
      </w:r>
      <w:r w:rsidRPr="00247306">
        <w:rPr>
          <w:rStyle w:val="eop"/>
          <w:rFonts w:ascii="Times New Roman" w:hAnsi="Times New Roman"/>
          <w:szCs w:val="24"/>
        </w:rPr>
        <w:t xml:space="preserve">, including start-ups and scale-ups, involved in three </w:t>
      </w:r>
      <w:r>
        <w:rPr>
          <w:rStyle w:val="eop"/>
          <w:rFonts w:ascii="Times New Roman" w:hAnsi="Times New Roman"/>
          <w:szCs w:val="24"/>
        </w:rPr>
        <w:t>critical sectors</w:t>
      </w:r>
      <w:r w:rsidRPr="00247306">
        <w:rPr>
          <w:rStyle w:val="eop"/>
          <w:rFonts w:ascii="Times New Roman" w:hAnsi="Times New Roman"/>
          <w:szCs w:val="24"/>
        </w:rPr>
        <w:t xml:space="preserve"> identified </w:t>
      </w:r>
      <w:r>
        <w:rPr>
          <w:rStyle w:val="eop"/>
          <w:rFonts w:ascii="Times New Roman" w:hAnsi="Times New Roman"/>
          <w:szCs w:val="24"/>
        </w:rPr>
        <w:t xml:space="preserve">− </w:t>
      </w:r>
      <w:r w:rsidRPr="006D1294">
        <w:rPr>
          <w:rStyle w:val="eop"/>
          <w:rFonts w:ascii="Times New Roman" w:hAnsi="Times New Roman"/>
          <w:szCs w:val="24"/>
        </w:rPr>
        <w:t>digital technologies and deep-tech innovation</w:t>
      </w:r>
      <w:r w:rsidRPr="00247306">
        <w:rPr>
          <w:rStyle w:val="eop"/>
          <w:rFonts w:ascii="Times New Roman" w:hAnsi="Times New Roman"/>
          <w:szCs w:val="24"/>
        </w:rPr>
        <w:t xml:space="preserve">, clean </w:t>
      </w:r>
      <w:r>
        <w:rPr>
          <w:rStyle w:val="eop"/>
          <w:rFonts w:ascii="Times New Roman" w:hAnsi="Times New Roman"/>
          <w:szCs w:val="24"/>
        </w:rPr>
        <w:t xml:space="preserve">and resource efficient </w:t>
      </w:r>
      <w:r w:rsidRPr="00247306">
        <w:rPr>
          <w:rStyle w:val="eop"/>
          <w:rFonts w:ascii="Times New Roman" w:hAnsi="Times New Roman"/>
          <w:szCs w:val="24"/>
        </w:rPr>
        <w:t xml:space="preserve">technologies, and biotechnologies. The </w:t>
      </w:r>
      <w:r>
        <w:rPr>
          <w:rStyle w:val="eop"/>
          <w:rFonts w:ascii="Times New Roman" w:hAnsi="Times New Roman"/>
          <w:szCs w:val="24"/>
        </w:rPr>
        <w:t>STEP</w:t>
      </w:r>
      <w:r w:rsidRPr="00247306">
        <w:rPr>
          <w:rStyle w:val="eop"/>
          <w:rFonts w:ascii="Times New Roman" w:hAnsi="Times New Roman"/>
          <w:szCs w:val="24"/>
        </w:rPr>
        <w:t xml:space="preserve"> portal to be developed under this </w:t>
      </w:r>
      <w:r>
        <w:rPr>
          <w:rStyle w:val="eop"/>
          <w:rFonts w:ascii="Times New Roman" w:hAnsi="Times New Roman"/>
          <w:szCs w:val="24"/>
        </w:rPr>
        <w:t>regulation</w:t>
      </w:r>
      <w:r w:rsidRPr="00247306">
        <w:rPr>
          <w:rStyle w:val="eop"/>
          <w:rFonts w:ascii="Times New Roman" w:hAnsi="Times New Roman"/>
          <w:szCs w:val="24"/>
        </w:rPr>
        <w:t xml:space="preserve"> will bring together information about the </w:t>
      </w:r>
      <w:r>
        <w:rPr>
          <w:rStyle w:val="eop"/>
          <w:rFonts w:ascii="Times New Roman" w:hAnsi="Times New Roman"/>
          <w:szCs w:val="24"/>
        </w:rPr>
        <w:t>funding opportunities</w:t>
      </w:r>
      <w:r w:rsidRPr="00247306">
        <w:rPr>
          <w:rStyle w:val="eop"/>
          <w:rFonts w:ascii="Times New Roman" w:hAnsi="Times New Roman"/>
          <w:szCs w:val="24"/>
        </w:rPr>
        <w:t xml:space="preserve"> from the </w:t>
      </w:r>
      <w:r>
        <w:rPr>
          <w:rStyle w:val="eop"/>
          <w:rFonts w:ascii="Times New Roman" w:hAnsi="Times New Roman"/>
          <w:szCs w:val="24"/>
        </w:rPr>
        <w:t>relevant</w:t>
      </w:r>
      <w:r w:rsidRPr="00247306">
        <w:rPr>
          <w:rStyle w:val="eop"/>
          <w:rFonts w:ascii="Times New Roman" w:hAnsi="Times New Roman"/>
          <w:szCs w:val="24"/>
        </w:rPr>
        <w:t xml:space="preserve"> </w:t>
      </w:r>
      <w:r>
        <w:rPr>
          <w:rStyle w:val="eop"/>
          <w:rFonts w:ascii="Times New Roman" w:hAnsi="Times New Roman"/>
          <w:szCs w:val="24"/>
        </w:rPr>
        <w:t>programmes</w:t>
      </w:r>
      <w:r w:rsidRPr="00247306">
        <w:rPr>
          <w:rStyle w:val="eop"/>
          <w:rFonts w:ascii="Times New Roman" w:hAnsi="Times New Roman"/>
          <w:szCs w:val="24"/>
        </w:rPr>
        <w:t xml:space="preserve"> </w:t>
      </w:r>
      <w:r>
        <w:rPr>
          <w:rStyle w:val="eop"/>
          <w:rFonts w:ascii="Times New Roman" w:hAnsi="Times New Roman"/>
          <w:szCs w:val="24"/>
        </w:rPr>
        <w:t>centrally</w:t>
      </w:r>
      <w:r w:rsidRPr="00247306">
        <w:rPr>
          <w:rStyle w:val="eop"/>
          <w:rFonts w:ascii="Times New Roman" w:hAnsi="Times New Roman"/>
          <w:szCs w:val="24"/>
        </w:rPr>
        <w:t xml:space="preserve"> managed by the Commission</w:t>
      </w:r>
      <w:r>
        <w:rPr>
          <w:rStyle w:val="eop"/>
          <w:rFonts w:ascii="Times New Roman" w:hAnsi="Times New Roman"/>
          <w:szCs w:val="24"/>
        </w:rPr>
        <w:t xml:space="preserve"> (</w:t>
      </w:r>
      <w:proofErr w:type="gramStart"/>
      <w:r>
        <w:rPr>
          <w:rStyle w:val="eop"/>
          <w:rFonts w:ascii="Times New Roman" w:hAnsi="Times New Roman"/>
          <w:szCs w:val="24"/>
        </w:rPr>
        <w:t>e.g.</w:t>
      </w:r>
      <w:proofErr w:type="gramEnd"/>
      <w:r>
        <w:rPr>
          <w:rStyle w:val="eop"/>
          <w:rFonts w:ascii="Times New Roman" w:hAnsi="Times New Roman"/>
          <w:szCs w:val="24"/>
        </w:rPr>
        <w:t xml:space="preserve"> the Innovation Fund or the Digital Europe Programme)</w:t>
      </w:r>
      <w:r w:rsidRPr="00247306">
        <w:rPr>
          <w:rStyle w:val="eop"/>
          <w:rFonts w:ascii="Times New Roman" w:hAnsi="Times New Roman"/>
          <w:szCs w:val="24"/>
        </w:rPr>
        <w:t xml:space="preserve">, </w:t>
      </w:r>
      <w:r>
        <w:rPr>
          <w:rStyle w:val="eop"/>
          <w:rFonts w:ascii="Times New Roman" w:hAnsi="Times New Roman"/>
          <w:szCs w:val="24"/>
        </w:rPr>
        <w:t xml:space="preserve">as well as those </w:t>
      </w:r>
      <w:r w:rsidRPr="00247306">
        <w:rPr>
          <w:rStyle w:val="eop"/>
          <w:rFonts w:ascii="Times New Roman" w:hAnsi="Times New Roman"/>
          <w:szCs w:val="24"/>
        </w:rPr>
        <w:t xml:space="preserve">under indirectly managed programmes such as </w:t>
      </w:r>
      <w:proofErr w:type="spellStart"/>
      <w:r w:rsidRPr="00247306">
        <w:rPr>
          <w:rStyle w:val="eop"/>
          <w:rFonts w:ascii="Times New Roman" w:hAnsi="Times New Roman"/>
          <w:szCs w:val="24"/>
        </w:rPr>
        <w:t>InvestEU</w:t>
      </w:r>
      <w:proofErr w:type="spellEnd"/>
      <w:r w:rsidRPr="00247306">
        <w:rPr>
          <w:rStyle w:val="eop"/>
          <w:rFonts w:ascii="Times New Roman" w:hAnsi="Times New Roman"/>
          <w:szCs w:val="24"/>
        </w:rPr>
        <w:t xml:space="preserve">, </w:t>
      </w:r>
      <w:r>
        <w:rPr>
          <w:rStyle w:val="eop"/>
          <w:rFonts w:ascii="Times New Roman" w:hAnsi="Times New Roman"/>
          <w:szCs w:val="24"/>
        </w:rPr>
        <w:t>and those</w:t>
      </w:r>
      <w:r w:rsidRPr="00247306">
        <w:rPr>
          <w:rStyle w:val="eop"/>
          <w:rFonts w:ascii="Times New Roman" w:hAnsi="Times New Roman"/>
          <w:szCs w:val="24"/>
        </w:rPr>
        <w:t xml:space="preserve"> stemming from the managing authorities under the cohesion policy funds and the Member States under the Recovery and Resilience Facility. </w:t>
      </w:r>
      <w:r>
        <w:rPr>
          <w:rStyle w:val="eop"/>
          <w:rFonts w:ascii="Times New Roman" w:hAnsi="Times New Roman"/>
          <w:szCs w:val="24"/>
        </w:rPr>
        <w:t xml:space="preserve">About targeted funding to </w:t>
      </w:r>
      <w:r>
        <w:rPr>
          <w:rFonts w:ascii="Times New Roman" w:hAnsi="Times New Roman"/>
          <w:szCs w:val="24"/>
        </w:rPr>
        <w:t>t</w:t>
      </w:r>
      <w:r w:rsidRPr="00247306">
        <w:rPr>
          <w:rFonts w:ascii="Times New Roman" w:hAnsi="Times New Roman"/>
          <w:szCs w:val="24"/>
        </w:rPr>
        <w:t>he cultural and creative sector</w:t>
      </w:r>
      <w:r>
        <w:rPr>
          <w:rFonts w:ascii="Times New Roman" w:hAnsi="Times New Roman"/>
          <w:szCs w:val="24"/>
        </w:rPr>
        <w:t xml:space="preserve"> </w:t>
      </w:r>
      <w:r w:rsidRPr="00AF3260">
        <w:rPr>
          <w:rFonts w:ascii="Times New Roman" w:hAnsi="Times New Roman"/>
          <w:szCs w:val="24"/>
        </w:rPr>
        <w:t>(CCS</w:t>
      </w:r>
      <w:r>
        <w:rPr>
          <w:rFonts w:ascii="Times New Roman" w:hAnsi="Times New Roman"/>
          <w:b/>
          <w:bCs/>
          <w:szCs w:val="24"/>
        </w:rPr>
        <w:t>)</w:t>
      </w:r>
      <w:r w:rsidRPr="00AF3260">
        <w:rPr>
          <w:rFonts w:ascii="Times New Roman" w:hAnsi="Times New Roman"/>
          <w:szCs w:val="24"/>
        </w:rPr>
        <w:t xml:space="preserve"> </w:t>
      </w:r>
      <w:r>
        <w:rPr>
          <w:rFonts w:ascii="Times New Roman" w:hAnsi="Times New Roman"/>
          <w:b/>
          <w:bCs/>
          <w:szCs w:val="24"/>
        </w:rPr>
        <w:t>(</w:t>
      </w:r>
      <w:r w:rsidRPr="00247306">
        <w:rPr>
          <w:rFonts w:ascii="Times New Roman" w:hAnsi="Times New Roman"/>
          <w:b/>
          <w:bCs/>
          <w:szCs w:val="24"/>
        </w:rPr>
        <w:t>paragraph</w:t>
      </w:r>
      <w:r>
        <w:rPr>
          <w:rFonts w:ascii="Times New Roman" w:hAnsi="Times New Roman"/>
          <w:b/>
          <w:bCs/>
          <w:szCs w:val="24"/>
        </w:rPr>
        <w:t> </w:t>
      </w:r>
      <w:r w:rsidRPr="00247306">
        <w:rPr>
          <w:rFonts w:ascii="Times New Roman" w:hAnsi="Times New Roman"/>
          <w:b/>
          <w:bCs/>
          <w:szCs w:val="24"/>
        </w:rPr>
        <w:t>11)</w:t>
      </w:r>
      <w:r w:rsidRPr="00AF3260">
        <w:rPr>
          <w:rFonts w:ascii="Times New Roman" w:hAnsi="Times New Roman"/>
          <w:szCs w:val="24"/>
        </w:rPr>
        <w:t xml:space="preserve"> </w:t>
      </w:r>
      <w:r w:rsidRPr="00247306">
        <w:rPr>
          <w:rFonts w:ascii="Times New Roman" w:hAnsi="Times New Roman"/>
          <w:szCs w:val="24"/>
        </w:rPr>
        <w:t xml:space="preserve">under </w:t>
      </w:r>
      <w:proofErr w:type="spellStart"/>
      <w:r w:rsidRPr="00247306">
        <w:rPr>
          <w:rFonts w:ascii="Times New Roman" w:hAnsi="Times New Roman"/>
          <w:szCs w:val="24"/>
        </w:rPr>
        <w:t>InvestEU</w:t>
      </w:r>
      <w:proofErr w:type="spellEnd"/>
      <w:r w:rsidRPr="00247306">
        <w:rPr>
          <w:rFonts w:ascii="Times New Roman" w:hAnsi="Times New Roman"/>
          <w:szCs w:val="24"/>
        </w:rPr>
        <w:t xml:space="preserve"> the EIF is offering a dedicated guarantee</w:t>
      </w:r>
      <w:r w:rsidRPr="00247306">
        <w:rPr>
          <w:rStyle w:val="FootnoteReference"/>
          <w:rFonts w:ascii="Times New Roman" w:hAnsi="Times New Roman"/>
          <w:szCs w:val="24"/>
        </w:rPr>
        <w:footnoteReference w:id="11"/>
      </w:r>
      <w:r w:rsidRPr="00247306">
        <w:rPr>
          <w:rFonts w:ascii="Times New Roman" w:hAnsi="Times New Roman"/>
          <w:szCs w:val="24"/>
        </w:rPr>
        <w:t xml:space="preserve">. </w:t>
      </w:r>
      <w:r>
        <w:rPr>
          <w:rFonts w:ascii="Times New Roman" w:hAnsi="Times New Roman"/>
          <w:szCs w:val="24"/>
        </w:rPr>
        <w:t>T</w:t>
      </w:r>
      <w:r w:rsidRPr="00247306">
        <w:rPr>
          <w:rFonts w:ascii="Times New Roman" w:hAnsi="Times New Roman"/>
          <w:szCs w:val="24"/>
        </w:rPr>
        <w:t>he EIF is also investing into equity funds that are focusing on investments into start-ups and scale</w:t>
      </w:r>
      <w:r>
        <w:rPr>
          <w:rFonts w:ascii="Times New Roman" w:hAnsi="Times New Roman"/>
          <w:szCs w:val="24"/>
        </w:rPr>
        <w:t>-</w:t>
      </w:r>
      <w:r w:rsidRPr="00247306">
        <w:rPr>
          <w:rFonts w:ascii="Times New Roman" w:hAnsi="Times New Roman"/>
          <w:szCs w:val="24"/>
        </w:rPr>
        <w:t>ups in the CCS sector</w:t>
      </w:r>
      <w:r w:rsidRPr="00247306">
        <w:rPr>
          <w:rStyle w:val="FootnoteReference"/>
          <w:rFonts w:ascii="Times New Roman" w:hAnsi="Times New Roman"/>
          <w:szCs w:val="24"/>
        </w:rPr>
        <w:footnoteReference w:id="12"/>
      </w:r>
      <w:r>
        <w:rPr>
          <w:rFonts w:ascii="Times New Roman" w:hAnsi="Times New Roman"/>
          <w:szCs w:val="24"/>
        </w:rPr>
        <w:t xml:space="preserve"> and</w:t>
      </w:r>
      <w:proofErr w:type="gramStart"/>
      <w:r>
        <w:rPr>
          <w:rFonts w:ascii="Times New Roman" w:hAnsi="Times New Roman"/>
          <w:szCs w:val="24"/>
        </w:rPr>
        <w:t>, in particular, through</w:t>
      </w:r>
      <w:proofErr w:type="gramEnd"/>
      <w:r>
        <w:rPr>
          <w:rFonts w:ascii="Times New Roman" w:hAnsi="Times New Roman"/>
          <w:szCs w:val="24"/>
        </w:rPr>
        <w:t xml:space="preserve"> the </w:t>
      </w:r>
      <w:proofErr w:type="spellStart"/>
      <w:r>
        <w:rPr>
          <w:rFonts w:ascii="Times New Roman" w:hAnsi="Times New Roman"/>
          <w:szCs w:val="24"/>
        </w:rPr>
        <w:t>MediaInvest</w:t>
      </w:r>
      <w:proofErr w:type="spellEnd"/>
      <w:r>
        <w:rPr>
          <w:rFonts w:ascii="Times New Roman" w:hAnsi="Times New Roman"/>
          <w:szCs w:val="24"/>
        </w:rPr>
        <w:t xml:space="preserve"> action</w:t>
      </w:r>
      <w:r>
        <w:rPr>
          <w:rStyle w:val="FootnoteReference"/>
          <w:rFonts w:ascii="Times New Roman" w:hAnsi="Times New Roman"/>
          <w:szCs w:val="24"/>
        </w:rPr>
        <w:footnoteReference w:id="13"/>
      </w:r>
      <w:r>
        <w:rPr>
          <w:rFonts w:ascii="Times New Roman" w:hAnsi="Times New Roman"/>
          <w:szCs w:val="24"/>
        </w:rPr>
        <w:t xml:space="preserve">. </w:t>
      </w:r>
      <w:r w:rsidRPr="00247306">
        <w:rPr>
          <w:rFonts w:ascii="Times New Roman" w:hAnsi="Times New Roman"/>
          <w:szCs w:val="24"/>
        </w:rPr>
        <w:t>In addition, the Single Market Programme</w:t>
      </w:r>
      <w:r w:rsidRPr="00B57DA0">
        <w:rPr>
          <w:rStyle w:val="FootnoteReference"/>
          <w:rFonts w:ascii="Times New Roman" w:hAnsi="Times New Roman"/>
          <w:szCs w:val="24"/>
        </w:rPr>
        <w:footnoteReference w:id="14"/>
      </w:r>
      <w:r w:rsidRPr="00B57DA0">
        <w:rPr>
          <w:rFonts w:ascii="Times New Roman" w:hAnsi="Times New Roman"/>
          <w:szCs w:val="24"/>
        </w:rPr>
        <w:t xml:space="preserve"> </w:t>
      </w:r>
      <w:r w:rsidRPr="00247306">
        <w:rPr>
          <w:rFonts w:ascii="Times New Roman" w:hAnsi="Times New Roman"/>
          <w:szCs w:val="24"/>
        </w:rPr>
        <w:t>supports CC</w:t>
      </w:r>
      <w:r>
        <w:rPr>
          <w:rFonts w:ascii="Times New Roman" w:hAnsi="Times New Roman"/>
          <w:szCs w:val="24"/>
        </w:rPr>
        <w:t xml:space="preserve">S </w:t>
      </w:r>
      <w:r w:rsidRPr="00247306">
        <w:rPr>
          <w:rFonts w:ascii="Times New Roman" w:hAnsi="Times New Roman"/>
          <w:szCs w:val="24"/>
        </w:rPr>
        <w:t>entrepreneurs and start-ups through the Enterprise Europe Network in developing their businesses at any stage of their growth path. The Network offers tailored services and advice on, among others, access to finance.</w:t>
      </w:r>
      <w:r>
        <w:rPr>
          <w:rFonts w:ascii="Times New Roman" w:hAnsi="Times New Roman"/>
          <w:szCs w:val="24"/>
        </w:rPr>
        <w:t xml:space="preserve"> </w:t>
      </w:r>
      <w:r w:rsidRPr="00247306">
        <w:rPr>
          <w:rFonts w:ascii="Times New Roman" w:hAnsi="Times New Roman"/>
          <w:szCs w:val="24"/>
        </w:rPr>
        <w:t xml:space="preserve">Also, in 2023, the European Institute of Innovation and Technology (EIT) has established the EIT Culture &amp; Creativity Community. It aims to strengthen and transform Europe’s Cultural and Creative Sectors and Industries (CCSI) by connecting creatives and organizations into Europe’s largest innovation network in the field. It will focus its activities on training the sector’s future entrepreneurs, nurturing </w:t>
      </w:r>
      <w:proofErr w:type="gramStart"/>
      <w:r w:rsidRPr="00247306">
        <w:rPr>
          <w:rFonts w:ascii="Times New Roman" w:hAnsi="Times New Roman"/>
          <w:szCs w:val="24"/>
        </w:rPr>
        <w:t>start-ups</w:t>
      </w:r>
      <w:proofErr w:type="gramEnd"/>
      <w:r w:rsidRPr="00247306">
        <w:rPr>
          <w:rFonts w:ascii="Times New Roman" w:hAnsi="Times New Roman"/>
          <w:szCs w:val="24"/>
        </w:rPr>
        <w:t xml:space="preserve"> and scale-ups, </w:t>
      </w:r>
      <w:r w:rsidRPr="00247306">
        <w:rPr>
          <w:rFonts w:ascii="Times New Roman" w:hAnsi="Times New Roman"/>
          <w:szCs w:val="24"/>
        </w:rPr>
        <w:lastRenderedPageBreak/>
        <w:t>supporting cutting-edge ventures in the sector, and delivering innovative solutions to the challenges facing the sectors.</w:t>
      </w:r>
    </w:p>
    <w:p w14:paraId="1CF89155" w14:textId="77777777" w:rsidR="00713742" w:rsidRDefault="00713742" w:rsidP="00713742">
      <w:pPr>
        <w:spacing w:after="120"/>
        <w:rPr>
          <w:rFonts w:ascii="Times New Roman" w:hAnsi="Times New Roman"/>
          <w:szCs w:val="24"/>
        </w:rPr>
      </w:pPr>
      <w:r w:rsidRPr="00247306">
        <w:rPr>
          <w:rFonts w:ascii="Times New Roman" w:hAnsi="Times New Roman"/>
          <w:szCs w:val="24"/>
          <w:lang w:val="en-IE"/>
        </w:rPr>
        <w:t xml:space="preserve">The Commission fully endorses the idea of the importance of the link between spatial policies and start-up and scale-up policies </w:t>
      </w:r>
      <w:r w:rsidRPr="00247306">
        <w:rPr>
          <w:rFonts w:ascii="Times New Roman" w:hAnsi="Times New Roman"/>
          <w:b/>
          <w:bCs/>
          <w:szCs w:val="24"/>
          <w:lang w:val="en-IE"/>
        </w:rPr>
        <w:t>(paragraph 12)</w:t>
      </w:r>
      <w:r w:rsidRPr="00B57DA0">
        <w:rPr>
          <w:rFonts w:ascii="Times New Roman" w:hAnsi="Times New Roman"/>
          <w:szCs w:val="24"/>
          <w:lang w:val="en-IE"/>
        </w:rPr>
        <w:t>.</w:t>
      </w:r>
      <w:r w:rsidRPr="00247306">
        <w:rPr>
          <w:rFonts w:ascii="Times New Roman" w:hAnsi="Times New Roman"/>
          <w:szCs w:val="24"/>
        </w:rPr>
        <w:t xml:space="preserve"> Due the significant regional differences in development in the EU, it is of utmost importance that investments are place-based and respond to the needs of the SMEs and citizens in the region in a tailor-made fashion. </w:t>
      </w:r>
      <w:r>
        <w:rPr>
          <w:rFonts w:ascii="Times New Roman" w:hAnsi="Times New Roman"/>
          <w:szCs w:val="24"/>
        </w:rPr>
        <w:t xml:space="preserve">The </w:t>
      </w:r>
      <w:r w:rsidRPr="00247306">
        <w:rPr>
          <w:rFonts w:ascii="Times New Roman" w:hAnsi="Times New Roman"/>
          <w:szCs w:val="24"/>
        </w:rPr>
        <w:t>policy objective ‘Smarter Europe’</w:t>
      </w:r>
      <w:r>
        <w:rPr>
          <w:rFonts w:ascii="Times New Roman" w:hAnsi="Times New Roman"/>
          <w:szCs w:val="24"/>
        </w:rPr>
        <w:t xml:space="preserve"> of the </w:t>
      </w:r>
      <w:r w:rsidRPr="00B57DA0">
        <w:rPr>
          <w:rFonts w:ascii="Times New Roman" w:hAnsi="Times New Roman"/>
          <w:szCs w:val="24"/>
        </w:rPr>
        <w:t>2021-2021 Cohesion</w:t>
      </w:r>
      <w:r>
        <w:rPr>
          <w:rFonts w:ascii="Times New Roman" w:hAnsi="Times New Roman"/>
          <w:szCs w:val="24"/>
        </w:rPr>
        <w:t xml:space="preserve"> Policy programming</w:t>
      </w:r>
      <w:r w:rsidRPr="00247306">
        <w:rPr>
          <w:rFonts w:ascii="Times New Roman" w:hAnsi="Times New Roman"/>
          <w:szCs w:val="24"/>
        </w:rPr>
        <w:t xml:space="preserve"> has </w:t>
      </w:r>
      <w:r>
        <w:rPr>
          <w:rFonts w:ascii="Times New Roman" w:hAnsi="Times New Roman"/>
          <w:szCs w:val="24"/>
        </w:rPr>
        <w:t xml:space="preserve">as </w:t>
      </w:r>
      <w:r w:rsidRPr="00247306">
        <w:rPr>
          <w:rFonts w:ascii="Times New Roman" w:hAnsi="Times New Roman"/>
          <w:szCs w:val="24"/>
        </w:rPr>
        <w:t xml:space="preserve">specific objective to reaping the benefits of digitalisation by investing in </w:t>
      </w:r>
      <w:r>
        <w:rPr>
          <w:rFonts w:ascii="Times New Roman" w:hAnsi="Times New Roman"/>
          <w:szCs w:val="24"/>
        </w:rPr>
        <w:t>Information and Communication Technology (</w:t>
      </w:r>
      <w:r w:rsidRPr="00247306">
        <w:rPr>
          <w:rFonts w:ascii="Times New Roman" w:hAnsi="Times New Roman"/>
          <w:szCs w:val="24"/>
        </w:rPr>
        <w:t>ICT</w:t>
      </w:r>
      <w:r>
        <w:rPr>
          <w:rFonts w:ascii="Times New Roman" w:hAnsi="Times New Roman"/>
          <w:szCs w:val="24"/>
        </w:rPr>
        <w:t>)</w:t>
      </w:r>
      <w:r w:rsidRPr="00247306">
        <w:rPr>
          <w:rFonts w:ascii="Times New Roman" w:hAnsi="Times New Roman"/>
          <w:szCs w:val="24"/>
        </w:rPr>
        <w:t xml:space="preserve"> uptake in SMEs including start-up</w:t>
      </w:r>
      <w:r>
        <w:rPr>
          <w:rFonts w:ascii="Times New Roman" w:hAnsi="Times New Roman"/>
          <w:szCs w:val="24"/>
        </w:rPr>
        <w:t>s</w:t>
      </w:r>
      <w:r w:rsidRPr="00247306">
        <w:rPr>
          <w:rFonts w:ascii="Times New Roman" w:hAnsi="Times New Roman"/>
          <w:szCs w:val="24"/>
        </w:rPr>
        <w:t xml:space="preserve"> and scale-ups, introducing new or upgraded services for e-government (EUR 6.74 b</w:t>
      </w:r>
      <w:r>
        <w:rPr>
          <w:rFonts w:ascii="Times New Roman" w:hAnsi="Times New Roman"/>
          <w:szCs w:val="24"/>
        </w:rPr>
        <w:t>il</w:t>
      </w:r>
      <w:r w:rsidRPr="00247306">
        <w:rPr>
          <w:rFonts w:ascii="Times New Roman" w:hAnsi="Times New Roman"/>
          <w:szCs w:val="24"/>
        </w:rPr>
        <w:t>l</w:t>
      </w:r>
      <w:r>
        <w:rPr>
          <w:rFonts w:ascii="Times New Roman" w:hAnsi="Times New Roman"/>
          <w:szCs w:val="24"/>
        </w:rPr>
        <w:t>io</w:t>
      </w:r>
      <w:r w:rsidRPr="00247306">
        <w:rPr>
          <w:rFonts w:ascii="Times New Roman" w:hAnsi="Times New Roman"/>
          <w:szCs w:val="24"/>
        </w:rPr>
        <w:t xml:space="preserve">n allocated), as well as for e-inclusion, e-health, e-learning, and e-skilling. </w:t>
      </w:r>
      <w:r>
        <w:rPr>
          <w:rFonts w:ascii="Times New Roman" w:hAnsi="Times New Roman"/>
          <w:szCs w:val="24"/>
        </w:rPr>
        <w:t>More specifically, the Commission</w:t>
      </w:r>
      <w:r w:rsidRPr="00247306">
        <w:rPr>
          <w:rFonts w:ascii="Times New Roman" w:hAnsi="Times New Roman"/>
          <w:szCs w:val="24"/>
        </w:rPr>
        <w:t xml:space="preserve"> is supporting the setting up and rolling out </w:t>
      </w:r>
      <w:r>
        <w:rPr>
          <w:rFonts w:ascii="Times New Roman" w:hAnsi="Times New Roman"/>
          <w:szCs w:val="24"/>
        </w:rPr>
        <w:t xml:space="preserve">of </w:t>
      </w:r>
      <w:r w:rsidRPr="00247306">
        <w:rPr>
          <w:rFonts w:ascii="Times New Roman" w:hAnsi="Times New Roman"/>
          <w:szCs w:val="24"/>
        </w:rPr>
        <w:t xml:space="preserve">a network of </w:t>
      </w:r>
      <w:r>
        <w:rPr>
          <w:rFonts w:ascii="Times New Roman" w:hAnsi="Times New Roman"/>
          <w:szCs w:val="24"/>
        </w:rPr>
        <w:t xml:space="preserve">more than </w:t>
      </w:r>
      <w:r w:rsidRPr="00247306">
        <w:rPr>
          <w:rFonts w:ascii="Times New Roman" w:hAnsi="Times New Roman"/>
          <w:szCs w:val="24"/>
        </w:rPr>
        <w:t>200 Digital Innovation Hubs across Europe’s regions</w:t>
      </w:r>
      <w:r>
        <w:rPr>
          <w:rFonts w:ascii="Times New Roman" w:hAnsi="Times New Roman"/>
          <w:szCs w:val="24"/>
        </w:rPr>
        <w:t>, which</w:t>
      </w:r>
      <w:r w:rsidRPr="00247306">
        <w:rPr>
          <w:rFonts w:ascii="Times New Roman" w:hAnsi="Times New Roman"/>
          <w:szCs w:val="24"/>
        </w:rPr>
        <w:t xml:space="preserve"> will help SMEs –</w:t>
      </w:r>
      <w:r>
        <w:rPr>
          <w:rFonts w:ascii="Times New Roman" w:hAnsi="Times New Roman"/>
          <w:szCs w:val="24"/>
        </w:rPr>
        <w:t xml:space="preserve"> </w:t>
      </w:r>
      <w:r w:rsidRPr="00247306">
        <w:rPr>
          <w:rFonts w:ascii="Times New Roman" w:hAnsi="Times New Roman"/>
          <w:szCs w:val="24"/>
        </w:rPr>
        <w:t>especially start-ups and scale ups</w:t>
      </w:r>
      <w:r>
        <w:rPr>
          <w:rFonts w:ascii="Times New Roman" w:hAnsi="Times New Roman"/>
          <w:szCs w:val="24"/>
        </w:rPr>
        <w:t xml:space="preserve"> </w:t>
      </w:r>
      <w:r w:rsidRPr="00247306">
        <w:rPr>
          <w:rFonts w:ascii="Times New Roman" w:hAnsi="Times New Roman"/>
          <w:szCs w:val="24"/>
        </w:rPr>
        <w:t>– to test the potential of</w:t>
      </w:r>
      <w:r>
        <w:rPr>
          <w:rFonts w:ascii="Times New Roman" w:hAnsi="Times New Roman"/>
          <w:szCs w:val="24"/>
        </w:rPr>
        <w:t>, for example,</w:t>
      </w:r>
      <w:r w:rsidRPr="00247306">
        <w:rPr>
          <w:rFonts w:ascii="Times New Roman" w:hAnsi="Times New Roman"/>
          <w:szCs w:val="24"/>
        </w:rPr>
        <w:t xml:space="preserve"> big data and </w:t>
      </w:r>
      <w:r>
        <w:rPr>
          <w:rFonts w:ascii="Times New Roman" w:hAnsi="Times New Roman"/>
          <w:szCs w:val="24"/>
        </w:rPr>
        <w:t>A</w:t>
      </w:r>
      <w:r w:rsidRPr="00247306">
        <w:rPr>
          <w:rFonts w:ascii="Times New Roman" w:hAnsi="Times New Roman"/>
          <w:szCs w:val="24"/>
        </w:rPr>
        <w:t xml:space="preserve">rtificial </w:t>
      </w:r>
      <w:r>
        <w:rPr>
          <w:rFonts w:ascii="Times New Roman" w:hAnsi="Times New Roman"/>
          <w:szCs w:val="24"/>
        </w:rPr>
        <w:t>I</w:t>
      </w:r>
      <w:r w:rsidRPr="00247306">
        <w:rPr>
          <w:rFonts w:ascii="Times New Roman" w:hAnsi="Times New Roman"/>
          <w:szCs w:val="24"/>
        </w:rPr>
        <w:t>ntelligence</w:t>
      </w:r>
      <w:r>
        <w:rPr>
          <w:rFonts w:ascii="Times New Roman" w:hAnsi="Times New Roman"/>
          <w:szCs w:val="24"/>
        </w:rPr>
        <w:t xml:space="preserve"> (AI)</w:t>
      </w:r>
      <w:r w:rsidRPr="00247306">
        <w:rPr>
          <w:rFonts w:ascii="Times New Roman" w:hAnsi="Times New Roman"/>
          <w:szCs w:val="24"/>
        </w:rPr>
        <w:t xml:space="preserve"> for enhancing their business models.</w:t>
      </w:r>
    </w:p>
    <w:p w14:paraId="06EC3A22" w14:textId="77777777" w:rsidR="00713742" w:rsidRDefault="00713742" w:rsidP="00713742">
      <w:pPr>
        <w:spacing w:after="120"/>
        <w:rPr>
          <w:rFonts w:ascii="Times New Roman" w:hAnsi="Times New Roman"/>
          <w:szCs w:val="24"/>
          <w:lang w:val="en-IE"/>
        </w:rPr>
      </w:pPr>
      <w:r>
        <w:rPr>
          <w:rFonts w:ascii="Times New Roman" w:hAnsi="Times New Roman"/>
          <w:szCs w:val="24"/>
        </w:rPr>
        <w:t xml:space="preserve">About the </w:t>
      </w:r>
      <w:r w:rsidRPr="00841429">
        <w:rPr>
          <w:rFonts w:ascii="Times New Roman" w:hAnsi="Times New Roman"/>
          <w:szCs w:val="24"/>
        </w:rPr>
        <w:t>barriers that start-ups and scale-ups face in accessing finance</w:t>
      </w:r>
      <w:r>
        <w:rPr>
          <w:rFonts w:ascii="Times New Roman" w:hAnsi="Times New Roman"/>
          <w:szCs w:val="24"/>
        </w:rPr>
        <w:t xml:space="preserve"> </w:t>
      </w:r>
      <w:r w:rsidRPr="00194C96">
        <w:rPr>
          <w:rFonts w:ascii="Times New Roman" w:hAnsi="Times New Roman"/>
          <w:b/>
          <w:bCs/>
          <w:szCs w:val="24"/>
        </w:rPr>
        <w:t>(paragraph 13)</w:t>
      </w:r>
      <w:r>
        <w:rPr>
          <w:rFonts w:ascii="Times New Roman" w:hAnsi="Times New Roman"/>
          <w:szCs w:val="24"/>
        </w:rPr>
        <w:t>,</w:t>
      </w:r>
      <w:r w:rsidRPr="00841429">
        <w:rPr>
          <w:rFonts w:ascii="Times New Roman" w:hAnsi="Times New Roman"/>
          <w:szCs w:val="24"/>
        </w:rPr>
        <w:t xml:space="preserve"> </w:t>
      </w:r>
      <w:r>
        <w:rPr>
          <w:rFonts w:ascii="Times New Roman" w:hAnsi="Times New Roman"/>
          <w:szCs w:val="24"/>
        </w:rPr>
        <w:t>t</w:t>
      </w:r>
      <w:r w:rsidRPr="00247306">
        <w:rPr>
          <w:rFonts w:ascii="Times New Roman" w:hAnsi="Times New Roman"/>
          <w:szCs w:val="24"/>
        </w:rPr>
        <w:t>he Commission monitors developments in SMEs’ access to finance through the annual joint (European Commission/European Central Bank) Survey on the access to finance of enterprises</w:t>
      </w:r>
      <w:r w:rsidRPr="00194C96">
        <w:rPr>
          <w:rFonts w:ascii="Times New Roman" w:hAnsi="Times New Roman"/>
          <w:szCs w:val="24"/>
        </w:rPr>
        <w:t xml:space="preserve">, which also captures </w:t>
      </w:r>
      <w:r w:rsidRPr="00247306">
        <w:rPr>
          <w:rFonts w:ascii="Times New Roman" w:hAnsi="Times New Roman"/>
          <w:szCs w:val="24"/>
        </w:rPr>
        <w:t>perceived limiting factors to obtaining financial support.</w:t>
      </w:r>
      <w:r>
        <w:rPr>
          <w:rFonts w:ascii="Times New Roman" w:hAnsi="Times New Roman"/>
          <w:szCs w:val="24"/>
        </w:rPr>
        <w:t xml:space="preserve"> Moreover, f</w:t>
      </w:r>
      <w:r w:rsidRPr="00247306">
        <w:rPr>
          <w:rFonts w:ascii="Times New Roman" w:hAnsi="Times New Roman"/>
          <w:szCs w:val="24"/>
        </w:rPr>
        <w:t xml:space="preserve">rom an access to public funding standpoint, </w:t>
      </w:r>
      <w:proofErr w:type="spellStart"/>
      <w:r w:rsidRPr="00247306">
        <w:rPr>
          <w:rFonts w:ascii="Times New Roman" w:hAnsi="Times New Roman"/>
          <w:szCs w:val="24"/>
        </w:rPr>
        <w:t>InvestEU</w:t>
      </w:r>
      <w:proofErr w:type="spellEnd"/>
      <w:r w:rsidRPr="00247306">
        <w:rPr>
          <w:rFonts w:ascii="Times New Roman" w:hAnsi="Times New Roman"/>
          <w:szCs w:val="24"/>
        </w:rPr>
        <w:t xml:space="preserve"> allows simple a</w:t>
      </w:r>
      <w:r w:rsidRPr="00247306">
        <w:rPr>
          <w:rStyle w:val="normaltextrun"/>
          <w:rFonts w:ascii="Times New Roman" w:hAnsi="Times New Roman"/>
          <w:szCs w:val="24"/>
        </w:rPr>
        <w:t xml:space="preserve">ccess for start-ups/scale-ups, </w:t>
      </w:r>
      <w:r>
        <w:rPr>
          <w:rStyle w:val="normaltextrun"/>
          <w:rFonts w:ascii="Times New Roman" w:hAnsi="Times New Roman"/>
          <w:szCs w:val="24"/>
        </w:rPr>
        <w:t xml:space="preserve">who </w:t>
      </w:r>
      <w:r w:rsidRPr="00247306">
        <w:rPr>
          <w:rStyle w:val="normaltextrun"/>
          <w:rFonts w:ascii="Times New Roman" w:hAnsi="Times New Roman"/>
          <w:szCs w:val="24"/>
        </w:rPr>
        <w:t>can contact and apply to their local financial institution</w:t>
      </w:r>
      <w:r w:rsidRPr="00247306">
        <w:rPr>
          <w:rStyle w:val="FootnoteReference"/>
          <w:rFonts w:ascii="Times New Roman" w:hAnsi="Times New Roman"/>
          <w:szCs w:val="24"/>
        </w:rPr>
        <w:footnoteReference w:id="15"/>
      </w:r>
      <w:r w:rsidRPr="00247306">
        <w:rPr>
          <w:rStyle w:val="normaltextrun"/>
          <w:rFonts w:ascii="Times New Roman" w:hAnsi="Times New Roman"/>
          <w:szCs w:val="24"/>
        </w:rPr>
        <w:t xml:space="preserve"> which then takes the financing decision.</w:t>
      </w:r>
      <w:r>
        <w:rPr>
          <w:rStyle w:val="normaltextrun"/>
          <w:rFonts w:ascii="Times New Roman" w:hAnsi="Times New Roman"/>
          <w:szCs w:val="24"/>
        </w:rPr>
        <w:t xml:space="preserve"> Thirdly, </w:t>
      </w:r>
      <w:r>
        <w:rPr>
          <w:rFonts w:ascii="Times New Roman" w:hAnsi="Times New Roman"/>
          <w:szCs w:val="24"/>
        </w:rPr>
        <w:t>t</w:t>
      </w:r>
      <w:r w:rsidRPr="00247306">
        <w:rPr>
          <w:rFonts w:ascii="Times New Roman" w:hAnsi="Times New Roman"/>
          <w:szCs w:val="24"/>
        </w:rPr>
        <w:t xml:space="preserve">he 2020 CMU Action Plan includes several actions that, when implemented, </w:t>
      </w:r>
      <w:r>
        <w:rPr>
          <w:rFonts w:ascii="Times New Roman" w:hAnsi="Times New Roman"/>
          <w:szCs w:val="24"/>
        </w:rPr>
        <w:t xml:space="preserve">will </w:t>
      </w:r>
      <w:r w:rsidRPr="00247306">
        <w:rPr>
          <w:rFonts w:ascii="Times New Roman" w:hAnsi="Times New Roman"/>
          <w:szCs w:val="24"/>
        </w:rPr>
        <w:t xml:space="preserve">ensure better harmonisation of capital markets in the </w:t>
      </w:r>
      <w:proofErr w:type="gramStart"/>
      <w:r w:rsidRPr="00247306">
        <w:rPr>
          <w:rFonts w:ascii="Times New Roman" w:hAnsi="Times New Roman"/>
          <w:szCs w:val="24"/>
        </w:rPr>
        <w:t>EU</w:t>
      </w:r>
      <w:proofErr w:type="gramEnd"/>
      <w:r w:rsidRPr="00247306">
        <w:rPr>
          <w:rFonts w:ascii="Times New Roman" w:hAnsi="Times New Roman"/>
          <w:szCs w:val="24"/>
        </w:rPr>
        <w:t xml:space="preserve"> and will tackle some of the key remaining obstacles to market integration. </w:t>
      </w:r>
      <w:r>
        <w:rPr>
          <w:rFonts w:ascii="Times New Roman" w:hAnsi="Times New Roman"/>
          <w:szCs w:val="24"/>
        </w:rPr>
        <w:t>Finally, the h</w:t>
      </w:r>
      <w:r w:rsidRPr="00247306">
        <w:rPr>
          <w:rFonts w:ascii="Times New Roman" w:hAnsi="Times New Roman"/>
          <w:szCs w:val="24"/>
        </w:rPr>
        <w:t xml:space="preserve">armonisation of certain targeted areas of national insolvency rules, a </w:t>
      </w:r>
      <w:r>
        <w:rPr>
          <w:rFonts w:ascii="Times New Roman" w:hAnsi="Times New Roman"/>
          <w:szCs w:val="24"/>
        </w:rPr>
        <w:t xml:space="preserve">more </w:t>
      </w:r>
      <w:r w:rsidRPr="00247306">
        <w:rPr>
          <w:rFonts w:ascii="Times New Roman" w:hAnsi="Times New Roman"/>
          <w:szCs w:val="24"/>
        </w:rPr>
        <w:t xml:space="preserve">standardised EU-wide system for withholding tax relief </w:t>
      </w:r>
      <w:r>
        <w:rPr>
          <w:rFonts w:ascii="Times New Roman" w:hAnsi="Times New Roman"/>
          <w:szCs w:val="24"/>
        </w:rPr>
        <w:t>procedures</w:t>
      </w:r>
      <w:r w:rsidRPr="00247306">
        <w:rPr>
          <w:rFonts w:ascii="Times New Roman" w:hAnsi="Times New Roman"/>
          <w:szCs w:val="24"/>
        </w:rPr>
        <w:t xml:space="preserve">, harmonisation of certain aspects of company law are all measures that seek to reduce market fragmentation and </w:t>
      </w:r>
      <w:r>
        <w:rPr>
          <w:rFonts w:ascii="Times New Roman" w:hAnsi="Times New Roman"/>
          <w:szCs w:val="24"/>
        </w:rPr>
        <w:t xml:space="preserve">remove barriers that </w:t>
      </w:r>
      <w:r w:rsidRPr="00247306">
        <w:rPr>
          <w:rFonts w:ascii="Times New Roman" w:hAnsi="Times New Roman"/>
          <w:szCs w:val="24"/>
        </w:rPr>
        <w:t>deter cross-border investment.</w:t>
      </w:r>
    </w:p>
    <w:p w14:paraId="2F7ECC12" w14:textId="77777777" w:rsidR="00713742" w:rsidRDefault="00713742" w:rsidP="00713742">
      <w:pPr>
        <w:spacing w:after="120"/>
        <w:rPr>
          <w:rFonts w:ascii="Times New Roman" w:hAnsi="Times New Roman"/>
          <w:szCs w:val="24"/>
        </w:rPr>
      </w:pPr>
      <w:r>
        <w:rPr>
          <w:rFonts w:ascii="Times New Roman" w:hAnsi="Times New Roman"/>
          <w:szCs w:val="24"/>
        </w:rPr>
        <w:t>T</w:t>
      </w:r>
      <w:r w:rsidRPr="00247306">
        <w:rPr>
          <w:rFonts w:ascii="Times New Roman" w:hAnsi="Times New Roman"/>
          <w:szCs w:val="24"/>
        </w:rPr>
        <w:t xml:space="preserve">he Commission </w:t>
      </w:r>
      <w:r>
        <w:rPr>
          <w:rFonts w:ascii="Times New Roman" w:hAnsi="Times New Roman"/>
          <w:szCs w:val="24"/>
        </w:rPr>
        <w:t xml:space="preserve">does not object the idea that </w:t>
      </w:r>
      <w:r w:rsidRPr="00247306">
        <w:rPr>
          <w:rFonts w:ascii="Times New Roman" w:hAnsi="Times New Roman"/>
          <w:szCs w:val="24"/>
        </w:rPr>
        <w:t xml:space="preserve">access to finance for European start-ups and scale-ups should </w:t>
      </w:r>
      <w:r>
        <w:rPr>
          <w:rFonts w:ascii="Times New Roman" w:hAnsi="Times New Roman"/>
          <w:szCs w:val="24"/>
        </w:rPr>
        <w:t xml:space="preserve">be </w:t>
      </w:r>
      <w:r w:rsidRPr="00247306">
        <w:rPr>
          <w:rFonts w:ascii="Times New Roman" w:hAnsi="Times New Roman"/>
          <w:szCs w:val="24"/>
        </w:rPr>
        <w:t>enhanced</w:t>
      </w:r>
      <w:r>
        <w:rPr>
          <w:rFonts w:ascii="Times New Roman" w:hAnsi="Times New Roman"/>
          <w:b/>
          <w:bCs/>
          <w:szCs w:val="24"/>
        </w:rPr>
        <w:t xml:space="preserve"> above and beyond the already existing instruments</w:t>
      </w:r>
      <w:r w:rsidRPr="00AF3260">
        <w:rPr>
          <w:rFonts w:ascii="Times New Roman" w:hAnsi="Times New Roman"/>
          <w:szCs w:val="24"/>
        </w:rPr>
        <w:t xml:space="preserve"> </w:t>
      </w:r>
      <w:r>
        <w:rPr>
          <w:rFonts w:ascii="Times New Roman" w:hAnsi="Times New Roman"/>
          <w:b/>
          <w:bCs/>
          <w:szCs w:val="24"/>
        </w:rPr>
        <w:t>(paragraph 14)</w:t>
      </w:r>
      <w:r w:rsidRPr="00247306">
        <w:rPr>
          <w:rFonts w:ascii="Times New Roman" w:hAnsi="Times New Roman"/>
          <w:szCs w:val="24"/>
        </w:rPr>
        <w:t>.</w:t>
      </w:r>
      <w:r>
        <w:rPr>
          <w:rFonts w:ascii="Times New Roman" w:hAnsi="Times New Roman"/>
          <w:szCs w:val="24"/>
        </w:rPr>
        <w:t xml:space="preserve"> </w:t>
      </w:r>
      <w:r w:rsidRPr="00247306">
        <w:rPr>
          <w:rFonts w:ascii="Times New Roman" w:hAnsi="Times New Roman"/>
          <w:szCs w:val="24"/>
        </w:rPr>
        <w:t>Under its Capital Markets Union flagship</w:t>
      </w:r>
      <w:r w:rsidRPr="00247306">
        <w:rPr>
          <w:rStyle w:val="FootnoteReference"/>
          <w:rFonts w:ascii="Times New Roman" w:hAnsi="Times New Roman"/>
          <w:szCs w:val="24"/>
        </w:rPr>
        <w:footnoteReference w:id="16"/>
      </w:r>
      <w:r w:rsidRPr="00247306">
        <w:rPr>
          <w:rFonts w:ascii="Times New Roman" w:hAnsi="Times New Roman"/>
          <w:szCs w:val="24"/>
        </w:rPr>
        <w:t xml:space="preserve"> the Commission launched a new pan-European passport for crowdfunding providers (ECSP), which is now in place, and an initiative to structure the feedback given by banks declining SME credit applications. Finally, the SME Envoys network</w:t>
      </w:r>
      <w:r w:rsidRPr="00247306">
        <w:rPr>
          <w:rStyle w:val="FootnoteReference"/>
          <w:rFonts w:ascii="Times New Roman" w:hAnsi="Times New Roman"/>
          <w:szCs w:val="24"/>
        </w:rPr>
        <w:footnoteReference w:id="17"/>
      </w:r>
      <w:r w:rsidRPr="00247306">
        <w:rPr>
          <w:rFonts w:ascii="Times New Roman" w:hAnsi="Times New Roman"/>
          <w:szCs w:val="24"/>
        </w:rPr>
        <w:t xml:space="preserve"> is also used to encourage the sharing of best practices by Member States on various topics, including on how to attract early-stage investment.</w:t>
      </w:r>
    </w:p>
    <w:p w14:paraId="2E679E57" w14:textId="77777777" w:rsidR="00713742" w:rsidRPr="00247306" w:rsidRDefault="00713742" w:rsidP="00713742">
      <w:pPr>
        <w:spacing w:after="120"/>
        <w:rPr>
          <w:rFonts w:ascii="Times New Roman" w:hAnsi="Times New Roman"/>
          <w:szCs w:val="24"/>
        </w:rPr>
      </w:pPr>
      <w:r w:rsidRPr="00247306">
        <w:rPr>
          <w:rFonts w:ascii="Times New Roman" w:hAnsi="Times New Roman"/>
          <w:szCs w:val="24"/>
        </w:rPr>
        <w:t xml:space="preserve">The Commission acknowledges the importance of inspiring cross-sectoral projects and unconventional cooperations as an important feature of start-up and scale-up policies </w:t>
      </w:r>
      <w:r w:rsidRPr="00247306">
        <w:rPr>
          <w:rFonts w:ascii="Times New Roman" w:hAnsi="Times New Roman"/>
          <w:b/>
          <w:bCs/>
          <w:szCs w:val="24"/>
        </w:rPr>
        <w:t>(paragraph 16</w:t>
      </w:r>
      <w:r w:rsidRPr="00247306">
        <w:rPr>
          <w:rFonts w:ascii="Times New Roman" w:hAnsi="Times New Roman"/>
          <w:szCs w:val="24"/>
        </w:rPr>
        <w:t xml:space="preserve">). </w:t>
      </w:r>
      <w:r>
        <w:rPr>
          <w:rFonts w:ascii="Times New Roman" w:hAnsi="Times New Roman"/>
          <w:szCs w:val="24"/>
        </w:rPr>
        <w:t xml:space="preserve">A key programme is the </w:t>
      </w:r>
      <w:r w:rsidRPr="00264018">
        <w:rPr>
          <w:rFonts w:ascii="Times New Roman" w:hAnsi="Times New Roman"/>
          <w:szCs w:val="24"/>
        </w:rPr>
        <w:t xml:space="preserve">Marie </w:t>
      </w:r>
      <w:proofErr w:type="spellStart"/>
      <w:r w:rsidRPr="00264018">
        <w:rPr>
          <w:rFonts w:ascii="Times New Roman" w:hAnsi="Times New Roman"/>
          <w:szCs w:val="24"/>
        </w:rPr>
        <w:t>Skłodowska</w:t>
      </w:r>
      <w:proofErr w:type="spellEnd"/>
      <w:r w:rsidRPr="00264018">
        <w:rPr>
          <w:rFonts w:ascii="Times New Roman" w:hAnsi="Times New Roman"/>
          <w:szCs w:val="24"/>
        </w:rPr>
        <w:t>-Curie Actions</w:t>
      </w:r>
      <w:r>
        <w:rPr>
          <w:rFonts w:ascii="Times New Roman" w:hAnsi="Times New Roman"/>
          <w:szCs w:val="24"/>
        </w:rPr>
        <w:t xml:space="preserve"> (MSCA) which also supports intersectoral cooperation and mobility in research and innovation. </w:t>
      </w:r>
      <w:r w:rsidRPr="00264018">
        <w:rPr>
          <w:rFonts w:ascii="Times New Roman" w:hAnsi="Times New Roman"/>
          <w:szCs w:val="24"/>
        </w:rPr>
        <w:t xml:space="preserve">With over </w:t>
      </w:r>
      <w:r>
        <w:rPr>
          <w:rFonts w:ascii="Times New Roman" w:hAnsi="Times New Roman"/>
          <w:szCs w:val="24"/>
        </w:rPr>
        <w:t>2200</w:t>
      </w:r>
      <w:r w:rsidRPr="00264018">
        <w:rPr>
          <w:rFonts w:ascii="Times New Roman" w:hAnsi="Times New Roman"/>
          <w:szCs w:val="24"/>
        </w:rPr>
        <w:t xml:space="preserve"> </w:t>
      </w:r>
      <w:r>
        <w:rPr>
          <w:rFonts w:ascii="Times New Roman" w:hAnsi="Times New Roman"/>
          <w:szCs w:val="24"/>
        </w:rPr>
        <w:t xml:space="preserve">distinct SMEs, including start-up and scalers, </w:t>
      </w:r>
      <w:r w:rsidRPr="00264018">
        <w:rPr>
          <w:rFonts w:ascii="Times New Roman" w:hAnsi="Times New Roman"/>
          <w:szCs w:val="24"/>
        </w:rPr>
        <w:t>participat</w:t>
      </w:r>
      <w:r>
        <w:rPr>
          <w:rFonts w:ascii="Times New Roman" w:hAnsi="Times New Roman"/>
          <w:szCs w:val="24"/>
        </w:rPr>
        <w:t>ing</w:t>
      </w:r>
      <w:r w:rsidRPr="00264018">
        <w:rPr>
          <w:rFonts w:ascii="Times New Roman" w:hAnsi="Times New Roman"/>
          <w:szCs w:val="24"/>
        </w:rPr>
        <w:t xml:space="preserve"> in H2020 funded projects, and already over </w:t>
      </w:r>
      <w:r>
        <w:rPr>
          <w:rFonts w:ascii="Times New Roman" w:hAnsi="Times New Roman"/>
          <w:szCs w:val="24"/>
        </w:rPr>
        <w:t>1000</w:t>
      </w:r>
      <w:r w:rsidRPr="00264018">
        <w:rPr>
          <w:rFonts w:ascii="Times New Roman" w:hAnsi="Times New Roman"/>
          <w:szCs w:val="24"/>
        </w:rPr>
        <w:t xml:space="preserve"> under </w:t>
      </w:r>
      <w:r>
        <w:rPr>
          <w:rFonts w:ascii="Times New Roman" w:hAnsi="Times New Roman"/>
          <w:szCs w:val="24"/>
        </w:rPr>
        <w:t xml:space="preserve">the first two years of </w:t>
      </w:r>
      <w:r w:rsidRPr="00264018">
        <w:rPr>
          <w:rFonts w:ascii="Times New Roman" w:hAnsi="Times New Roman"/>
          <w:szCs w:val="24"/>
        </w:rPr>
        <w:t>Horizon Europe</w:t>
      </w:r>
      <w:r>
        <w:rPr>
          <w:rFonts w:ascii="Times New Roman" w:hAnsi="Times New Roman"/>
          <w:szCs w:val="24"/>
        </w:rPr>
        <w:t xml:space="preserve"> (2021-2022 calls)</w:t>
      </w:r>
      <w:r w:rsidRPr="00264018">
        <w:rPr>
          <w:rFonts w:ascii="Times New Roman" w:hAnsi="Times New Roman"/>
          <w:szCs w:val="24"/>
        </w:rPr>
        <w:t xml:space="preserve">, the programme successfully attracts both academic </w:t>
      </w:r>
      <w:r>
        <w:rPr>
          <w:rFonts w:ascii="Times New Roman" w:hAnsi="Times New Roman"/>
          <w:szCs w:val="24"/>
        </w:rPr>
        <w:t xml:space="preserve">and non-academic organisations, including SMEs, </w:t>
      </w:r>
      <w:r w:rsidRPr="00264018">
        <w:rPr>
          <w:rFonts w:ascii="Times New Roman" w:hAnsi="Times New Roman"/>
          <w:szCs w:val="24"/>
        </w:rPr>
        <w:t>to collaborate on state-of-the-art, frontier research and training programmes</w:t>
      </w:r>
      <w:r>
        <w:rPr>
          <w:rFonts w:ascii="Times New Roman" w:hAnsi="Times New Roman"/>
          <w:szCs w:val="24"/>
        </w:rPr>
        <w:t>, with a focus on innovation in all scientific fields.</w:t>
      </w:r>
    </w:p>
    <w:p w14:paraId="5832343D" w14:textId="77777777" w:rsidR="00713742" w:rsidRPr="00247306" w:rsidRDefault="00713742" w:rsidP="00713742">
      <w:pPr>
        <w:widowControl w:val="0"/>
        <w:spacing w:after="120"/>
        <w:rPr>
          <w:rFonts w:ascii="Times New Roman" w:eastAsia="Arial" w:hAnsi="Times New Roman"/>
          <w:b/>
          <w:bCs/>
          <w:i/>
          <w:iCs/>
          <w:szCs w:val="24"/>
        </w:rPr>
      </w:pPr>
      <w:r w:rsidRPr="00247306">
        <w:rPr>
          <w:rFonts w:ascii="Times New Roman" w:hAnsi="Times New Roman"/>
          <w:b/>
          <w:bCs/>
          <w:i/>
          <w:iCs/>
          <w:szCs w:val="24"/>
        </w:rPr>
        <w:lastRenderedPageBreak/>
        <w:t>European Innovation Council</w:t>
      </w:r>
    </w:p>
    <w:p w14:paraId="190AF0B0" w14:textId="77777777" w:rsidR="00713742" w:rsidRDefault="00713742" w:rsidP="00713742">
      <w:pPr>
        <w:widowControl w:val="0"/>
        <w:spacing w:after="120"/>
        <w:rPr>
          <w:rFonts w:ascii="Times New Roman" w:hAnsi="Times New Roman"/>
          <w:szCs w:val="24"/>
        </w:rPr>
      </w:pPr>
      <w:r w:rsidRPr="00247306">
        <w:rPr>
          <w:rFonts w:ascii="Times New Roman" w:hAnsi="Times New Roman"/>
          <w:szCs w:val="24"/>
        </w:rPr>
        <w:t>The implementation of the action in connection with the European Innovation Council</w:t>
      </w:r>
      <w:r w:rsidRPr="00247306">
        <w:rPr>
          <w:rStyle w:val="FootnoteReference"/>
          <w:rFonts w:ascii="Times New Roman" w:hAnsi="Times New Roman"/>
          <w:szCs w:val="24"/>
        </w:rPr>
        <w:footnoteReference w:id="18"/>
      </w:r>
      <w:r w:rsidRPr="00247306">
        <w:rPr>
          <w:rFonts w:ascii="Times New Roman" w:hAnsi="Times New Roman"/>
          <w:szCs w:val="24"/>
        </w:rPr>
        <w:t xml:space="preserve"> is well under way (</w:t>
      </w:r>
      <w:r w:rsidRPr="00247306">
        <w:rPr>
          <w:rFonts w:ascii="Times New Roman" w:hAnsi="Times New Roman"/>
          <w:b/>
          <w:bCs/>
          <w:szCs w:val="24"/>
        </w:rPr>
        <w:t>paragraph 17)</w:t>
      </w:r>
      <w:r w:rsidRPr="00247306">
        <w:rPr>
          <w:rFonts w:ascii="Times New Roman" w:hAnsi="Times New Roman"/>
          <w:szCs w:val="24"/>
        </w:rPr>
        <w:t xml:space="preserve">. </w:t>
      </w:r>
      <w:r>
        <w:rPr>
          <w:rFonts w:ascii="Times New Roman" w:hAnsi="Times New Roman"/>
          <w:szCs w:val="24"/>
        </w:rPr>
        <w:t>In this regard, a</w:t>
      </w:r>
      <w:r w:rsidRPr="00247306">
        <w:rPr>
          <w:rFonts w:ascii="Times New Roman" w:hAnsi="Times New Roman"/>
          <w:szCs w:val="24"/>
        </w:rPr>
        <w:t xml:space="preserve">n important achieved milestone was the first </w:t>
      </w:r>
      <w:r>
        <w:rPr>
          <w:rFonts w:ascii="Times New Roman" w:hAnsi="Times New Roman"/>
          <w:szCs w:val="24"/>
        </w:rPr>
        <w:t>EUR</w:t>
      </w:r>
      <w:r w:rsidRPr="00247306">
        <w:rPr>
          <w:rFonts w:ascii="Times New Roman" w:hAnsi="Times New Roman"/>
          <w:szCs w:val="24"/>
        </w:rPr>
        <w:t xml:space="preserve"> 1 billion of total investments in 159 deep-tech companies by the </w:t>
      </w:r>
      <w:r>
        <w:rPr>
          <w:rFonts w:ascii="Times New Roman" w:hAnsi="Times New Roman"/>
          <w:szCs w:val="24"/>
        </w:rPr>
        <w:t>European Innovation Council (</w:t>
      </w:r>
      <w:r w:rsidRPr="00247306">
        <w:rPr>
          <w:rFonts w:ascii="Times New Roman" w:hAnsi="Times New Roman"/>
          <w:szCs w:val="24"/>
        </w:rPr>
        <w:t>EIC</w:t>
      </w:r>
      <w:r>
        <w:rPr>
          <w:rFonts w:ascii="Times New Roman" w:hAnsi="Times New Roman"/>
          <w:szCs w:val="24"/>
        </w:rPr>
        <w:t>)</w:t>
      </w:r>
      <w:r w:rsidRPr="00247306">
        <w:rPr>
          <w:rFonts w:ascii="Times New Roman" w:hAnsi="Times New Roman"/>
          <w:szCs w:val="24"/>
        </w:rPr>
        <w:t>-Fund, that started its operations in October 2022. The EIC Fund has become the investor of choice for European deep tech companies, with its mix of new equity co-investments.</w:t>
      </w:r>
      <w:r>
        <w:rPr>
          <w:rFonts w:ascii="Times New Roman" w:hAnsi="Times New Roman"/>
          <w:szCs w:val="24"/>
        </w:rPr>
        <w:t xml:space="preserve"> </w:t>
      </w:r>
      <w:r w:rsidRPr="00247306">
        <w:rPr>
          <w:rFonts w:ascii="Times New Roman" w:hAnsi="Times New Roman"/>
          <w:szCs w:val="24"/>
          <w:lang w:val="en-IE"/>
        </w:rPr>
        <w:t>The</w:t>
      </w:r>
      <w:r w:rsidRPr="00247306">
        <w:rPr>
          <w:rFonts w:ascii="Times New Roman" w:hAnsi="Times New Roman"/>
          <w:szCs w:val="24"/>
        </w:rPr>
        <w:t xml:space="preserve"> EIC will continue its efforts for increasing the participation and success rates of </w:t>
      </w:r>
      <w:r>
        <w:rPr>
          <w:rFonts w:ascii="Times New Roman" w:hAnsi="Times New Roman"/>
          <w:szCs w:val="24"/>
        </w:rPr>
        <w:t>enlargement</w:t>
      </w:r>
      <w:r w:rsidRPr="00247306">
        <w:rPr>
          <w:rFonts w:ascii="Times New Roman" w:hAnsi="Times New Roman"/>
          <w:szCs w:val="24"/>
        </w:rPr>
        <w:t xml:space="preserve"> countries in EIC </w:t>
      </w:r>
      <w:r>
        <w:rPr>
          <w:rFonts w:ascii="Times New Roman" w:hAnsi="Times New Roman"/>
          <w:szCs w:val="24"/>
        </w:rPr>
        <w:t>calls</w:t>
      </w:r>
      <w:r w:rsidRPr="00247306">
        <w:rPr>
          <w:rFonts w:ascii="Times New Roman" w:hAnsi="Times New Roman"/>
          <w:szCs w:val="24"/>
        </w:rPr>
        <w:t xml:space="preserve">. In 2022-2023, </w:t>
      </w:r>
      <w:r>
        <w:rPr>
          <w:rFonts w:ascii="Times New Roman" w:hAnsi="Times New Roman"/>
          <w:szCs w:val="24"/>
        </w:rPr>
        <w:t xml:space="preserve">the </w:t>
      </w:r>
      <w:r w:rsidRPr="00247306">
        <w:rPr>
          <w:rFonts w:ascii="Times New Roman" w:hAnsi="Times New Roman"/>
          <w:szCs w:val="24"/>
        </w:rPr>
        <w:t xml:space="preserve">EIC organised 14 dedicated Info days in the </w:t>
      </w:r>
      <w:r>
        <w:rPr>
          <w:rFonts w:ascii="Times New Roman" w:hAnsi="Times New Roman"/>
          <w:szCs w:val="24"/>
        </w:rPr>
        <w:t>enlargement</w:t>
      </w:r>
      <w:r w:rsidRPr="00247306">
        <w:rPr>
          <w:rFonts w:ascii="Times New Roman" w:hAnsi="Times New Roman"/>
          <w:szCs w:val="24"/>
        </w:rPr>
        <w:t xml:space="preserve"> region aimed at raising awareness and providing information to potential applicants. In response to a recommendation from the EIC board, the Commission is exploring opportunities to create dedicated </w:t>
      </w:r>
      <w:r>
        <w:rPr>
          <w:rFonts w:ascii="Times New Roman" w:hAnsi="Times New Roman"/>
          <w:szCs w:val="24"/>
        </w:rPr>
        <w:t>p</w:t>
      </w:r>
      <w:r w:rsidRPr="00247306">
        <w:rPr>
          <w:rFonts w:ascii="Times New Roman" w:hAnsi="Times New Roman"/>
          <w:szCs w:val="24"/>
        </w:rPr>
        <w:t xml:space="preserve">re-accelerator for the </w:t>
      </w:r>
      <w:r>
        <w:rPr>
          <w:rFonts w:ascii="Times New Roman" w:hAnsi="Times New Roman"/>
          <w:szCs w:val="24"/>
        </w:rPr>
        <w:t>enlargement</w:t>
      </w:r>
      <w:r w:rsidRPr="00247306">
        <w:rPr>
          <w:rFonts w:ascii="Times New Roman" w:hAnsi="Times New Roman"/>
          <w:szCs w:val="24"/>
        </w:rPr>
        <w:t xml:space="preserve"> countries aimed at increasing their capacities to attract EIC Accelerator funding.</w:t>
      </w:r>
      <w:r>
        <w:rPr>
          <w:rFonts w:ascii="Times New Roman" w:hAnsi="Times New Roman"/>
          <w:szCs w:val="24"/>
        </w:rPr>
        <w:t xml:space="preserve"> </w:t>
      </w:r>
      <w:r w:rsidRPr="00247306">
        <w:rPr>
          <w:rFonts w:ascii="Times New Roman" w:hAnsi="Times New Roman"/>
          <w:szCs w:val="24"/>
        </w:rPr>
        <w:t xml:space="preserve">The Commission has already acted on some of the EIC Board recommendations, notably to increase the share of evaluators coming from </w:t>
      </w:r>
      <w:r>
        <w:rPr>
          <w:rFonts w:ascii="Times New Roman" w:hAnsi="Times New Roman"/>
          <w:szCs w:val="24"/>
        </w:rPr>
        <w:t>enlargement</w:t>
      </w:r>
      <w:r w:rsidRPr="00247306">
        <w:rPr>
          <w:rFonts w:ascii="Times New Roman" w:hAnsi="Times New Roman"/>
          <w:szCs w:val="24"/>
        </w:rPr>
        <w:t xml:space="preserve"> countries and promoting EIC opportunities to potential applicants in </w:t>
      </w:r>
      <w:r>
        <w:rPr>
          <w:rFonts w:ascii="Times New Roman" w:hAnsi="Times New Roman"/>
          <w:szCs w:val="24"/>
        </w:rPr>
        <w:t>enlargement</w:t>
      </w:r>
      <w:r w:rsidRPr="00247306">
        <w:rPr>
          <w:rFonts w:ascii="Times New Roman" w:hAnsi="Times New Roman"/>
          <w:szCs w:val="24"/>
        </w:rPr>
        <w:t xml:space="preserve"> countries. The Commission will continue to strictly monitor the implementation of other recommendations.</w:t>
      </w:r>
    </w:p>
    <w:p w14:paraId="53C05253" w14:textId="77777777" w:rsidR="00713742" w:rsidRDefault="00713742" w:rsidP="00713742">
      <w:pPr>
        <w:spacing w:after="120"/>
        <w:rPr>
          <w:rFonts w:ascii="Times New Roman" w:hAnsi="Times New Roman"/>
          <w:b/>
          <w:bCs/>
          <w:i/>
          <w:iCs/>
          <w:szCs w:val="24"/>
          <w:lang w:val="en-IE"/>
        </w:rPr>
      </w:pPr>
      <w:r w:rsidRPr="00247306">
        <w:rPr>
          <w:rFonts w:ascii="Times New Roman" w:hAnsi="Times New Roman"/>
          <w:b/>
          <w:bCs/>
          <w:i/>
          <w:iCs/>
          <w:szCs w:val="24"/>
          <w:lang w:val="en-IE"/>
        </w:rPr>
        <w:t>Public procurement</w:t>
      </w:r>
    </w:p>
    <w:p w14:paraId="14231172" w14:textId="77777777" w:rsidR="00713742" w:rsidRDefault="00713742" w:rsidP="00713742">
      <w:pPr>
        <w:spacing w:after="120"/>
        <w:rPr>
          <w:rFonts w:ascii="Times New Roman" w:hAnsi="Times New Roman"/>
          <w:szCs w:val="24"/>
        </w:rPr>
      </w:pPr>
      <w:proofErr w:type="gramStart"/>
      <w:r w:rsidRPr="00247306">
        <w:rPr>
          <w:rFonts w:ascii="Times New Roman" w:hAnsi="Times New Roman"/>
          <w:szCs w:val="24"/>
        </w:rPr>
        <w:t>With regard to</w:t>
      </w:r>
      <w:proofErr w:type="gramEnd"/>
      <w:r w:rsidRPr="00247306">
        <w:rPr>
          <w:rFonts w:ascii="Times New Roman" w:hAnsi="Times New Roman"/>
          <w:szCs w:val="24"/>
        </w:rPr>
        <w:t xml:space="preserve"> </w:t>
      </w:r>
      <w:r w:rsidRPr="00182C2F">
        <w:rPr>
          <w:rFonts w:ascii="Times New Roman" w:hAnsi="Times New Roman"/>
          <w:szCs w:val="24"/>
        </w:rPr>
        <w:t xml:space="preserve">development of efficient and transparent mechanisms to facilitate access to public procurement contracts for start-ups and scale-ups </w:t>
      </w:r>
      <w:r>
        <w:rPr>
          <w:rFonts w:ascii="Times New Roman" w:hAnsi="Times New Roman"/>
          <w:szCs w:val="24"/>
        </w:rPr>
        <w:t>(</w:t>
      </w:r>
      <w:r w:rsidRPr="00247306">
        <w:rPr>
          <w:rFonts w:ascii="Times New Roman" w:hAnsi="Times New Roman"/>
          <w:b/>
          <w:bCs/>
          <w:szCs w:val="24"/>
        </w:rPr>
        <w:t>paragraph 21</w:t>
      </w:r>
      <w:r>
        <w:rPr>
          <w:rFonts w:ascii="Times New Roman" w:hAnsi="Times New Roman"/>
          <w:b/>
          <w:bCs/>
          <w:szCs w:val="24"/>
        </w:rPr>
        <w:t>)</w:t>
      </w:r>
      <w:r w:rsidRPr="009E1CCE">
        <w:rPr>
          <w:rFonts w:ascii="Times New Roman" w:hAnsi="Times New Roman"/>
          <w:szCs w:val="24"/>
        </w:rPr>
        <w:t>,</w:t>
      </w:r>
      <w:r w:rsidRPr="00247306">
        <w:rPr>
          <w:rFonts w:ascii="Times New Roman" w:hAnsi="Times New Roman"/>
          <w:szCs w:val="24"/>
        </w:rPr>
        <w:t xml:space="preserve"> </w:t>
      </w:r>
      <w:r>
        <w:rPr>
          <w:rFonts w:ascii="Times New Roman" w:hAnsi="Times New Roman"/>
          <w:szCs w:val="24"/>
        </w:rPr>
        <w:t>t</w:t>
      </w:r>
      <w:r w:rsidRPr="00247306">
        <w:rPr>
          <w:rFonts w:ascii="Times New Roman" w:hAnsi="Times New Roman"/>
          <w:szCs w:val="24"/>
        </w:rPr>
        <w:t xml:space="preserve">he Commission has launched a number of initiatives specifically designed to connect the public procurement world with innovation ecosystems. As indicated in the new European innovation agenda, in 2024 the Commission will launch a call for projects to foster the connection of incubators and public procurement in which the challenges and needs of public bodies can be addressed and overcome with innovative solutions from start-ups and entrepreneurs. </w:t>
      </w:r>
      <w:r>
        <w:rPr>
          <w:rFonts w:ascii="Times New Roman" w:hAnsi="Times New Roman"/>
          <w:szCs w:val="24"/>
        </w:rPr>
        <w:t>I</w:t>
      </w:r>
      <w:r w:rsidRPr="00247306">
        <w:rPr>
          <w:rFonts w:ascii="Times New Roman" w:hAnsi="Times New Roman"/>
          <w:szCs w:val="24"/>
        </w:rPr>
        <w:t>n 2023 the Commission published two brochures on startups and public procurement. One of them was addressed to public buyers and included tips to simplify the procedures to attract start</w:t>
      </w:r>
      <w:r>
        <w:rPr>
          <w:rFonts w:ascii="Times New Roman" w:hAnsi="Times New Roman"/>
          <w:szCs w:val="24"/>
        </w:rPr>
        <w:t>-</w:t>
      </w:r>
      <w:r w:rsidRPr="00247306">
        <w:rPr>
          <w:rFonts w:ascii="Times New Roman" w:hAnsi="Times New Roman"/>
          <w:szCs w:val="24"/>
        </w:rPr>
        <w:t>ups; the other one was addressed specifically to start</w:t>
      </w:r>
      <w:r>
        <w:rPr>
          <w:rFonts w:ascii="Times New Roman" w:hAnsi="Times New Roman"/>
          <w:szCs w:val="24"/>
        </w:rPr>
        <w:t>-</w:t>
      </w:r>
      <w:r w:rsidRPr="00247306">
        <w:rPr>
          <w:rFonts w:ascii="Times New Roman" w:hAnsi="Times New Roman"/>
          <w:szCs w:val="24"/>
        </w:rPr>
        <w:t>ups and included specific information for them</w:t>
      </w:r>
      <w:r>
        <w:rPr>
          <w:rFonts w:ascii="Times New Roman" w:hAnsi="Times New Roman"/>
          <w:szCs w:val="24"/>
        </w:rPr>
        <w:t xml:space="preserve"> </w:t>
      </w:r>
      <w:r>
        <w:rPr>
          <w:rStyle w:val="FootnoteReference"/>
          <w:rFonts w:ascii="Times New Roman" w:hAnsi="Times New Roman"/>
          <w:szCs w:val="24"/>
        </w:rPr>
        <w:footnoteReference w:id="19"/>
      </w:r>
      <w:r>
        <w:rPr>
          <w:rStyle w:val="FootnoteReference"/>
          <w:rFonts w:ascii="Times New Roman" w:hAnsi="Times New Roman"/>
          <w:szCs w:val="24"/>
        </w:rPr>
        <w:footnoteReference w:id="20"/>
      </w:r>
      <w:r>
        <w:rPr>
          <w:rFonts w:ascii="Times New Roman" w:hAnsi="Times New Roman"/>
          <w:szCs w:val="24"/>
        </w:rPr>
        <w:t>.</w:t>
      </w:r>
    </w:p>
    <w:p w14:paraId="20610D58" w14:textId="77777777" w:rsidR="00713742" w:rsidRDefault="00713742" w:rsidP="00713742">
      <w:pPr>
        <w:spacing w:after="120"/>
        <w:rPr>
          <w:rFonts w:ascii="Times New Roman" w:hAnsi="Times New Roman"/>
          <w:szCs w:val="24"/>
        </w:rPr>
      </w:pPr>
      <w:r w:rsidRPr="00247306">
        <w:rPr>
          <w:rFonts w:ascii="Times New Roman" w:hAnsi="Times New Roman"/>
          <w:szCs w:val="24"/>
        </w:rPr>
        <w:t xml:space="preserve">The Commission is fully </w:t>
      </w:r>
      <w:r>
        <w:rPr>
          <w:rFonts w:ascii="Times New Roman" w:hAnsi="Times New Roman"/>
          <w:szCs w:val="24"/>
        </w:rPr>
        <w:t>committed</w:t>
      </w:r>
      <w:r w:rsidRPr="00247306">
        <w:rPr>
          <w:rFonts w:ascii="Times New Roman" w:hAnsi="Times New Roman"/>
          <w:szCs w:val="24"/>
        </w:rPr>
        <w:t xml:space="preserve"> to the aim of administrative burden reduction </w:t>
      </w:r>
      <w:r w:rsidRPr="00247306">
        <w:rPr>
          <w:rFonts w:ascii="Times New Roman" w:hAnsi="Times New Roman"/>
          <w:b/>
          <w:bCs/>
          <w:szCs w:val="24"/>
        </w:rPr>
        <w:t>(paragraph</w:t>
      </w:r>
      <w:r>
        <w:rPr>
          <w:rFonts w:ascii="Times New Roman" w:hAnsi="Times New Roman"/>
          <w:b/>
          <w:bCs/>
          <w:szCs w:val="24"/>
        </w:rPr>
        <w:t>s</w:t>
      </w:r>
      <w:r w:rsidRPr="00247306">
        <w:rPr>
          <w:rFonts w:ascii="Times New Roman" w:hAnsi="Times New Roman"/>
          <w:b/>
          <w:bCs/>
          <w:szCs w:val="24"/>
        </w:rPr>
        <w:t xml:space="preserve"> 22</w:t>
      </w:r>
      <w:r>
        <w:rPr>
          <w:rFonts w:ascii="Times New Roman" w:hAnsi="Times New Roman"/>
          <w:b/>
          <w:bCs/>
          <w:szCs w:val="24"/>
        </w:rPr>
        <w:t xml:space="preserve"> and 27</w:t>
      </w:r>
      <w:r w:rsidRPr="00247306">
        <w:rPr>
          <w:rFonts w:ascii="Times New Roman" w:hAnsi="Times New Roman"/>
          <w:b/>
          <w:bCs/>
          <w:szCs w:val="24"/>
        </w:rPr>
        <w:t>)</w:t>
      </w:r>
      <w:r w:rsidRPr="00B57DA0">
        <w:rPr>
          <w:rFonts w:ascii="Times New Roman" w:hAnsi="Times New Roman"/>
          <w:szCs w:val="24"/>
        </w:rPr>
        <w:t>.</w:t>
      </w:r>
      <w:r w:rsidRPr="00247306">
        <w:rPr>
          <w:rFonts w:ascii="Times New Roman" w:hAnsi="Times New Roman"/>
          <w:szCs w:val="24"/>
        </w:rPr>
        <w:t xml:space="preserve"> </w:t>
      </w:r>
      <w:r>
        <w:rPr>
          <w:rFonts w:ascii="Times New Roman" w:hAnsi="Times New Roman"/>
          <w:szCs w:val="24"/>
        </w:rPr>
        <w:t>T</w:t>
      </w:r>
      <w:r w:rsidRPr="00247306">
        <w:rPr>
          <w:rFonts w:ascii="Times New Roman" w:hAnsi="Times New Roman"/>
          <w:szCs w:val="24"/>
        </w:rPr>
        <w:t>his is reflected in the most recent measures included in the SME relief package, for example the commitment to systematically consider SME-friendly provisions in new legislation. Such provisions may include longer transition periods for SMEs, specific guidance for SMEs, a requirement for the Commission to pay particular attention to the impact of delegated and implementing acts on SMEs, or a review clause or sunset clause in secondary legislation. The specific angle of start-ups and scale-ups has been fully reflected in the already existing as well as the newly proposed ones. The Commission continues to work towards the 25% reduction in reporting obligations announced in March 2023, including through the systematic mapping of such burdens and the development of targeted rationalisation plans. Since March 2023, the Commission has proposed 41 initiatives</w:t>
      </w:r>
      <w:r>
        <w:rPr>
          <w:rFonts w:ascii="Times New Roman" w:hAnsi="Times New Roman"/>
          <w:szCs w:val="24"/>
        </w:rPr>
        <w:t>,</w:t>
      </w:r>
      <w:r w:rsidRPr="00247306">
        <w:rPr>
          <w:rFonts w:ascii="Times New Roman" w:hAnsi="Times New Roman"/>
          <w:szCs w:val="24"/>
        </w:rPr>
        <w:t xml:space="preserve"> which will already provide relief to companies if adopted swiftly. The </w:t>
      </w:r>
      <w:r>
        <w:rPr>
          <w:rFonts w:ascii="Times New Roman" w:hAnsi="Times New Roman"/>
          <w:szCs w:val="24"/>
        </w:rPr>
        <w:t xml:space="preserve">Commission’s </w:t>
      </w:r>
      <w:r w:rsidRPr="00247306">
        <w:rPr>
          <w:rFonts w:ascii="Times New Roman" w:hAnsi="Times New Roman"/>
          <w:szCs w:val="24"/>
        </w:rPr>
        <w:t>2024 Work Programme puts forward additional rationalisation proposals. Furthermore, the Commission launched a call for evidence to gather feedback on burdensome reporting requirements and is now in the process of analysing the input received.</w:t>
      </w:r>
      <w:r>
        <w:rPr>
          <w:rFonts w:ascii="Times New Roman" w:hAnsi="Times New Roman"/>
          <w:szCs w:val="24"/>
        </w:rPr>
        <w:t xml:space="preserve"> </w:t>
      </w:r>
      <w:r w:rsidRPr="00247306">
        <w:rPr>
          <w:rFonts w:ascii="Times New Roman" w:hAnsi="Times New Roman"/>
          <w:szCs w:val="24"/>
        </w:rPr>
        <w:t xml:space="preserve">Under the regulatory fitness and performance programme (REFIT), every evaluation and revision of legislation entails systematic </w:t>
      </w:r>
      <w:r w:rsidRPr="00247306">
        <w:rPr>
          <w:rFonts w:ascii="Times New Roman" w:hAnsi="Times New Roman"/>
          <w:szCs w:val="24"/>
        </w:rPr>
        <w:lastRenderedPageBreak/>
        <w:t>screening for burden reduction potential. The Fit for Future Platform contributes to this process. For all significant proposals, comprehensive impact assessments ensure that benefits outweigh costs.</w:t>
      </w:r>
      <w:r>
        <w:rPr>
          <w:rFonts w:ascii="Times New Roman" w:hAnsi="Times New Roman"/>
          <w:szCs w:val="24"/>
        </w:rPr>
        <w:t xml:space="preserve"> </w:t>
      </w:r>
      <w:r w:rsidRPr="00247306">
        <w:rPr>
          <w:rFonts w:ascii="Times New Roman" w:hAnsi="Times New Roman"/>
          <w:szCs w:val="24"/>
        </w:rPr>
        <w:t xml:space="preserve">The Commission fully agrees with the importance of the </w:t>
      </w:r>
      <w:r>
        <w:rPr>
          <w:rFonts w:ascii="Times New Roman" w:hAnsi="Times New Roman"/>
          <w:szCs w:val="24"/>
        </w:rPr>
        <w:t>“</w:t>
      </w:r>
      <w:r w:rsidRPr="00247306">
        <w:rPr>
          <w:rFonts w:ascii="Times New Roman" w:hAnsi="Times New Roman"/>
          <w:szCs w:val="24"/>
        </w:rPr>
        <w:t xml:space="preserve">only once principle” </w:t>
      </w:r>
      <w:r w:rsidRPr="00247306">
        <w:rPr>
          <w:rFonts w:ascii="Times New Roman" w:hAnsi="Times New Roman"/>
          <w:b/>
          <w:bCs/>
          <w:szCs w:val="24"/>
        </w:rPr>
        <w:t>(paragraph 23)</w:t>
      </w:r>
      <w:r>
        <w:rPr>
          <w:rFonts w:ascii="Times New Roman" w:hAnsi="Times New Roman"/>
          <w:szCs w:val="24"/>
        </w:rPr>
        <w:t xml:space="preserve"> and </w:t>
      </w:r>
      <w:r w:rsidRPr="00247306">
        <w:rPr>
          <w:rFonts w:ascii="Times New Roman" w:hAnsi="Times New Roman"/>
          <w:szCs w:val="24"/>
        </w:rPr>
        <w:t>has proposed</w:t>
      </w:r>
      <w:r>
        <w:rPr>
          <w:rFonts w:ascii="Times New Roman" w:hAnsi="Times New Roman"/>
          <w:szCs w:val="24"/>
        </w:rPr>
        <w:t xml:space="preserve">, </w:t>
      </w:r>
      <w:r w:rsidRPr="00247306">
        <w:rPr>
          <w:rFonts w:ascii="Times New Roman" w:hAnsi="Times New Roman"/>
          <w:szCs w:val="24"/>
        </w:rPr>
        <w:t>as part of the SME relief package</w:t>
      </w:r>
      <w:r>
        <w:rPr>
          <w:rFonts w:ascii="Times New Roman" w:hAnsi="Times New Roman"/>
          <w:szCs w:val="24"/>
        </w:rPr>
        <w:t>,</w:t>
      </w:r>
      <w:r w:rsidRPr="00247306">
        <w:rPr>
          <w:rFonts w:ascii="Times New Roman" w:hAnsi="Times New Roman"/>
          <w:szCs w:val="24"/>
        </w:rPr>
        <w:t xml:space="preserve"> concrete steps </w:t>
      </w:r>
      <w:r>
        <w:rPr>
          <w:rFonts w:ascii="Times New Roman" w:hAnsi="Times New Roman"/>
          <w:szCs w:val="24"/>
        </w:rPr>
        <w:t>for</w:t>
      </w:r>
      <w:r w:rsidRPr="00247306">
        <w:rPr>
          <w:rFonts w:ascii="Times New Roman" w:hAnsi="Times New Roman"/>
          <w:szCs w:val="24"/>
        </w:rPr>
        <w:t xml:space="preserve"> implementing the single digital gateway which should serve as an EU-wide tool to improve the coordination and information exchanges between all relevant public regulatory bodies in the EU </w:t>
      </w:r>
      <w:proofErr w:type="gramStart"/>
      <w:r w:rsidRPr="00247306">
        <w:rPr>
          <w:rFonts w:ascii="Times New Roman" w:hAnsi="Times New Roman"/>
          <w:szCs w:val="24"/>
        </w:rPr>
        <w:t>so as to</w:t>
      </w:r>
      <w:proofErr w:type="gramEnd"/>
      <w:r w:rsidRPr="00247306">
        <w:rPr>
          <w:rFonts w:ascii="Times New Roman" w:hAnsi="Times New Roman"/>
          <w:szCs w:val="24"/>
        </w:rPr>
        <w:t xml:space="preserve"> ensure that the principle is put into action.</w:t>
      </w:r>
      <w:r>
        <w:rPr>
          <w:rFonts w:ascii="Times New Roman" w:hAnsi="Times New Roman"/>
          <w:szCs w:val="24"/>
        </w:rPr>
        <w:t xml:space="preserve"> Moreover, s</w:t>
      </w:r>
      <w:r w:rsidRPr="00247306">
        <w:rPr>
          <w:rFonts w:ascii="Times New Roman" w:hAnsi="Times New Roman"/>
          <w:szCs w:val="24"/>
        </w:rPr>
        <w:t xml:space="preserve">ince January 2022, the Commission has introduced a ‘cost brake’, aiming to ensure that administrative costs </w:t>
      </w:r>
      <w:proofErr w:type="gramStart"/>
      <w:r w:rsidRPr="00247306">
        <w:rPr>
          <w:rFonts w:ascii="Times New Roman" w:hAnsi="Times New Roman"/>
          <w:szCs w:val="24"/>
        </w:rPr>
        <w:t>in a given</w:t>
      </w:r>
      <w:proofErr w:type="gramEnd"/>
      <w:r w:rsidRPr="00247306">
        <w:rPr>
          <w:rFonts w:ascii="Times New Roman" w:hAnsi="Times New Roman"/>
          <w:szCs w:val="24"/>
        </w:rPr>
        <w:t xml:space="preserve"> policy area are offset and that adjustment costs are compensated to the greatest possible extent. The first year of full implementation of the approach resulted in a substantial reduction in administrative costs with proposals that will provide net savings of </w:t>
      </w:r>
      <w:r>
        <w:rPr>
          <w:rFonts w:ascii="Times New Roman" w:hAnsi="Times New Roman"/>
          <w:szCs w:val="24"/>
        </w:rPr>
        <w:t xml:space="preserve">EUR </w:t>
      </w:r>
      <w:r w:rsidRPr="00247306">
        <w:rPr>
          <w:rFonts w:ascii="Times New Roman" w:hAnsi="Times New Roman"/>
          <w:szCs w:val="24"/>
        </w:rPr>
        <w:t>7.3</w:t>
      </w:r>
      <w:r>
        <w:rPr>
          <w:rFonts w:ascii="Times New Roman" w:hAnsi="Times New Roman"/>
          <w:szCs w:val="24"/>
        </w:rPr>
        <w:t xml:space="preserve"> </w:t>
      </w:r>
      <w:r w:rsidRPr="00247306">
        <w:rPr>
          <w:rFonts w:ascii="Times New Roman" w:hAnsi="Times New Roman"/>
          <w:szCs w:val="24"/>
        </w:rPr>
        <w:t>billion.</w:t>
      </w:r>
    </w:p>
    <w:p w14:paraId="4649B505" w14:textId="77777777" w:rsidR="00713742" w:rsidRDefault="00713742" w:rsidP="00713742">
      <w:pPr>
        <w:spacing w:after="120"/>
        <w:rPr>
          <w:rFonts w:ascii="Times New Roman" w:hAnsi="Times New Roman"/>
          <w:szCs w:val="24"/>
        </w:rPr>
      </w:pPr>
      <w:r>
        <w:rPr>
          <w:rFonts w:ascii="Times New Roman" w:hAnsi="Times New Roman"/>
          <w:szCs w:val="24"/>
        </w:rPr>
        <w:t>At the same time, t</w:t>
      </w:r>
      <w:r w:rsidRPr="00247306">
        <w:rPr>
          <w:rFonts w:ascii="Times New Roman" w:hAnsi="Times New Roman"/>
          <w:szCs w:val="24"/>
        </w:rPr>
        <w:t>he Commission fully subscribes to a start-ups and scale-up</w:t>
      </w:r>
      <w:r>
        <w:rPr>
          <w:rFonts w:ascii="Times New Roman" w:hAnsi="Times New Roman"/>
          <w:szCs w:val="24"/>
        </w:rPr>
        <w:t>s</w:t>
      </w:r>
      <w:r w:rsidRPr="00247306">
        <w:rPr>
          <w:rFonts w:ascii="Times New Roman" w:hAnsi="Times New Roman"/>
          <w:szCs w:val="24"/>
        </w:rPr>
        <w:t xml:space="preserve"> friendly regulatory environment and welcomes the support of the P</w:t>
      </w:r>
      <w:r>
        <w:rPr>
          <w:rFonts w:ascii="Times New Roman" w:hAnsi="Times New Roman"/>
          <w:szCs w:val="24"/>
        </w:rPr>
        <w:t>arliament</w:t>
      </w:r>
      <w:r w:rsidRPr="00247306">
        <w:rPr>
          <w:rFonts w:ascii="Times New Roman" w:hAnsi="Times New Roman"/>
          <w:szCs w:val="24"/>
        </w:rPr>
        <w:t xml:space="preserve"> in this regard </w:t>
      </w:r>
      <w:r w:rsidRPr="00247306">
        <w:rPr>
          <w:rFonts w:ascii="Times New Roman" w:hAnsi="Times New Roman"/>
          <w:b/>
          <w:bCs/>
          <w:szCs w:val="24"/>
        </w:rPr>
        <w:t>(paragraph 24)</w:t>
      </w:r>
      <w:r w:rsidRPr="00B57DA0">
        <w:rPr>
          <w:rFonts w:ascii="Times New Roman" w:hAnsi="Times New Roman"/>
          <w:szCs w:val="24"/>
        </w:rPr>
        <w:t>.</w:t>
      </w:r>
      <w:r w:rsidRPr="003E74E6">
        <w:rPr>
          <w:rFonts w:ascii="Times New Roman" w:hAnsi="Times New Roman"/>
          <w:szCs w:val="24"/>
        </w:rPr>
        <w:t xml:space="preserve"> </w:t>
      </w:r>
      <w:r w:rsidRPr="00247306">
        <w:rPr>
          <w:rFonts w:ascii="Times New Roman" w:hAnsi="Times New Roman"/>
          <w:szCs w:val="24"/>
        </w:rPr>
        <w:t xml:space="preserve">As part of the SME relief package, the Commission has committed to work with </w:t>
      </w:r>
      <w:r>
        <w:rPr>
          <w:rFonts w:ascii="Times New Roman" w:hAnsi="Times New Roman"/>
          <w:szCs w:val="24"/>
        </w:rPr>
        <w:t xml:space="preserve">the </w:t>
      </w:r>
      <w:r w:rsidRPr="00247306">
        <w:rPr>
          <w:rFonts w:ascii="Times New Roman" w:hAnsi="Times New Roman"/>
          <w:szCs w:val="24"/>
        </w:rPr>
        <w:t xml:space="preserve">Member States to promote experimentation and innovation for start-ups through regulatory sandboxes. Since the review of the Small Business Act in 2011, the Commission has been working with Member States to reduce the start-up time for new enterprises. The 2016 Start-up and Scale-up Initiative included a range of actions to make it more attractive for entrepreneurs to set up a business and expand it in Europe. The Commission is also encouraging Member States to foster the creation of start-ups by implementing the principles and best practices outlined in the declaration on the </w:t>
      </w:r>
      <w:r w:rsidRPr="00194C96">
        <w:rPr>
          <w:rFonts w:ascii="Times New Roman" w:hAnsi="Times New Roman"/>
          <w:szCs w:val="24"/>
        </w:rPr>
        <w:t>EU Startup Nations Standard of Excellence</w:t>
      </w:r>
      <w:r>
        <w:rPr>
          <w:rStyle w:val="FootnoteReference"/>
          <w:rFonts w:ascii="Times New Roman" w:hAnsi="Times New Roman"/>
          <w:szCs w:val="24"/>
        </w:rPr>
        <w:footnoteReference w:id="21"/>
      </w:r>
      <w:r w:rsidRPr="00247306">
        <w:rPr>
          <w:rFonts w:ascii="Times New Roman" w:hAnsi="Times New Roman"/>
          <w:szCs w:val="24"/>
        </w:rPr>
        <w:t>.</w:t>
      </w:r>
    </w:p>
    <w:p w14:paraId="14B268AC" w14:textId="77777777" w:rsidR="00713742" w:rsidRPr="00247306" w:rsidRDefault="00713742" w:rsidP="00713742">
      <w:pPr>
        <w:spacing w:after="120"/>
        <w:rPr>
          <w:rFonts w:ascii="Times New Roman" w:hAnsi="Times New Roman"/>
          <w:szCs w:val="24"/>
        </w:rPr>
      </w:pPr>
      <w:r>
        <w:rPr>
          <w:rFonts w:ascii="Times New Roman" w:hAnsi="Times New Roman"/>
          <w:szCs w:val="24"/>
        </w:rPr>
        <w:t>The</w:t>
      </w:r>
      <w:r w:rsidRPr="00247306">
        <w:rPr>
          <w:rFonts w:ascii="Times New Roman" w:hAnsi="Times New Roman"/>
          <w:szCs w:val="24"/>
        </w:rPr>
        <w:t xml:space="preserve"> Commission </w:t>
      </w:r>
      <w:r>
        <w:rPr>
          <w:rFonts w:ascii="Times New Roman" w:hAnsi="Times New Roman"/>
          <w:szCs w:val="24"/>
        </w:rPr>
        <w:t>notes</w:t>
      </w:r>
      <w:r w:rsidRPr="00247306">
        <w:rPr>
          <w:rFonts w:ascii="Times New Roman" w:hAnsi="Times New Roman"/>
          <w:szCs w:val="24"/>
        </w:rPr>
        <w:t xml:space="preserve"> that the existing SME test </w:t>
      </w:r>
      <w:r w:rsidRPr="00B22D74">
        <w:rPr>
          <w:rFonts w:ascii="Times New Roman" w:hAnsi="Times New Roman"/>
          <w:b/>
          <w:bCs/>
          <w:szCs w:val="24"/>
        </w:rPr>
        <w:t>(paragraph 25)</w:t>
      </w:r>
      <w:r>
        <w:rPr>
          <w:rFonts w:ascii="Times New Roman" w:hAnsi="Times New Roman"/>
          <w:szCs w:val="24"/>
        </w:rPr>
        <w:t xml:space="preserve"> </w:t>
      </w:r>
      <w:r w:rsidRPr="00247306">
        <w:rPr>
          <w:rFonts w:ascii="Times New Roman" w:hAnsi="Times New Roman"/>
          <w:szCs w:val="24"/>
        </w:rPr>
        <w:t>already goes a long way to cover the interests of start-ups and scale-ups</w:t>
      </w:r>
      <w:r>
        <w:rPr>
          <w:rFonts w:ascii="Times New Roman" w:hAnsi="Times New Roman"/>
          <w:szCs w:val="24"/>
        </w:rPr>
        <w:t xml:space="preserve"> as t</w:t>
      </w:r>
      <w:r w:rsidRPr="00247306">
        <w:rPr>
          <w:rFonts w:ascii="Times New Roman" w:hAnsi="Times New Roman"/>
          <w:szCs w:val="24"/>
        </w:rPr>
        <w:t xml:space="preserve">he respective stakeholders are already routinely consulted as part of the relevant legislative processes. </w:t>
      </w:r>
      <w:r>
        <w:rPr>
          <w:rFonts w:ascii="Times New Roman" w:hAnsi="Times New Roman"/>
          <w:szCs w:val="24"/>
        </w:rPr>
        <w:t>Therefore,</w:t>
      </w:r>
      <w:r w:rsidRPr="00247306">
        <w:rPr>
          <w:rFonts w:ascii="Times New Roman" w:hAnsi="Times New Roman"/>
          <w:szCs w:val="24"/>
        </w:rPr>
        <w:t xml:space="preserve"> any new tests </w:t>
      </w:r>
      <w:r>
        <w:rPr>
          <w:rFonts w:ascii="Times New Roman" w:hAnsi="Times New Roman"/>
          <w:szCs w:val="24"/>
        </w:rPr>
        <w:t>are likely to come with</w:t>
      </w:r>
      <w:r w:rsidRPr="00247306">
        <w:rPr>
          <w:rFonts w:ascii="Times New Roman" w:hAnsi="Times New Roman"/>
          <w:szCs w:val="24"/>
        </w:rPr>
        <w:t xml:space="preserve"> disadvantages</w:t>
      </w:r>
      <w:r>
        <w:rPr>
          <w:rFonts w:ascii="Times New Roman" w:hAnsi="Times New Roman"/>
          <w:szCs w:val="24"/>
        </w:rPr>
        <w:t xml:space="preserve"> (for example, a</w:t>
      </w:r>
      <w:r w:rsidRPr="00247306">
        <w:rPr>
          <w:rFonts w:ascii="Times New Roman" w:hAnsi="Times New Roman"/>
          <w:szCs w:val="24"/>
        </w:rPr>
        <w:t xml:space="preserve"> prolonged legislative process</w:t>
      </w:r>
      <w:r>
        <w:rPr>
          <w:rFonts w:ascii="Times New Roman" w:hAnsi="Times New Roman"/>
          <w:szCs w:val="24"/>
        </w:rPr>
        <w:t>)</w:t>
      </w:r>
      <w:r w:rsidRPr="00247306">
        <w:rPr>
          <w:rFonts w:ascii="Times New Roman" w:hAnsi="Times New Roman"/>
          <w:szCs w:val="24"/>
        </w:rPr>
        <w:t>.</w:t>
      </w:r>
      <w:r>
        <w:rPr>
          <w:rFonts w:ascii="Times New Roman" w:hAnsi="Times New Roman"/>
          <w:szCs w:val="24"/>
        </w:rPr>
        <w:t xml:space="preserve"> </w:t>
      </w:r>
      <w:r w:rsidRPr="00247306">
        <w:rPr>
          <w:rFonts w:ascii="Times New Roman" w:hAnsi="Times New Roman"/>
          <w:szCs w:val="24"/>
        </w:rPr>
        <w:t>As for</w:t>
      </w:r>
      <w:r>
        <w:rPr>
          <w:rFonts w:ascii="Times New Roman" w:hAnsi="Times New Roman"/>
          <w:szCs w:val="24"/>
        </w:rPr>
        <w:t xml:space="preserve"> the call </w:t>
      </w:r>
      <w:r w:rsidRPr="00C56F2E">
        <w:rPr>
          <w:rFonts w:ascii="Times New Roman" w:hAnsi="Times New Roman"/>
          <w:szCs w:val="24"/>
        </w:rPr>
        <w:t>to re-evaluate the effect on start-ups of upcoming legislation focused on SMEs</w:t>
      </w:r>
      <w:r w:rsidRPr="00247306">
        <w:rPr>
          <w:rFonts w:ascii="Times New Roman" w:hAnsi="Times New Roman"/>
          <w:b/>
          <w:bCs/>
          <w:szCs w:val="24"/>
        </w:rPr>
        <w:t xml:space="preserve"> </w:t>
      </w:r>
      <w:r>
        <w:rPr>
          <w:rFonts w:ascii="Times New Roman" w:hAnsi="Times New Roman"/>
          <w:b/>
          <w:bCs/>
          <w:szCs w:val="24"/>
        </w:rPr>
        <w:t>(</w:t>
      </w:r>
      <w:r w:rsidRPr="00247306">
        <w:rPr>
          <w:rFonts w:ascii="Times New Roman" w:hAnsi="Times New Roman"/>
          <w:b/>
          <w:bCs/>
          <w:szCs w:val="24"/>
        </w:rPr>
        <w:t>paragraph 26</w:t>
      </w:r>
      <w:r>
        <w:rPr>
          <w:rFonts w:ascii="Times New Roman" w:hAnsi="Times New Roman"/>
          <w:b/>
          <w:bCs/>
          <w:szCs w:val="24"/>
        </w:rPr>
        <w:t>)</w:t>
      </w:r>
      <w:r w:rsidRPr="00B57DA0">
        <w:rPr>
          <w:rFonts w:ascii="Times New Roman" w:hAnsi="Times New Roman"/>
          <w:szCs w:val="24"/>
        </w:rPr>
        <w:t>,</w:t>
      </w:r>
      <w:r w:rsidRPr="00247306">
        <w:rPr>
          <w:rFonts w:ascii="Times New Roman" w:hAnsi="Times New Roman"/>
          <w:szCs w:val="24"/>
        </w:rPr>
        <w:t xml:space="preserve"> the SME</w:t>
      </w:r>
      <w:r>
        <w:rPr>
          <w:rFonts w:ascii="Times New Roman" w:hAnsi="Times New Roman"/>
          <w:szCs w:val="24"/>
        </w:rPr>
        <w:t>s</w:t>
      </w:r>
      <w:r w:rsidRPr="00247306">
        <w:rPr>
          <w:rFonts w:ascii="Times New Roman" w:hAnsi="Times New Roman"/>
          <w:szCs w:val="24"/>
        </w:rPr>
        <w:t xml:space="preserve"> test is performed and reported systematically in all impact assessment reports, where proportionate to the relevance of an initiative for SMEs. In addition, the new competitiveness check introduced in March 2023 reports in an integrated manner in all impact assessments on the competitiveness impacts on business, including on SME competitiveness. The impacts on start-ups and innovation are included in these work-streams where relevant.</w:t>
      </w:r>
    </w:p>
    <w:p w14:paraId="1B663886" w14:textId="77777777" w:rsidR="00713742" w:rsidRPr="00247306" w:rsidRDefault="00713742" w:rsidP="00713742">
      <w:pPr>
        <w:widowControl w:val="0"/>
        <w:spacing w:after="120"/>
        <w:rPr>
          <w:rFonts w:ascii="Times New Roman" w:hAnsi="Times New Roman"/>
          <w:b/>
          <w:bCs/>
          <w:i/>
          <w:iCs/>
          <w:szCs w:val="24"/>
          <w:lang w:val="en-IE"/>
        </w:rPr>
      </w:pPr>
      <w:r w:rsidRPr="00247306">
        <w:rPr>
          <w:rFonts w:ascii="Times New Roman" w:hAnsi="Times New Roman"/>
          <w:b/>
          <w:bCs/>
          <w:i/>
          <w:iCs/>
          <w:szCs w:val="24"/>
          <w:lang w:val="en-IE"/>
        </w:rPr>
        <w:t>Talent acquisition</w:t>
      </w:r>
    </w:p>
    <w:p w14:paraId="3B931C56" w14:textId="77777777" w:rsidR="00713742" w:rsidRDefault="00713742" w:rsidP="00713742">
      <w:pPr>
        <w:spacing w:after="120"/>
        <w:rPr>
          <w:rFonts w:ascii="Times New Roman" w:hAnsi="Times New Roman"/>
          <w:szCs w:val="24"/>
        </w:rPr>
      </w:pPr>
      <w:r w:rsidRPr="00247306">
        <w:rPr>
          <w:rFonts w:ascii="Times New Roman" w:hAnsi="Times New Roman"/>
          <w:szCs w:val="24"/>
          <w:lang w:val="en-IE"/>
        </w:rPr>
        <w:t>The Commission agrees that a shortage of talents and skills, especially also related to AI and other digital technologies, becomes an ever</w:t>
      </w:r>
      <w:r>
        <w:rPr>
          <w:rFonts w:ascii="Times New Roman" w:hAnsi="Times New Roman"/>
          <w:szCs w:val="24"/>
        </w:rPr>
        <w:t>-</w:t>
      </w:r>
      <w:r w:rsidRPr="00247306">
        <w:rPr>
          <w:rFonts w:ascii="Times New Roman" w:hAnsi="Times New Roman"/>
          <w:szCs w:val="24"/>
          <w:lang w:val="en-IE"/>
        </w:rPr>
        <w:t>pressing problem for the competitiveness of EU business, and especially start-up</w:t>
      </w:r>
      <w:r>
        <w:rPr>
          <w:rFonts w:ascii="Times New Roman" w:hAnsi="Times New Roman"/>
          <w:szCs w:val="24"/>
          <w:lang w:val="en-IE"/>
        </w:rPr>
        <w:t>s</w:t>
      </w:r>
      <w:r w:rsidRPr="00247306">
        <w:rPr>
          <w:rFonts w:ascii="Times New Roman" w:hAnsi="Times New Roman"/>
          <w:szCs w:val="24"/>
          <w:lang w:val="en-IE"/>
        </w:rPr>
        <w:t xml:space="preserve"> and scale-ups </w:t>
      </w:r>
      <w:r w:rsidRPr="00247306">
        <w:rPr>
          <w:rFonts w:ascii="Times New Roman" w:hAnsi="Times New Roman"/>
          <w:b/>
          <w:bCs/>
          <w:szCs w:val="24"/>
          <w:lang w:val="en-IE"/>
        </w:rPr>
        <w:t>(paragraph 28</w:t>
      </w:r>
      <w:r w:rsidRPr="00247306">
        <w:rPr>
          <w:rFonts w:ascii="Times New Roman" w:hAnsi="Times New Roman"/>
          <w:szCs w:val="24"/>
          <w:lang w:val="en-IE"/>
        </w:rPr>
        <w:t>).</w:t>
      </w:r>
      <w:r w:rsidRPr="00B57DA0">
        <w:rPr>
          <w:rFonts w:ascii="Times New Roman" w:hAnsi="Times New Roman"/>
          <w:szCs w:val="24"/>
          <w:lang w:val="en-IE"/>
        </w:rPr>
        <w:t xml:space="preserve"> </w:t>
      </w:r>
      <w:r>
        <w:rPr>
          <w:rFonts w:ascii="Times New Roman" w:hAnsi="Times New Roman"/>
          <w:szCs w:val="24"/>
          <w:lang w:val="en-IE"/>
        </w:rPr>
        <w:t xml:space="preserve">That is why ambitious targets have been set in the Digital Decade Policy Programme to reach 20 million ICT specialists and ensuring better access to women by 2030. </w:t>
      </w:r>
      <w:r w:rsidRPr="00247306">
        <w:rPr>
          <w:rFonts w:ascii="Times New Roman" w:hAnsi="Times New Roman"/>
          <w:szCs w:val="24"/>
          <w:lang w:val="en-IE"/>
        </w:rPr>
        <w:t>It should be noted that in some skill domains there</w:t>
      </w:r>
      <w:r>
        <w:rPr>
          <w:rFonts w:ascii="Times New Roman" w:hAnsi="Times New Roman"/>
          <w:szCs w:val="24"/>
          <w:lang w:val="en-IE"/>
        </w:rPr>
        <w:t xml:space="preserve"> are</w:t>
      </w:r>
      <w:r w:rsidRPr="00247306">
        <w:rPr>
          <w:rFonts w:ascii="Times New Roman" w:hAnsi="Times New Roman"/>
          <w:szCs w:val="24"/>
          <w:lang w:val="en-IE"/>
        </w:rPr>
        <w:t xml:space="preserve"> already initiatives in place to build further action on. </w:t>
      </w:r>
      <w:r>
        <w:rPr>
          <w:rFonts w:ascii="Times New Roman" w:hAnsi="Times New Roman"/>
          <w:szCs w:val="24"/>
          <w:lang w:val="en-IE"/>
        </w:rPr>
        <w:t xml:space="preserve">The MSCA (see above) have for nearly 28 years supported the training, </w:t>
      </w:r>
      <w:proofErr w:type="gramStart"/>
      <w:r>
        <w:rPr>
          <w:rFonts w:ascii="Times New Roman" w:hAnsi="Times New Roman"/>
          <w:szCs w:val="24"/>
          <w:lang w:val="en-IE"/>
        </w:rPr>
        <w:t>mobility</w:t>
      </w:r>
      <w:proofErr w:type="gramEnd"/>
      <w:r>
        <w:rPr>
          <w:rFonts w:ascii="Times New Roman" w:hAnsi="Times New Roman"/>
          <w:szCs w:val="24"/>
          <w:lang w:val="en-IE"/>
        </w:rPr>
        <w:t xml:space="preserve"> and career development of researchers across countries, disciplines and sectors in all scientific fields. </w:t>
      </w:r>
      <w:r w:rsidRPr="00B76872">
        <w:rPr>
          <w:rFonts w:ascii="Times New Roman" w:hAnsi="Times New Roman"/>
          <w:szCs w:val="24"/>
          <w:lang w:val="en-IE"/>
        </w:rPr>
        <w:t xml:space="preserve">To increase the number of graduates and professionals in ICT, the Commission is developing specialised educational programmes (Bachelor's, Master's, and doctoral programmes), as well as short-term training courses under the Digital Europe Programme, covering diverse key digital areas and critical technologies, </w:t>
      </w:r>
      <w:r w:rsidRPr="00B76872">
        <w:rPr>
          <w:rFonts w:ascii="Times New Roman" w:hAnsi="Times New Roman"/>
          <w:szCs w:val="24"/>
          <w:lang w:val="en-IE"/>
        </w:rPr>
        <w:lastRenderedPageBreak/>
        <w:t xml:space="preserve">including AI, data science, cybersecurity, </w:t>
      </w:r>
      <w:r w:rsidRPr="004A31BA">
        <w:rPr>
          <w:rFonts w:ascii="Times New Roman" w:hAnsi="Times New Roman"/>
          <w:szCs w:val="24"/>
          <w:lang w:val="en-IE"/>
        </w:rPr>
        <w:t>Internet of Things</w:t>
      </w:r>
      <w:r>
        <w:rPr>
          <w:rFonts w:ascii="Times New Roman" w:hAnsi="Times New Roman"/>
          <w:szCs w:val="24"/>
          <w:lang w:val="en-IE"/>
        </w:rPr>
        <w:t xml:space="preserve"> (</w:t>
      </w:r>
      <w:r w:rsidRPr="00B76872">
        <w:rPr>
          <w:rFonts w:ascii="Times New Roman" w:hAnsi="Times New Roman"/>
          <w:szCs w:val="24"/>
          <w:lang w:val="en-IE"/>
        </w:rPr>
        <w:t>IoT</w:t>
      </w:r>
      <w:r>
        <w:rPr>
          <w:rFonts w:ascii="Times New Roman" w:hAnsi="Times New Roman"/>
          <w:szCs w:val="24"/>
          <w:lang w:val="en-IE"/>
        </w:rPr>
        <w:t>)</w:t>
      </w:r>
      <w:r w:rsidRPr="00B76872">
        <w:rPr>
          <w:rFonts w:ascii="Times New Roman" w:hAnsi="Times New Roman"/>
          <w:szCs w:val="24"/>
          <w:lang w:val="en-IE"/>
        </w:rPr>
        <w:t xml:space="preserve">, cloud computing, </w:t>
      </w:r>
      <w:r w:rsidRPr="004A31BA">
        <w:rPr>
          <w:rFonts w:ascii="Times New Roman" w:hAnsi="Times New Roman"/>
          <w:szCs w:val="24"/>
          <w:lang w:val="en-IE"/>
        </w:rPr>
        <w:t>High-performance computing (HPC)</w:t>
      </w:r>
      <w:r w:rsidRPr="00B76872">
        <w:rPr>
          <w:rFonts w:ascii="Times New Roman" w:hAnsi="Times New Roman"/>
          <w:szCs w:val="24"/>
          <w:lang w:val="en-IE"/>
        </w:rPr>
        <w:t xml:space="preserve">, quantum technologies, blockchain, microelectronics, robotics, </w:t>
      </w:r>
      <w:proofErr w:type="spellStart"/>
      <w:r w:rsidRPr="00B76872">
        <w:rPr>
          <w:rFonts w:ascii="Times New Roman" w:hAnsi="Times New Roman"/>
          <w:szCs w:val="24"/>
          <w:lang w:val="en-IE"/>
        </w:rPr>
        <w:t>eXtended</w:t>
      </w:r>
      <w:proofErr w:type="spellEnd"/>
      <w:r w:rsidRPr="00B76872">
        <w:rPr>
          <w:rFonts w:ascii="Times New Roman" w:hAnsi="Times New Roman"/>
          <w:szCs w:val="24"/>
          <w:lang w:val="en-IE"/>
        </w:rPr>
        <w:t xml:space="preserve"> Reality and more. Additionally, these programmes provide training opportunities in specific sectors such as healthcare, business, transport, agriculture, food chains, and energy systems.</w:t>
      </w:r>
      <w:r>
        <w:rPr>
          <w:rFonts w:ascii="Times New Roman" w:hAnsi="Times New Roman"/>
          <w:szCs w:val="24"/>
          <w:lang w:val="en-IE"/>
        </w:rPr>
        <w:t xml:space="preserve"> European start-ups and scale-ups can recruit or host researchers as part of </w:t>
      </w:r>
      <w:r w:rsidRPr="00340B67">
        <w:rPr>
          <w:rFonts w:ascii="Times New Roman" w:hAnsi="Times New Roman"/>
          <w:szCs w:val="24"/>
          <w:lang w:val="en-IE"/>
        </w:rPr>
        <w:t xml:space="preserve">doctoral programmes, postdoctoral </w:t>
      </w:r>
      <w:r>
        <w:rPr>
          <w:rFonts w:ascii="Times New Roman" w:hAnsi="Times New Roman"/>
          <w:szCs w:val="24"/>
          <w:lang w:val="en-IE"/>
        </w:rPr>
        <w:t xml:space="preserve">fellowships and </w:t>
      </w:r>
      <w:r w:rsidRPr="00340B67">
        <w:rPr>
          <w:rFonts w:ascii="Times New Roman" w:hAnsi="Times New Roman"/>
          <w:szCs w:val="24"/>
          <w:lang w:val="en-IE"/>
        </w:rPr>
        <w:t>training programmes and collaborative research projects</w:t>
      </w:r>
      <w:r>
        <w:rPr>
          <w:rFonts w:ascii="Times New Roman" w:hAnsi="Times New Roman"/>
          <w:szCs w:val="24"/>
          <w:lang w:val="en-IE"/>
        </w:rPr>
        <w:t xml:space="preserve">, like any other European organisations. </w:t>
      </w:r>
      <w:r w:rsidRPr="00247306">
        <w:rPr>
          <w:rFonts w:ascii="Times New Roman" w:hAnsi="Times New Roman"/>
          <w:szCs w:val="24"/>
        </w:rPr>
        <w:t xml:space="preserve">As part of the New European Innovation Agenda, the EIT’s Deep Tech Talent initiative will skill </w:t>
      </w:r>
      <w:r>
        <w:rPr>
          <w:rFonts w:ascii="Times New Roman" w:hAnsi="Times New Roman"/>
          <w:szCs w:val="24"/>
        </w:rPr>
        <w:t>one</w:t>
      </w:r>
      <w:r w:rsidRPr="00247306">
        <w:rPr>
          <w:rFonts w:ascii="Times New Roman" w:hAnsi="Times New Roman"/>
          <w:szCs w:val="24"/>
        </w:rPr>
        <w:t xml:space="preserve"> million specialists in deep tech, while </w:t>
      </w:r>
      <w:r>
        <w:rPr>
          <w:rFonts w:ascii="Times New Roman" w:hAnsi="Times New Roman"/>
          <w:szCs w:val="24"/>
        </w:rPr>
        <w:t>initiatives like</w:t>
      </w:r>
      <w:r w:rsidRPr="00247306">
        <w:rPr>
          <w:rFonts w:ascii="Times New Roman" w:hAnsi="Times New Roman"/>
          <w:szCs w:val="24"/>
        </w:rPr>
        <w:t xml:space="preserve"> Girls Go Circular </w:t>
      </w:r>
      <w:r>
        <w:rPr>
          <w:rFonts w:ascii="Times New Roman" w:hAnsi="Times New Roman"/>
          <w:szCs w:val="24"/>
        </w:rPr>
        <w:t>and the ESTEAM (</w:t>
      </w:r>
      <w:r w:rsidRPr="00CB5DBE">
        <w:rPr>
          <w:rFonts w:ascii="Times New Roman" w:hAnsi="Times New Roman"/>
          <w:szCs w:val="24"/>
        </w:rPr>
        <w:t>Entrepreneurship, Science, Technology, Engineering, Arts and Mathematics</w:t>
      </w:r>
      <w:r>
        <w:rPr>
          <w:rFonts w:ascii="Times New Roman" w:hAnsi="Times New Roman"/>
          <w:szCs w:val="24"/>
        </w:rPr>
        <w:t xml:space="preserve">) Festivals </w:t>
      </w:r>
      <w:r w:rsidRPr="00247306">
        <w:rPr>
          <w:rFonts w:ascii="Times New Roman" w:hAnsi="Times New Roman"/>
          <w:szCs w:val="24"/>
        </w:rPr>
        <w:t xml:space="preserve">will equip at least </w:t>
      </w:r>
      <w:r>
        <w:rPr>
          <w:rFonts w:ascii="Times New Roman" w:hAnsi="Times New Roman"/>
          <w:szCs w:val="24"/>
        </w:rPr>
        <w:t>forty thousand</w:t>
      </w:r>
      <w:r w:rsidRPr="00247306">
        <w:rPr>
          <w:rFonts w:ascii="Times New Roman" w:hAnsi="Times New Roman"/>
          <w:szCs w:val="24"/>
        </w:rPr>
        <w:t xml:space="preserve"> young women with digital and entrepreneurial skills in the circular economy. This initiative promotes women’s participation in</w:t>
      </w:r>
      <w:r>
        <w:t xml:space="preserve"> </w:t>
      </w:r>
      <w:r w:rsidRPr="00C02555">
        <w:rPr>
          <w:rFonts w:ascii="Times New Roman" w:hAnsi="Times New Roman"/>
          <w:szCs w:val="24"/>
        </w:rPr>
        <w:t xml:space="preserve">science, technology, engineering, the </w:t>
      </w:r>
      <w:proofErr w:type="gramStart"/>
      <w:r w:rsidRPr="00C02555">
        <w:rPr>
          <w:rFonts w:ascii="Times New Roman" w:hAnsi="Times New Roman"/>
          <w:szCs w:val="24"/>
        </w:rPr>
        <w:t>arts</w:t>
      </w:r>
      <w:proofErr w:type="gramEnd"/>
      <w:r w:rsidRPr="00C02555">
        <w:rPr>
          <w:rFonts w:ascii="Times New Roman" w:hAnsi="Times New Roman"/>
          <w:szCs w:val="24"/>
        </w:rPr>
        <w:t xml:space="preserve"> and mathematics</w:t>
      </w:r>
      <w:r w:rsidRPr="00247306">
        <w:rPr>
          <w:rFonts w:ascii="Times New Roman" w:hAnsi="Times New Roman"/>
          <w:szCs w:val="24"/>
        </w:rPr>
        <w:t xml:space="preserve"> </w:t>
      </w:r>
      <w:r>
        <w:rPr>
          <w:rFonts w:ascii="Times New Roman" w:hAnsi="Times New Roman"/>
          <w:szCs w:val="24"/>
        </w:rPr>
        <w:t>(</w:t>
      </w:r>
      <w:r w:rsidRPr="00247306">
        <w:rPr>
          <w:rFonts w:ascii="Times New Roman" w:hAnsi="Times New Roman"/>
          <w:szCs w:val="24"/>
        </w:rPr>
        <w:t>STEAM</w:t>
      </w:r>
      <w:r>
        <w:rPr>
          <w:rFonts w:ascii="Times New Roman" w:hAnsi="Times New Roman"/>
          <w:szCs w:val="24"/>
        </w:rPr>
        <w:t>)</w:t>
      </w:r>
      <w:r w:rsidRPr="00247306">
        <w:rPr>
          <w:rFonts w:ascii="Times New Roman" w:hAnsi="Times New Roman"/>
          <w:szCs w:val="24"/>
        </w:rPr>
        <w:t xml:space="preserve"> careers to advance gender equality. </w:t>
      </w:r>
      <w:r>
        <w:rPr>
          <w:rFonts w:ascii="Times New Roman" w:hAnsi="Times New Roman"/>
          <w:szCs w:val="24"/>
        </w:rPr>
        <w:t>Moreover, t</w:t>
      </w:r>
      <w:r w:rsidRPr="00C02555">
        <w:rPr>
          <w:rFonts w:ascii="Times New Roman" w:hAnsi="Times New Roman"/>
          <w:szCs w:val="24"/>
        </w:rPr>
        <w:t xml:space="preserve">he EIT’s </w:t>
      </w:r>
      <w:r>
        <w:rPr>
          <w:rFonts w:ascii="Times New Roman" w:hAnsi="Times New Roman"/>
          <w:szCs w:val="24"/>
        </w:rPr>
        <w:t>Higher Education Institutions (</w:t>
      </w:r>
      <w:r w:rsidRPr="00C02555">
        <w:rPr>
          <w:rFonts w:ascii="Times New Roman" w:hAnsi="Times New Roman"/>
          <w:szCs w:val="24"/>
        </w:rPr>
        <w:t>HEI</w:t>
      </w:r>
      <w:r>
        <w:rPr>
          <w:rFonts w:ascii="Times New Roman" w:hAnsi="Times New Roman"/>
          <w:szCs w:val="24"/>
        </w:rPr>
        <w:t>)</w:t>
      </w:r>
      <w:r w:rsidRPr="00C02555">
        <w:rPr>
          <w:rFonts w:ascii="Times New Roman" w:hAnsi="Times New Roman"/>
          <w:szCs w:val="24"/>
        </w:rPr>
        <w:t xml:space="preserve"> initiative aims to increase the innovation and entrepreneurial capacity of higher education institutions in Europe and enhance their integration into innovation ecosystems.</w:t>
      </w:r>
      <w:r>
        <w:rPr>
          <w:rFonts w:ascii="Times New Roman" w:hAnsi="Times New Roman"/>
          <w:szCs w:val="24"/>
        </w:rPr>
        <w:t xml:space="preserve"> Further, one of the objectives of STEP is to address </w:t>
      </w:r>
      <w:r w:rsidRPr="007A7E26">
        <w:rPr>
          <w:rFonts w:ascii="Times New Roman" w:hAnsi="Times New Roman"/>
          <w:szCs w:val="24"/>
        </w:rPr>
        <w:t>labour and skill shortages through lifelong learning, education, training projects, and apprenticeships</w:t>
      </w:r>
      <w:r>
        <w:rPr>
          <w:rFonts w:ascii="Times New Roman" w:hAnsi="Times New Roman"/>
          <w:szCs w:val="24"/>
        </w:rPr>
        <w:t xml:space="preserve"> on the three STEP critical sectors</w:t>
      </w:r>
      <w:r w:rsidRPr="007A7E26">
        <w:rPr>
          <w:rFonts w:ascii="Times New Roman" w:hAnsi="Times New Roman"/>
          <w:szCs w:val="24"/>
        </w:rPr>
        <w:t>, including through the European Net Zero Industry Academies.</w:t>
      </w:r>
      <w:r>
        <w:rPr>
          <w:rFonts w:ascii="Times New Roman" w:hAnsi="Times New Roman"/>
          <w:szCs w:val="24"/>
        </w:rPr>
        <w:t xml:space="preserve"> </w:t>
      </w:r>
      <w:bookmarkStart w:id="1" w:name="_Hlk162946865"/>
      <w:r>
        <w:rPr>
          <w:rFonts w:ascii="Times New Roman" w:hAnsi="Times New Roman"/>
          <w:szCs w:val="24"/>
        </w:rPr>
        <w:t>Lastly, the EIT is driving the upskilling and reskilling of workers through the European batteries and solar skills academies under the Net Zero Industry Act (NZIA).</w:t>
      </w:r>
    </w:p>
    <w:bookmarkEnd w:id="1"/>
    <w:p w14:paraId="15B2D6CD" w14:textId="77777777" w:rsidR="00713742" w:rsidRPr="00247306" w:rsidRDefault="00713742" w:rsidP="00713742">
      <w:pPr>
        <w:spacing w:after="120"/>
        <w:rPr>
          <w:rFonts w:ascii="Times New Roman" w:hAnsi="Times New Roman"/>
          <w:i/>
          <w:iCs/>
          <w:szCs w:val="24"/>
        </w:rPr>
      </w:pPr>
      <w:r w:rsidRPr="00247306">
        <w:rPr>
          <w:rFonts w:ascii="Times New Roman" w:hAnsi="Times New Roman"/>
          <w:szCs w:val="24"/>
        </w:rPr>
        <w:t xml:space="preserve">The Commission acknowledges the need to invest in skills for industry, </w:t>
      </w:r>
      <w:proofErr w:type="gramStart"/>
      <w:r w:rsidRPr="00247306">
        <w:rPr>
          <w:rFonts w:ascii="Times New Roman" w:hAnsi="Times New Roman"/>
          <w:szCs w:val="24"/>
        </w:rPr>
        <w:t>in particular in</w:t>
      </w:r>
      <w:proofErr w:type="gramEnd"/>
      <w:r w:rsidRPr="00247306">
        <w:rPr>
          <w:rFonts w:ascii="Times New Roman" w:hAnsi="Times New Roman"/>
          <w:szCs w:val="24"/>
        </w:rPr>
        <w:t xml:space="preserve"> light of digital transitions and the transition towards a net zero economy, including by focusing on STEM skills </w:t>
      </w:r>
      <w:r w:rsidRPr="00247306">
        <w:rPr>
          <w:rFonts w:ascii="Times New Roman" w:hAnsi="Times New Roman"/>
          <w:b/>
          <w:bCs/>
          <w:szCs w:val="24"/>
        </w:rPr>
        <w:t>(paragraph 29)</w:t>
      </w:r>
      <w:r w:rsidRPr="00B57DA0">
        <w:rPr>
          <w:rFonts w:ascii="Times New Roman" w:hAnsi="Times New Roman"/>
          <w:szCs w:val="24"/>
        </w:rPr>
        <w:t>.</w:t>
      </w:r>
      <w:r w:rsidRPr="00247306">
        <w:rPr>
          <w:rFonts w:ascii="Times New Roman" w:hAnsi="Times New Roman"/>
          <w:szCs w:val="24"/>
        </w:rPr>
        <w:t xml:space="preserve"> With the Skills Agenda and the Digital Education Action Plan (DEAP), </w:t>
      </w:r>
      <w:r>
        <w:rPr>
          <w:rFonts w:ascii="Times New Roman" w:hAnsi="Times New Roman"/>
          <w:szCs w:val="24"/>
        </w:rPr>
        <w:t>it</w:t>
      </w:r>
      <w:r w:rsidRPr="00247306">
        <w:rPr>
          <w:rFonts w:ascii="Times New Roman" w:hAnsi="Times New Roman"/>
          <w:szCs w:val="24"/>
        </w:rPr>
        <w:t xml:space="preserve"> has set concrete measures to support the development of digital skills and the adaptation of the education and training systems of Member States to the digital age. Centres of Vocational Excellence act as catalysts for local business investment, supporting recovery</w:t>
      </w:r>
      <w:r>
        <w:rPr>
          <w:rFonts w:ascii="Times New Roman" w:hAnsi="Times New Roman"/>
          <w:szCs w:val="24"/>
        </w:rPr>
        <w:t xml:space="preserve"> and</w:t>
      </w:r>
      <w:r w:rsidRPr="00247306">
        <w:rPr>
          <w:rFonts w:ascii="Times New Roman" w:hAnsi="Times New Roman"/>
          <w:szCs w:val="24"/>
        </w:rPr>
        <w:t xml:space="preserve"> green and digital transitions</w:t>
      </w:r>
      <w:r>
        <w:rPr>
          <w:rFonts w:ascii="Times New Roman" w:hAnsi="Times New Roman"/>
          <w:szCs w:val="24"/>
        </w:rPr>
        <w:t>. Their activity contributes to promote</w:t>
      </w:r>
      <w:r w:rsidRPr="00247306">
        <w:rPr>
          <w:rFonts w:ascii="Times New Roman" w:hAnsi="Times New Roman"/>
          <w:szCs w:val="24"/>
        </w:rPr>
        <w:t xml:space="preserve"> European and regional innovation </w:t>
      </w:r>
      <w:r>
        <w:rPr>
          <w:rFonts w:ascii="Times New Roman" w:hAnsi="Times New Roman"/>
          <w:szCs w:val="24"/>
        </w:rPr>
        <w:t>as well as</w:t>
      </w:r>
      <w:r w:rsidRPr="00247306">
        <w:rPr>
          <w:rFonts w:ascii="Times New Roman" w:hAnsi="Times New Roman"/>
          <w:szCs w:val="24"/>
        </w:rPr>
        <w:t xml:space="preserve"> smart specialisation strategies, development of vocational education and training, including at higher qualification levels in line with national context</w:t>
      </w:r>
      <w:r>
        <w:rPr>
          <w:rFonts w:ascii="Times New Roman" w:hAnsi="Times New Roman"/>
          <w:szCs w:val="24"/>
        </w:rPr>
        <w:t>. Finally, they</w:t>
      </w:r>
      <w:r w:rsidRPr="00247306">
        <w:rPr>
          <w:rFonts w:ascii="Times New Roman" w:hAnsi="Times New Roman"/>
          <w:szCs w:val="24"/>
        </w:rPr>
        <w:t xml:space="preserve"> provide innovative services such as clusters and business incubators for start-ups and technology innovation for SMEs, as well as innovative reskilling solutions for workers at risk of redundancy.</w:t>
      </w:r>
    </w:p>
    <w:p w14:paraId="08E73BDC" w14:textId="77777777" w:rsidR="00713742" w:rsidRDefault="00713742" w:rsidP="00713742">
      <w:pPr>
        <w:spacing w:after="120"/>
        <w:rPr>
          <w:rFonts w:ascii="Times New Roman" w:hAnsi="Times New Roman"/>
          <w:szCs w:val="24"/>
        </w:rPr>
      </w:pPr>
      <w:r w:rsidRPr="00247306">
        <w:rPr>
          <w:rFonts w:ascii="Times New Roman" w:hAnsi="Times New Roman"/>
          <w:szCs w:val="24"/>
        </w:rPr>
        <w:t xml:space="preserve">The Commission fully shares the view that awareness raising, and guidance is needed to promote jobs in digital and industrial environments, </w:t>
      </w:r>
      <w:proofErr w:type="gramStart"/>
      <w:r w:rsidRPr="00247306">
        <w:rPr>
          <w:rFonts w:ascii="Times New Roman" w:hAnsi="Times New Roman"/>
          <w:szCs w:val="24"/>
        </w:rPr>
        <w:t>in particular for</w:t>
      </w:r>
      <w:proofErr w:type="gramEnd"/>
      <w:r w:rsidRPr="00247306">
        <w:rPr>
          <w:rFonts w:ascii="Times New Roman" w:hAnsi="Times New Roman"/>
          <w:szCs w:val="24"/>
        </w:rPr>
        <w:t xml:space="preserve"> attracting female talent </w:t>
      </w:r>
      <w:r w:rsidRPr="00247306">
        <w:rPr>
          <w:rFonts w:ascii="Times New Roman" w:hAnsi="Times New Roman"/>
          <w:b/>
          <w:bCs/>
          <w:szCs w:val="24"/>
        </w:rPr>
        <w:t>(paragraph 30)</w:t>
      </w:r>
      <w:r w:rsidRPr="00B57DA0">
        <w:rPr>
          <w:rFonts w:ascii="Times New Roman" w:hAnsi="Times New Roman"/>
          <w:szCs w:val="24"/>
        </w:rPr>
        <w:t>.</w:t>
      </w:r>
      <w:r w:rsidRPr="005903BF">
        <w:rPr>
          <w:rFonts w:ascii="Times New Roman" w:hAnsi="Times New Roman"/>
          <w:szCs w:val="24"/>
        </w:rPr>
        <w:t xml:space="preserve"> </w:t>
      </w:r>
      <w:r w:rsidRPr="00247306">
        <w:rPr>
          <w:rFonts w:ascii="Times New Roman" w:hAnsi="Times New Roman"/>
          <w:szCs w:val="24"/>
        </w:rPr>
        <w:t xml:space="preserve">In large-scale partnerships under the Pact for Skills, stakeholders work together on issues around awareness raising and better activation of groups that are underrepresented in the specific sector. </w:t>
      </w:r>
      <w:r w:rsidRPr="00490AFB">
        <w:rPr>
          <w:rFonts w:ascii="Times New Roman" w:hAnsi="Times New Roman"/>
          <w:szCs w:val="24"/>
        </w:rPr>
        <w:t>The Digital Skills and Jobs Coalition</w:t>
      </w:r>
      <w:r>
        <w:rPr>
          <w:rFonts w:ascii="Times New Roman" w:hAnsi="Times New Roman"/>
          <w:szCs w:val="24"/>
        </w:rPr>
        <w:t xml:space="preserve"> brings together stakeholders including</w:t>
      </w:r>
      <w:r w:rsidRPr="00490AFB">
        <w:rPr>
          <w:rFonts w:ascii="Times New Roman" w:hAnsi="Times New Roman"/>
          <w:szCs w:val="24"/>
        </w:rPr>
        <w:t xml:space="preserve"> Member States, social partners, companies, non-profit </w:t>
      </w:r>
      <w:proofErr w:type="gramStart"/>
      <w:r w:rsidRPr="00490AFB">
        <w:rPr>
          <w:rFonts w:ascii="Times New Roman" w:hAnsi="Times New Roman"/>
          <w:szCs w:val="24"/>
        </w:rPr>
        <w:t>organisations</w:t>
      </w:r>
      <w:proofErr w:type="gramEnd"/>
      <w:r w:rsidRPr="00490AFB">
        <w:rPr>
          <w:rFonts w:ascii="Times New Roman" w:hAnsi="Times New Roman"/>
          <w:szCs w:val="24"/>
        </w:rPr>
        <w:t xml:space="preserve"> and education providers </w:t>
      </w:r>
      <w:r>
        <w:rPr>
          <w:rFonts w:ascii="Times New Roman" w:hAnsi="Times New Roman"/>
          <w:szCs w:val="24"/>
        </w:rPr>
        <w:t xml:space="preserve">to </w:t>
      </w:r>
      <w:r w:rsidRPr="00490AFB">
        <w:rPr>
          <w:rFonts w:ascii="Times New Roman" w:hAnsi="Times New Roman"/>
          <w:szCs w:val="24"/>
        </w:rPr>
        <w:t>tackle the digital skills gap by rais</w:t>
      </w:r>
      <w:r>
        <w:rPr>
          <w:rFonts w:ascii="Times New Roman" w:hAnsi="Times New Roman"/>
          <w:szCs w:val="24"/>
        </w:rPr>
        <w:t>ing</w:t>
      </w:r>
      <w:r w:rsidRPr="00490AFB">
        <w:rPr>
          <w:rFonts w:ascii="Times New Roman" w:hAnsi="Times New Roman"/>
          <w:szCs w:val="24"/>
        </w:rPr>
        <w:t xml:space="preserve"> awareness and encourag</w:t>
      </w:r>
      <w:r>
        <w:rPr>
          <w:rFonts w:ascii="Times New Roman" w:hAnsi="Times New Roman"/>
          <w:szCs w:val="24"/>
        </w:rPr>
        <w:t>ing</w:t>
      </w:r>
      <w:r w:rsidRPr="00490AFB">
        <w:rPr>
          <w:rFonts w:ascii="Times New Roman" w:hAnsi="Times New Roman"/>
          <w:szCs w:val="24"/>
        </w:rPr>
        <w:t xml:space="preserve"> organisations to take actions to support digital skills training</w:t>
      </w:r>
      <w:r>
        <w:rPr>
          <w:rFonts w:ascii="Times New Roman" w:hAnsi="Times New Roman"/>
          <w:szCs w:val="24"/>
        </w:rPr>
        <w:t xml:space="preserve">. </w:t>
      </w:r>
      <w:r w:rsidRPr="00247306">
        <w:rPr>
          <w:rFonts w:ascii="Times New Roman" w:hAnsi="Times New Roman"/>
          <w:szCs w:val="24"/>
        </w:rPr>
        <w:t>The Commission is also focus</w:t>
      </w:r>
      <w:r>
        <w:rPr>
          <w:rFonts w:ascii="Times New Roman" w:hAnsi="Times New Roman"/>
          <w:szCs w:val="24"/>
        </w:rPr>
        <w:t>ing</w:t>
      </w:r>
      <w:r w:rsidRPr="00247306">
        <w:rPr>
          <w:rFonts w:ascii="Times New Roman" w:hAnsi="Times New Roman"/>
          <w:szCs w:val="24"/>
        </w:rPr>
        <w:t xml:space="preserve"> on digital job</w:t>
      </w:r>
      <w:r>
        <w:rPr>
          <w:rFonts w:ascii="Times New Roman" w:hAnsi="Times New Roman"/>
          <w:szCs w:val="24"/>
        </w:rPr>
        <w:t>s</w:t>
      </w:r>
      <w:r w:rsidRPr="00247306">
        <w:rPr>
          <w:rFonts w:ascii="Times New Roman" w:hAnsi="Times New Roman"/>
          <w:szCs w:val="24"/>
        </w:rPr>
        <w:t xml:space="preserve"> in apprenticeships through the European Alliance for Apprenticeships (</w:t>
      </w:r>
      <w:proofErr w:type="spellStart"/>
      <w:r w:rsidRPr="00247306">
        <w:rPr>
          <w:rFonts w:ascii="Times New Roman" w:hAnsi="Times New Roman"/>
          <w:szCs w:val="24"/>
        </w:rPr>
        <w:t>EAfA</w:t>
      </w:r>
      <w:proofErr w:type="spellEnd"/>
      <w:r w:rsidRPr="00247306">
        <w:rPr>
          <w:rFonts w:ascii="Times New Roman" w:hAnsi="Times New Roman"/>
          <w:szCs w:val="24"/>
        </w:rPr>
        <w:t xml:space="preserve">) and is promoting the attraction of more female talent, including through a dedicated community on social inclusion and gender equality established in 2023. An Erasmus+ call in 2024 is supporting projects developing ways to overcome the obstacles preventing girls and women from pursuing a </w:t>
      </w:r>
      <w:r>
        <w:rPr>
          <w:rFonts w:ascii="Times New Roman" w:hAnsi="Times New Roman"/>
          <w:szCs w:val="24"/>
        </w:rPr>
        <w:t>vocational education and training (</w:t>
      </w:r>
      <w:r w:rsidRPr="00247306">
        <w:rPr>
          <w:rFonts w:ascii="Times New Roman" w:hAnsi="Times New Roman"/>
          <w:szCs w:val="24"/>
        </w:rPr>
        <w:t>VET</w:t>
      </w:r>
      <w:r>
        <w:rPr>
          <w:rFonts w:ascii="Times New Roman" w:hAnsi="Times New Roman"/>
          <w:szCs w:val="24"/>
        </w:rPr>
        <w:t>)</w:t>
      </w:r>
      <w:r w:rsidRPr="00247306">
        <w:rPr>
          <w:rFonts w:ascii="Times New Roman" w:hAnsi="Times New Roman"/>
          <w:szCs w:val="24"/>
        </w:rPr>
        <w:t xml:space="preserve"> career in the green/clean technology sector and to increase the participation of women in the sector, through campaigns, mentoring programmes, career guidance and role models among other activities.</w:t>
      </w:r>
      <w:r>
        <w:rPr>
          <w:rFonts w:ascii="Times New Roman" w:hAnsi="Times New Roman"/>
          <w:szCs w:val="24"/>
        </w:rPr>
        <w:t xml:space="preserve"> </w:t>
      </w:r>
      <w:r w:rsidRPr="00247306">
        <w:rPr>
          <w:rFonts w:ascii="Times New Roman" w:hAnsi="Times New Roman"/>
          <w:szCs w:val="24"/>
        </w:rPr>
        <w:t xml:space="preserve">The EU pact for skills provides opportunities for up and reskilling that particularly benefit smaller actors such as start-ups and SMEs by pooling resources and creating partnership comprising the largest possible number of stakeholders </w:t>
      </w:r>
      <w:proofErr w:type="gramStart"/>
      <w:r w:rsidRPr="00247306">
        <w:rPr>
          <w:rFonts w:ascii="Times New Roman" w:hAnsi="Times New Roman"/>
          <w:szCs w:val="24"/>
        </w:rPr>
        <w:t>in a given</w:t>
      </w:r>
      <w:proofErr w:type="gramEnd"/>
      <w:r w:rsidRPr="00247306">
        <w:rPr>
          <w:rFonts w:ascii="Times New Roman" w:hAnsi="Times New Roman"/>
          <w:szCs w:val="24"/>
        </w:rPr>
        <w:t xml:space="preserve"> sector </w:t>
      </w:r>
      <w:r w:rsidRPr="00247306">
        <w:rPr>
          <w:rFonts w:ascii="Times New Roman" w:hAnsi="Times New Roman"/>
          <w:b/>
          <w:bCs/>
          <w:szCs w:val="24"/>
        </w:rPr>
        <w:t>(paragraph 31)</w:t>
      </w:r>
      <w:r w:rsidRPr="00B57DA0">
        <w:rPr>
          <w:rFonts w:ascii="Times New Roman" w:hAnsi="Times New Roman"/>
          <w:szCs w:val="24"/>
        </w:rPr>
        <w:t xml:space="preserve">. </w:t>
      </w:r>
      <w:r>
        <w:rPr>
          <w:rFonts w:ascii="Times New Roman" w:hAnsi="Times New Roman"/>
          <w:szCs w:val="24"/>
        </w:rPr>
        <w:t>B</w:t>
      </w:r>
      <w:r w:rsidRPr="00247306">
        <w:rPr>
          <w:rFonts w:ascii="Times New Roman" w:hAnsi="Times New Roman"/>
          <w:szCs w:val="24"/>
        </w:rPr>
        <w:t xml:space="preserve">usiness creation and </w:t>
      </w:r>
      <w:r w:rsidRPr="00247306">
        <w:rPr>
          <w:rFonts w:ascii="Times New Roman" w:hAnsi="Times New Roman"/>
          <w:szCs w:val="24"/>
        </w:rPr>
        <w:lastRenderedPageBreak/>
        <w:t xml:space="preserve">support to start-ups &amp; scale-ups is at the core of the mission of the EIT, which </w:t>
      </w:r>
      <w:r>
        <w:rPr>
          <w:rFonts w:ascii="Times New Roman" w:hAnsi="Times New Roman"/>
          <w:szCs w:val="24"/>
        </w:rPr>
        <w:t>−</w:t>
      </w:r>
      <w:r w:rsidRPr="00247306">
        <w:rPr>
          <w:rFonts w:ascii="Times New Roman" w:hAnsi="Times New Roman"/>
          <w:szCs w:val="24"/>
        </w:rPr>
        <w:t xml:space="preserve"> over the years – has supported more than 7800 ventures that have attracted EUR 7.3 billion in external investment, including 7 unicorns.</w:t>
      </w:r>
    </w:p>
    <w:p w14:paraId="29F0220B" w14:textId="77777777" w:rsidR="00713742" w:rsidRDefault="00713742" w:rsidP="00713742">
      <w:pPr>
        <w:spacing w:after="120"/>
        <w:rPr>
          <w:rFonts w:ascii="Times New Roman" w:hAnsi="Times New Roman"/>
          <w:b/>
          <w:bCs/>
          <w:i/>
          <w:iCs/>
          <w:szCs w:val="24"/>
        </w:rPr>
      </w:pPr>
      <w:r w:rsidRPr="00247306">
        <w:rPr>
          <w:rFonts w:ascii="Times New Roman" w:hAnsi="Times New Roman"/>
          <w:b/>
          <w:bCs/>
          <w:i/>
          <w:iCs/>
          <w:szCs w:val="24"/>
        </w:rPr>
        <w:t xml:space="preserve">Market access and competition </w:t>
      </w:r>
    </w:p>
    <w:p w14:paraId="7C56BF88" w14:textId="77777777" w:rsidR="00713742" w:rsidRPr="00B22D74" w:rsidRDefault="00713742" w:rsidP="00713742">
      <w:pPr>
        <w:widowControl w:val="0"/>
        <w:spacing w:after="120"/>
        <w:rPr>
          <w:rFonts w:ascii="Times New Roman" w:hAnsi="Times New Roman"/>
          <w:b/>
          <w:bCs/>
          <w:i/>
          <w:iCs/>
          <w:szCs w:val="24"/>
        </w:rPr>
      </w:pPr>
      <w:r w:rsidRPr="00247306">
        <w:rPr>
          <w:rFonts w:ascii="Times New Roman" w:hAnsi="Times New Roman"/>
          <w:szCs w:val="24"/>
        </w:rPr>
        <w:t>The Commission fully support</w:t>
      </w:r>
      <w:r>
        <w:rPr>
          <w:rFonts w:ascii="Times New Roman" w:hAnsi="Times New Roman"/>
          <w:szCs w:val="24"/>
        </w:rPr>
        <w:t>s</w:t>
      </w:r>
      <w:r w:rsidRPr="00247306">
        <w:rPr>
          <w:rFonts w:ascii="Times New Roman" w:hAnsi="Times New Roman"/>
          <w:szCs w:val="24"/>
        </w:rPr>
        <w:t xml:space="preserve"> the arguments in favour of a clear and secure business environment in a wider market </w:t>
      </w:r>
      <w:r w:rsidRPr="00247306">
        <w:rPr>
          <w:rFonts w:ascii="Times New Roman" w:hAnsi="Times New Roman"/>
          <w:b/>
          <w:bCs/>
          <w:szCs w:val="24"/>
        </w:rPr>
        <w:t>(paragraph 33)</w:t>
      </w:r>
      <w:r w:rsidRPr="00B57DA0">
        <w:rPr>
          <w:rFonts w:ascii="Times New Roman" w:hAnsi="Times New Roman"/>
          <w:szCs w:val="24"/>
        </w:rPr>
        <w:t>.</w:t>
      </w:r>
      <w:r w:rsidRPr="00247306">
        <w:rPr>
          <w:rFonts w:ascii="Times New Roman" w:hAnsi="Times New Roman"/>
          <w:szCs w:val="24"/>
        </w:rPr>
        <w:t xml:space="preserve"> Committed to simplifying policies and fostering collaboration in the innovation ecosystem, the Commission provides various instruments to facilitate the internationalisation of European Business. An updated overview, published on 26</w:t>
      </w:r>
      <w:r>
        <w:rPr>
          <w:rFonts w:ascii="Times New Roman" w:hAnsi="Times New Roman"/>
          <w:szCs w:val="24"/>
        </w:rPr>
        <w:t xml:space="preserve"> </w:t>
      </w:r>
      <w:r w:rsidRPr="00247306">
        <w:rPr>
          <w:rFonts w:ascii="Times New Roman" w:hAnsi="Times New Roman"/>
          <w:szCs w:val="24"/>
        </w:rPr>
        <w:t>July 2023</w:t>
      </w:r>
      <w:r>
        <w:rPr>
          <w:rFonts w:ascii="Times New Roman" w:hAnsi="Times New Roman"/>
          <w:szCs w:val="24"/>
        </w:rPr>
        <w:t>,</w:t>
      </w:r>
      <w:r w:rsidRPr="00247306">
        <w:rPr>
          <w:rFonts w:ascii="Times New Roman" w:hAnsi="Times New Roman"/>
          <w:szCs w:val="24"/>
        </w:rPr>
        <w:t xml:space="preserve"> highlights these efforts. In response to</w:t>
      </w:r>
      <w:r>
        <w:rPr>
          <w:rFonts w:ascii="Times New Roman" w:hAnsi="Times New Roman"/>
          <w:szCs w:val="24"/>
        </w:rPr>
        <w:t xml:space="preserve"> the</w:t>
      </w:r>
      <w:r w:rsidRPr="00247306">
        <w:rPr>
          <w:rFonts w:ascii="Times New Roman" w:hAnsi="Times New Roman"/>
          <w:szCs w:val="24"/>
        </w:rPr>
        <w:t xml:space="preserve"> recommendations </w:t>
      </w:r>
      <w:r>
        <w:rPr>
          <w:rFonts w:ascii="Times New Roman" w:hAnsi="Times New Roman"/>
          <w:szCs w:val="24"/>
        </w:rPr>
        <w:t>of</w:t>
      </w:r>
      <w:r w:rsidRPr="00247306">
        <w:rPr>
          <w:rFonts w:ascii="Times New Roman" w:hAnsi="Times New Roman"/>
          <w:szCs w:val="24"/>
        </w:rPr>
        <w:t xml:space="preserve"> the European Court of Auditors in May 2022, the Commission is conducting a study to improve existing support for SME internationalisation, aligning with broader policies such as SME, Trade, Industrial, Regional and Development policies, for improved coherence and sustainability. Moreover, the Commission engages in regulatory dialogues with third countries (US, China, South Korea, Japan) to address potential barriers to trade.</w:t>
      </w:r>
      <w:r>
        <w:rPr>
          <w:rFonts w:ascii="Times New Roman" w:hAnsi="Times New Roman"/>
          <w:szCs w:val="24"/>
        </w:rPr>
        <w:t xml:space="preserve"> Regarding </w:t>
      </w:r>
      <w:r w:rsidRPr="004552DD">
        <w:rPr>
          <w:rFonts w:ascii="Times New Roman" w:hAnsi="Times New Roman"/>
          <w:szCs w:val="24"/>
        </w:rPr>
        <w:t>initiatives to increase the competitiveness of European start-ups and scale-ups involved in net-zero technology value chains</w:t>
      </w:r>
      <w:r>
        <w:rPr>
          <w:rFonts w:ascii="Times New Roman" w:hAnsi="Times New Roman"/>
          <w:szCs w:val="24"/>
        </w:rPr>
        <w:t xml:space="preserve"> </w:t>
      </w:r>
      <w:r w:rsidRPr="00B22D74">
        <w:rPr>
          <w:rFonts w:ascii="Times New Roman" w:hAnsi="Times New Roman"/>
          <w:b/>
          <w:bCs/>
          <w:szCs w:val="24"/>
        </w:rPr>
        <w:t>(paragraphs 35 and 36)</w:t>
      </w:r>
      <w:r>
        <w:rPr>
          <w:rFonts w:ascii="Times New Roman" w:hAnsi="Times New Roman"/>
          <w:szCs w:val="24"/>
        </w:rPr>
        <w:t>, the NZIA</w:t>
      </w:r>
      <w:r w:rsidRPr="004552DD">
        <w:rPr>
          <w:rFonts w:ascii="Times New Roman" w:hAnsi="Times New Roman"/>
          <w:szCs w:val="24"/>
        </w:rPr>
        <w:t xml:space="preserve">, </w:t>
      </w:r>
      <w:r>
        <w:rPr>
          <w:rFonts w:ascii="Times New Roman" w:hAnsi="Times New Roman"/>
          <w:szCs w:val="24"/>
        </w:rPr>
        <w:t>promotes</w:t>
      </w:r>
      <w:r w:rsidRPr="004552DD">
        <w:rPr>
          <w:rFonts w:ascii="Times New Roman" w:hAnsi="Times New Roman"/>
          <w:szCs w:val="24"/>
        </w:rPr>
        <w:t xml:space="preserve"> the role of start-ups</w:t>
      </w:r>
      <w:r>
        <w:rPr>
          <w:rFonts w:ascii="Times New Roman" w:hAnsi="Times New Roman"/>
          <w:szCs w:val="24"/>
        </w:rPr>
        <w:t xml:space="preserve"> and scale-ups</w:t>
      </w:r>
      <w:r w:rsidRPr="004552DD">
        <w:rPr>
          <w:rFonts w:ascii="Times New Roman" w:hAnsi="Times New Roman"/>
          <w:szCs w:val="24"/>
        </w:rPr>
        <w:t xml:space="preserve"> (as well as SMEs) </w:t>
      </w:r>
      <w:r>
        <w:rPr>
          <w:rFonts w:ascii="Times New Roman" w:hAnsi="Times New Roman"/>
          <w:szCs w:val="24"/>
        </w:rPr>
        <w:t>in</w:t>
      </w:r>
      <w:r w:rsidRPr="004552DD">
        <w:rPr>
          <w:rFonts w:ascii="Times New Roman" w:hAnsi="Times New Roman"/>
          <w:szCs w:val="24"/>
        </w:rPr>
        <w:t xml:space="preserve"> promot</w:t>
      </w:r>
      <w:r>
        <w:rPr>
          <w:rFonts w:ascii="Times New Roman" w:hAnsi="Times New Roman"/>
          <w:szCs w:val="24"/>
        </w:rPr>
        <w:t>ing</w:t>
      </w:r>
      <w:r w:rsidRPr="004552DD">
        <w:rPr>
          <w:rFonts w:ascii="Times New Roman" w:hAnsi="Times New Roman"/>
          <w:szCs w:val="24"/>
        </w:rPr>
        <w:t xml:space="preserve"> innovation in the field of net-zero technologies, particularly with a view to improv</w:t>
      </w:r>
      <w:r>
        <w:rPr>
          <w:rFonts w:ascii="Times New Roman" w:hAnsi="Times New Roman"/>
          <w:szCs w:val="24"/>
        </w:rPr>
        <w:t>ing</w:t>
      </w:r>
      <w:r w:rsidRPr="004552DD">
        <w:rPr>
          <w:rFonts w:ascii="Times New Roman" w:hAnsi="Times New Roman"/>
          <w:szCs w:val="24"/>
        </w:rPr>
        <w:t xml:space="preserve"> regulatory learning via Net-zero regulatory sandboxes.</w:t>
      </w:r>
      <w:r>
        <w:rPr>
          <w:rFonts w:ascii="Times New Roman" w:hAnsi="Times New Roman"/>
          <w:szCs w:val="24"/>
        </w:rPr>
        <w:t xml:space="preserve"> O</w:t>
      </w:r>
      <w:r w:rsidRPr="004552DD">
        <w:rPr>
          <w:rFonts w:ascii="Times New Roman" w:hAnsi="Times New Roman"/>
          <w:szCs w:val="24"/>
        </w:rPr>
        <w:t xml:space="preserve">nce </w:t>
      </w:r>
      <w:r>
        <w:rPr>
          <w:rFonts w:ascii="Times New Roman" w:hAnsi="Times New Roman"/>
          <w:szCs w:val="24"/>
        </w:rPr>
        <w:t>in force</w:t>
      </w:r>
      <w:r w:rsidRPr="004552DD">
        <w:rPr>
          <w:rFonts w:ascii="Times New Roman" w:hAnsi="Times New Roman"/>
          <w:szCs w:val="24"/>
        </w:rPr>
        <w:t>,</w:t>
      </w:r>
      <w:r>
        <w:rPr>
          <w:rFonts w:ascii="Times New Roman" w:hAnsi="Times New Roman"/>
          <w:szCs w:val="24"/>
        </w:rPr>
        <w:t xml:space="preserve"> one of the objectives of the NZIA will</w:t>
      </w:r>
      <w:r w:rsidRPr="004552DD">
        <w:rPr>
          <w:rFonts w:ascii="Times New Roman" w:hAnsi="Times New Roman"/>
          <w:szCs w:val="24"/>
        </w:rPr>
        <w:t xml:space="preserve"> </w:t>
      </w:r>
      <w:r>
        <w:rPr>
          <w:rFonts w:ascii="Times New Roman" w:hAnsi="Times New Roman"/>
          <w:szCs w:val="24"/>
        </w:rPr>
        <w:t xml:space="preserve">be </w:t>
      </w:r>
      <w:r w:rsidRPr="004552DD">
        <w:rPr>
          <w:rFonts w:ascii="Times New Roman" w:hAnsi="Times New Roman"/>
          <w:szCs w:val="24"/>
        </w:rPr>
        <w:t xml:space="preserve">to foster innovation via favourable regulatory frameworks to be created for developing, </w:t>
      </w:r>
      <w:proofErr w:type="gramStart"/>
      <w:r w:rsidRPr="004552DD">
        <w:rPr>
          <w:rFonts w:ascii="Times New Roman" w:hAnsi="Times New Roman"/>
          <w:szCs w:val="24"/>
        </w:rPr>
        <w:t>testing</w:t>
      </w:r>
      <w:proofErr w:type="gramEnd"/>
      <w:r w:rsidRPr="004552DD">
        <w:rPr>
          <w:rFonts w:ascii="Times New Roman" w:hAnsi="Times New Roman"/>
          <w:szCs w:val="24"/>
        </w:rPr>
        <w:t xml:space="preserve"> and validating innovative technologies. The </w:t>
      </w:r>
      <w:r>
        <w:rPr>
          <w:rFonts w:ascii="Times New Roman" w:hAnsi="Times New Roman"/>
          <w:szCs w:val="24"/>
        </w:rPr>
        <w:t>NZIA will</w:t>
      </w:r>
      <w:r w:rsidRPr="004552DD">
        <w:rPr>
          <w:rFonts w:ascii="Times New Roman" w:hAnsi="Times New Roman"/>
          <w:szCs w:val="24"/>
        </w:rPr>
        <w:t xml:space="preserve"> ensure that member States provide start-ups and SMEs with priority access to the Net-zero regulatory sandboxes, organize awareness activities and establish dedicated communication channels to guide their participation.</w:t>
      </w:r>
      <w:r>
        <w:rPr>
          <w:rFonts w:ascii="Times New Roman" w:hAnsi="Times New Roman"/>
          <w:szCs w:val="24"/>
        </w:rPr>
        <w:t xml:space="preserve"> </w:t>
      </w:r>
      <w:r w:rsidRPr="004552DD">
        <w:rPr>
          <w:rFonts w:ascii="Times New Roman" w:hAnsi="Times New Roman"/>
          <w:szCs w:val="24"/>
        </w:rPr>
        <w:t xml:space="preserve">Regulatory sandboxes aim at allowing innovative technologies and solutions to come to the market benefitting businesses and consumers, thus increasing the competitiveness of </w:t>
      </w:r>
      <w:r>
        <w:rPr>
          <w:rFonts w:ascii="Times New Roman" w:hAnsi="Times New Roman"/>
          <w:szCs w:val="24"/>
        </w:rPr>
        <w:t xml:space="preserve">the </w:t>
      </w:r>
      <w:r w:rsidRPr="004552DD">
        <w:rPr>
          <w:rFonts w:ascii="Times New Roman" w:hAnsi="Times New Roman"/>
          <w:szCs w:val="24"/>
        </w:rPr>
        <w:t>EU’s net-zero technology landscape. They help to prove and build up a business model for innovative solutions from which start-ups benefit. They also have the objective of removing barriers, alleviating regulatory burden, reducing regulatory uncertainty, and supporting innovation in net-zero technologies.</w:t>
      </w:r>
    </w:p>
    <w:p w14:paraId="26FEC5CF" w14:textId="77777777" w:rsidR="00713742" w:rsidRPr="00247306" w:rsidRDefault="00713742" w:rsidP="00713742">
      <w:pPr>
        <w:widowControl w:val="0"/>
        <w:spacing w:after="120"/>
        <w:rPr>
          <w:rFonts w:ascii="Times New Roman" w:hAnsi="Times New Roman"/>
          <w:b/>
          <w:bCs/>
          <w:i/>
          <w:iCs/>
          <w:szCs w:val="24"/>
        </w:rPr>
      </w:pPr>
      <w:r w:rsidRPr="00247306">
        <w:rPr>
          <w:rFonts w:ascii="Times New Roman" w:hAnsi="Times New Roman"/>
          <w:b/>
          <w:bCs/>
          <w:i/>
          <w:iCs/>
          <w:szCs w:val="24"/>
        </w:rPr>
        <w:t xml:space="preserve">Access to data </w:t>
      </w:r>
    </w:p>
    <w:p w14:paraId="16F7645A" w14:textId="77777777" w:rsidR="00713742" w:rsidRPr="00100C5F" w:rsidRDefault="00713742" w:rsidP="00713742">
      <w:pPr>
        <w:spacing w:after="120"/>
        <w:rPr>
          <w:rFonts w:ascii="Times New Roman" w:hAnsi="Times New Roman"/>
          <w:szCs w:val="24"/>
        </w:rPr>
      </w:pPr>
      <w:r w:rsidRPr="00247306">
        <w:rPr>
          <w:rFonts w:ascii="Times New Roman" w:hAnsi="Times New Roman"/>
          <w:szCs w:val="24"/>
        </w:rPr>
        <w:t xml:space="preserve">The Commission welcomes the suggestions regarding the provision of access to real-time public data insights </w:t>
      </w:r>
      <w:r w:rsidRPr="00247306">
        <w:rPr>
          <w:rFonts w:ascii="Times New Roman" w:hAnsi="Times New Roman"/>
          <w:b/>
          <w:bCs/>
          <w:szCs w:val="24"/>
        </w:rPr>
        <w:t>(paragraph 37)</w:t>
      </w:r>
      <w:r w:rsidRPr="00B57DA0">
        <w:rPr>
          <w:rFonts w:ascii="Times New Roman" w:hAnsi="Times New Roman"/>
          <w:szCs w:val="24"/>
        </w:rPr>
        <w:t>.</w:t>
      </w:r>
      <w:r w:rsidRPr="00247306">
        <w:rPr>
          <w:rFonts w:ascii="Times New Roman" w:hAnsi="Times New Roman"/>
          <w:szCs w:val="24"/>
        </w:rPr>
        <w:t xml:space="preserve"> They are fully consistent with its own initiatives to create awareness among M</w:t>
      </w:r>
      <w:r>
        <w:rPr>
          <w:rFonts w:ascii="Times New Roman" w:hAnsi="Times New Roman"/>
          <w:szCs w:val="24"/>
        </w:rPr>
        <w:t xml:space="preserve">ember </w:t>
      </w:r>
      <w:r w:rsidRPr="00247306">
        <w:rPr>
          <w:rFonts w:ascii="Times New Roman" w:hAnsi="Times New Roman"/>
          <w:szCs w:val="24"/>
        </w:rPr>
        <w:t>S</w:t>
      </w:r>
      <w:r>
        <w:rPr>
          <w:rFonts w:ascii="Times New Roman" w:hAnsi="Times New Roman"/>
          <w:szCs w:val="24"/>
        </w:rPr>
        <w:t>tates</w:t>
      </w:r>
      <w:r w:rsidRPr="00247306">
        <w:rPr>
          <w:rFonts w:ascii="Times New Roman" w:hAnsi="Times New Roman"/>
          <w:szCs w:val="24"/>
        </w:rPr>
        <w:t xml:space="preserve"> for the important adequate access to data for innovative firms, not least in the context of ensuring the EU</w:t>
      </w:r>
      <w:r>
        <w:rPr>
          <w:rFonts w:ascii="Times New Roman" w:hAnsi="Times New Roman"/>
          <w:szCs w:val="24"/>
        </w:rPr>
        <w:t>’</w:t>
      </w:r>
      <w:r w:rsidRPr="00247306">
        <w:rPr>
          <w:rFonts w:ascii="Times New Roman" w:hAnsi="Times New Roman"/>
          <w:szCs w:val="24"/>
        </w:rPr>
        <w:t xml:space="preserve">s competitiveness in the emerging technologies, including </w:t>
      </w:r>
      <w:r>
        <w:rPr>
          <w:rFonts w:ascii="Times New Roman" w:hAnsi="Times New Roman"/>
          <w:szCs w:val="24"/>
        </w:rPr>
        <w:t>AI</w:t>
      </w:r>
      <w:r w:rsidRPr="00247306">
        <w:rPr>
          <w:rFonts w:ascii="Times New Roman" w:hAnsi="Times New Roman"/>
          <w:szCs w:val="24"/>
        </w:rPr>
        <w:t>.</w:t>
      </w:r>
      <w:r>
        <w:rPr>
          <w:rFonts w:ascii="Times New Roman" w:hAnsi="Times New Roman"/>
          <w:szCs w:val="24"/>
        </w:rPr>
        <w:t xml:space="preserve"> Moreover, the Commission</w:t>
      </w:r>
      <w:r w:rsidRPr="00C02555">
        <w:rPr>
          <w:rFonts w:ascii="Times New Roman" w:hAnsi="Times New Roman"/>
          <w:szCs w:val="24"/>
        </w:rPr>
        <w:t xml:space="preserve"> highlights that under the umbrella of its single digital gateway initiative, actions are already </w:t>
      </w:r>
      <w:r>
        <w:rPr>
          <w:rFonts w:ascii="Times New Roman" w:hAnsi="Times New Roman"/>
          <w:szCs w:val="24"/>
        </w:rPr>
        <w:t>planned</w:t>
      </w:r>
      <w:r w:rsidRPr="00C02555">
        <w:rPr>
          <w:rFonts w:ascii="Times New Roman" w:hAnsi="Times New Roman"/>
          <w:szCs w:val="24"/>
        </w:rPr>
        <w:t xml:space="preserve"> to promote and facilitate the exchange of information between the different actors.</w:t>
      </w:r>
      <w:r>
        <w:rPr>
          <w:rFonts w:ascii="Times New Roman" w:hAnsi="Times New Roman"/>
          <w:szCs w:val="24"/>
        </w:rPr>
        <w:t xml:space="preserve"> The Commission attaches utmost importance to the implementation and enforcement of recent regulations in the digital area, including the Digital Services Act, the Digital Markets Act, the Data Governance Act, the Data </w:t>
      </w:r>
      <w:proofErr w:type="gramStart"/>
      <w:r>
        <w:rPr>
          <w:rFonts w:ascii="Times New Roman" w:hAnsi="Times New Roman"/>
          <w:szCs w:val="24"/>
        </w:rPr>
        <w:t>Act</w:t>
      </w:r>
      <w:proofErr w:type="gramEnd"/>
      <w:r>
        <w:rPr>
          <w:rFonts w:ascii="Times New Roman" w:hAnsi="Times New Roman"/>
          <w:szCs w:val="24"/>
        </w:rPr>
        <w:t xml:space="preserve"> and the Artificial Intelligence Act (</w:t>
      </w:r>
      <w:r w:rsidRPr="00876DE7">
        <w:rPr>
          <w:rFonts w:ascii="Times New Roman" w:hAnsi="Times New Roman"/>
          <w:b/>
          <w:bCs/>
          <w:szCs w:val="24"/>
        </w:rPr>
        <w:t>paragraph 38</w:t>
      </w:r>
      <w:r>
        <w:rPr>
          <w:rFonts w:ascii="Times New Roman" w:hAnsi="Times New Roman"/>
          <w:szCs w:val="24"/>
        </w:rPr>
        <w:t xml:space="preserve">). The last development in this context is the creation of the Artificial Intelligence Office </w:t>
      </w:r>
      <w:proofErr w:type="gramStart"/>
      <w:r>
        <w:rPr>
          <w:rFonts w:ascii="Times New Roman" w:hAnsi="Times New Roman"/>
          <w:szCs w:val="24"/>
        </w:rPr>
        <w:t>on the basis of</w:t>
      </w:r>
      <w:proofErr w:type="gramEnd"/>
      <w:r>
        <w:rPr>
          <w:rFonts w:ascii="Times New Roman" w:hAnsi="Times New Roman"/>
          <w:szCs w:val="24"/>
        </w:rPr>
        <w:t xml:space="preserve"> organisational changes taking effect on 16 June 2024.</w:t>
      </w:r>
    </w:p>
    <w:p w14:paraId="2BD1957B" w14:textId="77777777" w:rsidR="00713742" w:rsidRPr="00247306" w:rsidRDefault="00713742" w:rsidP="00713742">
      <w:pPr>
        <w:widowControl w:val="0"/>
        <w:spacing w:after="120"/>
        <w:rPr>
          <w:rFonts w:ascii="Times New Roman" w:hAnsi="Times New Roman"/>
          <w:b/>
          <w:bCs/>
          <w:i/>
          <w:iCs/>
          <w:szCs w:val="24"/>
        </w:rPr>
      </w:pPr>
      <w:r w:rsidRPr="00247306">
        <w:rPr>
          <w:rFonts w:ascii="Times New Roman" w:hAnsi="Times New Roman"/>
          <w:b/>
          <w:bCs/>
          <w:i/>
          <w:iCs/>
          <w:szCs w:val="24"/>
        </w:rPr>
        <w:t>Innovation ecosystem and support structures</w:t>
      </w:r>
    </w:p>
    <w:p w14:paraId="22605FC9" w14:textId="77777777" w:rsidR="00713742" w:rsidRDefault="00713742" w:rsidP="00713742">
      <w:pPr>
        <w:widowControl w:val="0"/>
        <w:spacing w:after="120"/>
        <w:rPr>
          <w:rFonts w:ascii="Times New Roman" w:hAnsi="Times New Roman"/>
          <w:szCs w:val="24"/>
        </w:rPr>
      </w:pPr>
      <w:r w:rsidRPr="00247306">
        <w:rPr>
          <w:rFonts w:ascii="Times New Roman" w:hAnsi="Times New Roman"/>
          <w:szCs w:val="24"/>
        </w:rPr>
        <w:t>In line with the 2016 Start</w:t>
      </w:r>
      <w:r>
        <w:rPr>
          <w:rFonts w:ascii="Times New Roman" w:hAnsi="Times New Roman"/>
          <w:szCs w:val="24"/>
        </w:rPr>
        <w:t>-</w:t>
      </w:r>
      <w:r w:rsidRPr="00247306">
        <w:rPr>
          <w:rFonts w:ascii="Times New Roman" w:hAnsi="Times New Roman"/>
          <w:szCs w:val="24"/>
        </w:rPr>
        <w:t>up and Scale</w:t>
      </w:r>
      <w:r>
        <w:rPr>
          <w:rFonts w:ascii="Times New Roman" w:hAnsi="Times New Roman"/>
          <w:szCs w:val="24"/>
        </w:rPr>
        <w:t>-</w:t>
      </w:r>
      <w:r w:rsidRPr="00247306">
        <w:rPr>
          <w:rFonts w:ascii="Times New Roman" w:hAnsi="Times New Roman"/>
          <w:szCs w:val="24"/>
        </w:rPr>
        <w:t xml:space="preserve">up initiative, the Enterprise Europe Network (EEN) introduced Scale-up Advisors in 2017. They were then dedicated a permanent role in EEN Consortia from 2022, because of a call criterion included in the 2021 </w:t>
      </w:r>
      <w:r>
        <w:rPr>
          <w:rFonts w:ascii="Times New Roman" w:hAnsi="Times New Roman"/>
          <w:szCs w:val="24"/>
        </w:rPr>
        <w:t>Single Market Program (</w:t>
      </w:r>
      <w:r w:rsidRPr="00247306">
        <w:rPr>
          <w:rFonts w:ascii="Times New Roman" w:hAnsi="Times New Roman"/>
          <w:szCs w:val="24"/>
        </w:rPr>
        <w:t>SMP</w:t>
      </w:r>
      <w:r>
        <w:rPr>
          <w:rFonts w:ascii="Times New Roman" w:hAnsi="Times New Roman"/>
          <w:szCs w:val="24"/>
        </w:rPr>
        <w:t>)</w:t>
      </w:r>
      <w:r w:rsidRPr="00247306">
        <w:rPr>
          <w:rFonts w:ascii="Times New Roman" w:hAnsi="Times New Roman"/>
          <w:szCs w:val="24"/>
        </w:rPr>
        <w:t xml:space="preserve"> EEN Call for proposals. In this context, EEN Scale-Up Advisors </w:t>
      </w:r>
      <w:proofErr w:type="gramStart"/>
      <w:r w:rsidRPr="00247306">
        <w:rPr>
          <w:rFonts w:ascii="Times New Roman" w:hAnsi="Times New Roman"/>
          <w:szCs w:val="24"/>
        </w:rPr>
        <w:t>have the ability to</w:t>
      </w:r>
      <w:proofErr w:type="gramEnd"/>
      <w:r w:rsidRPr="00247306">
        <w:rPr>
          <w:rFonts w:ascii="Times New Roman" w:hAnsi="Times New Roman"/>
          <w:szCs w:val="24"/>
        </w:rPr>
        <w:t xml:space="preserve"> accompany SMEs to scale up and grow internationally, capitalising on the expertise built up in the EEN and using EEN services as well as linking them to other </w:t>
      </w:r>
      <w:r w:rsidRPr="00247306">
        <w:rPr>
          <w:rFonts w:ascii="Times New Roman" w:hAnsi="Times New Roman"/>
          <w:szCs w:val="24"/>
        </w:rPr>
        <w:lastRenderedPageBreak/>
        <w:t>more relevant and often more specialized support.</w:t>
      </w:r>
    </w:p>
    <w:p w14:paraId="66475C29" w14:textId="77777777" w:rsidR="00713742" w:rsidRDefault="00713742" w:rsidP="00713742">
      <w:pPr>
        <w:widowControl w:val="0"/>
        <w:spacing w:after="120"/>
        <w:rPr>
          <w:rFonts w:ascii="Times New Roman" w:hAnsi="Times New Roman"/>
          <w:szCs w:val="24"/>
        </w:rPr>
      </w:pPr>
      <w:r w:rsidRPr="00247306">
        <w:rPr>
          <w:rFonts w:ascii="Times New Roman" w:hAnsi="Times New Roman"/>
          <w:szCs w:val="24"/>
        </w:rPr>
        <w:t>The Commission full</w:t>
      </w:r>
      <w:r>
        <w:rPr>
          <w:rFonts w:ascii="Times New Roman" w:hAnsi="Times New Roman"/>
          <w:szCs w:val="24"/>
        </w:rPr>
        <w:t>y</w:t>
      </w:r>
      <w:r w:rsidRPr="00247306">
        <w:rPr>
          <w:rFonts w:ascii="Times New Roman" w:hAnsi="Times New Roman"/>
          <w:szCs w:val="24"/>
        </w:rPr>
        <w:t xml:space="preserve"> agree</w:t>
      </w:r>
      <w:r>
        <w:rPr>
          <w:rFonts w:ascii="Times New Roman" w:hAnsi="Times New Roman"/>
          <w:szCs w:val="24"/>
        </w:rPr>
        <w:t>s</w:t>
      </w:r>
      <w:r w:rsidRPr="00247306">
        <w:rPr>
          <w:rFonts w:ascii="Times New Roman" w:hAnsi="Times New Roman"/>
          <w:szCs w:val="24"/>
        </w:rPr>
        <w:t xml:space="preserve"> with the idea of creating fully inclusive start-up ecosystems in the EU </w:t>
      </w:r>
      <w:r w:rsidRPr="00247306">
        <w:rPr>
          <w:rFonts w:ascii="Times New Roman" w:hAnsi="Times New Roman"/>
          <w:b/>
          <w:bCs/>
          <w:szCs w:val="24"/>
        </w:rPr>
        <w:t>(paragraph 40)</w:t>
      </w:r>
      <w:r w:rsidRPr="00247306">
        <w:rPr>
          <w:rFonts w:ascii="Times New Roman" w:hAnsi="Times New Roman"/>
          <w:szCs w:val="24"/>
        </w:rPr>
        <w:t xml:space="preserve"> and is keen on building on its already existing actions in this regard.</w:t>
      </w:r>
      <w:r w:rsidRPr="00B22D74">
        <w:rPr>
          <w:rFonts w:ascii="Times New Roman" w:hAnsi="Times New Roman"/>
        </w:rPr>
        <w:t xml:space="preserve"> </w:t>
      </w:r>
      <w:proofErr w:type="gramStart"/>
      <w:r w:rsidRPr="00B22D74">
        <w:rPr>
          <w:rFonts w:ascii="Times New Roman" w:hAnsi="Times New Roman"/>
        </w:rPr>
        <w:t xml:space="preserve">In particular, </w:t>
      </w:r>
      <w:r>
        <w:rPr>
          <w:rFonts w:ascii="Times New Roman" w:hAnsi="Times New Roman"/>
        </w:rPr>
        <w:t>u</w:t>
      </w:r>
      <w:r w:rsidRPr="00554A9B">
        <w:rPr>
          <w:rFonts w:ascii="Times New Roman" w:hAnsi="Times New Roman"/>
          <w:szCs w:val="24"/>
        </w:rPr>
        <w:t>nder</w:t>
      </w:r>
      <w:proofErr w:type="gramEnd"/>
      <w:r w:rsidRPr="00554A9B">
        <w:rPr>
          <w:rFonts w:ascii="Times New Roman" w:hAnsi="Times New Roman"/>
          <w:szCs w:val="24"/>
        </w:rPr>
        <w:t xml:space="preserve"> Action 17 of the SME relief package, the Commission has announced that it will further work with groups whose untapped entrepreneurial potential remains high, such as women, young people and persons with disabilities, through awareness, mentoring and coaching campaigns.</w:t>
      </w:r>
      <w:r>
        <w:rPr>
          <w:rFonts w:ascii="Times New Roman" w:hAnsi="Times New Roman"/>
          <w:szCs w:val="24"/>
        </w:rPr>
        <w:t xml:space="preserve"> </w:t>
      </w:r>
      <w:r w:rsidRPr="00247306">
        <w:rPr>
          <w:rFonts w:ascii="Times New Roman" w:hAnsi="Times New Roman"/>
          <w:szCs w:val="24"/>
        </w:rPr>
        <w:t xml:space="preserve">The Commission </w:t>
      </w:r>
      <w:r>
        <w:rPr>
          <w:rFonts w:ascii="Times New Roman" w:hAnsi="Times New Roman"/>
          <w:szCs w:val="24"/>
        </w:rPr>
        <w:t>also</w:t>
      </w:r>
      <w:r w:rsidRPr="00247306">
        <w:rPr>
          <w:rFonts w:ascii="Times New Roman" w:hAnsi="Times New Roman"/>
          <w:szCs w:val="24"/>
        </w:rPr>
        <w:t xml:space="preserve"> agree</w:t>
      </w:r>
      <w:r>
        <w:rPr>
          <w:rFonts w:ascii="Times New Roman" w:hAnsi="Times New Roman"/>
          <w:szCs w:val="24"/>
        </w:rPr>
        <w:t>s</w:t>
      </w:r>
      <w:r w:rsidRPr="00247306">
        <w:rPr>
          <w:rFonts w:ascii="Times New Roman" w:hAnsi="Times New Roman"/>
          <w:szCs w:val="24"/>
        </w:rPr>
        <w:t xml:space="preserve"> with the importance of regional start-up ecosystems as well as with the idea of ensuring strong links between place-based innovation policies and EU-wide excellence-driven policies </w:t>
      </w:r>
      <w:r w:rsidRPr="00247306">
        <w:rPr>
          <w:rFonts w:ascii="Times New Roman" w:hAnsi="Times New Roman"/>
          <w:b/>
          <w:bCs/>
          <w:szCs w:val="24"/>
        </w:rPr>
        <w:t>(paragraph 42)</w:t>
      </w:r>
      <w:r w:rsidRPr="00B57DA0">
        <w:rPr>
          <w:rFonts w:ascii="Times New Roman" w:hAnsi="Times New Roman"/>
          <w:szCs w:val="24"/>
        </w:rPr>
        <w:t xml:space="preserve">. </w:t>
      </w:r>
      <w:r>
        <w:rPr>
          <w:rFonts w:ascii="Times New Roman" w:hAnsi="Times New Roman"/>
          <w:szCs w:val="24"/>
        </w:rPr>
        <w:t xml:space="preserve">The </w:t>
      </w:r>
      <w:r w:rsidRPr="00247306">
        <w:rPr>
          <w:rFonts w:ascii="Times New Roman" w:hAnsi="Times New Roman"/>
          <w:szCs w:val="24"/>
        </w:rPr>
        <w:t xml:space="preserve">EIT Regional Innovation Scheme (RIS) helps countries and regions with modest innovation performance boost their ability to innovate. It sets up local </w:t>
      </w:r>
      <w:r>
        <w:rPr>
          <w:rFonts w:ascii="Times New Roman" w:hAnsi="Times New Roman"/>
          <w:szCs w:val="24"/>
        </w:rPr>
        <w:t>h</w:t>
      </w:r>
      <w:r w:rsidRPr="00247306">
        <w:rPr>
          <w:rFonts w:ascii="Times New Roman" w:hAnsi="Times New Roman"/>
          <w:szCs w:val="24"/>
        </w:rPr>
        <w:t>ubs in the countries and regions concerned to promote closer interactions between local innovation actors and link local innovation ecosystems to the EIT’s pan-European innovation ecosystem. They also help integrate new partners from the local innovation ecosystem into EIT Community activities. By the end of 2025, there will be hubs in all EIT RIS</w:t>
      </w:r>
      <w:r>
        <w:rPr>
          <w:rFonts w:ascii="Times New Roman" w:hAnsi="Times New Roman"/>
          <w:szCs w:val="24"/>
        </w:rPr>
        <w:t xml:space="preserve"> (Regional Innovation Scheme)</w:t>
      </w:r>
      <w:r w:rsidRPr="00247306">
        <w:rPr>
          <w:rFonts w:ascii="Times New Roman" w:hAnsi="Times New Roman"/>
          <w:szCs w:val="24"/>
        </w:rPr>
        <w:t>-eligible areas.</w:t>
      </w:r>
    </w:p>
    <w:p w14:paraId="3F324E8A" w14:textId="5AA78F4C" w:rsidR="00322A3C" w:rsidRPr="00713742" w:rsidRDefault="00713742" w:rsidP="00713742">
      <w:r>
        <w:rPr>
          <w:rFonts w:ascii="Times New Roman" w:hAnsi="Times New Roman"/>
          <w:szCs w:val="24"/>
        </w:rPr>
        <w:t>In addition, t</w:t>
      </w:r>
      <w:r w:rsidRPr="00E27553">
        <w:rPr>
          <w:rFonts w:ascii="Times New Roman" w:hAnsi="Times New Roman"/>
          <w:szCs w:val="24"/>
        </w:rPr>
        <w:t>he Commission is stepping up its support to European start-ups and SMEs so they can develop trustworthy AI that respects EU values and rules. The new AI package</w:t>
      </w:r>
      <w:r>
        <w:rPr>
          <w:rFonts w:ascii="Times New Roman" w:hAnsi="Times New Roman"/>
          <w:szCs w:val="24"/>
        </w:rPr>
        <w:t xml:space="preserve"> dated January 2024, </w:t>
      </w:r>
      <w:r w:rsidRPr="00E27553">
        <w:rPr>
          <w:rFonts w:ascii="Times New Roman" w:hAnsi="Times New Roman"/>
          <w:szCs w:val="24"/>
        </w:rPr>
        <w:t>includes a broad range of measures to support these start-ups and innovation, along with a proposal to provide privileged access to supercomputers to AI start-ups and the broader innovation community.</w:t>
      </w:r>
    </w:p>
    <w:sectPr w:rsidR="00322A3C" w:rsidRPr="00713742" w:rsidSect="000A07D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1043" w14:textId="77777777" w:rsidR="000D50D8" w:rsidRDefault="000D50D8">
      <w:r>
        <w:separator/>
      </w:r>
    </w:p>
  </w:endnote>
  <w:endnote w:type="continuationSeparator" w:id="0">
    <w:p w14:paraId="4F801842" w14:textId="77777777" w:rsidR="000D50D8" w:rsidRDefault="000D50D8">
      <w:r>
        <w:continuationSeparator/>
      </w:r>
    </w:p>
  </w:endnote>
  <w:endnote w:type="continuationNotice" w:id="1">
    <w:p w14:paraId="36A551A9" w14:textId="77777777" w:rsidR="000D50D8" w:rsidRDefault="000D50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2E7D"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A2D4688"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D304"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noProof/>
      </w:rPr>
      <w:t>2</w:t>
    </w:r>
    <w:r>
      <w:rPr>
        <w:rStyle w:val="PageNumber"/>
      </w:rPr>
      <w:fldChar w:fldCharType="end"/>
    </w:r>
  </w:p>
  <w:p w14:paraId="41D1F713"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2826" w14:textId="1C31B827" w:rsidR="005E6EC2" w:rsidRPr="00984533" w:rsidRDefault="005E6EC2" w:rsidP="009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0CD7" w14:textId="77777777" w:rsidR="000D50D8" w:rsidRDefault="000D50D8">
      <w:r>
        <w:separator/>
      </w:r>
    </w:p>
  </w:footnote>
  <w:footnote w:type="continuationSeparator" w:id="0">
    <w:p w14:paraId="1F8E5045" w14:textId="77777777" w:rsidR="000D50D8" w:rsidRDefault="000D50D8">
      <w:r>
        <w:continuationSeparator/>
      </w:r>
    </w:p>
  </w:footnote>
  <w:footnote w:type="continuationNotice" w:id="1">
    <w:p w14:paraId="67FF5EB0" w14:textId="77777777" w:rsidR="000D50D8" w:rsidRDefault="000D50D8">
      <w:pPr>
        <w:spacing w:after="0"/>
      </w:pPr>
    </w:p>
  </w:footnote>
  <w:footnote w:id="2">
    <w:p w14:paraId="693140DB" w14:textId="77777777" w:rsidR="00713742" w:rsidRPr="004A5134" w:rsidRDefault="00713742" w:rsidP="00713742">
      <w:pPr>
        <w:pStyle w:val="FootnoteText"/>
        <w:spacing w:after="0"/>
        <w:rPr>
          <w:rFonts w:ascii="Times New Roman" w:hAnsi="Times New Roman"/>
        </w:rPr>
      </w:pPr>
      <w:r w:rsidRPr="004A5134">
        <w:rPr>
          <w:rStyle w:val="FootnoteReference"/>
          <w:rFonts w:ascii="Times New Roman" w:hAnsi="Times New Roman"/>
        </w:rPr>
        <w:footnoteRef/>
      </w:r>
      <w:r w:rsidRPr="004A5134">
        <w:rPr>
          <w:rFonts w:ascii="Times New Roman" w:hAnsi="Times New Roman"/>
        </w:rPr>
        <w:t xml:space="preserve"> </w:t>
      </w:r>
      <w:r>
        <w:rPr>
          <w:rFonts w:ascii="Times New Roman" w:hAnsi="Times New Roman"/>
        </w:rPr>
        <w:tab/>
        <w:t>Examples of i</w:t>
      </w:r>
      <w:r w:rsidRPr="004A5134">
        <w:rPr>
          <w:rFonts w:ascii="Times New Roman" w:hAnsi="Times New Roman"/>
        </w:rPr>
        <w:t>nforma</w:t>
      </w:r>
      <w:r>
        <w:rPr>
          <w:rFonts w:ascii="Times New Roman" w:hAnsi="Times New Roman"/>
        </w:rPr>
        <w:t xml:space="preserve">l definitions of </w:t>
      </w:r>
      <w:r w:rsidRPr="007B2E41">
        <w:rPr>
          <w:rFonts w:ascii="Times New Roman" w:hAnsi="Times New Roman"/>
          <w:lang w:val="en-IE"/>
        </w:rPr>
        <w:t>s</w:t>
      </w:r>
      <w:r>
        <w:rPr>
          <w:rFonts w:ascii="Times New Roman" w:hAnsi="Times New Roman"/>
        </w:rPr>
        <w:t>tart</w:t>
      </w:r>
      <w:r w:rsidRPr="007B2E41">
        <w:rPr>
          <w:rFonts w:ascii="Times New Roman" w:hAnsi="Times New Roman"/>
          <w:lang w:val="en-IE"/>
        </w:rPr>
        <w:t>-</w:t>
      </w:r>
      <w:r>
        <w:rPr>
          <w:rFonts w:ascii="Times New Roman" w:hAnsi="Times New Roman"/>
        </w:rPr>
        <w:t xml:space="preserve">ups and </w:t>
      </w:r>
      <w:r w:rsidRPr="007B2E41">
        <w:rPr>
          <w:rFonts w:ascii="Times New Roman" w:hAnsi="Times New Roman"/>
          <w:lang w:val="en-IE"/>
        </w:rPr>
        <w:t>s</w:t>
      </w:r>
      <w:proofErr w:type="spellStart"/>
      <w:r>
        <w:rPr>
          <w:rFonts w:ascii="Times New Roman" w:hAnsi="Times New Roman"/>
        </w:rPr>
        <w:t>cale</w:t>
      </w:r>
      <w:proofErr w:type="spellEnd"/>
      <w:r w:rsidRPr="007B2E41">
        <w:rPr>
          <w:rFonts w:ascii="Times New Roman" w:hAnsi="Times New Roman"/>
          <w:lang w:val="en-IE"/>
        </w:rPr>
        <w:t>-</w:t>
      </w:r>
      <w:r>
        <w:rPr>
          <w:rFonts w:ascii="Times New Roman" w:hAnsi="Times New Roman"/>
        </w:rPr>
        <w:t xml:space="preserve">ups can be found: 1) in </w:t>
      </w:r>
      <w:r w:rsidRPr="00915B63">
        <w:rPr>
          <w:rFonts w:ascii="Times New Roman" w:hAnsi="Times New Roman"/>
        </w:rPr>
        <w:t>the Start-up and Scale-up Initiative</w:t>
      </w:r>
      <w:r>
        <w:rPr>
          <w:rFonts w:ascii="Times New Roman" w:hAnsi="Times New Roman"/>
        </w:rPr>
        <w:t>, which</w:t>
      </w:r>
      <w:r w:rsidRPr="00915B63">
        <w:rPr>
          <w:rFonts w:ascii="Times New Roman" w:hAnsi="Times New Roman"/>
        </w:rPr>
        <w:t xml:space="preserve"> point</w:t>
      </w:r>
      <w:r>
        <w:rPr>
          <w:rFonts w:ascii="Times New Roman" w:hAnsi="Times New Roman"/>
        </w:rPr>
        <w:t xml:space="preserve">s </w:t>
      </w:r>
      <w:r w:rsidRPr="00915B63">
        <w:rPr>
          <w:rFonts w:ascii="Times New Roman" w:hAnsi="Times New Roman"/>
        </w:rPr>
        <w:t xml:space="preserve">out that startups combine high growth, innovation, technological </w:t>
      </w:r>
      <w:proofErr w:type="gramStart"/>
      <w:r w:rsidRPr="00915B63">
        <w:rPr>
          <w:rFonts w:ascii="Times New Roman" w:hAnsi="Times New Roman"/>
        </w:rPr>
        <w:t>developments</w:t>
      </w:r>
      <w:proofErr w:type="gramEnd"/>
      <w:r w:rsidRPr="00915B63">
        <w:rPr>
          <w:rFonts w:ascii="Times New Roman" w:hAnsi="Times New Roman"/>
        </w:rPr>
        <w:t xml:space="preserve"> and innovative business models</w:t>
      </w:r>
      <w:r>
        <w:rPr>
          <w:rFonts w:ascii="Times New Roman" w:hAnsi="Times New Roman"/>
        </w:rPr>
        <w:t xml:space="preserve">, 2) in Art.22 of the </w:t>
      </w:r>
      <w:r w:rsidRPr="00915B63">
        <w:rPr>
          <w:rFonts w:ascii="Times New Roman" w:hAnsi="Times New Roman"/>
        </w:rPr>
        <w:t xml:space="preserve">in the GBER Regulation </w:t>
      </w:r>
      <w:r>
        <w:rPr>
          <w:rFonts w:ascii="Times New Roman" w:hAnsi="Times New Roman"/>
        </w:rPr>
        <w:t xml:space="preserve">mentioning </w:t>
      </w:r>
      <w:r w:rsidRPr="00915B63">
        <w:rPr>
          <w:rFonts w:ascii="Times New Roman" w:hAnsi="Times New Roman"/>
        </w:rPr>
        <w:t>certain cases in which state aid for startups is deemed compatible with the internal market rules</w:t>
      </w:r>
      <w:r>
        <w:rPr>
          <w:rFonts w:ascii="Times New Roman" w:hAnsi="Times New Roman"/>
        </w:rPr>
        <w:t xml:space="preserve">. Moreover, </w:t>
      </w:r>
      <w:r w:rsidRPr="00915B63">
        <w:rPr>
          <w:rFonts w:ascii="Times New Roman" w:hAnsi="Times New Roman"/>
        </w:rPr>
        <w:t xml:space="preserve">the Communication on </w:t>
      </w:r>
      <w:r>
        <w:rPr>
          <w:rFonts w:ascii="Times New Roman" w:hAnsi="Times New Roman"/>
        </w:rPr>
        <w:t>“</w:t>
      </w:r>
      <w:r w:rsidRPr="00915B63">
        <w:rPr>
          <w:rFonts w:ascii="Times New Roman" w:hAnsi="Times New Roman"/>
        </w:rPr>
        <w:t>A New European Innovation Agenda</w:t>
      </w:r>
      <w:r>
        <w:rPr>
          <w:rFonts w:ascii="Times New Roman" w:hAnsi="Times New Roman"/>
        </w:rPr>
        <w:t>”</w:t>
      </w:r>
      <w:r w:rsidRPr="00915B63">
        <w:rPr>
          <w:rFonts w:ascii="Times New Roman" w:hAnsi="Times New Roman"/>
        </w:rPr>
        <w:t xml:space="preserve"> defines deep tech as innovation rooted in cutting-edge science, </w:t>
      </w:r>
      <w:proofErr w:type="gramStart"/>
      <w:r w:rsidRPr="00915B63">
        <w:rPr>
          <w:rFonts w:ascii="Times New Roman" w:hAnsi="Times New Roman"/>
        </w:rPr>
        <w:t>technology</w:t>
      </w:r>
      <w:proofErr w:type="gramEnd"/>
      <w:r w:rsidRPr="00915B63">
        <w:rPr>
          <w:rFonts w:ascii="Times New Roman" w:hAnsi="Times New Roman"/>
        </w:rPr>
        <w:t xml:space="preserve"> and engineering, which often combines advances in the physical, biological and digital spheres with the potential to deliver transformative solutions to global challenges</w:t>
      </w:r>
      <w:r>
        <w:rPr>
          <w:rFonts w:ascii="Times New Roman" w:hAnsi="Times New Roman"/>
        </w:rPr>
        <w:t>.</w:t>
      </w:r>
    </w:p>
  </w:footnote>
  <w:footnote w:id="3">
    <w:p w14:paraId="21920121" w14:textId="77777777" w:rsidR="00713742" w:rsidRPr="004A5134" w:rsidRDefault="00713742" w:rsidP="00713742">
      <w:pPr>
        <w:pStyle w:val="FootnoteText"/>
        <w:spacing w:after="0"/>
        <w:rPr>
          <w:rFonts w:ascii="Times New Roman" w:hAnsi="Times New Roman"/>
        </w:rPr>
      </w:pPr>
      <w:r w:rsidRPr="004A5134">
        <w:rPr>
          <w:rStyle w:val="FootnoteReference"/>
          <w:rFonts w:ascii="Times New Roman" w:hAnsi="Times New Roman"/>
        </w:rPr>
        <w:footnoteRef/>
      </w:r>
      <w:r w:rsidRPr="004A5134">
        <w:rPr>
          <w:rFonts w:ascii="Times New Roman" w:hAnsi="Times New Roman"/>
        </w:rPr>
        <w:t xml:space="preserve"> </w:t>
      </w:r>
      <w:r>
        <w:rPr>
          <w:rFonts w:ascii="Times New Roman" w:hAnsi="Times New Roman"/>
        </w:rPr>
        <w:tab/>
      </w:r>
      <w:r w:rsidRPr="004A5134">
        <w:rPr>
          <w:rFonts w:ascii="Times New Roman" w:hAnsi="Times New Roman"/>
        </w:rPr>
        <w:t>Informa</w:t>
      </w:r>
      <w:r>
        <w:rPr>
          <w:rFonts w:ascii="Times New Roman" w:hAnsi="Times New Roman"/>
        </w:rPr>
        <w:t xml:space="preserve">l definitions of Scale ups can be found in the </w:t>
      </w:r>
      <w:r w:rsidRPr="00915B63">
        <w:rPr>
          <w:rFonts w:ascii="Times New Roman" w:hAnsi="Times New Roman"/>
        </w:rPr>
        <w:t>Commission Implementing Regulation 2020/1197 defin</w:t>
      </w:r>
      <w:r>
        <w:rPr>
          <w:rFonts w:ascii="Times New Roman" w:hAnsi="Times New Roman"/>
        </w:rPr>
        <w:t>ing</w:t>
      </w:r>
      <w:r w:rsidRPr="00915B63">
        <w:rPr>
          <w:rFonts w:ascii="Times New Roman" w:hAnsi="Times New Roman"/>
        </w:rPr>
        <w:t xml:space="preserve"> high growth enterprises as enterprises with at least 10 employees and an average annualised growth in the number of employees greater than 10% per annum, for a period of three years</w:t>
      </w:r>
      <w:r>
        <w:rPr>
          <w:rFonts w:ascii="Times New Roman" w:hAnsi="Times New Roman"/>
        </w:rPr>
        <w:t>. Moreover,</w:t>
      </w:r>
      <w:r w:rsidRPr="00B9785D">
        <w:rPr>
          <w:rFonts w:ascii="Times New Roman" w:hAnsi="Times New Roman"/>
        </w:rPr>
        <w:t xml:space="preserve"> Eurostat collects indicators which refer to a turnover-based definition of high-growth enterprise, where growth it measured in terms of turnover, instead of number of employees</w:t>
      </w:r>
      <w:r>
        <w:rPr>
          <w:rFonts w:ascii="Times New Roman" w:hAnsi="Times New Roman"/>
        </w:rPr>
        <w:t>. Finally,</w:t>
      </w:r>
      <w:r w:rsidRPr="00B9785D">
        <w:rPr>
          <w:rFonts w:ascii="Times New Roman" w:hAnsi="Times New Roman"/>
        </w:rPr>
        <w:t xml:space="preserve"> in case high growth enterprises are 4 or 5 years old, they can be defined as gazelles, according to the same </w:t>
      </w:r>
      <w:r>
        <w:rPr>
          <w:rFonts w:ascii="Times New Roman" w:hAnsi="Times New Roman"/>
        </w:rPr>
        <w:t>r</w:t>
      </w:r>
      <w:r w:rsidRPr="00B9785D">
        <w:rPr>
          <w:rFonts w:ascii="Times New Roman" w:hAnsi="Times New Roman"/>
        </w:rPr>
        <w:t>egulation.</w:t>
      </w:r>
    </w:p>
  </w:footnote>
  <w:footnote w:id="4">
    <w:p w14:paraId="79421438" w14:textId="77777777" w:rsidR="00713742" w:rsidRPr="005D38DF" w:rsidRDefault="00713742" w:rsidP="00713742">
      <w:pPr>
        <w:pStyle w:val="FootnoteText"/>
        <w:spacing w:after="0"/>
        <w:rPr>
          <w:rFonts w:ascii="Times New Roman" w:hAnsi="Times New Roman"/>
        </w:rPr>
      </w:pPr>
      <w:r w:rsidRPr="00B57DA0">
        <w:rPr>
          <w:rStyle w:val="FootnoteReference"/>
          <w:rFonts w:ascii="Times New Roman" w:hAnsi="Times New Roman"/>
        </w:rPr>
        <w:footnoteRef/>
      </w:r>
      <w:r w:rsidRPr="007B2E41">
        <w:rPr>
          <w:rFonts w:ascii="Times New Roman" w:hAnsi="Times New Roman"/>
        </w:rPr>
        <w:t xml:space="preserve"> </w:t>
      </w:r>
      <w:r>
        <w:rPr>
          <w:rFonts w:ascii="Times New Roman" w:hAnsi="Times New Roman"/>
        </w:rPr>
        <w:tab/>
      </w:r>
      <w:hyperlink r:id="rId1" w:history="1">
        <w:r w:rsidRPr="00654B95">
          <w:rPr>
            <w:rStyle w:val="Hyperlink"/>
            <w:rFonts w:ascii="Times New Roman" w:hAnsi="Times New Roman"/>
          </w:rPr>
          <w:t>https://www.eif.org/etci/index.htm</w:t>
        </w:r>
      </w:hyperlink>
      <w:r w:rsidRPr="005D38DF">
        <w:rPr>
          <w:rFonts w:ascii="Times New Roman" w:hAnsi="Times New Roman"/>
        </w:rPr>
        <w:t xml:space="preserve"> </w:t>
      </w:r>
    </w:p>
  </w:footnote>
  <w:footnote w:id="5">
    <w:p w14:paraId="770EA240" w14:textId="77777777" w:rsidR="00713742" w:rsidRPr="0014462B" w:rsidRDefault="00713742" w:rsidP="00713742">
      <w:pPr>
        <w:pStyle w:val="FootnoteText"/>
        <w:spacing w:after="0"/>
        <w:rPr>
          <w:rFonts w:ascii="Calibri" w:hAnsi="Calibri" w:cs="Calibri"/>
        </w:rPr>
      </w:pPr>
      <w:r w:rsidRPr="00194C96">
        <w:rPr>
          <w:rStyle w:val="FootnoteReference"/>
          <w:rFonts w:ascii="Times New Roman" w:hAnsi="Times New Roman"/>
        </w:rPr>
        <w:footnoteRef/>
      </w:r>
      <w:r w:rsidRPr="0014462B">
        <w:rPr>
          <w:rFonts w:ascii="Times New Roman" w:hAnsi="Times New Roman"/>
        </w:rPr>
        <w:t xml:space="preserve"> </w:t>
      </w:r>
      <w:r>
        <w:rPr>
          <w:rFonts w:ascii="Times New Roman" w:hAnsi="Times New Roman"/>
        </w:rPr>
        <w:tab/>
      </w:r>
      <w:hyperlink r:id="rId2" w:history="1">
        <w:r w:rsidRPr="00654B95">
          <w:rPr>
            <w:rStyle w:val="Hyperlink"/>
            <w:rFonts w:ascii="Times New Roman" w:hAnsi="Times New Roman"/>
          </w:rPr>
          <w:t>https://engage.eif.org/investeu/equity?overlay=ESCALAR</w:t>
        </w:r>
      </w:hyperlink>
      <w:r w:rsidRPr="0014462B">
        <w:rPr>
          <w:rFonts w:ascii="Calibri" w:hAnsi="Calibri" w:cs="Calibri"/>
        </w:rPr>
        <w:t xml:space="preserve"> </w:t>
      </w:r>
    </w:p>
  </w:footnote>
  <w:footnote w:id="6">
    <w:p w14:paraId="07735F79" w14:textId="77777777" w:rsidR="00713742" w:rsidRPr="0014462B" w:rsidRDefault="00713742" w:rsidP="00713742">
      <w:pPr>
        <w:pStyle w:val="FootnoteText"/>
        <w:spacing w:after="0"/>
        <w:rPr>
          <w:rFonts w:ascii="Times New Roman" w:hAnsi="Times New Roman"/>
        </w:rPr>
      </w:pPr>
      <w:r w:rsidRPr="00194C96">
        <w:rPr>
          <w:rStyle w:val="FootnoteReference"/>
          <w:rFonts w:ascii="Times New Roman" w:hAnsi="Times New Roman"/>
        </w:rPr>
        <w:footnoteRef/>
      </w:r>
      <w:r w:rsidRPr="0014462B">
        <w:rPr>
          <w:rFonts w:ascii="Times New Roman" w:hAnsi="Times New Roman"/>
        </w:rPr>
        <w:t xml:space="preserve"> </w:t>
      </w:r>
      <w:r>
        <w:rPr>
          <w:rFonts w:ascii="Times New Roman" w:hAnsi="Times New Roman"/>
        </w:rPr>
        <w:tab/>
      </w:r>
      <w:hyperlink r:id="rId3" w:history="1">
        <w:r w:rsidRPr="0014462B">
          <w:rPr>
            <w:rStyle w:val="Hyperlink"/>
            <w:rFonts w:ascii="Times New Roman" w:hAnsi="Times New Roman"/>
          </w:rPr>
          <w:t>Access to EU Finance - Access to EU Finance - European Commission (europa.eu)</w:t>
        </w:r>
      </w:hyperlink>
      <w:r w:rsidRPr="0014462B">
        <w:rPr>
          <w:rFonts w:ascii="Times New Roman" w:hAnsi="Times New Roman"/>
        </w:rPr>
        <w:t xml:space="preserve"> </w:t>
      </w:r>
    </w:p>
  </w:footnote>
  <w:footnote w:id="7">
    <w:p w14:paraId="70225FEC" w14:textId="77777777" w:rsidR="00713742" w:rsidRPr="0014462B" w:rsidRDefault="00713742" w:rsidP="00713742">
      <w:pPr>
        <w:pStyle w:val="FootnoteText"/>
        <w:spacing w:after="0"/>
        <w:rPr>
          <w:rFonts w:ascii="Times New Roman" w:hAnsi="Times New Roman"/>
        </w:rPr>
      </w:pPr>
      <w:r w:rsidRPr="00194C96">
        <w:rPr>
          <w:rStyle w:val="FootnoteReference"/>
          <w:rFonts w:ascii="Times New Roman" w:hAnsi="Times New Roman"/>
        </w:rPr>
        <w:footnoteRef/>
      </w:r>
      <w:r w:rsidRPr="0014462B">
        <w:rPr>
          <w:rFonts w:ascii="Times New Roman" w:hAnsi="Times New Roman"/>
        </w:rPr>
        <w:t xml:space="preserve"> </w:t>
      </w:r>
      <w:r>
        <w:rPr>
          <w:rFonts w:ascii="Times New Roman" w:hAnsi="Times New Roman"/>
        </w:rPr>
        <w:tab/>
      </w:r>
      <w:hyperlink r:id="rId4" w:history="1">
        <w:r w:rsidRPr="00654B95">
          <w:rPr>
            <w:rStyle w:val="Hyperlink"/>
            <w:rFonts w:ascii="Times New Roman" w:hAnsi="Times New Roman"/>
            <w:szCs w:val="22"/>
          </w:rPr>
          <w:t>https://een.ec.europa.eu/</w:t>
        </w:r>
      </w:hyperlink>
      <w:r w:rsidRPr="0014462B">
        <w:rPr>
          <w:rFonts w:ascii="Times New Roman" w:hAnsi="Times New Roman"/>
          <w:szCs w:val="22"/>
        </w:rPr>
        <w:t xml:space="preserve"> </w:t>
      </w:r>
    </w:p>
  </w:footnote>
  <w:footnote w:id="8">
    <w:p w14:paraId="71C6DF10" w14:textId="77777777" w:rsidR="00713742" w:rsidRPr="0014462B" w:rsidRDefault="00713742" w:rsidP="00713742">
      <w:pPr>
        <w:pStyle w:val="FootnoteText"/>
        <w:spacing w:after="0"/>
        <w:ind w:firstLine="0"/>
        <w:rPr>
          <w:rFonts w:ascii="Times New Roman" w:hAnsi="Times New Roman"/>
          <w:lang w:val="en-IE"/>
        </w:rPr>
      </w:pPr>
      <w:r w:rsidRPr="00194C96">
        <w:rPr>
          <w:rStyle w:val="FootnoteReference"/>
          <w:rFonts w:ascii="Times New Roman" w:hAnsi="Times New Roman"/>
        </w:rPr>
        <w:footnoteRef/>
      </w:r>
      <w:r w:rsidRPr="0014462B">
        <w:rPr>
          <w:rFonts w:ascii="Times New Roman" w:hAnsi="Times New Roman"/>
          <w:lang w:val="en-IE"/>
        </w:rPr>
        <w:t xml:space="preserve"> </w:t>
      </w:r>
      <w:hyperlink r:id="rId5" w:history="1">
        <w:r w:rsidRPr="0014462B">
          <w:rPr>
            <w:rStyle w:val="Hyperlink"/>
            <w:rFonts w:ascii="Times New Roman" w:hAnsi="Times New Roman"/>
            <w:lang w:val="en-IE"/>
          </w:rPr>
          <w:t>https://investeu.europa.eu/index_en</w:t>
        </w:r>
      </w:hyperlink>
    </w:p>
  </w:footnote>
  <w:footnote w:id="9">
    <w:p w14:paraId="75684C3D" w14:textId="77777777" w:rsidR="00713742" w:rsidRPr="0014462B" w:rsidRDefault="00713742" w:rsidP="00713742">
      <w:pPr>
        <w:pStyle w:val="FootnoteText"/>
        <w:spacing w:after="0"/>
        <w:rPr>
          <w:rFonts w:ascii="Times New Roman" w:hAnsi="Times New Roman"/>
        </w:rPr>
      </w:pPr>
      <w:r w:rsidRPr="00194C96">
        <w:rPr>
          <w:rStyle w:val="FootnoteReference"/>
          <w:rFonts w:ascii="Times New Roman" w:hAnsi="Times New Roman"/>
        </w:rPr>
        <w:footnoteRef/>
      </w:r>
      <w:r w:rsidRPr="0014462B">
        <w:rPr>
          <w:rFonts w:ascii="Times New Roman" w:hAnsi="Times New Roman"/>
          <w:lang w:val="en-IE"/>
        </w:rPr>
        <w:t xml:space="preserve"> </w:t>
      </w:r>
      <w:r>
        <w:rPr>
          <w:rFonts w:ascii="Times New Roman" w:hAnsi="Times New Roman"/>
          <w:lang w:val="en-IE"/>
        </w:rPr>
        <w:tab/>
      </w:r>
      <w:hyperlink r:id="rId6" w:history="1">
        <w:r w:rsidRPr="00654B95">
          <w:rPr>
            <w:rStyle w:val="Hyperlink"/>
            <w:rFonts w:ascii="Times New Roman" w:hAnsi="Times New Roman"/>
            <w:lang w:val="en-IE"/>
          </w:rPr>
          <w:t>https://www.eif.org/news_centre/audiovisual_library/case_studies/index.htm</w:t>
        </w:r>
      </w:hyperlink>
      <w:r w:rsidRPr="0014462B">
        <w:rPr>
          <w:rFonts w:ascii="Times New Roman" w:hAnsi="Times New Roman"/>
        </w:rPr>
        <w:t xml:space="preserve"> </w:t>
      </w:r>
    </w:p>
  </w:footnote>
  <w:footnote w:id="10">
    <w:p w14:paraId="3D41C1DD" w14:textId="77777777" w:rsidR="00713742" w:rsidRPr="0013467D" w:rsidRDefault="00713742" w:rsidP="00713742">
      <w:pPr>
        <w:pStyle w:val="FootnoteText"/>
        <w:spacing w:after="0"/>
        <w:rPr>
          <w:lang w:val="fr-BE"/>
        </w:rPr>
      </w:pPr>
      <w:r>
        <w:rPr>
          <w:rStyle w:val="FootnoteReference"/>
        </w:rPr>
        <w:footnoteRef/>
      </w:r>
      <w:r w:rsidRPr="0013467D">
        <w:rPr>
          <w:lang w:val="fr-BE"/>
        </w:rPr>
        <w:t xml:space="preserve"> </w:t>
      </w:r>
      <w:r>
        <w:rPr>
          <w:lang w:val="fr-BE"/>
        </w:rPr>
        <w:tab/>
      </w:r>
      <w:proofErr w:type="spellStart"/>
      <w:r w:rsidRPr="0013467D">
        <w:rPr>
          <w:rFonts w:ascii="Times New Roman" w:hAnsi="Times New Roman"/>
          <w:lang w:val="fr-BE"/>
        </w:rPr>
        <w:t>Regulation</w:t>
      </w:r>
      <w:proofErr w:type="spellEnd"/>
      <w:r w:rsidRPr="0013467D">
        <w:rPr>
          <w:rFonts w:ascii="Times New Roman" w:hAnsi="Times New Roman"/>
          <w:lang w:val="fr-BE"/>
        </w:rPr>
        <w:t xml:space="preserve"> (EU) 2024/795</w:t>
      </w:r>
    </w:p>
  </w:footnote>
  <w:footnote w:id="11">
    <w:p w14:paraId="1EB6FEF3" w14:textId="77777777" w:rsidR="00713742" w:rsidRPr="0013467D" w:rsidRDefault="00713742" w:rsidP="00713742">
      <w:pPr>
        <w:pStyle w:val="FootnoteText"/>
        <w:spacing w:after="0"/>
        <w:rPr>
          <w:rFonts w:ascii="Times New Roman" w:hAnsi="Times New Roman"/>
          <w:lang w:val="fr-BE"/>
        </w:rPr>
      </w:pPr>
      <w:r w:rsidRPr="00194C96">
        <w:rPr>
          <w:rStyle w:val="FootnoteReference"/>
          <w:rFonts w:ascii="Times New Roman" w:hAnsi="Times New Roman"/>
        </w:rPr>
        <w:footnoteRef/>
      </w:r>
      <w:r w:rsidRPr="00984533">
        <w:rPr>
          <w:lang w:val="fr-BE"/>
        </w:rPr>
        <w:t>.</w:t>
      </w:r>
      <w:r w:rsidRPr="00984533">
        <w:rPr>
          <w:lang w:val="fr-BE"/>
        </w:rPr>
        <w:tab/>
      </w:r>
      <w:hyperlink r:id="rId7" w:history="1">
        <w:r w:rsidRPr="00654B95">
          <w:rPr>
            <w:rStyle w:val="Hyperlink"/>
            <w:rFonts w:ascii="Times New Roman" w:hAnsi="Times New Roman"/>
            <w:lang w:val="fr-BE"/>
          </w:rPr>
          <w:t>https://www.eif.org/what_we_do/guarantees/cultural_creative_sectors_guarantee_facility/index.htm</w:t>
        </w:r>
      </w:hyperlink>
      <w:r w:rsidRPr="0013467D">
        <w:rPr>
          <w:rFonts w:ascii="Times New Roman" w:hAnsi="Times New Roman"/>
          <w:lang w:val="fr-BE"/>
        </w:rPr>
        <w:t xml:space="preserve"> </w:t>
      </w:r>
    </w:p>
  </w:footnote>
  <w:footnote w:id="12">
    <w:p w14:paraId="6D5F6493" w14:textId="77777777" w:rsidR="00713742" w:rsidRPr="0013467D" w:rsidRDefault="00713742" w:rsidP="00713742">
      <w:pPr>
        <w:pStyle w:val="FootnoteText"/>
        <w:spacing w:after="0"/>
        <w:rPr>
          <w:rFonts w:ascii="Times New Roman" w:hAnsi="Times New Roman"/>
          <w:lang w:val="fr-BE"/>
        </w:rPr>
      </w:pPr>
      <w:r w:rsidRPr="00194C96">
        <w:rPr>
          <w:rStyle w:val="FootnoteReference"/>
          <w:rFonts w:ascii="Times New Roman" w:hAnsi="Times New Roman"/>
        </w:rPr>
        <w:footnoteRef/>
      </w:r>
      <w:r w:rsidRPr="0013467D">
        <w:rPr>
          <w:rFonts w:ascii="Times New Roman" w:hAnsi="Times New Roman"/>
          <w:lang w:val="fr-BE"/>
        </w:rPr>
        <w:t xml:space="preserve"> </w:t>
      </w:r>
      <w:r>
        <w:rPr>
          <w:rFonts w:ascii="Times New Roman" w:hAnsi="Times New Roman"/>
          <w:lang w:val="fr-BE"/>
        </w:rPr>
        <w:tab/>
      </w:r>
      <w:hyperlink r:id="rId8" w:history="1">
        <w:r w:rsidRPr="00654B95">
          <w:rPr>
            <w:rStyle w:val="Hyperlink"/>
            <w:rFonts w:ascii="Times New Roman" w:hAnsi="Times New Roman"/>
            <w:lang w:val="fr-BE"/>
          </w:rPr>
          <w:t>https://engage.eif.org/investeu/equity?overlay=Digital-CCS-Sectors</w:t>
        </w:r>
      </w:hyperlink>
      <w:r w:rsidRPr="0013467D">
        <w:rPr>
          <w:rStyle w:val="Hyperlink"/>
          <w:rFonts w:ascii="Times New Roman" w:hAnsi="Times New Roman"/>
          <w:lang w:val="fr-BE"/>
        </w:rPr>
        <w:t xml:space="preserve"> </w:t>
      </w:r>
    </w:p>
  </w:footnote>
  <w:footnote w:id="13">
    <w:p w14:paraId="3425B047" w14:textId="7EB34896" w:rsidR="00713742" w:rsidRPr="00876DE7" w:rsidRDefault="00713742" w:rsidP="00713742">
      <w:pPr>
        <w:pStyle w:val="FootnoteText"/>
        <w:spacing w:after="0"/>
        <w:rPr>
          <w:lang w:val="fr-BE"/>
        </w:rPr>
      </w:pPr>
      <w:r w:rsidRPr="00876DE7">
        <w:rPr>
          <w:rStyle w:val="FootnoteReference"/>
          <w:rFonts w:ascii="Times New Roman" w:hAnsi="Times New Roman"/>
        </w:rPr>
        <w:footnoteRef/>
      </w:r>
      <w:r w:rsidRPr="00876DE7">
        <w:rPr>
          <w:lang w:val="fr-BE"/>
        </w:rPr>
        <w:t xml:space="preserve"> </w:t>
      </w:r>
      <w:r>
        <w:rPr>
          <w:lang w:val="fr-BE"/>
        </w:rPr>
        <w:tab/>
      </w:r>
      <w:hyperlink r:id="rId9" w:history="1">
        <w:r w:rsidRPr="00A84990">
          <w:rPr>
            <w:rStyle w:val="Hyperlink"/>
            <w:rFonts w:ascii="Times New Roman" w:hAnsi="Times New Roman"/>
            <w:lang w:val="fr-BE"/>
          </w:rPr>
          <w:t>https://digital-strategy.ec.europa.eu/en/policies/mediainvest</w:t>
        </w:r>
      </w:hyperlink>
    </w:p>
  </w:footnote>
  <w:footnote w:id="14">
    <w:p w14:paraId="1164E949" w14:textId="47D61416" w:rsidR="00713742" w:rsidRPr="0013467D" w:rsidRDefault="00713742" w:rsidP="00713742">
      <w:pPr>
        <w:pStyle w:val="FootnoteText"/>
        <w:spacing w:after="0"/>
        <w:rPr>
          <w:lang w:val="fr-BE"/>
        </w:rPr>
      </w:pPr>
      <w:r w:rsidRPr="00194C96">
        <w:rPr>
          <w:rStyle w:val="FootnoteReference"/>
          <w:rFonts w:ascii="Times New Roman" w:hAnsi="Times New Roman"/>
        </w:rPr>
        <w:footnoteRef/>
      </w:r>
      <w:r w:rsidRPr="0013467D">
        <w:rPr>
          <w:rFonts w:ascii="Times New Roman" w:hAnsi="Times New Roman"/>
          <w:lang w:val="fr-BE"/>
        </w:rPr>
        <w:t xml:space="preserve"> </w:t>
      </w:r>
      <w:r>
        <w:rPr>
          <w:rFonts w:ascii="Times New Roman" w:hAnsi="Times New Roman"/>
          <w:lang w:val="fr-BE"/>
        </w:rPr>
        <w:tab/>
      </w:r>
      <w:hyperlink r:id="rId10" w:history="1">
        <w:r w:rsidRPr="00654B95">
          <w:rPr>
            <w:rStyle w:val="Hyperlink"/>
            <w:rFonts w:ascii="Times New Roman" w:hAnsi="Times New Roman"/>
            <w:lang w:val="fr-BE"/>
          </w:rPr>
          <w:t>https://een.ec.europa.eu/about-enterprise-europe-network</w:t>
        </w:r>
      </w:hyperlink>
    </w:p>
  </w:footnote>
  <w:footnote w:id="15">
    <w:p w14:paraId="6756488B" w14:textId="77777777" w:rsidR="00713742" w:rsidRPr="00984533" w:rsidRDefault="00713742" w:rsidP="00713742">
      <w:pPr>
        <w:pStyle w:val="FootnoteText"/>
        <w:spacing w:after="0"/>
        <w:rPr>
          <w:rFonts w:ascii="Times New Roman" w:hAnsi="Times New Roman"/>
          <w:lang w:val="fr-BE"/>
        </w:rPr>
      </w:pPr>
      <w:r w:rsidRPr="00984533">
        <w:rPr>
          <w:rStyle w:val="FootnoteReference"/>
          <w:rFonts w:ascii="Times New Roman" w:hAnsi="Times New Roman"/>
        </w:rPr>
        <w:footnoteRef/>
      </w:r>
      <w:r w:rsidRPr="00984533">
        <w:rPr>
          <w:rFonts w:ascii="Times New Roman" w:hAnsi="Times New Roman"/>
          <w:lang w:val="fr-BE"/>
        </w:rPr>
        <w:t xml:space="preserve"> </w:t>
      </w:r>
      <w:r w:rsidRPr="00984533">
        <w:rPr>
          <w:rFonts w:ascii="Times New Roman" w:hAnsi="Times New Roman"/>
          <w:lang w:val="fr-BE"/>
        </w:rPr>
        <w:tab/>
      </w:r>
      <w:hyperlink r:id="rId11" w:history="1">
        <w:r w:rsidRPr="00984533">
          <w:rPr>
            <w:rStyle w:val="Hyperlink"/>
            <w:rFonts w:ascii="Times New Roman" w:hAnsi="Times New Roman"/>
            <w:lang w:val="fr-BE"/>
          </w:rPr>
          <w:t>www.access2finance.eu</w:t>
        </w:r>
      </w:hyperlink>
      <w:r w:rsidRPr="00984533">
        <w:rPr>
          <w:rFonts w:ascii="Times New Roman" w:hAnsi="Times New Roman"/>
          <w:lang w:val="fr-BE"/>
        </w:rPr>
        <w:t xml:space="preserve"> </w:t>
      </w:r>
    </w:p>
  </w:footnote>
  <w:footnote w:id="16">
    <w:p w14:paraId="7429F115" w14:textId="77777777" w:rsidR="00713742" w:rsidRPr="00984533" w:rsidRDefault="00713742" w:rsidP="00713742">
      <w:pPr>
        <w:pStyle w:val="FootnoteText"/>
        <w:spacing w:after="0"/>
        <w:rPr>
          <w:rFonts w:ascii="Times New Roman" w:hAnsi="Times New Roman"/>
          <w:lang w:val="fr-BE"/>
        </w:rPr>
      </w:pPr>
      <w:r w:rsidRPr="00984533">
        <w:rPr>
          <w:rStyle w:val="FootnoteReference"/>
          <w:rFonts w:ascii="Times New Roman" w:hAnsi="Times New Roman"/>
        </w:rPr>
        <w:footnoteRef/>
      </w:r>
      <w:r w:rsidRPr="00984533">
        <w:rPr>
          <w:rFonts w:ascii="Times New Roman" w:hAnsi="Times New Roman"/>
          <w:lang w:val="fr-BE"/>
        </w:rPr>
        <w:t xml:space="preserve"> </w:t>
      </w:r>
      <w:r w:rsidRPr="00984533">
        <w:rPr>
          <w:rFonts w:ascii="Times New Roman" w:hAnsi="Times New Roman"/>
          <w:lang w:val="fr-BE"/>
        </w:rPr>
        <w:tab/>
      </w:r>
      <w:hyperlink r:id="rId12" w:history="1">
        <w:r w:rsidRPr="00984533">
          <w:rPr>
            <w:rStyle w:val="Hyperlink"/>
            <w:rFonts w:ascii="Times New Roman" w:hAnsi="Times New Roman"/>
            <w:lang w:val="fr-BE"/>
          </w:rPr>
          <w:t xml:space="preserve">Capital </w:t>
        </w:r>
        <w:proofErr w:type="spellStart"/>
        <w:r w:rsidRPr="00984533">
          <w:rPr>
            <w:rStyle w:val="Hyperlink"/>
            <w:rFonts w:ascii="Times New Roman" w:hAnsi="Times New Roman"/>
            <w:lang w:val="fr-BE"/>
          </w:rPr>
          <w:t>markets</w:t>
        </w:r>
        <w:proofErr w:type="spellEnd"/>
        <w:r w:rsidRPr="00984533">
          <w:rPr>
            <w:rStyle w:val="Hyperlink"/>
            <w:rFonts w:ascii="Times New Roman" w:hAnsi="Times New Roman"/>
            <w:lang w:val="fr-BE"/>
          </w:rPr>
          <w:t xml:space="preserve"> union - European Commission (europa.eu)</w:t>
        </w:r>
      </w:hyperlink>
      <w:r w:rsidRPr="00984533">
        <w:rPr>
          <w:rStyle w:val="Hyperlink"/>
          <w:rFonts w:ascii="Times New Roman" w:hAnsi="Times New Roman"/>
          <w:lang w:val="fr-BE"/>
        </w:rPr>
        <w:t xml:space="preserve"> </w:t>
      </w:r>
    </w:p>
  </w:footnote>
  <w:footnote w:id="17">
    <w:p w14:paraId="0812A4C0" w14:textId="77777777" w:rsidR="00713742" w:rsidRPr="00984533" w:rsidRDefault="00713742" w:rsidP="00713742">
      <w:pPr>
        <w:pStyle w:val="FootnoteText"/>
        <w:spacing w:after="0"/>
        <w:rPr>
          <w:rFonts w:ascii="Times New Roman" w:hAnsi="Times New Roman"/>
          <w:lang w:val="fr-BE"/>
        </w:rPr>
      </w:pPr>
      <w:r w:rsidRPr="00984533">
        <w:rPr>
          <w:rStyle w:val="FootnoteReference"/>
          <w:rFonts w:ascii="Times New Roman" w:hAnsi="Times New Roman"/>
        </w:rPr>
        <w:footnoteRef/>
      </w:r>
      <w:r w:rsidRPr="00984533">
        <w:rPr>
          <w:rFonts w:ascii="Times New Roman" w:hAnsi="Times New Roman"/>
          <w:lang w:val="fr-BE"/>
        </w:rPr>
        <w:t xml:space="preserve"> </w:t>
      </w:r>
      <w:r w:rsidRPr="00984533">
        <w:rPr>
          <w:rFonts w:ascii="Times New Roman" w:hAnsi="Times New Roman"/>
          <w:lang w:val="fr-BE"/>
        </w:rPr>
        <w:tab/>
      </w:r>
      <w:hyperlink r:id="rId13" w:history="1">
        <w:r w:rsidRPr="00984533">
          <w:rPr>
            <w:rStyle w:val="Hyperlink"/>
            <w:rFonts w:ascii="Times New Roman" w:hAnsi="Times New Roman"/>
            <w:lang w:val="fr-BE"/>
          </w:rPr>
          <w:t xml:space="preserve">SME </w:t>
        </w:r>
        <w:proofErr w:type="spellStart"/>
        <w:r w:rsidRPr="00984533">
          <w:rPr>
            <w:rStyle w:val="Hyperlink"/>
            <w:rFonts w:ascii="Times New Roman" w:hAnsi="Times New Roman"/>
            <w:lang w:val="fr-BE"/>
          </w:rPr>
          <w:t>envoys</w:t>
        </w:r>
        <w:proofErr w:type="spellEnd"/>
        <w:r w:rsidRPr="00984533">
          <w:rPr>
            <w:rStyle w:val="Hyperlink"/>
            <w:rFonts w:ascii="Times New Roman" w:hAnsi="Times New Roman"/>
            <w:lang w:val="fr-BE"/>
          </w:rPr>
          <w:t xml:space="preserve"> network - European Commission (europa.eu)</w:t>
        </w:r>
      </w:hyperlink>
      <w:r w:rsidRPr="00984533">
        <w:rPr>
          <w:rStyle w:val="Hyperlink"/>
          <w:rFonts w:ascii="Times New Roman" w:hAnsi="Times New Roman"/>
          <w:lang w:val="fr-BE"/>
        </w:rPr>
        <w:t xml:space="preserve"> </w:t>
      </w:r>
    </w:p>
  </w:footnote>
  <w:footnote w:id="18">
    <w:p w14:paraId="4E46FF70" w14:textId="77777777" w:rsidR="00713742" w:rsidRPr="00683234" w:rsidRDefault="00713742" w:rsidP="00713742">
      <w:pPr>
        <w:pStyle w:val="FootnoteText"/>
        <w:spacing w:after="0"/>
        <w:rPr>
          <w:rFonts w:ascii="Times New Roman" w:hAnsi="Times New Roman"/>
          <w:sz w:val="22"/>
          <w:lang w:val="fr-BE" w:eastAsia="fr-FR"/>
        </w:rPr>
      </w:pPr>
      <w:r w:rsidRPr="00984533">
        <w:rPr>
          <w:rStyle w:val="FootnoteReference"/>
          <w:rFonts w:ascii="Times New Roman" w:hAnsi="Times New Roman"/>
        </w:rPr>
        <w:footnoteRef/>
      </w:r>
      <w:r w:rsidRPr="00683234">
        <w:rPr>
          <w:rFonts w:ascii="Times New Roman" w:hAnsi="Times New Roman"/>
          <w:lang w:val="fr-BE"/>
        </w:rPr>
        <w:t xml:space="preserve"> </w:t>
      </w:r>
      <w:r w:rsidRPr="00683234">
        <w:rPr>
          <w:rFonts w:ascii="Times New Roman" w:hAnsi="Times New Roman"/>
          <w:lang w:val="fr-BE"/>
        </w:rPr>
        <w:tab/>
      </w:r>
      <w:hyperlink r:id="rId14" w:history="1">
        <w:r w:rsidRPr="00683234">
          <w:rPr>
            <w:rStyle w:val="Hyperlink"/>
            <w:rFonts w:ascii="Times New Roman" w:hAnsi="Times New Roman"/>
            <w:lang w:val="fr-BE"/>
          </w:rPr>
          <w:t>European Innovation Council - European Commission (europa.eu)</w:t>
        </w:r>
      </w:hyperlink>
      <w:r w:rsidRPr="00683234">
        <w:rPr>
          <w:rStyle w:val="Hyperlink"/>
          <w:rFonts w:ascii="Times New Roman" w:hAnsi="Times New Roman"/>
          <w:lang w:val="fr-BE"/>
        </w:rPr>
        <w:t xml:space="preserve"> </w:t>
      </w:r>
    </w:p>
  </w:footnote>
  <w:footnote w:id="19">
    <w:p w14:paraId="14C2538B" w14:textId="77777777" w:rsidR="00713742" w:rsidRPr="00984533" w:rsidRDefault="00713742" w:rsidP="00713742">
      <w:pPr>
        <w:pStyle w:val="FootnoteText"/>
        <w:spacing w:after="0"/>
        <w:rPr>
          <w:rFonts w:ascii="Times New Roman" w:hAnsi="Times New Roman"/>
        </w:rPr>
      </w:pPr>
      <w:r w:rsidRPr="00984533">
        <w:rPr>
          <w:rStyle w:val="FootnoteReference"/>
          <w:rFonts w:ascii="Times New Roman" w:hAnsi="Times New Roman"/>
        </w:rPr>
        <w:footnoteRef/>
      </w:r>
      <w:r w:rsidRPr="00984533">
        <w:rPr>
          <w:rFonts w:ascii="Times New Roman" w:hAnsi="Times New Roman"/>
        </w:rPr>
        <w:t xml:space="preserve"> </w:t>
      </w:r>
      <w:r w:rsidRPr="00984533">
        <w:rPr>
          <w:rFonts w:ascii="Times New Roman" w:hAnsi="Times New Roman"/>
        </w:rPr>
        <w:tab/>
      </w:r>
      <w:hyperlink r:id="rId15" w:history="1">
        <w:r w:rsidRPr="00984533">
          <w:rPr>
            <w:rStyle w:val="Hyperlink"/>
            <w:rFonts w:ascii="Times New Roman" w:hAnsi="Times New Roman"/>
          </w:rPr>
          <w:t>How do start-ups fit in? New brochure to guide public buyers | Public Buyers Community (europa.eu)</w:t>
        </w:r>
      </w:hyperlink>
    </w:p>
  </w:footnote>
  <w:footnote w:id="20">
    <w:p w14:paraId="7E0BA587" w14:textId="77777777" w:rsidR="00713742" w:rsidRPr="00984533" w:rsidRDefault="00713742" w:rsidP="00713742">
      <w:pPr>
        <w:pStyle w:val="FootnoteText"/>
        <w:spacing w:after="0"/>
        <w:rPr>
          <w:rFonts w:ascii="Times New Roman" w:hAnsi="Times New Roman"/>
        </w:rPr>
      </w:pPr>
      <w:r w:rsidRPr="00984533">
        <w:rPr>
          <w:rStyle w:val="FootnoteReference"/>
          <w:rFonts w:ascii="Times New Roman" w:hAnsi="Times New Roman"/>
        </w:rPr>
        <w:footnoteRef/>
      </w:r>
      <w:r w:rsidRPr="00984533">
        <w:rPr>
          <w:rFonts w:ascii="Times New Roman" w:hAnsi="Times New Roman"/>
        </w:rPr>
        <w:t xml:space="preserve"> </w:t>
      </w:r>
      <w:r w:rsidRPr="00984533">
        <w:rPr>
          <w:rFonts w:ascii="Times New Roman" w:hAnsi="Times New Roman"/>
        </w:rPr>
        <w:tab/>
      </w:r>
      <w:hyperlink r:id="rId16" w:history="1">
        <w:r w:rsidRPr="00984533">
          <w:rPr>
            <w:rStyle w:val="Hyperlink"/>
            <w:rFonts w:ascii="Times New Roman" w:hAnsi="Times New Roman"/>
          </w:rPr>
          <w:t xml:space="preserve">Scale up with the public sector - A new brochure to guide startups | </w:t>
        </w:r>
        <w:proofErr w:type="spellStart"/>
        <w:r w:rsidRPr="00984533">
          <w:rPr>
            <w:rStyle w:val="Hyperlink"/>
            <w:rFonts w:ascii="Times New Roman" w:hAnsi="Times New Roman"/>
          </w:rPr>
          <w:t>Joinup</w:t>
        </w:r>
        <w:proofErr w:type="spellEnd"/>
        <w:r w:rsidRPr="00984533">
          <w:rPr>
            <w:rStyle w:val="Hyperlink"/>
            <w:rFonts w:ascii="Times New Roman" w:hAnsi="Times New Roman"/>
          </w:rPr>
          <w:t xml:space="preserve"> (europa.eu)</w:t>
        </w:r>
      </w:hyperlink>
    </w:p>
  </w:footnote>
  <w:footnote w:id="21">
    <w:p w14:paraId="1FDA286D" w14:textId="77777777" w:rsidR="00713742" w:rsidRPr="00984533" w:rsidRDefault="00713742" w:rsidP="00713742">
      <w:pPr>
        <w:pStyle w:val="FootnoteText"/>
        <w:spacing w:after="0"/>
        <w:rPr>
          <w:rFonts w:ascii="Times New Roman" w:hAnsi="Times New Roman"/>
        </w:rPr>
      </w:pPr>
      <w:r w:rsidRPr="00984533">
        <w:rPr>
          <w:rStyle w:val="FootnoteReference"/>
          <w:rFonts w:ascii="Times New Roman" w:hAnsi="Times New Roman"/>
        </w:rPr>
        <w:footnoteRef/>
      </w:r>
      <w:r w:rsidRPr="00984533">
        <w:rPr>
          <w:rFonts w:ascii="Times New Roman" w:hAnsi="Times New Roman"/>
        </w:rPr>
        <w:t xml:space="preserve"> </w:t>
      </w:r>
      <w:r w:rsidRPr="00984533">
        <w:rPr>
          <w:rFonts w:ascii="Times New Roman" w:hAnsi="Times New Roman"/>
        </w:rPr>
        <w:tab/>
      </w:r>
      <w:hyperlink r:id="rId17" w:history="1">
        <w:r w:rsidRPr="00984533">
          <w:rPr>
            <w:rStyle w:val="Hyperlink"/>
            <w:rFonts w:ascii="Times New Roman" w:hAnsi="Times New Roman"/>
          </w:rPr>
          <w:t>SNS-declaration.pdf (startupnationsstandard.eu)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7A60" w14:textId="77777777" w:rsidR="00984533" w:rsidRDefault="009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D530" w14:textId="77777777" w:rsidR="00984533" w:rsidRDefault="0098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7B8D" w14:textId="77777777" w:rsidR="00984533" w:rsidRDefault="0098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5F3EF7"/>
    <w:multiLevelType w:val="hybridMultilevel"/>
    <w:tmpl w:val="3E48E39C"/>
    <w:lvl w:ilvl="0" w:tplc="6EF40F1E">
      <w:numFmt w:val="bullet"/>
      <w:lvlText w:val="-"/>
      <w:lvlJc w:val="left"/>
      <w:rPr>
        <w:rFonts w:ascii="Calibri" w:eastAsia="Calibr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6285676"/>
    <w:multiLevelType w:val="hybridMultilevel"/>
    <w:tmpl w:val="A2D08746"/>
    <w:lvl w:ilvl="0" w:tplc="2A0A2894">
      <w:start w:val="1"/>
      <w:numFmt w:val="bullet"/>
      <w:lvlText w:val="-"/>
      <w:lvlJc w:val="left"/>
      <w:pPr>
        <w:ind w:left="720" w:hanging="360"/>
      </w:pPr>
      <w:rPr>
        <w:rFonts w:ascii="Calibri" w:hAnsi="Calibri" w:hint="default"/>
      </w:rPr>
    </w:lvl>
    <w:lvl w:ilvl="1" w:tplc="2C808F7C">
      <w:start w:val="1"/>
      <w:numFmt w:val="bullet"/>
      <w:lvlText w:val="o"/>
      <w:lvlJc w:val="left"/>
      <w:pPr>
        <w:ind w:left="1440" w:hanging="360"/>
      </w:pPr>
      <w:rPr>
        <w:rFonts w:ascii="Courier New" w:hAnsi="Courier New" w:hint="default"/>
      </w:rPr>
    </w:lvl>
    <w:lvl w:ilvl="2" w:tplc="031CA4C2">
      <w:start w:val="1"/>
      <w:numFmt w:val="bullet"/>
      <w:lvlText w:val=""/>
      <w:lvlJc w:val="left"/>
      <w:pPr>
        <w:ind w:left="2160" w:hanging="360"/>
      </w:pPr>
      <w:rPr>
        <w:rFonts w:ascii="Wingdings" w:hAnsi="Wingdings" w:hint="default"/>
      </w:rPr>
    </w:lvl>
    <w:lvl w:ilvl="3" w:tplc="0F20C35E">
      <w:start w:val="1"/>
      <w:numFmt w:val="bullet"/>
      <w:lvlText w:val=""/>
      <w:lvlJc w:val="left"/>
      <w:pPr>
        <w:ind w:left="2880" w:hanging="360"/>
      </w:pPr>
      <w:rPr>
        <w:rFonts w:ascii="Symbol" w:hAnsi="Symbol" w:hint="default"/>
      </w:rPr>
    </w:lvl>
    <w:lvl w:ilvl="4" w:tplc="A5926CD0">
      <w:start w:val="1"/>
      <w:numFmt w:val="bullet"/>
      <w:lvlText w:val="o"/>
      <w:lvlJc w:val="left"/>
      <w:pPr>
        <w:ind w:left="3600" w:hanging="360"/>
      </w:pPr>
      <w:rPr>
        <w:rFonts w:ascii="Courier New" w:hAnsi="Courier New" w:hint="default"/>
      </w:rPr>
    </w:lvl>
    <w:lvl w:ilvl="5" w:tplc="F584824E">
      <w:start w:val="1"/>
      <w:numFmt w:val="bullet"/>
      <w:lvlText w:val=""/>
      <w:lvlJc w:val="left"/>
      <w:pPr>
        <w:ind w:left="4320" w:hanging="360"/>
      </w:pPr>
      <w:rPr>
        <w:rFonts w:ascii="Wingdings" w:hAnsi="Wingdings" w:hint="default"/>
      </w:rPr>
    </w:lvl>
    <w:lvl w:ilvl="6" w:tplc="5784CB20">
      <w:start w:val="1"/>
      <w:numFmt w:val="bullet"/>
      <w:lvlText w:val=""/>
      <w:lvlJc w:val="left"/>
      <w:pPr>
        <w:ind w:left="5040" w:hanging="360"/>
      </w:pPr>
      <w:rPr>
        <w:rFonts w:ascii="Symbol" w:hAnsi="Symbol" w:hint="default"/>
      </w:rPr>
    </w:lvl>
    <w:lvl w:ilvl="7" w:tplc="44A2736E">
      <w:start w:val="1"/>
      <w:numFmt w:val="bullet"/>
      <w:lvlText w:val="o"/>
      <w:lvlJc w:val="left"/>
      <w:pPr>
        <w:ind w:left="5760" w:hanging="360"/>
      </w:pPr>
      <w:rPr>
        <w:rFonts w:ascii="Courier New" w:hAnsi="Courier New" w:hint="default"/>
      </w:rPr>
    </w:lvl>
    <w:lvl w:ilvl="8" w:tplc="ABE27472">
      <w:start w:val="1"/>
      <w:numFmt w:val="bullet"/>
      <w:lvlText w:val=""/>
      <w:lvlJc w:val="left"/>
      <w:pPr>
        <w:ind w:left="6480" w:hanging="360"/>
      </w:pPr>
      <w:rPr>
        <w:rFonts w:ascii="Wingdings" w:hAnsi="Wingdings" w:hint="default"/>
      </w:rPr>
    </w:lvl>
  </w:abstractNum>
  <w:abstractNum w:abstractNumId="19"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0"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5AF76E31"/>
    <w:multiLevelType w:val="hybridMultilevel"/>
    <w:tmpl w:val="31305262"/>
    <w:lvl w:ilvl="0" w:tplc="556096CA">
      <w:start w:val="1"/>
      <w:numFmt w:val="bullet"/>
      <w:lvlText w:val="-"/>
      <w:lvlJc w:val="left"/>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8"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364937981">
    <w:abstractNumId w:val="18"/>
  </w:num>
  <w:num w:numId="2" w16cid:durableId="1150832569">
    <w:abstractNumId w:val="6"/>
  </w:num>
  <w:num w:numId="3" w16cid:durableId="68701762">
    <w:abstractNumId w:val="1"/>
  </w:num>
  <w:num w:numId="4" w16cid:durableId="1754735802">
    <w:abstractNumId w:val="34"/>
  </w:num>
  <w:num w:numId="5" w16cid:durableId="1227957657">
    <w:abstractNumId w:val="12"/>
  </w:num>
  <w:num w:numId="6" w16cid:durableId="677387260">
    <w:abstractNumId w:val="27"/>
  </w:num>
  <w:num w:numId="7" w16cid:durableId="848327859">
    <w:abstractNumId w:val="10"/>
  </w:num>
  <w:num w:numId="8" w16cid:durableId="1325164916">
    <w:abstractNumId w:val="5"/>
  </w:num>
  <w:num w:numId="9" w16cid:durableId="267197560">
    <w:abstractNumId w:val="15"/>
  </w:num>
  <w:num w:numId="10" w16cid:durableId="1749880813">
    <w:abstractNumId w:val="33"/>
  </w:num>
  <w:num w:numId="11" w16cid:durableId="1718238643">
    <w:abstractNumId w:val="22"/>
  </w:num>
  <w:num w:numId="12" w16cid:durableId="137453565">
    <w:abstractNumId w:val="25"/>
  </w:num>
  <w:num w:numId="13" w16cid:durableId="680864050">
    <w:abstractNumId w:val="11"/>
  </w:num>
  <w:num w:numId="14" w16cid:durableId="1432625048">
    <w:abstractNumId w:val="16"/>
  </w:num>
  <w:num w:numId="15" w16cid:durableId="1260718353">
    <w:abstractNumId w:val="29"/>
  </w:num>
  <w:num w:numId="16" w16cid:durableId="844831690">
    <w:abstractNumId w:val="14"/>
  </w:num>
  <w:num w:numId="17" w16cid:durableId="585503704">
    <w:abstractNumId w:val="35"/>
  </w:num>
  <w:num w:numId="18" w16cid:durableId="1741517002">
    <w:abstractNumId w:val="32"/>
  </w:num>
  <w:num w:numId="19" w16cid:durableId="1428886111">
    <w:abstractNumId w:val="20"/>
  </w:num>
  <w:num w:numId="20" w16cid:durableId="2083868533">
    <w:abstractNumId w:val="21"/>
  </w:num>
  <w:num w:numId="21" w16cid:durableId="285083076">
    <w:abstractNumId w:val="26"/>
  </w:num>
  <w:num w:numId="22" w16cid:durableId="1785004308">
    <w:abstractNumId w:val="3"/>
  </w:num>
  <w:num w:numId="23" w16cid:durableId="1039545777">
    <w:abstractNumId w:val="4"/>
  </w:num>
  <w:num w:numId="24" w16cid:durableId="1627814512">
    <w:abstractNumId w:val="19"/>
  </w:num>
  <w:num w:numId="25" w16cid:durableId="1361659577">
    <w:abstractNumId w:val="30"/>
  </w:num>
  <w:num w:numId="26" w16cid:durableId="1575358753">
    <w:abstractNumId w:val="9"/>
  </w:num>
  <w:num w:numId="27" w16cid:durableId="1032455577">
    <w:abstractNumId w:val="31"/>
  </w:num>
  <w:num w:numId="28" w16cid:durableId="1707874358">
    <w:abstractNumId w:val="8"/>
  </w:num>
  <w:num w:numId="29" w16cid:durableId="1767075215">
    <w:abstractNumId w:val="2"/>
  </w:num>
  <w:num w:numId="30" w16cid:durableId="644895030">
    <w:abstractNumId w:val="13"/>
  </w:num>
  <w:num w:numId="31" w16cid:durableId="1536578247">
    <w:abstractNumId w:val="24"/>
  </w:num>
  <w:num w:numId="32" w16cid:durableId="1770658978">
    <w:abstractNumId w:val="34"/>
  </w:num>
  <w:num w:numId="33" w16cid:durableId="1160926980">
    <w:abstractNumId w:val="28"/>
  </w:num>
  <w:num w:numId="34" w16cid:durableId="1677220486">
    <w:abstractNumId w:val="23"/>
  </w:num>
  <w:num w:numId="35" w16cid:durableId="109709697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BE3"/>
    <w:rsid w:val="00002CF6"/>
    <w:rsid w:val="000031B6"/>
    <w:rsid w:val="00003423"/>
    <w:rsid w:val="00003511"/>
    <w:rsid w:val="00003652"/>
    <w:rsid w:val="00003854"/>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6FAD"/>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2F2"/>
    <w:rsid w:val="00025341"/>
    <w:rsid w:val="00025501"/>
    <w:rsid w:val="0002561D"/>
    <w:rsid w:val="00025C89"/>
    <w:rsid w:val="00025D8A"/>
    <w:rsid w:val="00025EB9"/>
    <w:rsid w:val="000260DC"/>
    <w:rsid w:val="000261DA"/>
    <w:rsid w:val="0002630E"/>
    <w:rsid w:val="000265AD"/>
    <w:rsid w:val="000265DD"/>
    <w:rsid w:val="00026B29"/>
    <w:rsid w:val="00026CA1"/>
    <w:rsid w:val="00026D00"/>
    <w:rsid w:val="00026E21"/>
    <w:rsid w:val="0002725A"/>
    <w:rsid w:val="00027E3F"/>
    <w:rsid w:val="00030058"/>
    <w:rsid w:val="000300B4"/>
    <w:rsid w:val="00030676"/>
    <w:rsid w:val="00030996"/>
    <w:rsid w:val="00030E3E"/>
    <w:rsid w:val="000310AA"/>
    <w:rsid w:val="000310E8"/>
    <w:rsid w:val="000315BD"/>
    <w:rsid w:val="0003167F"/>
    <w:rsid w:val="00031793"/>
    <w:rsid w:val="00031A4C"/>
    <w:rsid w:val="00031BDA"/>
    <w:rsid w:val="00031CA2"/>
    <w:rsid w:val="00031D00"/>
    <w:rsid w:val="00031DA3"/>
    <w:rsid w:val="00031F4C"/>
    <w:rsid w:val="00032296"/>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4FB"/>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23"/>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078"/>
    <w:rsid w:val="000541A5"/>
    <w:rsid w:val="0005422C"/>
    <w:rsid w:val="00054973"/>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C50"/>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8E4"/>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727"/>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AF"/>
    <w:rsid w:val="000B54AE"/>
    <w:rsid w:val="000B58B6"/>
    <w:rsid w:val="000B595A"/>
    <w:rsid w:val="000B5C5B"/>
    <w:rsid w:val="000B5E9E"/>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B8B1F"/>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84A"/>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0D8"/>
    <w:rsid w:val="000D51B6"/>
    <w:rsid w:val="000D5487"/>
    <w:rsid w:val="000D5579"/>
    <w:rsid w:val="000D5939"/>
    <w:rsid w:val="000D5B15"/>
    <w:rsid w:val="000D5BB3"/>
    <w:rsid w:val="000D5BD5"/>
    <w:rsid w:val="000D60AC"/>
    <w:rsid w:val="000D60E8"/>
    <w:rsid w:val="000D625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25F"/>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03D"/>
    <w:rsid w:val="001002AB"/>
    <w:rsid w:val="00100669"/>
    <w:rsid w:val="0010068B"/>
    <w:rsid w:val="00100830"/>
    <w:rsid w:val="00100C5F"/>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019"/>
    <w:rsid w:val="00116169"/>
    <w:rsid w:val="001163D1"/>
    <w:rsid w:val="00116539"/>
    <w:rsid w:val="001166A1"/>
    <w:rsid w:val="00116823"/>
    <w:rsid w:val="00116AC9"/>
    <w:rsid w:val="00116B75"/>
    <w:rsid w:val="001176DE"/>
    <w:rsid w:val="0011799C"/>
    <w:rsid w:val="00117E41"/>
    <w:rsid w:val="00117F86"/>
    <w:rsid w:val="00120043"/>
    <w:rsid w:val="00120115"/>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5B9B"/>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9F"/>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67D"/>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62B"/>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1CF"/>
    <w:rsid w:val="001674CC"/>
    <w:rsid w:val="00167650"/>
    <w:rsid w:val="001676ED"/>
    <w:rsid w:val="001700A5"/>
    <w:rsid w:val="001700B5"/>
    <w:rsid w:val="001702E0"/>
    <w:rsid w:val="001705FC"/>
    <w:rsid w:val="0017076B"/>
    <w:rsid w:val="00170888"/>
    <w:rsid w:val="00170AFC"/>
    <w:rsid w:val="00170BD3"/>
    <w:rsid w:val="00171149"/>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C2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4C96"/>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3E66"/>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5ED6"/>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84B"/>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5FF5"/>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2F5"/>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306"/>
    <w:rsid w:val="002474CC"/>
    <w:rsid w:val="002474F0"/>
    <w:rsid w:val="00247599"/>
    <w:rsid w:val="0024773E"/>
    <w:rsid w:val="0024780E"/>
    <w:rsid w:val="00247A12"/>
    <w:rsid w:val="00247A18"/>
    <w:rsid w:val="00247BEA"/>
    <w:rsid w:val="00247C95"/>
    <w:rsid w:val="0024F3F3"/>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A15"/>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18"/>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76A"/>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20"/>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635"/>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6F44"/>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497D"/>
    <w:rsid w:val="002B5080"/>
    <w:rsid w:val="002B534A"/>
    <w:rsid w:val="002B558F"/>
    <w:rsid w:val="002B5875"/>
    <w:rsid w:val="002B5ABA"/>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C47"/>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1C9"/>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3B5"/>
    <w:rsid w:val="002D4719"/>
    <w:rsid w:val="002D5184"/>
    <w:rsid w:val="002D55EB"/>
    <w:rsid w:val="002D563C"/>
    <w:rsid w:val="002D58F7"/>
    <w:rsid w:val="002D5C45"/>
    <w:rsid w:val="002D5CF9"/>
    <w:rsid w:val="002D5E62"/>
    <w:rsid w:val="002D5FFF"/>
    <w:rsid w:val="002D62A4"/>
    <w:rsid w:val="002D62A9"/>
    <w:rsid w:val="002D636B"/>
    <w:rsid w:val="002D6BD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26"/>
    <w:rsid w:val="002F29CB"/>
    <w:rsid w:val="002F2B44"/>
    <w:rsid w:val="002F2B8F"/>
    <w:rsid w:val="002F2EEA"/>
    <w:rsid w:val="002F3437"/>
    <w:rsid w:val="002F3659"/>
    <w:rsid w:val="002F38A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2B3"/>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481"/>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38E"/>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A3C"/>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B67"/>
    <w:rsid w:val="00340CA2"/>
    <w:rsid w:val="00340D69"/>
    <w:rsid w:val="00340ED5"/>
    <w:rsid w:val="00340F9F"/>
    <w:rsid w:val="00341359"/>
    <w:rsid w:val="003413D6"/>
    <w:rsid w:val="0034152B"/>
    <w:rsid w:val="003416C2"/>
    <w:rsid w:val="00341C05"/>
    <w:rsid w:val="00341D0F"/>
    <w:rsid w:val="00341EF2"/>
    <w:rsid w:val="003420BF"/>
    <w:rsid w:val="003423CA"/>
    <w:rsid w:val="003425BE"/>
    <w:rsid w:val="00342669"/>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5F0"/>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66A"/>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36A"/>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1C3"/>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0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AD2"/>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9E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BD"/>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0D5"/>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EFD"/>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3E5C"/>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4E6"/>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5C"/>
    <w:rsid w:val="00405095"/>
    <w:rsid w:val="0040521E"/>
    <w:rsid w:val="00405329"/>
    <w:rsid w:val="00405562"/>
    <w:rsid w:val="004059E0"/>
    <w:rsid w:val="00405C11"/>
    <w:rsid w:val="00406009"/>
    <w:rsid w:val="0040611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2D2"/>
    <w:rsid w:val="004103F2"/>
    <w:rsid w:val="00410619"/>
    <w:rsid w:val="0041073C"/>
    <w:rsid w:val="004107D2"/>
    <w:rsid w:val="00410AB1"/>
    <w:rsid w:val="00410F60"/>
    <w:rsid w:val="004112AE"/>
    <w:rsid w:val="00411903"/>
    <w:rsid w:val="00411CCB"/>
    <w:rsid w:val="00411E7E"/>
    <w:rsid w:val="00411F4F"/>
    <w:rsid w:val="00412042"/>
    <w:rsid w:val="0041239D"/>
    <w:rsid w:val="004124B3"/>
    <w:rsid w:val="00412535"/>
    <w:rsid w:val="00412A7B"/>
    <w:rsid w:val="00412B5E"/>
    <w:rsid w:val="00412C90"/>
    <w:rsid w:val="00412D0B"/>
    <w:rsid w:val="0041303A"/>
    <w:rsid w:val="00413097"/>
    <w:rsid w:val="004134C0"/>
    <w:rsid w:val="00413C08"/>
    <w:rsid w:val="00413F33"/>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59"/>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9D4"/>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2DD"/>
    <w:rsid w:val="0045588B"/>
    <w:rsid w:val="00455F9E"/>
    <w:rsid w:val="004563D6"/>
    <w:rsid w:val="00456654"/>
    <w:rsid w:val="00456C43"/>
    <w:rsid w:val="00456CB2"/>
    <w:rsid w:val="00456EC9"/>
    <w:rsid w:val="00456EF5"/>
    <w:rsid w:val="004571D4"/>
    <w:rsid w:val="0045731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070"/>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A6C"/>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1BF"/>
    <w:rsid w:val="004772AC"/>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373"/>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748"/>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6CA7"/>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5AA"/>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39F"/>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C79"/>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8F1"/>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B3"/>
    <w:rsid w:val="004E7FA9"/>
    <w:rsid w:val="004F0057"/>
    <w:rsid w:val="004F0144"/>
    <w:rsid w:val="004F01C3"/>
    <w:rsid w:val="004F01DD"/>
    <w:rsid w:val="004F0776"/>
    <w:rsid w:val="004F0C08"/>
    <w:rsid w:val="004F0D65"/>
    <w:rsid w:val="004F0D81"/>
    <w:rsid w:val="004F0FC9"/>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990"/>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91D"/>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9E8"/>
    <w:rsid w:val="00524C6A"/>
    <w:rsid w:val="00524F60"/>
    <w:rsid w:val="005256E5"/>
    <w:rsid w:val="00525992"/>
    <w:rsid w:val="00525A0D"/>
    <w:rsid w:val="005260C5"/>
    <w:rsid w:val="0052615C"/>
    <w:rsid w:val="00526293"/>
    <w:rsid w:val="0052643B"/>
    <w:rsid w:val="005267DC"/>
    <w:rsid w:val="00526827"/>
    <w:rsid w:val="00526BD8"/>
    <w:rsid w:val="00526CA2"/>
    <w:rsid w:val="00526CA6"/>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BE4"/>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2D1"/>
    <w:rsid w:val="00546375"/>
    <w:rsid w:val="0054653E"/>
    <w:rsid w:val="00546B02"/>
    <w:rsid w:val="00546D0E"/>
    <w:rsid w:val="00546D78"/>
    <w:rsid w:val="0054707A"/>
    <w:rsid w:val="005473EA"/>
    <w:rsid w:val="005475E1"/>
    <w:rsid w:val="0054763F"/>
    <w:rsid w:val="00547671"/>
    <w:rsid w:val="00547841"/>
    <w:rsid w:val="00547A50"/>
    <w:rsid w:val="00547A6D"/>
    <w:rsid w:val="00547DF0"/>
    <w:rsid w:val="00547F6E"/>
    <w:rsid w:val="005501E1"/>
    <w:rsid w:val="0055043E"/>
    <w:rsid w:val="0055050E"/>
    <w:rsid w:val="005508DC"/>
    <w:rsid w:val="00550BFF"/>
    <w:rsid w:val="00550CF4"/>
    <w:rsid w:val="00550F07"/>
    <w:rsid w:val="00550FC4"/>
    <w:rsid w:val="0055123F"/>
    <w:rsid w:val="00551288"/>
    <w:rsid w:val="005513E0"/>
    <w:rsid w:val="005514EE"/>
    <w:rsid w:val="005516B2"/>
    <w:rsid w:val="0055194B"/>
    <w:rsid w:val="00551A60"/>
    <w:rsid w:val="00551B63"/>
    <w:rsid w:val="00551D25"/>
    <w:rsid w:val="00551FED"/>
    <w:rsid w:val="005529BD"/>
    <w:rsid w:val="00552C21"/>
    <w:rsid w:val="00552DB9"/>
    <w:rsid w:val="00552E5E"/>
    <w:rsid w:val="00553081"/>
    <w:rsid w:val="005535AA"/>
    <w:rsid w:val="0055362B"/>
    <w:rsid w:val="005536A7"/>
    <w:rsid w:val="005537A2"/>
    <w:rsid w:val="00553DAD"/>
    <w:rsid w:val="00554758"/>
    <w:rsid w:val="00554A9B"/>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736"/>
    <w:rsid w:val="00565921"/>
    <w:rsid w:val="00565D02"/>
    <w:rsid w:val="00565F56"/>
    <w:rsid w:val="0056610C"/>
    <w:rsid w:val="0056637F"/>
    <w:rsid w:val="00566803"/>
    <w:rsid w:val="005668BB"/>
    <w:rsid w:val="0056697E"/>
    <w:rsid w:val="00566AB4"/>
    <w:rsid w:val="00566CD4"/>
    <w:rsid w:val="005670DA"/>
    <w:rsid w:val="0056743F"/>
    <w:rsid w:val="005675E9"/>
    <w:rsid w:val="00567602"/>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5C0"/>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19E"/>
    <w:rsid w:val="005773DC"/>
    <w:rsid w:val="00577618"/>
    <w:rsid w:val="005776CB"/>
    <w:rsid w:val="00577812"/>
    <w:rsid w:val="0057799A"/>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BF"/>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164"/>
    <w:rsid w:val="005C1201"/>
    <w:rsid w:val="005C131D"/>
    <w:rsid w:val="005C1634"/>
    <w:rsid w:val="005C1AC5"/>
    <w:rsid w:val="005C1B7D"/>
    <w:rsid w:val="005C1DB5"/>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226"/>
    <w:rsid w:val="005C730E"/>
    <w:rsid w:val="005C74DA"/>
    <w:rsid w:val="005C78FE"/>
    <w:rsid w:val="005C7BF3"/>
    <w:rsid w:val="005C7DFF"/>
    <w:rsid w:val="005D0215"/>
    <w:rsid w:val="005D027C"/>
    <w:rsid w:val="005D077F"/>
    <w:rsid w:val="005D07A3"/>
    <w:rsid w:val="005D10A9"/>
    <w:rsid w:val="005D1144"/>
    <w:rsid w:val="005D1769"/>
    <w:rsid w:val="005D19AC"/>
    <w:rsid w:val="005D1C5B"/>
    <w:rsid w:val="005D1DC8"/>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8DF"/>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A88"/>
    <w:rsid w:val="005E0D4F"/>
    <w:rsid w:val="005E0E29"/>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724"/>
    <w:rsid w:val="005E79D7"/>
    <w:rsid w:val="005E7E6E"/>
    <w:rsid w:val="005E7E8D"/>
    <w:rsid w:val="005E7F4D"/>
    <w:rsid w:val="005EB14E"/>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551"/>
    <w:rsid w:val="00600815"/>
    <w:rsid w:val="006009AC"/>
    <w:rsid w:val="006009F3"/>
    <w:rsid w:val="00600E99"/>
    <w:rsid w:val="006011BA"/>
    <w:rsid w:val="0060144C"/>
    <w:rsid w:val="00601957"/>
    <w:rsid w:val="00602081"/>
    <w:rsid w:val="00602180"/>
    <w:rsid w:val="00602383"/>
    <w:rsid w:val="006023DB"/>
    <w:rsid w:val="00602414"/>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68"/>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91F"/>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1B"/>
    <w:rsid w:val="00635860"/>
    <w:rsid w:val="006359F5"/>
    <w:rsid w:val="00635C89"/>
    <w:rsid w:val="00635DF2"/>
    <w:rsid w:val="00635E59"/>
    <w:rsid w:val="006361F2"/>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B24"/>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39A"/>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8A"/>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5F8"/>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1F71"/>
    <w:rsid w:val="006920F4"/>
    <w:rsid w:val="0069258D"/>
    <w:rsid w:val="00692D95"/>
    <w:rsid w:val="00693086"/>
    <w:rsid w:val="0069346F"/>
    <w:rsid w:val="006935C4"/>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BF4"/>
    <w:rsid w:val="006A3CA5"/>
    <w:rsid w:val="006A3CB4"/>
    <w:rsid w:val="006A3E11"/>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0AC"/>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BB6"/>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6B2"/>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B92"/>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16E"/>
    <w:rsid w:val="006F14F2"/>
    <w:rsid w:val="006F18BB"/>
    <w:rsid w:val="006F1A95"/>
    <w:rsid w:val="006F1B02"/>
    <w:rsid w:val="006F1BCA"/>
    <w:rsid w:val="006F1CA0"/>
    <w:rsid w:val="006F1D16"/>
    <w:rsid w:val="006F1EFF"/>
    <w:rsid w:val="006F23EC"/>
    <w:rsid w:val="006F2578"/>
    <w:rsid w:val="006F264A"/>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6BC"/>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07"/>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94C"/>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742"/>
    <w:rsid w:val="0071385C"/>
    <w:rsid w:val="007138DE"/>
    <w:rsid w:val="00713970"/>
    <w:rsid w:val="00714A31"/>
    <w:rsid w:val="00714A43"/>
    <w:rsid w:val="007150B0"/>
    <w:rsid w:val="007155A6"/>
    <w:rsid w:val="00715797"/>
    <w:rsid w:val="00715A9A"/>
    <w:rsid w:val="00715B97"/>
    <w:rsid w:val="007160DC"/>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6D5"/>
    <w:rsid w:val="00726997"/>
    <w:rsid w:val="007269D3"/>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10"/>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884"/>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41"/>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06"/>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298"/>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2F"/>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5D6"/>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063"/>
    <w:rsid w:val="00806141"/>
    <w:rsid w:val="00806932"/>
    <w:rsid w:val="00806B10"/>
    <w:rsid w:val="00806BE8"/>
    <w:rsid w:val="00806BF8"/>
    <w:rsid w:val="00807252"/>
    <w:rsid w:val="00807383"/>
    <w:rsid w:val="00807419"/>
    <w:rsid w:val="008076A5"/>
    <w:rsid w:val="008077B2"/>
    <w:rsid w:val="0080780B"/>
    <w:rsid w:val="008078B7"/>
    <w:rsid w:val="00807CE2"/>
    <w:rsid w:val="00807CE5"/>
    <w:rsid w:val="00810E1D"/>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8E"/>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CB"/>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79A"/>
    <w:rsid w:val="00827924"/>
    <w:rsid w:val="00827ACF"/>
    <w:rsid w:val="00827B16"/>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38E"/>
    <w:rsid w:val="00840853"/>
    <w:rsid w:val="008408DE"/>
    <w:rsid w:val="0084097C"/>
    <w:rsid w:val="00840AAC"/>
    <w:rsid w:val="00840B80"/>
    <w:rsid w:val="00841076"/>
    <w:rsid w:val="00841429"/>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3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3EF5"/>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85"/>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36"/>
    <w:rsid w:val="00882BE0"/>
    <w:rsid w:val="00882C14"/>
    <w:rsid w:val="00882E4B"/>
    <w:rsid w:val="00883483"/>
    <w:rsid w:val="008839E4"/>
    <w:rsid w:val="00883CA2"/>
    <w:rsid w:val="00883D38"/>
    <w:rsid w:val="00883E17"/>
    <w:rsid w:val="00884163"/>
    <w:rsid w:val="008842DF"/>
    <w:rsid w:val="00884465"/>
    <w:rsid w:val="008845D0"/>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5B1"/>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6B97"/>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878"/>
    <w:rsid w:val="008B7CB2"/>
    <w:rsid w:val="008C0597"/>
    <w:rsid w:val="008C081E"/>
    <w:rsid w:val="008C0BCD"/>
    <w:rsid w:val="008C0E6B"/>
    <w:rsid w:val="008C1B54"/>
    <w:rsid w:val="008C1E62"/>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6FD"/>
    <w:rsid w:val="008C5B5B"/>
    <w:rsid w:val="008C5E64"/>
    <w:rsid w:val="008C65CC"/>
    <w:rsid w:val="008C6796"/>
    <w:rsid w:val="008C6D97"/>
    <w:rsid w:val="008C6FA4"/>
    <w:rsid w:val="008C7015"/>
    <w:rsid w:val="008C7160"/>
    <w:rsid w:val="008C73AC"/>
    <w:rsid w:val="008C7674"/>
    <w:rsid w:val="008C770D"/>
    <w:rsid w:val="008C781A"/>
    <w:rsid w:val="008C7858"/>
    <w:rsid w:val="008C7953"/>
    <w:rsid w:val="008C79B9"/>
    <w:rsid w:val="008C7B2E"/>
    <w:rsid w:val="008C7C58"/>
    <w:rsid w:val="008C7C7C"/>
    <w:rsid w:val="008C7D4F"/>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3F"/>
    <w:rsid w:val="008D5960"/>
    <w:rsid w:val="008D5A82"/>
    <w:rsid w:val="008D5C2B"/>
    <w:rsid w:val="008D6132"/>
    <w:rsid w:val="008D6163"/>
    <w:rsid w:val="008D64F3"/>
    <w:rsid w:val="008D6627"/>
    <w:rsid w:val="008D67A2"/>
    <w:rsid w:val="008D684F"/>
    <w:rsid w:val="008D6B42"/>
    <w:rsid w:val="008D6B6B"/>
    <w:rsid w:val="008D6C57"/>
    <w:rsid w:val="008D6CA4"/>
    <w:rsid w:val="008D6CCB"/>
    <w:rsid w:val="008D6EF6"/>
    <w:rsid w:val="008D71C6"/>
    <w:rsid w:val="008D754B"/>
    <w:rsid w:val="008D7579"/>
    <w:rsid w:val="008D7731"/>
    <w:rsid w:val="008D77CB"/>
    <w:rsid w:val="008D7B61"/>
    <w:rsid w:val="008D7C1F"/>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3F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18C"/>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3AC"/>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B69"/>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CBE"/>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A86"/>
    <w:rsid w:val="00955DDE"/>
    <w:rsid w:val="00956793"/>
    <w:rsid w:val="00956827"/>
    <w:rsid w:val="009568F4"/>
    <w:rsid w:val="00956A48"/>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2A4"/>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533"/>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535"/>
    <w:rsid w:val="00990698"/>
    <w:rsid w:val="00990790"/>
    <w:rsid w:val="0099095D"/>
    <w:rsid w:val="00990A5D"/>
    <w:rsid w:val="00990BE4"/>
    <w:rsid w:val="00990C54"/>
    <w:rsid w:val="0099135D"/>
    <w:rsid w:val="009914CC"/>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766"/>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6F6"/>
    <w:rsid w:val="009B782C"/>
    <w:rsid w:val="009B7BD4"/>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0EFA"/>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4F4E"/>
    <w:rsid w:val="009D51AA"/>
    <w:rsid w:val="009D52AF"/>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CA8"/>
    <w:rsid w:val="009E1CCE"/>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DA1"/>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0F"/>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1F"/>
    <w:rsid w:val="00A06168"/>
    <w:rsid w:val="00A06186"/>
    <w:rsid w:val="00A06372"/>
    <w:rsid w:val="00A06598"/>
    <w:rsid w:val="00A06D7F"/>
    <w:rsid w:val="00A073CF"/>
    <w:rsid w:val="00A0752A"/>
    <w:rsid w:val="00A078F4"/>
    <w:rsid w:val="00A07980"/>
    <w:rsid w:val="00A07D10"/>
    <w:rsid w:val="00A07E36"/>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5CF"/>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D0B"/>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D17"/>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159"/>
    <w:rsid w:val="00A612B7"/>
    <w:rsid w:val="00A61D48"/>
    <w:rsid w:val="00A62533"/>
    <w:rsid w:val="00A62579"/>
    <w:rsid w:val="00A626A0"/>
    <w:rsid w:val="00A62A13"/>
    <w:rsid w:val="00A62B74"/>
    <w:rsid w:val="00A62C13"/>
    <w:rsid w:val="00A62C24"/>
    <w:rsid w:val="00A62C59"/>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8A"/>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517"/>
    <w:rsid w:val="00A728E1"/>
    <w:rsid w:val="00A72C65"/>
    <w:rsid w:val="00A730ED"/>
    <w:rsid w:val="00A73139"/>
    <w:rsid w:val="00A731F9"/>
    <w:rsid w:val="00A7327E"/>
    <w:rsid w:val="00A7340E"/>
    <w:rsid w:val="00A73621"/>
    <w:rsid w:val="00A73811"/>
    <w:rsid w:val="00A73D03"/>
    <w:rsid w:val="00A73F50"/>
    <w:rsid w:val="00A7428C"/>
    <w:rsid w:val="00A74790"/>
    <w:rsid w:val="00A74887"/>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9AA"/>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3BD2"/>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1F"/>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1EC"/>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20"/>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7D"/>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4F41"/>
    <w:rsid w:val="00AD500B"/>
    <w:rsid w:val="00AD5154"/>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3EE"/>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260"/>
    <w:rsid w:val="00AF34A0"/>
    <w:rsid w:val="00AF3903"/>
    <w:rsid w:val="00AF3B34"/>
    <w:rsid w:val="00AF3B3A"/>
    <w:rsid w:val="00AF3C5C"/>
    <w:rsid w:val="00AF3D83"/>
    <w:rsid w:val="00AF3DCD"/>
    <w:rsid w:val="00AF427C"/>
    <w:rsid w:val="00AF4419"/>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60"/>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D7A"/>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D5"/>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CA3"/>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428"/>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77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D74"/>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A0"/>
    <w:rsid w:val="00B57DC9"/>
    <w:rsid w:val="00B57E2F"/>
    <w:rsid w:val="00B601AA"/>
    <w:rsid w:val="00B6050E"/>
    <w:rsid w:val="00B60670"/>
    <w:rsid w:val="00B60689"/>
    <w:rsid w:val="00B60950"/>
    <w:rsid w:val="00B609BB"/>
    <w:rsid w:val="00B60D86"/>
    <w:rsid w:val="00B60DEB"/>
    <w:rsid w:val="00B6106D"/>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02A"/>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14"/>
    <w:rsid w:val="00B757AA"/>
    <w:rsid w:val="00B758A5"/>
    <w:rsid w:val="00B75A8C"/>
    <w:rsid w:val="00B75AAA"/>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B6F"/>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22F"/>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B97"/>
    <w:rsid w:val="00BA7D3A"/>
    <w:rsid w:val="00BB0E11"/>
    <w:rsid w:val="00BB0F25"/>
    <w:rsid w:val="00BB0F4D"/>
    <w:rsid w:val="00BB1628"/>
    <w:rsid w:val="00BB1803"/>
    <w:rsid w:val="00BB1837"/>
    <w:rsid w:val="00BB1857"/>
    <w:rsid w:val="00BB18BB"/>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06"/>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4BD"/>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79E"/>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BB"/>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555"/>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5E3"/>
    <w:rsid w:val="00C076C2"/>
    <w:rsid w:val="00C07972"/>
    <w:rsid w:val="00C07E81"/>
    <w:rsid w:val="00C07ED2"/>
    <w:rsid w:val="00C10448"/>
    <w:rsid w:val="00C105C2"/>
    <w:rsid w:val="00C109CB"/>
    <w:rsid w:val="00C10BAA"/>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7BE"/>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5C2"/>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7EE"/>
    <w:rsid w:val="00C56A0D"/>
    <w:rsid w:val="00C56E99"/>
    <w:rsid w:val="00C56F2E"/>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35E"/>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2C5"/>
    <w:rsid w:val="00C777A7"/>
    <w:rsid w:val="00C777E9"/>
    <w:rsid w:val="00C77804"/>
    <w:rsid w:val="00C805D9"/>
    <w:rsid w:val="00C80A72"/>
    <w:rsid w:val="00C80AA3"/>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291"/>
    <w:rsid w:val="00C93579"/>
    <w:rsid w:val="00C937E9"/>
    <w:rsid w:val="00C93A91"/>
    <w:rsid w:val="00C93CB0"/>
    <w:rsid w:val="00C941E2"/>
    <w:rsid w:val="00C942CD"/>
    <w:rsid w:val="00C945E1"/>
    <w:rsid w:val="00C94ABC"/>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4CC4"/>
    <w:rsid w:val="00CA4D13"/>
    <w:rsid w:val="00CA51C3"/>
    <w:rsid w:val="00CA5B28"/>
    <w:rsid w:val="00CA5CEA"/>
    <w:rsid w:val="00CA5D19"/>
    <w:rsid w:val="00CA633D"/>
    <w:rsid w:val="00CA63D9"/>
    <w:rsid w:val="00CA6759"/>
    <w:rsid w:val="00CA6C4C"/>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8FE"/>
    <w:rsid w:val="00CC0C7B"/>
    <w:rsid w:val="00CC1463"/>
    <w:rsid w:val="00CC158D"/>
    <w:rsid w:val="00CC168E"/>
    <w:rsid w:val="00CC1C59"/>
    <w:rsid w:val="00CC1D4B"/>
    <w:rsid w:val="00CC1E96"/>
    <w:rsid w:val="00CC20BF"/>
    <w:rsid w:val="00CC2255"/>
    <w:rsid w:val="00CC2372"/>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C90"/>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68E"/>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1D7"/>
    <w:rsid w:val="00CE436D"/>
    <w:rsid w:val="00CE44A8"/>
    <w:rsid w:val="00CE48FA"/>
    <w:rsid w:val="00CE495C"/>
    <w:rsid w:val="00CE5216"/>
    <w:rsid w:val="00CE52E3"/>
    <w:rsid w:val="00CE5986"/>
    <w:rsid w:val="00CE5D88"/>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2FD1"/>
    <w:rsid w:val="00CF3014"/>
    <w:rsid w:val="00CF34C5"/>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753"/>
    <w:rsid w:val="00D118DD"/>
    <w:rsid w:val="00D11A1C"/>
    <w:rsid w:val="00D11BF4"/>
    <w:rsid w:val="00D11F64"/>
    <w:rsid w:val="00D12070"/>
    <w:rsid w:val="00D120B1"/>
    <w:rsid w:val="00D1221A"/>
    <w:rsid w:val="00D1221D"/>
    <w:rsid w:val="00D123A9"/>
    <w:rsid w:val="00D123EC"/>
    <w:rsid w:val="00D12697"/>
    <w:rsid w:val="00D127AE"/>
    <w:rsid w:val="00D12B64"/>
    <w:rsid w:val="00D12B78"/>
    <w:rsid w:val="00D13416"/>
    <w:rsid w:val="00D13654"/>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925"/>
    <w:rsid w:val="00D26C51"/>
    <w:rsid w:val="00D271AC"/>
    <w:rsid w:val="00D27609"/>
    <w:rsid w:val="00D27950"/>
    <w:rsid w:val="00D279BB"/>
    <w:rsid w:val="00D27AAA"/>
    <w:rsid w:val="00D27BFA"/>
    <w:rsid w:val="00D27C35"/>
    <w:rsid w:val="00D300DA"/>
    <w:rsid w:val="00D30132"/>
    <w:rsid w:val="00D303EE"/>
    <w:rsid w:val="00D306B6"/>
    <w:rsid w:val="00D307D9"/>
    <w:rsid w:val="00D30DEE"/>
    <w:rsid w:val="00D30E78"/>
    <w:rsid w:val="00D31170"/>
    <w:rsid w:val="00D311E7"/>
    <w:rsid w:val="00D31348"/>
    <w:rsid w:val="00D314AD"/>
    <w:rsid w:val="00D31582"/>
    <w:rsid w:val="00D3161A"/>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577"/>
    <w:rsid w:val="00D36A01"/>
    <w:rsid w:val="00D36A0C"/>
    <w:rsid w:val="00D36ADA"/>
    <w:rsid w:val="00D36E44"/>
    <w:rsid w:val="00D36F14"/>
    <w:rsid w:val="00D3736D"/>
    <w:rsid w:val="00D37550"/>
    <w:rsid w:val="00D376ED"/>
    <w:rsid w:val="00D37715"/>
    <w:rsid w:val="00D37B46"/>
    <w:rsid w:val="00D37C77"/>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1A"/>
    <w:rsid w:val="00D64791"/>
    <w:rsid w:val="00D64A26"/>
    <w:rsid w:val="00D64A46"/>
    <w:rsid w:val="00D64B5A"/>
    <w:rsid w:val="00D64CE8"/>
    <w:rsid w:val="00D64F53"/>
    <w:rsid w:val="00D65064"/>
    <w:rsid w:val="00D6563A"/>
    <w:rsid w:val="00D656B9"/>
    <w:rsid w:val="00D65AE7"/>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25"/>
    <w:rsid w:val="00D75FA2"/>
    <w:rsid w:val="00D76097"/>
    <w:rsid w:val="00D764A8"/>
    <w:rsid w:val="00D765A0"/>
    <w:rsid w:val="00D765D0"/>
    <w:rsid w:val="00D76709"/>
    <w:rsid w:val="00D767A0"/>
    <w:rsid w:val="00D7682A"/>
    <w:rsid w:val="00D76E51"/>
    <w:rsid w:val="00D7703D"/>
    <w:rsid w:val="00D7768A"/>
    <w:rsid w:val="00D776D4"/>
    <w:rsid w:val="00D77800"/>
    <w:rsid w:val="00D77857"/>
    <w:rsid w:val="00D779F9"/>
    <w:rsid w:val="00D77BBF"/>
    <w:rsid w:val="00D8040B"/>
    <w:rsid w:val="00D80567"/>
    <w:rsid w:val="00D80889"/>
    <w:rsid w:val="00D80912"/>
    <w:rsid w:val="00D809AE"/>
    <w:rsid w:val="00D80AF6"/>
    <w:rsid w:val="00D80C3D"/>
    <w:rsid w:val="00D80FB0"/>
    <w:rsid w:val="00D812B7"/>
    <w:rsid w:val="00D81550"/>
    <w:rsid w:val="00D817BE"/>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866"/>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DDB"/>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C6D"/>
    <w:rsid w:val="00DA7D70"/>
    <w:rsid w:val="00DA7E37"/>
    <w:rsid w:val="00DA7FD7"/>
    <w:rsid w:val="00DB0259"/>
    <w:rsid w:val="00DB072F"/>
    <w:rsid w:val="00DB0B99"/>
    <w:rsid w:val="00DB0CC9"/>
    <w:rsid w:val="00DB0D3F"/>
    <w:rsid w:val="00DB0DAC"/>
    <w:rsid w:val="00DB124D"/>
    <w:rsid w:val="00DB1730"/>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B0"/>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4E1"/>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3D6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9BB"/>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D8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C0F"/>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2FC1"/>
    <w:rsid w:val="00E23159"/>
    <w:rsid w:val="00E23263"/>
    <w:rsid w:val="00E2329C"/>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55D"/>
    <w:rsid w:val="00E25A72"/>
    <w:rsid w:val="00E25B4C"/>
    <w:rsid w:val="00E25CCF"/>
    <w:rsid w:val="00E25D73"/>
    <w:rsid w:val="00E25F74"/>
    <w:rsid w:val="00E25FD4"/>
    <w:rsid w:val="00E26300"/>
    <w:rsid w:val="00E263D8"/>
    <w:rsid w:val="00E26692"/>
    <w:rsid w:val="00E26852"/>
    <w:rsid w:val="00E268CE"/>
    <w:rsid w:val="00E269D7"/>
    <w:rsid w:val="00E26D53"/>
    <w:rsid w:val="00E26E81"/>
    <w:rsid w:val="00E2716E"/>
    <w:rsid w:val="00E27435"/>
    <w:rsid w:val="00E27553"/>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7D4"/>
    <w:rsid w:val="00E3296B"/>
    <w:rsid w:val="00E32985"/>
    <w:rsid w:val="00E32CE4"/>
    <w:rsid w:val="00E32EF3"/>
    <w:rsid w:val="00E32F68"/>
    <w:rsid w:val="00E3334E"/>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3D5"/>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6FB9"/>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D01"/>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67F7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9B"/>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0C4"/>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020"/>
    <w:rsid w:val="00EA4240"/>
    <w:rsid w:val="00EA428B"/>
    <w:rsid w:val="00EA42F1"/>
    <w:rsid w:val="00EA4682"/>
    <w:rsid w:val="00EA4794"/>
    <w:rsid w:val="00EA487F"/>
    <w:rsid w:val="00EA49CD"/>
    <w:rsid w:val="00EA4A6D"/>
    <w:rsid w:val="00EA4EA4"/>
    <w:rsid w:val="00EA4EA8"/>
    <w:rsid w:val="00EA50D8"/>
    <w:rsid w:val="00EA522B"/>
    <w:rsid w:val="00EA5832"/>
    <w:rsid w:val="00EA5A22"/>
    <w:rsid w:val="00EA5A4F"/>
    <w:rsid w:val="00EA5AFA"/>
    <w:rsid w:val="00EA5B6F"/>
    <w:rsid w:val="00EA6602"/>
    <w:rsid w:val="00EA6ECA"/>
    <w:rsid w:val="00EA7007"/>
    <w:rsid w:val="00EA73A2"/>
    <w:rsid w:val="00EA75DC"/>
    <w:rsid w:val="00EA7828"/>
    <w:rsid w:val="00EA7A72"/>
    <w:rsid w:val="00EA7C4C"/>
    <w:rsid w:val="00EA7DEB"/>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1B9"/>
    <w:rsid w:val="00EB3664"/>
    <w:rsid w:val="00EB3DA5"/>
    <w:rsid w:val="00EB3F1C"/>
    <w:rsid w:val="00EB416E"/>
    <w:rsid w:val="00EB4313"/>
    <w:rsid w:val="00EB4A71"/>
    <w:rsid w:val="00EB4D0F"/>
    <w:rsid w:val="00EB534E"/>
    <w:rsid w:val="00EB5353"/>
    <w:rsid w:val="00EB5940"/>
    <w:rsid w:val="00EB59CA"/>
    <w:rsid w:val="00EB5B9D"/>
    <w:rsid w:val="00EB6798"/>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918"/>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D3D"/>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32B"/>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5BF"/>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AF1"/>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CEE"/>
    <w:rsid w:val="00F13EA3"/>
    <w:rsid w:val="00F13ECB"/>
    <w:rsid w:val="00F13F15"/>
    <w:rsid w:val="00F13FAE"/>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821"/>
    <w:rsid w:val="00F21D0B"/>
    <w:rsid w:val="00F21DA8"/>
    <w:rsid w:val="00F21DD4"/>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64"/>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AA9"/>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1C3"/>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30C"/>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8B3"/>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58"/>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30B"/>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A2D"/>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84E"/>
    <w:rsid w:val="00FD2B0D"/>
    <w:rsid w:val="00FD2ED7"/>
    <w:rsid w:val="00FD3303"/>
    <w:rsid w:val="00FD34F9"/>
    <w:rsid w:val="00FD35E7"/>
    <w:rsid w:val="00FD3605"/>
    <w:rsid w:val="00FD38DE"/>
    <w:rsid w:val="00FD39E2"/>
    <w:rsid w:val="00FD3B83"/>
    <w:rsid w:val="00FD3D49"/>
    <w:rsid w:val="00FD3ECC"/>
    <w:rsid w:val="00FD4063"/>
    <w:rsid w:val="00FD4291"/>
    <w:rsid w:val="00FD47FF"/>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67D"/>
    <w:rsid w:val="00FD6833"/>
    <w:rsid w:val="00FD6CE6"/>
    <w:rsid w:val="00FD6EEB"/>
    <w:rsid w:val="00FD6F5F"/>
    <w:rsid w:val="00FD6F78"/>
    <w:rsid w:val="00FD71B9"/>
    <w:rsid w:val="00FD7445"/>
    <w:rsid w:val="00FD7AF4"/>
    <w:rsid w:val="00FD7B19"/>
    <w:rsid w:val="00FD7FD1"/>
    <w:rsid w:val="00FE00A5"/>
    <w:rsid w:val="00FE00B6"/>
    <w:rsid w:val="00FE00BC"/>
    <w:rsid w:val="00FE03BF"/>
    <w:rsid w:val="00FE04B8"/>
    <w:rsid w:val="00FE0523"/>
    <w:rsid w:val="00FE1077"/>
    <w:rsid w:val="00FE1136"/>
    <w:rsid w:val="00FE12BF"/>
    <w:rsid w:val="00FE1439"/>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6FF7"/>
    <w:rsid w:val="00FF7211"/>
    <w:rsid w:val="00FF7E98"/>
    <w:rsid w:val="018DFC4B"/>
    <w:rsid w:val="01A7B8E3"/>
    <w:rsid w:val="01F8379C"/>
    <w:rsid w:val="01FCFC5F"/>
    <w:rsid w:val="0206103A"/>
    <w:rsid w:val="02081D11"/>
    <w:rsid w:val="021F3897"/>
    <w:rsid w:val="02275F93"/>
    <w:rsid w:val="02478489"/>
    <w:rsid w:val="0247B7F7"/>
    <w:rsid w:val="024C50C0"/>
    <w:rsid w:val="02A83376"/>
    <w:rsid w:val="02E2176F"/>
    <w:rsid w:val="02E966BC"/>
    <w:rsid w:val="0301FA29"/>
    <w:rsid w:val="030E55D2"/>
    <w:rsid w:val="03A1E09B"/>
    <w:rsid w:val="042A6293"/>
    <w:rsid w:val="04521505"/>
    <w:rsid w:val="0485371D"/>
    <w:rsid w:val="05081073"/>
    <w:rsid w:val="055516A9"/>
    <w:rsid w:val="05EDEF61"/>
    <w:rsid w:val="061648BC"/>
    <w:rsid w:val="067D09B9"/>
    <w:rsid w:val="067D315B"/>
    <w:rsid w:val="06C3C5C9"/>
    <w:rsid w:val="06FCA9C6"/>
    <w:rsid w:val="07B789BF"/>
    <w:rsid w:val="07D9E12B"/>
    <w:rsid w:val="08157898"/>
    <w:rsid w:val="0820A1B1"/>
    <w:rsid w:val="08B74159"/>
    <w:rsid w:val="08E09749"/>
    <w:rsid w:val="08F8495D"/>
    <w:rsid w:val="09054228"/>
    <w:rsid w:val="09736E2D"/>
    <w:rsid w:val="0992ADF8"/>
    <w:rsid w:val="0A11221F"/>
    <w:rsid w:val="0A2CDEAB"/>
    <w:rsid w:val="0ADAC918"/>
    <w:rsid w:val="0AE51068"/>
    <w:rsid w:val="0AF8AB9E"/>
    <w:rsid w:val="0B1D15C9"/>
    <w:rsid w:val="0B5CB189"/>
    <w:rsid w:val="0BA13FB7"/>
    <w:rsid w:val="0BC1A875"/>
    <w:rsid w:val="0C13A0EF"/>
    <w:rsid w:val="0C241917"/>
    <w:rsid w:val="0C3BFDE7"/>
    <w:rsid w:val="0C3FDF2F"/>
    <w:rsid w:val="0C694D8C"/>
    <w:rsid w:val="0C7EADA1"/>
    <w:rsid w:val="0C83B226"/>
    <w:rsid w:val="0CD23D1F"/>
    <w:rsid w:val="0CEC415C"/>
    <w:rsid w:val="0CF2A549"/>
    <w:rsid w:val="0D3504F3"/>
    <w:rsid w:val="0D48364B"/>
    <w:rsid w:val="0D943D49"/>
    <w:rsid w:val="0DA7728B"/>
    <w:rsid w:val="0DAFEF54"/>
    <w:rsid w:val="0DC41D25"/>
    <w:rsid w:val="0E377100"/>
    <w:rsid w:val="0E4F0714"/>
    <w:rsid w:val="0ED15595"/>
    <w:rsid w:val="0EE7A66A"/>
    <w:rsid w:val="0F1EEB2F"/>
    <w:rsid w:val="0F207AF1"/>
    <w:rsid w:val="0F8EED84"/>
    <w:rsid w:val="1001EF7C"/>
    <w:rsid w:val="10033858"/>
    <w:rsid w:val="1032F861"/>
    <w:rsid w:val="104704E1"/>
    <w:rsid w:val="104EF38F"/>
    <w:rsid w:val="10847639"/>
    <w:rsid w:val="11388593"/>
    <w:rsid w:val="118296FD"/>
    <w:rsid w:val="119F08B9"/>
    <w:rsid w:val="11AC5DFE"/>
    <w:rsid w:val="11FF5111"/>
    <w:rsid w:val="12132029"/>
    <w:rsid w:val="121A6E97"/>
    <w:rsid w:val="121F0CB6"/>
    <w:rsid w:val="124A2EA0"/>
    <w:rsid w:val="127F53B8"/>
    <w:rsid w:val="12831750"/>
    <w:rsid w:val="12B03FCB"/>
    <w:rsid w:val="12CEC327"/>
    <w:rsid w:val="13AEF08A"/>
    <w:rsid w:val="13C20471"/>
    <w:rsid w:val="140290EA"/>
    <w:rsid w:val="141BE54A"/>
    <w:rsid w:val="14429D88"/>
    <w:rsid w:val="147316DF"/>
    <w:rsid w:val="147626CF"/>
    <w:rsid w:val="1480C214"/>
    <w:rsid w:val="1541B1DC"/>
    <w:rsid w:val="154DE9AE"/>
    <w:rsid w:val="155FC57C"/>
    <w:rsid w:val="157C2DC8"/>
    <w:rsid w:val="1586A46F"/>
    <w:rsid w:val="15DC50D8"/>
    <w:rsid w:val="15E7E044"/>
    <w:rsid w:val="1600E0A7"/>
    <w:rsid w:val="160BF6B6"/>
    <w:rsid w:val="1656AD73"/>
    <w:rsid w:val="16A64763"/>
    <w:rsid w:val="16E64C43"/>
    <w:rsid w:val="17053E2D"/>
    <w:rsid w:val="171FF996"/>
    <w:rsid w:val="1798F304"/>
    <w:rsid w:val="17A83656"/>
    <w:rsid w:val="17E53A0F"/>
    <w:rsid w:val="17FB30D9"/>
    <w:rsid w:val="180DF396"/>
    <w:rsid w:val="181CE5AE"/>
    <w:rsid w:val="187087BE"/>
    <w:rsid w:val="18D9C0BB"/>
    <w:rsid w:val="18E5803C"/>
    <w:rsid w:val="18FE9D95"/>
    <w:rsid w:val="18FEA899"/>
    <w:rsid w:val="192CC265"/>
    <w:rsid w:val="19E11572"/>
    <w:rsid w:val="1A11E0F4"/>
    <w:rsid w:val="1A123022"/>
    <w:rsid w:val="1A1E320E"/>
    <w:rsid w:val="1A2F6CE5"/>
    <w:rsid w:val="1B025756"/>
    <w:rsid w:val="1BB4D332"/>
    <w:rsid w:val="1C32FE96"/>
    <w:rsid w:val="1C5F11FB"/>
    <w:rsid w:val="1CC0D949"/>
    <w:rsid w:val="1D55D2D0"/>
    <w:rsid w:val="1DFA0AF1"/>
    <w:rsid w:val="1E1B3E90"/>
    <w:rsid w:val="1E385AEC"/>
    <w:rsid w:val="1E4F77FF"/>
    <w:rsid w:val="1E838FC2"/>
    <w:rsid w:val="1E8C2732"/>
    <w:rsid w:val="1F13FCC4"/>
    <w:rsid w:val="1F2BB438"/>
    <w:rsid w:val="1F56DD7B"/>
    <w:rsid w:val="1FA10EBD"/>
    <w:rsid w:val="1FC213F5"/>
    <w:rsid w:val="204F1721"/>
    <w:rsid w:val="20DF81B0"/>
    <w:rsid w:val="2107F833"/>
    <w:rsid w:val="21152671"/>
    <w:rsid w:val="2190C0EA"/>
    <w:rsid w:val="21976CBC"/>
    <w:rsid w:val="226C306C"/>
    <w:rsid w:val="22EEAFB3"/>
    <w:rsid w:val="2309515F"/>
    <w:rsid w:val="233AED00"/>
    <w:rsid w:val="236F4E23"/>
    <w:rsid w:val="2377A172"/>
    <w:rsid w:val="23FCDA67"/>
    <w:rsid w:val="2436426F"/>
    <w:rsid w:val="2557A296"/>
    <w:rsid w:val="25A6DF34"/>
    <w:rsid w:val="25C40344"/>
    <w:rsid w:val="26035F56"/>
    <w:rsid w:val="2607CB43"/>
    <w:rsid w:val="26178B0C"/>
    <w:rsid w:val="263B7F4B"/>
    <w:rsid w:val="2686D632"/>
    <w:rsid w:val="26BF987A"/>
    <w:rsid w:val="27195503"/>
    <w:rsid w:val="2725AD3E"/>
    <w:rsid w:val="27267932"/>
    <w:rsid w:val="27A00B27"/>
    <w:rsid w:val="27D74FAC"/>
    <w:rsid w:val="27DE152F"/>
    <w:rsid w:val="280E5E23"/>
    <w:rsid w:val="291FB263"/>
    <w:rsid w:val="2980CC34"/>
    <w:rsid w:val="298633F4"/>
    <w:rsid w:val="29E0F45F"/>
    <w:rsid w:val="2AA583F3"/>
    <w:rsid w:val="2AAEDA79"/>
    <w:rsid w:val="2B3953A2"/>
    <w:rsid w:val="2B612FE3"/>
    <w:rsid w:val="2BF9EA55"/>
    <w:rsid w:val="2C106318"/>
    <w:rsid w:val="2C13EE38"/>
    <w:rsid w:val="2C513D0A"/>
    <w:rsid w:val="2C58F1F4"/>
    <w:rsid w:val="2C876EA0"/>
    <w:rsid w:val="2CAF4F21"/>
    <w:rsid w:val="2CF99FA1"/>
    <w:rsid w:val="2E1A0ECE"/>
    <w:rsid w:val="2E394FE0"/>
    <w:rsid w:val="2E57CC07"/>
    <w:rsid w:val="2E694C57"/>
    <w:rsid w:val="2EA5B40C"/>
    <w:rsid w:val="2F5577C2"/>
    <w:rsid w:val="2F95AD68"/>
    <w:rsid w:val="2FE26191"/>
    <w:rsid w:val="3099AAF3"/>
    <w:rsid w:val="309E3C1C"/>
    <w:rsid w:val="30AEEEAA"/>
    <w:rsid w:val="30D22057"/>
    <w:rsid w:val="30DA115C"/>
    <w:rsid w:val="30EF07D8"/>
    <w:rsid w:val="3178C46A"/>
    <w:rsid w:val="31A62479"/>
    <w:rsid w:val="31FBA153"/>
    <w:rsid w:val="320491F8"/>
    <w:rsid w:val="320BAD5F"/>
    <w:rsid w:val="321C52F7"/>
    <w:rsid w:val="3260BA0E"/>
    <w:rsid w:val="332A2DD0"/>
    <w:rsid w:val="33ADAF51"/>
    <w:rsid w:val="34A89164"/>
    <w:rsid w:val="34E89442"/>
    <w:rsid w:val="35298BEB"/>
    <w:rsid w:val="35497FB2"/>
    <w:rsid w:val="35C6DE3F"/>
    <w:rsid w:val="364461C5"/>
    <w:rsid w:val="366ACB72"/>
    <w:rsid w:val="36A157A1"/>
    <w:rsid w:val="36B9D90B"/>
    <w:rsid w:val="376A12F2"/>
    <w:rsid w:val="378888BB"/>
    <w:rsid w:val="37DC4786"/>
    <w:rsid w:val="37F43797"/>
    <w:rsid w:val="383928FB"/>
    <w:rsid w:val="38797A2B"/>
    <w:rsid w:val="38C80E0C"/>
    <w:rsid w:val="38CA86C5"/>
    <w:rsid w:val="38CCFCA1"/>
    <w:rsid w:val="396D3D1E"/>
    <w:rsid w:val="397817E7"/>
    <w:rsid w:val="3991315D"/>
    <w:rsid w:val="39D33EB1"/>
    <w:rsid w:val="39F7B86D"/>
    <w:rsid w:val="3A5551A5"/>
    <w:rsid w:val="3A9A651C"/>
    <w:rsid w:val="3A9D3E82"/>
    <w:rsid w:val="3AC2F07A"/>
    <w:rsid w:val="3AD45DF9"/>
    <w:rsid w:val="3AE7EB68"/>
    <w:rsid w:val="3AF62482"/>
    <w:rsid w:val="3B069471"/>
    <w:rsid w:val="3B191D61"/>
    <w:rsid w:val="3B6161FB"/>
    <w:rsid w:val="3B964253"/>
    <w:rsid w:val="3BBB4C1C"/>
    <w:rsid w:val="3BE64A03"/>
    <w:rsid w:val="3C4BA428"/>
    <w:rsid w:val="3C70E290"/>
    <w:rsid w:val="3CD1E5FA"/>
    <w:rsid w:val="3D54BD3A"/>
    <w:rsid w:val="3D6A3743"/>
    <w:rsid w:val="3D792617"/>
    <w:rsid w:val="3D7E768D"/>
    <w:rsid w:val="3DA36CB5"/>
    <w:rsid w:val="3DF60218"/>
    <w:rsid w:val="3E71B6E3"/>
    <w:rsid w:val="3E8F4222"/>
    <w:rsid w:val="3EA63D58"/>
    <w:rsid w:val="3EB11F25"/>
    <w:rsid w:val="3F3548C9"/>
    <w:rsid w:val="3F4DC8C7"/>
    <w:rsid w:val="3F52AA6D"/>
    <w:rsid w:val="3F6ED695"/>
    <w:rsid w:val="4038CE07"/>
    <w:rsid w:val="4069B376"/>
    <w:rsid w:val="408EC88A"/>
    <w:rsid w:val="40CFFA58"/>
    <w:rsid w:val="41A82FCF"/>
    <w:rsid w:val="41AD7E19"/>
    <w:rsid w:val="41C41717"/>
    <w:rsid w:val="420583D7"/>
    <w:rsid w:val="4212FE8B"/>
    <w:rsid w:val="42376D25"/>
    <w:rsid w:val="425D1F98"/>
    <w:rsid w:val="426D7373"/>
    <w:rsid w:val="427ADCDF"/>
    <w:rsid w:val="42A5FEC9"/>
    <w:rsid w:val="42CA4F47"/>
    <w:rsid w:val="430D29B5"/>
    <w:rsid w:val="434B278A"/>
    <w:rsid w:val="439CCAE5"/>
    <w:rsid w:val="43C759F9"/>
    <w:rsid w:val="43F985DC"/>
    <w:rsid w:val="44103389"/>
    <w:rsid w:val="44261B90"/>
    <w:rsid w:val="4463C0A6"/>
    <w:rsid w:val="44920FDF"/>
    <w:rsid w:val="44C7D00A"/>
    <w:rsid w:val="44D61684"/>
    <w:rsid w:val="45679102"/>
    <w:rsid w:val="458504DB"/>
    <w:rsid w:val="458A2245"/>
    <w:rsid w:val="45A5B58E"/>
    <w:rsid w:val="45F889D3"/>
    <w:rsid w:val="4614BC47"/>
    <w:rsid w:val="46623412"/>
    <w:rsid w:val="4719F643"/>
    <w:rsid w:val="4731269E"/>
    <w:rsid w:val="47429E14"/>
    <w:rsid w:val="474A4EFB"/>
    <w:rsid w:val="477E1DC8"/>
    <w:rsid w:val="479EEEBF"/>
    <w:rsid w:val="47A37092"/>
    <w:rsid w:val="482C730A"/>
    <w:rsid w:val="48DD5650"/>
    <w:rsid w:val="49270932"/>
    <w:rsid w:val="4941D928"/>
    <w:rsid w:val="4949E476"/>
    <w:rsid w:val="496B7B48"/>
    <w:rsid w:val="49E9C910"/>
    <w:rsid w:val="4A664CB0"/>
    <w:rsid w:val="4A77C5EB"/>
    <w:rsid w:val="4AC8FE48"/>
    <w:rsid w:val="4AD2A9FE"/>
    <w:rsid w:val="4B49AFBA"/>
    <w:rsid w:val="4B7A3989"/>
    <w:rsid w:val="4B7D9D18"/>
    <w:rsid w:val="4C021D11"/>
    <w:rsid w:val="4C1DC01E"/>
    <w:rsid w:val="4CB3F39D"/>
    <w:rsid w:val="4CDEF5E9"/>
    <w:rsid w:val="4D9DED72"/>
    <w:rsid w:val="4DA2164E"/>
    <w:rsid w:val="4E1F3FB4"/>
    <w:rsid w:val="4E345FA4"/>
    <w:rsid w:val="4E4FC3FE"/>
    <w:rsid w:val="4EC0388E"/>
    <w:rsid w:val="4EDDE4D9"/>
    <w:rsid w:val="4EE14970"/>
    <w:rsid w:val="4EE1AB33"/>
    <w:rsid w:val="4F0B7B19"/>
    <w:rsid w:val="4F3C3883"/>
    <w:rsid w:val="4F95A623"/>
    <w:rsid w:val="4FD97A0F"/>
    <w:rsid w:val="50B9114C"/>
    <w:rsid w:val="50BC520A"/>
    <w:rsid w:val="50C3475A"/>
    <w:rsid w:val="50D58E34"/>
    <w:rsid w:val="50E1CD8C"/>
    <w:rsid w:val="50E7076F"/>
    <w:rsid w:val="512C13FC"/>
    <w:rsid w:val="518D3CC3"/>
    <w:rsid w:val="51C1B0B6"/>
    <w:rsid w:val="51E02F71"/>
    <w:rsid w:val="52F4C527"/>
    <w:rsid w:val="52F92C1D"/>
    <w:rsid w:val="536043A2"/>
    <w:rsid w:val="5435E666"/>
    <w:rsid w:val="545BC351"/>
    <w:rsid w:val="54CA8BFB"/>
    <w:rsid w:val="54D0DF71"/>
    <w:rsid w:val="54EA07CE"/>
    <w:rsid w:val="5521CDE1"/>
    <w:rsid w:val="5555EE7B"/>
    <w:rsid w:val="55B3678D"/>
    <w:rsid w:val="55BCB4DE"/>
    <w:rsid w:val="55D1B6C7"/>
    <w:rsid w:val="5658E87D"/>
    <w:rsid w:val="565B83E2"/>
    <w:rsid w:val="5660049B"/>
    <w:rsid w:val="568D25A2"/>
    <w:rsid w:val="56A33681"/>
    <w:rsid w:val="56B7031C"/>
    <w:rsid w:val="572DD29B"/>
    <w:rsid w:val="573D2096"/>
    <w:rsid w:val="5742659C"/>
    <w:rsid w:val="57539665"/>
    <w:rsid w:val="5771AD9C"/>
    <w:rsid w:val="580C2418"/>
    <w:rsid w:val="584FBE21"/>
    <w:rsid w:val="588D65EE"/>
    <w:rsid w:val="589CD904"/>
    <w:rsid w:val="58D84EE7"/>
    <w:rsid w:val="598FF024"/>
    <w:rsid w:val="59D1DA41"/>
    <w:rsid w:val="59F54809"/>
    <w:rsid w:val="5A0B3219"/>
    <w:rsid w:val="5A3E2793"/>
    <w:rsid w:val="5A59B863"/>
    <w:rsid w:val="5A7EEB2A"/>
    <w:rsid w:val="5A86D8B0"/>
    <w:rsid w:val="5AE2398E"/>
    <w:rsid w:val="5AEC4BBF"/>
    <w:rsid w:val="5B2EF505"/>
    <w:rsid w:val="5B3852BD"/>
    <w:rsid w:val="5BC92B85"/>
    <w:rsid w:val="5BFD6885"/>
    <w:rsid w:val="5C1ABB8B"/>
    <w:rsid w:val="5C55A9C7"/>
    <w:rsid w:val="5C6AF25F"/>
    <w:rsid w:val="5CEFC0AE"/>
    <w:rsid w:val="5D06AC6E"/>
    <w:rsid w:val="5D2874F3"/>
    <w:rsid w:val="5D447642"/>
    <w:rsid w:val="5D788F52"/>
    <w:rsid w:val="5DBBFEC2"/>
    <w:rsid w:val="5DEB1A55"/>
    <w:rsid w:val="5E26B37E"/>
    <w:rsid w:val="5E4BFB35"/>
    <w:rsid w:val="5E99F469"/>
    <w:rsid w:val="5ECFE08E"/>
    <w:rsid w:val="5F0B28EC"/>
    <w:rsid w:val="5F1F2A99"/>
    <w:rsid w:val="5F5A49D3"/>
    <w:rsid w:val="5F6B84AA"/>
    <w:rsid w:val="5F6C4AD1"/>
    <w:rsid w:val="5F9CEF15"/>
    <w:rsid w:val="60020555"/>
    <w:rsid w:val="601C63FC"/>
    <w:rsid w:val="603BF56E"/>
    <w:rsid w:val="60685B78"/>
    <w:rsid w:val="60A1D90C"/>
    <w:rsid w:val="60E360CC"/>
    <w:rsid w:val="6113AE43"/>
    <w:rsid w:val="616A8D90"/>
    <w:rsid w:val="61D2EF47"/>
    <w:rsid w:val="61FBAB76"/>
    <w:rsid w:val="62111092"/>
    <w:rsid w:val="6211CAC5"/>
    <w:rsid w:val="626608D0"/>
    <w:rsid w:val="6289FD0F"/>
    <w:rsid w:val="6291EA95"/>
    <w:rsid w:val="629A5808"/>
    <w:rsid w:val="62B426CD"/>
    <w:rsid w:val="6312009B"/>
    <w:rsid w:val="6368B4FD"/>
    <w:rsid w:val="63BAB71C"/>
    <w:rsid w:val="6424AD1E"/>
    <w:rsid w:val="644E1602"/>
    <w:rsid w:val="644FF72E"/>
    <w:rsid w:val="645952FF"/>
    <w:rsid w:val="646CF96B"/>
    <w:rsid w:val="64A2145C"/>
    <w:rsid w:val="64A3A7F9"/>
    <w:rsid w:val="64DD16D2"/>
    <w:rsid w:val="6541AA49"/>
    <w:rsid w:val="65944A8F"/>
    <w:rsid w:val="65CEC442"/>
    <w:rsid w:val="6670ECB9"/>
    <w:rsid w:val="66D6F8CA"/>
    <w:rsid w:val="66EB78A9"/>
    <w:rsid w:val="673979F3"/>
    <w:rsid w:val="68191130"/>
    <w:rsid w:val="682FFFE8"/>
    <w:rsid w:val="683742AF"/>
    <w:rsid w:val="685E4588"/>
    <w:rsid w:val="68618884"/>
    <w:rsid w:val="68C4F40E"/>
    <w:rsid w:val="68C53A02"/>
    <w:rsid w:val="68ED3CA7"/>
    <w:rsid w:val="691266F0"/>
    <w:rsid w:val="6913CB0A"/>
    <w:rsid w:val="6952721C"/>
    <w:rsid w:val="695761DB"/>
    <w:rsid w:val="6A03276F"/>
    <w:rsid w:val="6A17A74E"/>
    <w:rsid w:val="6A87CDA4"/>
    <w:rsid w:val="6B50B1F2"/>
    <w:rsid w:val="6BBFE05E"/>
    <w:rsid w:val="6C5B0913"/>
    <w:rsid w:val="6CBB35CD"/>
    <w:rsid w:val="6D015019"/>
    <w:rsid w:val="6D136771"/>
    <w:rsid w:val="6D25BDFE"/>
    <w:rsid w:val="6D5D81BF"/>
    <w:rsid w:val="6D7438D5"/>
    <w:rsid w:val="6D8463EB"/>
    <w:rsid w:val="6E0EB248"/>
    <w:rsid w:val="6E2CC14C"/>
    <w:rsid w:val="6E5D2DFA"/>
    <w:rsid w:val="6EBA9F24"/>
    <w:rsid w:val="6F445D80"/>
    <w:rsid w:val="6FC36600"/>
    <w:rsid w:val="6FFA0B90"/>
    <w:rsid w:val="7012DE86"/>
    <w:rsid w:val="701C590E"/>
    <w:rsid w:val="705B84B9"/>
    <w:rsid w:val="70C19049"/>
    <w:rsid w:val="71195261"/>
    <w:rsid w:val="715A48B3"/>
    <w:rsid w:val="716B976C"/>
    <w:rsid w:val="71944289"/>
    <w:rsid w:val="71F2E128"/>
    <w:rsid w:val="71F737E5"/>
    <w:rsid w:val="73055B23"/>
    <w:rsid w:val="736FEF8D"/>
    <w:rsid w:val="73970C8F"/>
    <w:rsid w:val="74107E50"/>
    <w:rsid w:val="741CF6DB"/>
    <w:rsid w:val="742AEBA6"/>
    <w:rsid w:val="743DCB3C"/>
    <w:rsid w:val="743F923C"/>
    <w:rsid w:val="746EE916"/>
    <w:rsid w:val="7499F89F"/>
    <w:rsid w:val="749C7798"/>
    <w:rsid w:val="74C41DE8"/>
    <w:rsid w:val="74ECC4B7"/>
    <w:rsid w:val="7523B241"/>
    <w:rsid w:val="755C14EE"/>
    <w:rsid w:val="7566CADE"/>
    <w:rsid w:val="75E6FD8F"/>
    <w:rsid w:val="75EB9BAE"/>
    <w:rsid w:val="763CFBE5"/>
    <w:rsid w:val="76EE3FB5"/>
    <w:rsid w:val="7708EFDA"/>
    <w:rsid w:val="771111F9"/>
    <w:rsid w:val="776566FA"/>
    <w:rsid w:val="7765F016"/>
    <w:rsid w:val="77B27FFB"/>
    <w:rsid w:val="77BF8655"/>
    <w:rsid w:val="77CCDE0B"/>
    <w:rsid w:val="77D8CC46"/>
    <w:rsid w:val="77EC9FD3"/>
    <w:rsid w:val="77F7C66E"/>
    <w:rsid w:val="780F2C80"/>
    <w:rsid w:val="7810AC4A"/>
    <w:rsid w:val="78270B06"/>
    <w:rsid w:val="782DE1F3"/>
    <w:rsid w:val="78357F5D"/>
    <w:rsid w:val="7844BB57"/>
    <w:rsid w:val="78667969"/>
    <w:rsid w:val="788A1016"/>
    <w:rsid w:val="78CAFC41"/>
    <w:rsid w:val="7910C4D4"/>
    <w:rsid w:val="79749CA7"/>
    <w:rsid w:val="799F536F"/>
    <w:rsid w:val="79F1EA79"/>
    <w:rsid w:val="7A03D90E"/>
    <w:rsid w:val="7A1426B1"/>
    <w:rsid w:val="7A6643DF"/>
    <w:rsid w:val="7AEC3B92"/>
    <w:rsid w:val="7AF255E9"/>
    <w:rsid w:val="7B10C558"/>
    <w:rsid w:val="7B356A9A"/>
    <w:rsid w:val="7B7BA382"/>
    <w:rsid w:val="7B85A29B"/>
    <w:rsid w:val="7BE5E024"/>
    <w:rsid w:val="7C11D409"/>
    <w:rsid w:val="7C1B3C9D"/>
    <w:rsid w:val="7C9B15BE"/>
    <w:rsid w:val="7D2BF18F"/>
    <w:rsid w:val="7D5D8139"/>
    <w:rsid w:val="7D6811D6"/>
    <w:rsid w:val="7DE2D380"/>
    <w:rsid w:val="7DFBFBDD"/>
    <w:rsid w:val="7E480DCA"/>
    <w:rsid w:val="7E6A6C89"/>
    <w:rsid w:val="7E6FE6EC"/>
    <w:rsid w:val="7EF47C8D"/>
    <w:rsid w:val="7EF6720A"/>
    <w:rsid w:val="7EF9519A"/>
    <w:rsid w:val="7F38448C"/>
    <w:rsid w:val="7F4D42F2"/>
    <w:rsid w:val="7F54F91A"/>
    <w:rsid w:val="7F6269E6"/>
    <w:rsid w:val="7FA2F38C"/>
    <w:rsid w:val="7FE3D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2C0FA"/>
  <w15:docId w15:val="{F7DF1195-111F-4DAB-9547-B649ED0F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4C5"/>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2"/>
      </w:numPr>
      <w:spacing w:before="240"/>
      <w:outlineLvl w:val="0"/>
    </w:pPr>
    <w:rPr>
      <w:b/>
      <w:smallCaps/>
    </w:rPr>
  </w:style>
  <w:style w:type="paragraph" w:styleId="Heading2">
    <w:name w:val="heading 2"/>
    <w:basedOn w:val="Normal"/>
    <w:next w:val="Text2"/>
    <w:qFormat/>
    <w:pPr>
      <w:keepNext/>
      <w:numPr>
        <w:ilvl w:val="1"/>
        <w:numId w:val="2"/>
      </w:numPr>
      <w:outlineLvl w:val="1"/>
    </w:pPr>
    <w:rPr>
      <w:b/>
    </w:rPr>
  </w:style>
  <w:style w:type="paragraph" w:styleId="Heading3">
    <w:name w:val="heading 3"/>
    <w:basedOn w:val="Normal"/>
    <w:next w:val="Text3"/>
    <w:link w:val="Heading3Char"/>
    <w:qFormat/>
    <w:pPr>
      <w:keepNext/>
      <w:numPr>
        <w:ilvl w:val="2"/>
        <w:numId w:val="2"/>
      </w:numPr>
      <w:outlineLvl w:val="2"/>
    </w:pPr>
    <w:rPr>
      <w:i/>
    </w:rPr>
  </w:style>
  <w:style w:type="paragraph" w:styleId="Heading4">
    <w:name w:val="heading 4"/>
    <w:basedOn w:val="Normal"/>
    <w:next w:val="Text4"/>
    <w:qFormat/>
    <w:pPr>
      <w:keepNext/>
      <w:numPr>
        <w:ilvl w:val="3"/>
        <w:numId w:val="2"/>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3"/>
      </w:numPr>
    </w:pPr>
  </w:style>
  <w:style w:type="paragraph" w:styleId="ListBullet2">
    <w:name w:val="List Bullet 2"/>
    <w:basedOn w:val="Text2"/>
    <w:uiPriority w:val="99"/>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2"/>
      </w:numPr>
    </w:pPr>
    <w:rPr>
      <w:rFonts w:ascii="Times New Roman" w:hAnsi="Times New Roman"/>
    </w:rPr>
  </w:style>
  <w:style w:type="paragraph" w:styleId="ListNumber2">
    <w:name w:val="List Number 2"/>
    <w:basedOn w:val="Text2"/>
    <w:pPr>
      <w:numPr>
        <w:numId w:val="14"/>
      </w:numPr>
      <w:tabs>
        <w:tab w:val="clear" w:pos="2160"/>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4"/>
      </w:numPr>
    </w:pPr>
  </w:style>
  <w:style w:type="paragraph" w:customStyle="1" w:styleId="ListDash">
    <w:name w:val="List Dash"/>
    <w:basedOn w:val="Normal"/>
    <w:link w:val="ListDashChar"/>
    <w:pPr>
      <w:numPr>
        <w:numId w:val="19"/>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160"/>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160"/>
      </w:tabs>
    </w:pPr>
  </w:style>
  <w:style w:type="paragraph" w:customStyle="1" w:styleId="ListNumber2Level3">
    <w:name w:val="List Number 2 (Level 3)"/>
    <w:basedOn w:val="Text2"/>
    <w:pPr>
      <w:numPr>
        <w:ilvl w:val="2"/>
        <w:numId w:val="14"/>
      </w:numPr>
      <w:tabs>
        <w:tab w:val="clear" w:pos="2160"/>
      </w:tabs>
    </w:pPr>
  </w:style>
  <w:style w:type="paragraph" w:customStyle="1" w:styleId="ListNumber2Level4">
    <w:name w:val="List Number 2 (Level 4)"/>
    <w:basedOn w:val="Text2"/>
    <w:pPr>
      <w:numPr>
        <w:ilvl w:val="3"/>
        <w:numId w:val="14"/>
      </w:numPr>
      <w:tabs>
        <w:tab w:val="clear" w:pos="2160"/>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7"/>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uiPriority w:val="39"/>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8"/>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Dot pt,F5 List Paragraph,List Paragraph1,No Spacing1,List Paragraph Char Char Char,Indicator Text,Numbered Para 1,Bullet Points,MAIN CONTENT,List Paragraph12,Bullet 1,OBC Bullet,Task Body,N,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20"/>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1"/>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2"/>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3"/>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oj-doc-ti">
    <w:name w:val="oj-doc-ti"/>
    <w:basedOn w:val="Normal"/>
    <w:rsid w:val="00465070"/>
    <w:pPr>
      <w:spacing w:before="100" w:beforeAutospacing="1" w:after="100" w:afterAutospacing="1"/>
      <w:jc w:val="left"/>
    </w:pPr>
    <w:rPr>
      <w:rFonts w:ascii="Times New Roman" w:hAnsi="Times New Roman"/>
      <w:szCs w:val="24"/>
      <w:lang w:val="en-IE" w:eastAsia="en-IE"/>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link w:val="ListParagraph"/>
    <w:uiPriority w:val="34"/>
    <w:qFormat/>
    <w:locked/>
    <w:rsid w:val="00FE1439"/>
    <w:rPr>
      <w:rFonts w:ascii="Calibri" w:eastAsia="Calibri" w:hAnsi="Calibri"/>
      <w:sz w:val="22"/>
      <w:szCs w:val="22"/>
      <w:lang w:val="en-US" w:eastAsia="en-US"/>
    </w:rPr>
  </w:style>
  <w:style w:type="character" w:styleId="UnresolvedMention">
    <w:name w:val="Unresolved Mention"/>
    <w:uiPriority w:val="99"/>
    <w:semiHidden/>
    <w:unhideWhenUsed/>
    <w:rsid w:val="006F264A"/>
    <w:rPr>
      <w:color w:val="605E5C"/>
      <w:shd w:val="clear" w:color="auto" w:fill="E1DFDD"/>
    </w:rPr>
  </w:style>
  <w:style w:type="character" w:customStyle="1" w:styleId="normaltextrun">
    <w:name w:val="normaltextrun"/>
    <w:basedOn w:val="DefaultParagraphFont"/>
    <w:rsid w:val="004772AC"/>
  </w:style>
  <w:style w:type="character" w:customStyle="1" w:styleId="eop">
    <w:name w:val="eop"/>
    <w:basedOn w:val="DefaultParagraphFont"/>
    <w:rsid w:val="0047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414">
      <w:bodyDiv w:val="1"/>
      <w:marLeft w:val="0"/>
      <w:marRight w:val="0"/>
      <w:marTop w:val="0"/>
      <w:marBottom w:val="0"/>
      <w:divBdr>
        <w:top w:val="none" w:sz="0" w:space="0" w:color="auto"/>
        <w:left w:val="none" w:sz="0" w:space="0" w:color="auto"/>
        <w:bottom w:val="none" w:sz="0" w:space="0" w:color="auto"/>
        <w:right w:val="none" w:sz="0" w:space="0" w:color="auto"/>
      </w:divBdr>
    </w:div>
    <w:div w:id="111822525">
      <w:bodyDiv w:val="1"/>
      <w:marLeft w:val="0"/>
      <w:marRight w:val="0"/>
      <w:marTop w:val="0"/>
      <w:marBottom w:val="0"/>
      <w:divBdr>
        <w:top w:val="none" w:sz="0" w:space="0" w:color="auto"/>
        <w:left w:val="none" w:sz="0" w:space="0" w:color="auto"/>
        <w:bottom w:val="none" w:sz="0" w:space="0" w:color="auto"/>
        <w:right w:val="none" w:sz="0" w:space="0" w:color="auto"/>
      </w:divBdr>
    </w:div>
    <w:div w:id="112213239">
      <w:bodyDiv w:val="1"/>
      <w:marLeft w:val="0"/>
      <w:marRight w:val="0"/>
      <w:marTop w:val="0"/>
      <w:marBottom w:val="0"/>
      <w:divBdr>
        <w:top w:val="none" w:sz="0" w:space="0" w:color="auto"/>
        <w:left w:val="none" w:sz="0" w:space="0" w:color="auto"/>
        <w:bottom w:val="none" w:sz="0" w:space="0" w:color="auto"/>
        <w:right w:val="none" w:sz="0" w:space="0" w:color="auto"/>
      </w:divBdr>
    </w:div>
    <w:div w:id="255984586">
      <w:bodyDiv w:val="1"/>
      <w:marLeft w:val="0"/>
      <w:marRight w:val="0"/>
      <w:marTop w:val="0"/>
      <w:marBottom w:val="0"/>
      <w:divBdr>
        <w:top w:val="none" w:sz="0" w:space="0" w:color="auto"/>
        <w:left w:val="none" w:sz="0" w:space="0" w:color="auto"/>
        <w:bottom w:val="none" w:sz="0" w:space="0" w:color="auto"/>
        <w:right w:val="none" w:sz="0" w:space="0" w:color="auto"/>
      </w:divBdr>
    </w:div>
    <w:div w:id="355735045">
      <w:bodyDiv w:val="1"/>
      <w:marLeft w:val="0"/>
      <w:marRight w:val="0"/>
      <w:marTop w:val="0"/>
      <w:marBottom w:val="0"/>
      <w:divBdr>
        <w:top w:val="none" w:sz="0" w:space="0" w:color="auto"/>
        <w:left w:val="none" w:sz="0" w:space="0" w:color="auto"/>
        <w:bottom w:val="none" w:sz="0" w:space="0" w:color="auto"/>
        <w:right w:val="none" w:sz="0" w:space="0" w:color="auto"/>
      </w:divBdr>
    </w:div>
    <w:div w:id="428307441">
      <w:bodyDiv w:val="1"/>
      <w:marLeft w:val="0"/>
      <w:marRight w:val="0"/>
      <w:marTop w:val="0"/>
      <w:marBottom w:val="0"/>
      <w:divBdr>
        <w:top w:val="none" w:sz="0" w:space="0" w:color="auto"/>
        <w:left w:val="none" w:sz="0" w:space="0" w:color="auto"/>
        <w:bottom w:val="none" w:sz="0" w:space="0" w:color="auto"/>
        <w:right w:val="none" w:sz="0" w:space="0" w:color="auto"/>
      </w:divBdr>
    </w:div>
    <w:div w:id="547684734">
      <w:bodyDiv w:val="1"/>
      <w:marLeft w:val="0"/>
      <w:marRight w:val="0"/>
      <w:marTop w:val="0"/>
      <w:marBottom w:val="0"/>
      <w:divBdr>
        <w:top w:val="none" w:sz="0" w:space="0" w:color="auto"/>
        <w:left w:val="none" w:sz="0" w:space="0" w:color="auto"/>
        <w:bottom w:val="none" w:sz="0" w:space="0" w:color="auto"/>
        <w:right w:val="none" w:sz="0" w:space="0" w:color="auto"/>
      </w:divBdr>
    </w:div>
    <w:div w:id="636643074">
      <w:bodyDiv w:val="1"/>
      <w:marLeft w:val="0"/>
      <w:marRight w:val="0"/>
      <w:marTop w:val="0"/>
      <w:marBottom w:val="0"/>
      <w:divBdr>
        <w:top w:val="none" w:sz="0" w:space="0" w:color="auto"/>
        <w:left w:val="none" w:sz="0" w:space="0" w:color="auto"/>
        <w:bottom w:val="none" w:sz="0" w:space="0" w:color="auto"/>
        <w:right w:val="none" w:sz="0" w:space="0" w:color="auto"/>
      </w:divBdr>
    </w:div>
    <w:div w:id="728113125">
      <w:bodyDiv w:val="1"/>
      <w:marLeft w:val="0"/>
      <w:marRight w:val="0"/>
      <w:marTop w:val="0"/>
      <w:marBottom w:val="0"/>
      <w:divBdr>
        <w:top w:val="none" w:sz="0" w:space="0" w:color="auto"/>
        <w:left w:val="none" w:sz="0" w:space="0" w:color="auto"/>
        <w:bottom w:val="none" w:sz="0" w:space="0" w:color="auto"/>
        <w:right w:val="none" w:sz="0" w:space="0" w:color="auto"/>
      </w:divBdr>
      <w:divsChild>
        <w:div w:id="424037162">
          <w:marLeft w:val="0"/>
          <w:marRight w:val="0"/>
          <w:marTop w:val="0"/>
          <w:marBottom w:val="0"/>
          <w:divBdr>
            <w:top w:val="none" w:sz="0" w:space="0" w:color="auto"/>
            <w:left w:val="none" w:sz="0" w:space="0" w:color="auto"/>
            <w:bottom w:val="none" w:sz="0" w:space="0" w:color="auto"/>
            <w:right w:val="none" w:sz="0" w:space="0" w:color="auto"/>
          </w:divBdr>
        </w:div>
      </w:divsChild>
    </w:div>
    <w:div w:id="745154052">
      <w:bodyDiv w:val="1"/>
      <w:marLeft w:val="0"/>
      <w:marRight w:val="0"/>
      <w:marTop w:val="0"/>
      <w:marBottom w:val="0"/>
      <w:divBdr>
        <w:top w:val="none" w:sz="0" w:space="0" w:color="auto"/>
        <w:left w:val="none" w:sz="0" w:space="0" w:color="auto"/>
        <w:bottom w:val="none" w:sz="0" w:space="0" w:color="auto"/>
        <w:right w:val="none" w:sz="0" w:space="0" w:color="auto"/>
      </w:divBdr>
    </w:div>
    <w:div w:id="780614661">
      <w:bodyDiv w:val="1"/>
      <w:marLeft w:val="0"/>
      <w:marRight w:val="0"/>
      <w:marTop w:val="0"/>
      <w:marBottom w:val="0"/>
      <w:divBdr>
        <w:top w:val="none" w:sz="0" w:space="0" w:color="auto"/>
        <w:left w:val="none" w:sz="0" w:space="0" w:color="auto"/>
        <w:bottom w:val="none" w:sz="0" w:space="0" w:color="auto"/>
        <w:right w:val="none" w:sz="0" w:space="0" w:color="auto"/>
      </w:divBdr>
    </w:div>
    <w:div w:id="790325527">
      <w:bodyDiv w:val="1"/>
      <w:marLeft w:val="0"/>
      <w:marRight w:val="0"/>
      <w:marTop w:val="0"/>
      <w:marBottom w:val="0"/>
      <w:divBdr>
        <w:top w:val="none" w:sz="0" w:space="0" w:color="auto"/>
        <w:left w:val="none" w:sz="0" w:space="0" w:color="auto"/>
        <w:bottom w:val="none" w:sz="0" w:space="0" w:color="auto"/>
        <w:right w:val="none" w:sz="0" w:space="0" w:color="auto"/>
      </w:divBdr>
      <w:divsChild>
        <w:div w:id="627013044">
          <w:marLeft w:val="0"/>
          <w:marRight w:val="0"/>
          <w:marTop w:val="0"/>
          <w:marBottom w:val="0"/>
          <w:divBdr>
            <w:top w:val="none" w:sz="0" w:space="0" w:color="auto"/>
            <w:left w:val="none" w:sz="0" w:space="0" w:color="auto"/>
            <w:bottom w:val="none" w:sz="0" w:space="0" w:color="auto"/>
            <w:right w:val="none" w:sz="0" w:space="0" w:color="auto"/>
          </w:divBdr>
        </w:div>
      </w:divsChild>
    </w:div>
    <w:div w:id="875197501">
      <w:bodyDiv w:val="1"/>
      <w:marLeft w:val="0"/>
      <w:marRight w:val="0"/>
      <w:marTop w:val="0"/>
      <w:marBottom w:val="0"/>
      <w:divBdr>
        <w:top w:val="none" w:sz="0" w:space="0" w:color="auto"/>
        <w:left w:val="none" w:sz="0" w:space="0" w:color="auto"/>
        <w:bottom w:val="none" w:sz="0" w:space="0" w:color="auto"/>
        <w:right w:val="none" w:sz="0" w:space="0" w:color="auto"/>
      </w:divBdr>
    </w:div>
    <w:div w:id="1004093213">
      <w:bodyDiv w:val="1"/>
      <w:marLeft w:val="0"/>
      <w:marRight w:val="0"/>
      <w:marTop w:val="0"/>
      <w:marBottom w:val="0"/>
      <w:divBdr>
        <w:top w:val="none" w:sz="0" w:space="0" w:color="auto"/>
        <w:left w:val="none" w:sz="0" w:space="0" w:color="auto"/>
        <w:bottom w:val="none" w:sz="0" w:space="0" w:color="auto"/>
        <w:right w:val="none" w:sz="0" w:space="0" w:color="auto"/>
      </w:divBdr>
    </w:div>
    <w:div w:id="1080567971">
      <w:bodyDiv w:val="1"/>
      <w:marLeft w:val="0"/>
      <w:marRight w:val="0"/>
      <w:marTop w:val="0"/>
      <w:marBottom w:val="0"/>
      <w:divBdr>
        <w:top w:val="none" w:sz="0" w:space="0" w:color="auto"/>
        <w:left w:val="none" w:sz="0" w:space="0" w:color="auto"/>
        <w:bottom w:val="none" w:sz="0" w:space="0" w:color="auto"/>
        <w:right w:val="none" w:sz="0" w:space="0" w:color="auto"/>
      </w:divBdr>
    </w:div>
    <w:div w:id="1171676323">
      <w:bodyDiv w:val="1"/>
      <w:marLeft w:val="0"/>
      <w:marRight w:val="0"/>
      <w:marTop w:val="0"/>
      <w:marBottom w:val="0"/>
      <w:divBdr>
        <w:top w:val="none" w:sz="0" w:space="0" w:color="auto"/>
        <w:left w:val="none" w:sz="0" w:space="0" w:color="auto"/>
        <w:bottom w:val="none" w:sz="0" w:space="0" w:color="auto"/>
        <w:right w:val="none" w:sz="0" w:space="0" w:color="auto"/>
      </w:divBdr>
    </w:div>
    <w:div w:id="1289513564">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929069950">
      <w:bodyDiv w:val="1"/>
      <w:marLeft w:val="0"/>
      <w:marRight w:val="0"/>
      <w:marTop w:val="0"/>
      <w:marBottom w:val="0"/>
      <w:divBdr>
        <w:top w:val="none" w:sz="0" w:space="0" w:color="auto"/>
        <w:left w:val="none" w:sz="0" w:space="0" w:color="auto"/>
        <w:bottom w:val="none" w:sz="0" w:space="0" w:color="auto"/>
        <w:right w:val="none" w:sz="0" w:space="0" w:color="auto"/>
      </w:divBdr>
    </w:div>
    <w:div w:id="21154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ngage.eif.org/investeu/equity?overlay=Digital-CCS-Sectors" TargetMode="External"/><Relationship Id="rId13" Type="http://schemas.openxmlformats.org/officeDocument/2006/relationships/hyperlink" Target="https://single-market-economy.ec.europa.eu/smes/sme-strategy/sme-envoys-network_en" TargetMode="External"/><Relationship Id="rId3" Type="http://schemas.openxmlformats.org/officeDocument/2006/relationships/hyperlink" Target="https://europa.eu/youreurope/business/finance-funding/getting-funding/access-finance/search/" TargetMode="External"/><Relationship Id="rId7" Type="http://schemas.openxmlformats.org/officeDocument/2006/relationships/hyperlink" Target="https://www.eif.org/what_we_do/guarantees/cultural_creative_sectors_guarantee_facility/index.htm" TargetMode="External"/><Relationship Id="rId12" Type="http://schemas.openxmlformats.org/officeDocument/2006/relationships/hyperlink" Target="https://finance.ec.europa.eu/capital-markets-union-and-financial-markets/capital-markets-union_en" TargetMode="External"/><Relationship Id="rId17" Type="http://schemas.openxmlformats.org/officeDocument/2006/relationships/hyperlink" Target="https://startupnationsstandard.eu/files/SNS-declaration.pdf" TargetMode="External"/><Relationship Id="rId2" Type="http://schemas.openxmlformats.org/officeDocument/2006/relationships/hyperlink" Target="https://engage.eif.org/investeu/equity?overlay=ESCALAR" TargetMode="External"/><Relationship Id="rId16" Type="http://schemas.openxmlformats.org/officeDocument/2006/relationships/hyperlink" Target="https://joinup.ec.europa.eu/collection/govtechconnect/document/scale-public-sector-new-brochure-guide-startups" TargetMode="External"/><Relationship Id="rId1" Type="http://schemas.openxmlformats.org/officeDocument/2006/relationships/hyperlink" Target="https://www.eif.org/etci/index.htm" TargetMode="External"/><Relationship Id="rId6" Type="http://schemas.openxmlformats.org/officeDocument/2006/relationships/hyperlink" Target="https://www.eif.org/news_centre/audiovisual_library/case_studies/index.htm" TargetMode="External"/><Relationship Id="rId11" Type="http://schemas.openxmlformats.org/officeDocument/2006/relationships/hyperlink" Target="http://www.access2finance.eu" TargetMode="External"/><Relationship Id="rId5" Type="http://schemas.openxmlformats.org/officeDocument/2006/relationships/hyperlink" Target="https://investeu.europa.eu/index_en" TargetMode="External"/><Relationship Id="rId15" Type="http://schemas.openxmlformats.org/officeDocument/2006/relationships/hyperlink" Target="https://public-buyers-community.ec.europa.eu/news/how-do-start-ups-fit-new-brochure-guide-public-buyers" TargetMode="External"/><Relationship Id="rId10" Type="http://schemas.openxmlformats.org/officeDocument/2006/relationships/hyperlink" Target="https://een.ec.europa.eu/about-enterprise-europe-network" TargetMode="External"/><Relationship Id="rId4" Type="http://schemas.openxmlformats.org/officeDocument/2006/relationships/hyperlink" Target="https://een.ec.europa.eu/" TargetMode="External"/><Relationship Id="rId9" Type="http://schemas.openxmlformats.org/officeDocument/2006/relationships/hyperlink" Target="https://digital-strategy.ec.europa.eu/en/policies/mediainvest" TargetMode="External"/><Relationship Id="rId14" Type="http://schemas.openxmlformats.org/officeDocument/2006/relationships/hyperlink" Target="https://eic.ec.europa.eu/index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87088d67-7d15-489b-a83f-695395e5947d">Not Started</EC_Collab_Status>
    <EC_Collab_Reference xmlns="87088d67-7d15-489b-a83f-695395e5947d" xsi:nil="true"/>
    <_Status xmlns="http://schemas.microsoft.com/sharepoint/v3/fields">Not Started</_Status>
    <Status xmlns="87088d67-7d15-489b-a83f-695395e5947d">Open</Status>
    <Sort_x0020_order xmlns="87088d67-7d15-489b-a83f-695395e5947d" xsi:nil="true"/>
    <EC_Collab_DocumentLanguage xmlns="87088d67-7d15-489b-a83f-695395e5947d">EN</EC_Collab_DocumentLanguage>
    <SharedWithUsers xmlns="a58ce97c-e02b-4e07-978a-4703d4b3dca6">
      <UserInfo>
        <DisplayName>GROW - All</DisplayName>
        <AccountId>95</AccountId>
        <AccountType/>
      </UserInfo>
      <UserInfo>
        <DisplayName>SG - All</DisplayName>
        <AccountId>817</AccountId>
        <AccountType/>
      </UserInfo>
      <UserInfo>
        <DisplayName>SJ - All</DisplayName>
        <AccountId>1441</AccountId>
        <AccountType/>
      </UserInfo>
      <UserInfo>
        <DisplayName>BUDG - All</DisplayName>
        <AccountId>1440</AccountId>
        <AccountType/>
      </UserInfo>
      <UserInfo>
        <DisplayName>RTD - All</DisplayName>
        <AccountId>1114</AccountId>
        <AccountType/>
      </UserInfo>
      <UserInfo>
        <DisplayName>FISMA - All</DisplayName>
        <AccountId>1098</AccountId>
        <AccountType/>
      </UserInfo>
      <UserInfo>
        <DisplayName>COMP - All</DisplayName>
        <AccountId>792</AccountId>
        <AccountType/>
      </UserInfo>
      <UserInfo>
        <DisplayName>REGIO - All</DisplayName>
        <AccountId>891</AccountId>
        <AccountType/>
      </UserInfo>
      <UserInfo>
        <DisplayName>ECFIN - All</DisplayName>
        <AccountId>1006</AccountId>
        <AccountType/>
      </UserInfo>
      <UserInfo>
        <DisplayName>EAC - All</DisplayName>
        <AccountId>2023</AccountId>
        <AccountType/>
      </UserInfo>
      <UserInfo>
        <DisplayName>CNECT - All</DisplayName>
        <AccountId>96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9B11981C1D967479FC8FFDC6793A5F5" ma:contentTypeVersion="4" ma:contentTypeDescription="Create a new document in this library." ma:contentTypeScope="" ma:versionID="3ce5f4db660a4f15dde75bb4cd774115">
  <xsd:schema xmlns:xsd="http://www.w3.org/2001/XMLSchema" xmlns:xs="http://www.w3.org/2001/XMLSchema" xmlns:p="http://schemas.microsoft.com/office/2006/metadata/properties" xmlns:ns2="http://schemas.microsoft.com/sharepoint/v3/fields" xmlns:ns3="87088d67-7d15-489b-a83f-695395e5947d" xmlns:ns4="a58ce97c-e02b-4e07-978a-4703d4b3dca6" targetNamespace="http://schemas.microsoft.com/office/2006/metadata/properties" ma:root="true" ma:fieldsID="5247551fb957d06a14333be5ccd1dce4" ns2:_="" ns3:_="" ns4:_="">
    <xsd:import namespace="http://schemas.microsoft.com/sharepoint/v3/fields"/>
    <xsd:import namespace="87088d67-7d15-489b-a83f-695395e5947d"/>
    <xsd:import namespace="a58ce97c-e02b-4e07-978a-4703d4b3dc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 minOccurs="0"/>
                <xsd:element ref="ns3: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088d67-7d15-489b-a83f-695395e5947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 ma:index="16" nillable="true" ma:displayName="Sort order" ma:decimals="2" ma:internalName="Sort_x0020_order">
      <xsd:simpleType>
        <xsd:restriction base="dms:Number"/>
      </xsd:simpleType>
    </xsd:element>
    <xsd:element name="Status" ma:index="17" nillable="true" ma:displayName="Status" ma:default="Open" ma:format="Dropdown" ma:internalName="Status">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a58ce97c-e02b-4e07-978a-4703d4b3d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60AD2-945C-4297-AEC0-C0899F8E0483}">
  <ds:schemaRefs>
    <ds:schemaRef ds:uri="http://schemas.microsoft.com/office/2006/metadata/properties"/>
    <ds:schemaRef ds:uri="http://schemas.microsoft.com/office/infopath/2007/PartnerControls"/>
    <ds:schemaRef ds:uri="87088d67-7d15-489b-a83f-695395e5947d"/>
    <ds:schemaRef ds:uri="http://schemas.microsoft.com/sharepoint/v3/fields"/>
    <ds:schemaRef ds:uri="a58ce97c-e02b-4e07-978a-4703d4b3dca6"/>
  </ds:schemaRefs>
</ds:datastoreItem>
</file>

<file path=customXml/itemProps2.xml><?xml version="1.0" encoding="utf-8"?>
<ds:datastoreItem xmlns:ds="http://schemas.openxmlformats.org/officeDocument/2006/customXml" ds:itemID="{E81EF6E5-587B-45A1-BF05-EA372D839199}">
  <ds:schemaRefs>
    <ds:schemaRef ds:uri="http://schemas.openxmlformats.org/officeDocument/2006/bibliography"/>
  </ds:schemaRefs>
</ds:datastoreItem>
</file>

<file path=customXml/itemProps3.xml><?xml version="1.0" encoding="utf-8"?>
<ds:datastoreItem xmlns:ds="http://schemas.openxmlformats.org/officeDocument/2006/customXml" ds:itemID="{7052712D-604B-48D0-B111-206AB5EAA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7088d67-7d15-489b-a83f-695395e5947d"/>
    <ds:schemaRef ds:uri="a58ce97c-e02b-4e07-978a-4703d4b3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D1B1A-5C6E-4C2F-9AAC-94BFA2D37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5158</Words>
  <Characters>29923</Characters>
  <Application>Microsoft Office Word</Application>
  <DocSecurity>0</DocSecurity>
  <PresentationFormat>Microsoft Word 8.0b</PresentationFormat>
  <Lines>433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Michail (GROW)</dc:creator>
  <cp:keywords/>
  <cp:lastModifiedBy>ALMEIDA Maria Jose (SG)</cp:lastModifiedBy>
  <cp:revision>4</cp:revision>
  <dcterms:created xsi:type="dcterms:W3CDTF">2024-05-28T19:06:00Z</dcterms:created>
  <dcterms:modified xsi:type="dcterms:W3CDTF">2024-05-30T14:53:00Z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2023-06-20T14:15:34Z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3775c1d8-785f-4065-b7eb-ec853e6c8b9c</vt:lpwstr>
  </property>
  <property fmtid="{D5CDD505-2E9C-101B-9397-08002B2CF9AE}" pid="8" name="MSIP_Label_6bd9ddd1-4d20-43f6-abfa-fc3c07406f94_ContentBits">
    <vt:lpwstr>0</vt:lpwstr>
  </property>
  <property fmtid="{D5CDD505-2E9C-101B-9397-08002B2CF9AE}" pid="9" name="ContentTypeId">
    <vt:lpwstr>0x010100258AA79CEB83498886A3A0868112325000B9B11981C1D967479FC8FFDC6793A5F5</vt:lpwstr>
  </property>
</Properties>
</file>