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BDB70D" w14:textId="77777777" w:rsidR="00713742" w:rsidRDefault="00713742" w:rsidP="00713742">
      <w:pPr>
        <w:spacing w:after="600"/>
        <w:jc w:val="center"/>
        <w:rPr>
          <w:rFonts w:ascii="Times New Roman" w:hAnsi="Times New Roman"/>
          <w:b/>
          <w:bCs/>
          <w:szCs w:val="24"/>
        </w:rPr>
      </w:pPr>
      <w:bookmarkStart w:id="0" w:name="STARTUPS"/>
      <w:r>
        <w:rPr>
          <w:rFonts w:ascii="Times New Roman" w:hAnsi="Times New Roman"/>
          <w:b/>
        </w:rPr>
        <w:t>Suite donnée à la résolution non législative du Parlement européen sur l’accroissement de l’innovation et de la compétitivité industrielle et technologique grâce à un environnement favorable aux jeunes pousses et aux entreprises en expansion</w:t>
      </w:r>
    </w:p>
    <w:bookmarkEnd w:id="0"/>
    <w:p w14:paraId="3224361B" w14:textId="77777777" w:rsidR="00713742" w:rsidRPr="00313481" w:rsidRDefault="00713742" w:rsidP="00713742">
      <w:pPr>
        <w:numPr>
          <w:ilvl w:val="0"/>
          <w:numId w:val="28"/>
        </w:numPr>
        <w:ind w:left="567" w:hanging="567"/>
        <w:rPr>
          <w:rFonts w:ascii="Times New Roman" w:hAnsi="Times New Roman"/>
          <w:b/>
          <w:bCs/>
          <w:szCs w:val="24"/>
        </w:rPr>
      </w:pPr>
      <w:r>
        <w:rPr>
          <w:rFonts w:ascii="Times New Roman" w:hAnsi="Times New Roman"/>
          <w:b/>
        </w:rPr>
        <w:t xml:space="preserve">Rapporteure: </w:t>
      </w:r>
      <w:r>
        <w:rPr>
          <w:rFonts w:ascii="Times New Roman" w:hAnsi="Times New Roman"/>
        </w:rPr>
        <w:t>Tsvetelina PENKOVA (S&amp;D / BG)</w:t>
      </w:r>
    </w:p>
    <w:p w14:paraId="323C6F1E" w14:textId="77777777" w:rsidR="00713742" w:rsidRPr="00313481" w:rsidRDefault="00713742" w:rsidP="00713742">
      <w:pPr>
        <w:numPr>
          <w:ilvl w:val="0"/>
          <w:numId w:val="28"/>
        </w:numPr>
        <w:ind w:left="567" w:hanging="567"/>
        <w:rPr>
          <w:rFonts w:ascii="Times New Roman" w:hAnsi="Times New Roman"/>
          <w:i/>
          <w:iCs/>
          <w:szCs w:val="24"/>
        </w:rPr>
      </w:pPr>
      <w:r>
        <w:rPr>
          <w:rFonts w:ascii="Times New Roman" w:hAnsi="Times New Roman"/>
          <w:b/>
        </w:rPr>
        <w:t xml:space="preserve">Numéros de référence: </w:t>
      </w:r>
      <w:r>
        <w:rPr>
          <w:rFonts w:ascii="Times New Roman" w:hAnsi="Times New Roman"/>
        </w:rPr>
        <w:t>2023/2110 (INI) / A9-0383/2023 / P9_TA(2023)0480</w:t>
      </w:r>
    </w:p>
    <w:p w14:paraId="537FAC69" w14:textId="77777777" w:rsidR="00713742" w:rsidRPr="00313481" w:rsidRDefault="00713742" w:rsidP="00713742">
      <w:pPr>
        <w:numPr>
          <w:ilvl w:val="0"/>
          <w:numId w:val="28"/>
        </w:numPr>
        <w:ind w:left="567" w:hanging="567"/>
        <w:rPr>
          <w:rFonts w:ascii="Times New Roman" w:hAnsi="Times New Roman"/>
          <w:szCs w:val="24"/>
        </w:rPr>
      </w:pPr>
      <w:r>
        <w:rPr>
          <w:rFonts w:ascii="Times New Roman" w:hAnsi="Times New Roman"/>
          <w:b/>
        </w:rPr>
        <w:t xml:space="preserve">Date d'adoption de la résolution: </w:t>
      </w:r>
      <w:r>
        <w:rPr>
          <w:rFonts w:ascii="Times New Roman" w:hAnsi="Times New Roman"/>
        </w:rPr>
        <w:t>14 décembre 2023</w:t>
      </w:r>
    </w:p>
    <w:p w14:paraId="6406222B" w14:textId="77777777" w:rsidR="00713742" w:rsidRPr="00313481" w:rsidRDefault="00713742" w:rsidP="00713742">
      <w:pPr>
        <w:numPr>
          <w:ilvl w:val="0"/>
          <w:numId w:val="28"/>
        </w:numPr>
        <w:ind w:left="567" w:hanging="567"/>
        <w:rPr>
          <w:rFonts w:ascii="Times New Roman" w:hAnsi="Times New Roman"/>
          <w:i/>
          <w:iCs/>
          <w:szCs w:val="24"/>
        </w:rPr>
      </w:pPr>
      <w:r>
        <w:rPr>
          <w:rFonts w:ascii="Times New Roman" w:hAnsi="Times New Roman"/>
          <w:b/>
        </w:rPr>
        <w:t>Commission parlementaire compétente:</w:t>
      </w:r>
      <w:r>
        <w:rPr>
          <w:rFonts w:ascii="Times New Roman" w:hAnsi="Times New Roman"/>
        </w:rPr>
        <w:t xml:space="preserve"> commission du marché intérieur et de la protection des consommateurs (IMCO)</w:t>
      </w:r>
    </w:p>
    <w:p w14:paraId="5A59A648" w14:textId="77777777" w:rsidR="00713742" w:rsidRDefault="00713742" w:rsidP="00713742">
      <w:pPr>
        <w:widowControl w:val="0"/>
        <w:numPr>
          <w:ilvl w:val="0"/>
          <w:numId w:val="28"/>
        </w:numPr>
        <w:ind w:left="567" w:hanging="567"/>
        <w:rPr>
          <w:rFonts w:ascii="Times New Roman" w:hAnsi="Times New Roman"/>
          <w:szCs w:val="24"/>
        </w:rPr>
      </w:pPr>
      <w:r>
        <w:rPr>
          <w:rFonts w:ascii="Times New Roman" w:hAnsi="Times New Roman"/>
          <w:b/>
        </w:rPr>
        <w:t>Analyse/évaluation succincte de la résolution et des demandes qu’elle contient:</w:t>
      </w:r>
      <w:r>
        <w:rPr>
          <w:rFonts w:ascii="Times New Roman" w:hAnsi="Times New Roman"/>
        </w:rPr>
        <w:t xml:space="preserve"> </w:t>
      </w:r>
    </w:p>
    <w:p w14:paraId="3C4D101E" w14:textId="77777777" w:rsidR="00713742" w:rsidRPr="009D52AF" w:rsidRDefault="00713742" w:rsidP="00713742">
      <w:pPr>
        <w:widowControl w:val="0"/>
        <w:spacing w:after="120"/>
        <w:rPr>
          <w:rFonts w:ascii="Times New Roman" w:hAnsi="Times New Roman"/>
          <w:szCs w:val="24"/>
        </w:rPr>
      </w:pPr>
      <w:r>
        <w:rPr>
          <w:rFonts w:ascii="Times New Roman" w:hAnsi="Times New Roman"/>
        </w:rPr>
        <w:t>En ce qui concerne les définitions, la résolution préconise des définitions harmonisées et larges des jeunes pousses et des entreprises en expansion, en tenant compte de leurs différences par rapport aux petites et moyennes entreprises (PME), afin d’éviter leur exclusion en raison de définitions restrictives, ainsi que d’accroître les possibilités de soutien et d’accès aux marchés des capitaux européens et aux investisseurs privés.</w:t>
      </w:r>
    </w:p>
    <w:p w14:paraId="73702151" w14:textId="77777777" w:rsidR="00713742" w:rsidRPr="009D52AF" w:rsidRDefault="00713742" w:rsidP="00713742">
      <w:pPr>
        <w:widowControl w:val="0"/>
        <w:spacing w:after="120"/>
        <w:rPr>
          <w:rFonts w:ascii="Times New Roman" w:hAnsi="Times New Roman"/>
          <w:szCs w:val="24"/>
        </w:rPr>
      </w:pPr>
      <w:r>
        <w:rPr>
          <w:rFonts w:ascii="Times New Roman" w:hAnsi="Times New Roman"/>
        </w:rPr>
        <w:t>En ce qui concerne l’accès au financement, la résolution souligne les difficultés auxquelles sont confrontées les jeunes pousses et les entreprises en expansion européennes en matière d’accès au financement et invite instamment les gouvernements, les institutions financières et les investisseurs privés à collaborer et à mettre au point des stratégies pour cultiver une culture de l’investissement tolérante au risque. La résolution demande également que des solutions numériques facilitent les paiements de factures plus rapides, permettant aux investisseurs institutionnels d’investir une part plus importante de leurs portefeuilles dans du capital-risque et des investissements d’amorçage, ainsi qu’un soutien public ciblé sous la forme de subventions, de prêts et de garanties de prêts.</w:t>
      </w:r>
    </w:p>
    <w:p w14:paraId="2FBB1923" w14:textId="77777777" w:rsidR="00713742" w:rsidRPr="009D52AF" w:rsidRDefault="00713742" w:rsidP="00713742">
      <w:pPr>
        <w:widowControl w:val="0"/>
        <w:spacing w:after="120"/>
        <w:rPr>
          <w:rFonts w:ascii="Times New Roman" w:hAnsi="Times New Roman"/>
          <w:szCs w:val="24"/>
        </w:rPr>
      </w:pPr>
      <w:r>
        <w:rPr>
          <w:rFonts w:ascii="Times New Roman" w:hAnsi="Times New Roman"/>
        </w:rPr>
        <w:t>En ce qui concerne les charges réglementaires, la résolution appelle à une application cohérente du principe «penser en priorité aux PME», tant dans les délibérations internes que dans l’ensemble des propositions législatives pertinentes. En outre, elle souligne l’importance de limiter les coûts de mise en conformité pour les jeunes pousses et les entreprises en expansion et invite la Commission à renforcer son soutien aux PME, aux jeunes pousses et aux entreprises en expansion pour faire face à la complexité réglementaire. Enfin, elle invite instamment la Commission à élaborer et à adopter un «test jeunes pousses», à l’instar du test PME qu’elle a adopté afin de mieux évaluer l’impact de la législation en se concentrant sur l’innovation, le financement et la compétitivité.</w:t>
      </w:r>
    </w:p>
    <w:p w14:paraId="37C01F2B" w14:textId="77777777" w:rsidR="00713742" w:rsidRPr="009D52AF" w:rsidRDefault="00713742" w:rsidP="00713742">
      <w:pPr>
        <w:widowControl w:val="0"/>
        <w:spacing w:after="120"/>
        <w:rPr>
          <w:rFonts w:ascii="Times New Roman" w:hAnsi="Times New Roman"/>
          <w:szCs w:val="24"/>
        </w:rPr>
      </w:pPr>
      <w:r>
        <w:rPr>
          <w:rFonts w:ascii="Times New Roman" w:hAnsi="Times New Roman"/>
        </w:rPr>
        <w:t>En ce qui concerne l’acquisition de talents, la résolution souligne l’importance de combler le déficit de talents dans le secteur technologique, de promouvoir les compétences numériques et industrielles et d’encourager la collaboration entre les établissements universitaires et l’industrie. La résolution souligne également la nécessité de mettre au point des campagnes de sensibilisation pour mettre en valeur les emplois dans les environnements numérique et industriel, en veillant tout particulièrement à attirer davantage de talents féminins.</w:t>
      </w:r>
    </w:p>
    <w:p w14:paraId="60788B16" w14:textId="77777777" w:rsidR="00713742" w:rsidRPr="009D52AF" w:rsidRDefault="00713742" w:rsidP="00713742">
      <w:pPr>
        <w:widowControl w:val="0"/>
        <w:spacing w:after="120"/>
        <w:rPr>
          <w:rFonts w:ascii="Times New Roman" w:hAnsi="Times New Roman"/>
          <w:szCs w:val="24"/>
        </w:rPr>
      </w:pPr>
      <w:r>
        <w:rPr>
          <w:rFonts w:ascii="Times New Roman" w:hAnsi="Times New Roman"/>
        </w:rPr>
        <w:t xml:space="preserve">En ce qui concerne l’accès au marché et la concurrence, la résolution souligne l’importance de créer un environnement simple, clair et prévisible permettant aux entreprises innovantes d’exercer leurs activités, de promouvoir la collaboration et </w:t>
      </w:r>
      <w:r>
        <w:rPr>
          <w:rFonts w:ascii="Times New Roman" w:hAnsi="Times New Roman"/>
        </w:rPr>
        <w:lastRenderedPageBreak/>
        <w:t>d’atténuer les risques associés à l’expansion internationale. Elle demande que la réforme du brevet unitaire assure une protection uniforme et invite instamment la Commission et les États membres à élaborer des plans globaux pour exploiter l’innovation des jeunes pousses et des entreprises en phase d’expansion dans le but de promouvoir la compétitivité et réaliser les objectifs climatiques.</w:t>
      </w:r>
    </w:p>
    <w:p w14:paraId="0B7CBC5D" w14:textId="77777777" w:rsidR="00713742" w:rsidRPr="00CF34C5" w:rsidRDefault="00713742" w:rsidP="00713742">
      <w:pPr>
        <w:widowControl w:val="0"/>
        <w:spacing w:after="120"/>
        <w:rPr>
          <w:rFonts w:ascii="Times New Roman" w:hAnsi="Times New Roman"/>
          <w:szCs w:val="24"/>
        </w:rPr>
      </w:pPr>
      <w:r>
        <w:rPr>
          <w:rFonts w:ascii="Times New Roman" w:hAnsi="Times New Roman"/>
        </w:rPr>
        <w:t>Enfin, la résolution invite la Commission à examiner comment des initiatives supplémentaires pourraient être proposées pour accroître la compétitivité des jeunes pousses et des entreprises en expansion européennes participant aux chaînes de valeur des technologies «zéro net».</w:t>
      </w:r>
    </w:p>
    <w:p w14:paraId="4B52E871" w14:textId="77777777" w:rsidR="00713742" w:rsidRPr="00313481" w:rsidRDefault="00713742" w:rsidP="00713742">
      <w:pPr>
        <w:keepNext/>
        <w:keepLines/>
        <w:numPr>
          <w:ilvl w:val="0"/>
          <w:numId w:val="28"/>
        </w:numPr>
        <w:ind w:left="567" w:hanging="567"/>
        <w:rPr>
          <w:rFonts w:ascii="Times New Roman" w:hAnsi="Times New Roman"/>
          <w:b/>
          <w:bCs/>
          <w:i/>
          <w:iCs/>
          <w:szCs w:val="24"/>
        </w:rPr>
      </w:pPr>
      <w:r>
        <w:rPr>
          <w:rFonts w:ascii="Times New Roman" w:hAnsi="Times New Roman"/>
          <w:b/>
        </w:rPr>
        <w:t>Réponse à ces demandes et aperçu des mesures que la Commission a prises ou envisage de prendre:</w:t>
      </w:r>
    </w:p>
    <w:p w14:paraId="46AC1AC8" w14:textId="77777777" w:rsidR="00713742" w:rsidRDefault="00713742" w:rsidP="00713742">
      <w:pPr>
        <w:keepNext/>
        <w:keepLines/>
        <w:spacing w:after="120"/>
        <w:rPr>
          <w:rFonts w:ascii="Times New Roman" w:hAnsi="Times New Roman"/>
          <w:b/>
          <w:bCs/>
          <w:i/>
          <w:iCs/>
          <w:szCs w:val="24"/>
        </w:rPr>
      </w:pPr>
      <w:r>
        <w:rPr>
          <w:rFonts w:ascii="Times New Roman" w:hAnsi="Times New Roman"/>
          <w:b/>
          <w:i/>
        </w:rPr>
        <w:t>Définitions</w:t>
      </w:r>
    </w:p>
    <w:p w14:paraId="538C3B6E" w14:textId="77777777" w:rsidR="00713742" w:rsidRPr="00247306" w:rsidRDefault="00713742" w:rsidP="00713742">
      <w:pPr>
        <w:widowControl w:val="0"/>
        <w:spacing w:after="120"/>
        <w:rPr>
          <w:rFonts w:ascii="Times New Roman" w:hAnsi="Times New Roman"/>
          <w:b/>
          <w:bCs/>
          <w:i/>
          <w:iCs/>
          <w:szCs w:val="24"/>
        </w:rPr>
      </w:pPr>
      <w:r>
        <w:rPr>
          <w:rFonts w:ascii="Times New Roman" w:hAnsi="Times New Roman"/>
        </w:rPr>
        <w:t>En ce qui concerne l’introduction de définitions spécifiques pour les jeunes pousses</w:t>
      </w:r>
      <w:r>
        <w:rPr>
          <w:rStyle w:val="FootnoteReference"/>
          <w:rFonts w:ascii="Times New Roman" w:hAnsi="Times New Roman"/>
          <w:szCs w:val="24"/>
        </w:rPr>
        <w:footnoteReference w:id="2"/>
      </w:r>
      <w:r>
        <w:rPr>
          <w:rFonts w:ascii="Times New Roman" w:hAnsi="Times New Roman"/>
        </w:rPr>
        <w:t xml:space="preserve"> et les entreprises en expansion</w:t>
      </w:r>
      <w:r>
        <w:rPr>
          <w:rStyle w:val="FootnoteReference"/>
          <w:rFonts w:ascii="Times New Roman" w:hAnsi="Times New Roman"/>
          <w:szCs w:val="24"/>
        </w:rPr>
        <w:footnoteReference w:id="3"/>
      </w:r>
      <w:r>
        <w:rPr>
          <w:rFonts w:ascii="Times New Roman" w:hAnsi="Times New Roman"/>
        </w:rPr>
        <w:t xml:space="preserve"> (</w:t>
      </w:r>
      <w:r>
        <w:rPr>
          <w:rFonts w:ascii="Times New Roman" w:hAnsi="Times New Roman"/>
          <w:b/>
          <w:bCs/>
        </w:rPr>
        <w:t>paragraphe 1</w:t>
      </w:r>
      <w:r>
        <w:rPr>
          <w:rFonts w:ascii="Times New Roman" w:hAnsi="Times New Roman"/>
        </w:rPr>
        <w:t>), la Commission utilise déjà des définitions plus informelles, mais pleinement appropriées, qui sont adaptées à leur finalité dans les contextes spécifiques dans lesquels elles sont utilisées. Celles-ci tiennent compte des discussions menées dans le cadre d’Eurostat, de l’Organisation de coopération et de développement économiques (OCDE) et d’autres enceintes, qui démontrent les difficultés statistiques et juridiques rencontrées pour établir une définition uniforme pertinente et solide, en particulier pour les jeunes pousses (</w:t>
      </w:r>
      <w:r>
        <w:rPr>
          <w:rFonts w:ascii="Times New Roman" w:hAnsi="Times New Roman"/>
          <w:b/>
          <w:bCs/>
        </w:rPr>
        <w:t>paragraphe 2</w:t>
      </w:r>
      <w:r>
        <w:rPr>
          <w:rFonts w:ascii="Times New Roman" w:hAnsi="Times New Roman"/>
        </w:rPr>
        <w:t>). Par exemple, une définition potentielle devrait garantir une distinction étanche entre la jeune pousse dans l’esprit de l’initiative et toute nouvelle entreprise. Il convient de noter que la Commission dispose de divers instruments axés sur les intérêts spécifiques des PME, des jeunes pousses et des entreprises en expansion (</w:t>
      </w:r>
      <w:r>
        <w:rPr>
          <w:rFonts w:ascii="Times New Roman" w:hAnsi="Times New Roman"/>
          <w:b/>
          <w:bCs/>
        </w:rPr>
        <w:t>paragraphe 3</w:t>
      </w:r>
      <w:r>
        <w:rPr>
          <w:rFonts w:ascii="Times New Roman" w:hAnsi="Times New Roman"/>
        </w:rPr>
        <w:t>). En ce qui concerne les efforts visant à attirer des capitaux privés dans les jeunes pousses et les entreprises en expansion, la Commission est pleinement d’accord avec l’idée proposée de continuer à les améliorer pour les jeunes pousses et les entreprises en expansion et d’assurer une coordination efficace entre les États membres et l’UE. Cela se reflète également dans les mesures spécifiques prévues dans le récent train de mesures d’aide aux PME ainsi que dans la stratégie en faveur des PME et dans l’initiative en faveur des jeunes pousses et des entreprises en expansion (</w:t>
      </w:r>
      <w:r>
        <w:rPr>
          <w:rFonts w:ascii="Times New Roman" w:hAnsi="Times New Roman"/>
          <w:b/>
          <w:bCs/>
        </w:rPr>
        <w:t>paragraphe 4</w:t>
      </w:r>
      <w:r>
        <w:rPr>
          <w:rFonts w:ascii="Times New Roman" w:hAnsi="Times New Roman"/>
        </w:rPr>
        <w:t xml:space="preserve">). En outre, il convient de noter que diverses initiatives sont déjà en place pour combler les déficits auxquels font face les jeunes pousses et les entreprises en expansion en attirant des capitaux privés, en coordination </w:t>
      </w:r>
      <w:r>
        <w:rPr>
          <w:rFonts w:ascii="Times New Roman" w:hAnsi="Times New Roman"/>
        </w:rPr>
        <w:lastRenderedPageBreak/>
        <w:t>avec les États membres. À titre d’exemple, le Groupe Banque européenne d’investissement et cinq États membres de l’UE (Allemagne, France, Espagne, Italie et Belgique) ont lancé en février 2 023 l’initiative «European Tech Champions Initiative» (ETCI</w:t>
      </w:r>
      <w:r w:rsidRPr="00247306">
        <w:rPr>
          <w:rStyle w:val="FootnoteReference"/>
          <w:rFonts w:ascii="Times New Roman" w:hAnsi="Times New Roman"/>
          <w:szCs w:val="24"/>
        </w:rPr>
        <w:footnoteReference w:id="4"/>
      </w:r>
      <w:r>
        <w:rPr>
          <w:rFonts w:ascii="Times New Roman" w:hAnsi="Times New Roman"/>
        </w:rPr>
        <w:t>), une structure de fonds de fonds qui acheminera des capitaux de croissance à un stade avancé vers des entreprises européennes innovantes prometteuses.</w:t>
      </w:r>
    </w:p>
    <w:p w14:paraId="45D0BD75" w14:textId="77777777" w:rsidR="00713742" w:rsidRPr="00247306" w:rsidRDefault="00713742" w:rsidP="00713742">
      <w:pPr>
        <w:widowControl w:val="0"/>
        <w:spacing w:after="120"/>
        <w:rPr>
          <w:rFonts w:ascii="Times New Roman" w:hAnsi="Times New Roman"/>
          <w:b/>
          <w:bCs/>
          <w:i/>
          <w:iCs/>
          <w:szCs w:val="24"/>
        </w:rPr>
      </w:pPr>
      <w:r>
        <w:rPr>
          <w:rFonts w:ascii="Times New Roman" w:hAnsi="Times New Roman"/>
          <w:b/>
          <w:i/>
        </w:rPr>
        <w:t>Accès aux financements</w:t>
      </w:r>
    </w:p>
    <w:p w14:paraId="74010AD1" w14:textId="77777777" w:rsidR="00713742" w:rsidRPr="00D77857" w:rsidRDefault="00713742" w:rsidP="00713742">
      <w:pPr>
        <w:spacing w:after="120"/>
        <w:rPr>
          <w:rFonts w:ascii="Times New Roman" w:hAnsi="Times New Roman"/>
          <w:i/>
          <w:iCs/>
          <w:szCs w:val="24"/>
        </w:rPr>
      </w:pPr>
      <w:r>
        <w:rPr>
          <w:rFonts w:ascii="Times New Roman" w:hAnsi="Times New Roman"/>
        </w:rPr>
        <w:t>En ce qui concerne l’accès aux financements (</w:t>
      </w:r>
      <w:r>
        <w:rPr>
          <w:rFonts w:ascii="Times New Roman" w:hAnsi="Times New Roman"/>
          <w:b/>
          <w:bCs/>
        </w:rPr>
        <w:t>paragraphe 5</w:t>
      </w:r>
      <w:r>
        <w:rPr>
          <w:rFonts w:ascii="Times New Roman" w:hAnsi="Times New Roman"/>
        </w:rPr>
        <w:t>), la Commission reconnaît les difficultés rencontrées par les jeunes pousses européennes pour s’étendre dans toute l’Europe. Dans le cadre du nouveau programme européen d’innovation de la Commission, plusieurs actions visent à combler le déficit de financement des entreprises en expansion à fort contenu technologique (scale-ups deep tech). En outre, l’action européenne de levier pour le capital-risque en faveur des entreprises en expansion (European Scale-Up Action for Risk Capital ou «ESCALAR»</w:t>
      </w:r>
      <w:r w:rsidRPr="00247306">
        <w:rPr>
          <w:rStyle w:val="FootnoteReference"/>
          <w:rFonts w:ascii="Times New Roman" w:hAnsi="Times New Roman"/>
          <w:szCs w:val="24"/>
        </w:rPr>
        <w:footnoteReference w:id="5"/>
      </w:r>
      <w:r>
        <w:rPr>
          <w:rFonts w:ascii="Times New Roman" w:hAnsi="Times New Roman"/>
        </w:rPr>
        <w:t>) dans le cadre d’InvestEU a été élargie dans le but de mobiliser des fonds en faveur des entreprises en expansion à forte croissance dans l’UE. En particulier, l’initiative vise à encourager la participation d’investisseurs privés peu enclins au risque dans les fonds de capital-risque pour les entreprises en expansion. Le Fonds européen d’investissement (FEI) devrait sélectionner les candidats les plus appropriés en 2024. La Commission veille également à ce que le cadre de la politique de concurrence offre une flexibilité suffisante pour soutenir ces entreprises, le cas échéant.</w:t>
      </w:r>
      <w:r>
        <w:rPr>
          <w:rFonts w:ascii="Times New Roman" w:hAnsi="Times New Roman"/>
          <w:b/>
        </w:rPr>
        <w:t xml:space="preserve"> </w:t>
      </w:r>
      <w:r>
        <w:rPr>
          <w:rFonts w:ascii="Times New Roman" w:hAnsi="Times New Roman"/>
        </w:rPr>
        <w:t xml:space="preserve">En outre, l’encadrement des aides d’État en faveur de l’accès au financement offre un ensemble différencié de règles permettant aux États membres d’offrir un soutien sur mesure aux jeunes pousses et aux entreprises en expansion: par exemple, les aides d’État en faveur des jeunes pousses au titre du règlement général d’exemption par catégorie (RGEC) peuvent être directement accordées par les États membres aux jeunes pousses, sans intervention d’intermédiaires financiers et avec le recours à des instruments financiers et à des subventions. </w:t>
      </w:r>
    </w:p>
    <w:p w14:paraId="6708E18B" w14:textId="77777777" w:rsidR="00713742" w:rsidRPr="00D77857" w:rsidRDefault="00713742" w:rsidP="00713742">
      <w:pPr>
        <w:spacing w:after="120"/>
        <w:rPr>
          <w:rFonts w:ascii="Times New Roman" w:hAnsi="Times New Roman"/>
          <w:szCs w:val="24"/>
        </w:rPr>
      </w:pPr>
      <w:r>
        <w:rPr>
          <w:rFonts w:ascii="Times New Roman" w:hAnsi="Times New Roman"/>
        </w:rPr>
        <w:t>La Commission est totalement d’accord en ce qui concerne la gravité de la problématique des retards de paiement (</w:t>
      </w:r>
      <w:r>
        <w:rPr>
          <w:rFonts w:ascii="Times New Roman" w:hAnsi="Times New Roman"/>
          <w:b/>
          <w:bCs/>
        </w:rPr>
        <w:t>paragraphe 6</w:t>
      </w:r>
      <w:r>
        <w:rPr>
          <w:rFonts w:ascii="Times New Roman" w:hAnsi="Times New Roman"/>
        </w:rPr>
        <w:t>). Elle convient également de l’importance de la transparence et des solutions numériques pour accélérer les paiements. Toutefois, l’expérience acquise dans le cadre de l’actuelle directive sur les retards de paiement a montré que cela n’était pas suffisant. Par conséquent, dans le contexte du train de mesures d’aide aux PME, la Commission a également proposé une révision de la directive, qui réduira encore les délais de paiement et renforcera les mécanismes de sanction pour les entreprises qui ne respectent pas les conditions légales de paiement. La proposition de révision de la Commission introduit l’obligation pour les États membres de dispenser une formation sur la culture financière, la gestion du crédit et les solutions de paiement numérique et de faciliter l’accès des PME à ces solutions. Les investisseurs institutionnels, tels que les fonds de pension et les compagnies d’assurance, jouent un rôle crucial dans le financement des jeunes pousses et des entreprises en expansion (</w:t>
      </w:r>
      <w:r>
        <w:rPr>
          <w:rFonts w:ascii="Times New Roman" w:hAnsi="Times New Roman"/>
          <w:b/>
          <w:bCs/>
        </w:rPr>
        <w:t>paragraphe 7</w:t>
      </w:r>
      <w:r>
        <w:rPr>
          <w:rFonts w:ascii="Times New Roman" w:hAnsi="Times New Roman"/>
        </w:rPr>
        <w:t>). En outre, les États membres peuvent mettre en place des régimes de financement des risques au titre du RGEC afin de soutenir les jeunes PME au-delà de la phase de démarrage.</w:t>
      </w:r>
    </w:p>
    <w:p w14:paraId="5AC187CE" w14:textId="77777777" w:rsidR="00713742" w:rsidRDefault="00713742" w:rsidP="00713742">
      <w:pPr>
        <w:spacing w:after="120"/>
        <w:rPr>
          <w:rFonts w:ascii="Times New Roman" w:hAnsi="Times New Roman"/>
          <w:szCs w:val="24"/>
        </w:rPr>
      </w:pPr>
      <w:r>
        <w:rPr>
          <w:rFonts w:ascii="Times New Roman" w:hAnsi="Times New Roman"/>
        </w:rPr>
        <w:t>La Commission reconnaît pleinement que le soutien public doit être ciblé et qu’il faut une justification économique claire, revêtant par exemple la forme d’une défaillance du marché, pour justifier son utilisation (</w:t>
      </w:r>
      <w:r>
        <w:rPr>
          <w:rFonts w:ascii="Times New Roman" w:hAnsi="Times New Roman"/>
          <w:b/>
          <w:bCs/>
        </w:rPr>
        <w:t>paragraphe 8</w:t>
      </w:r>
      <w:r>
        <w:rPr>
          <w:rFonts w:ascii="Times New Roman" w:hAnsi="Times New Roman"/>
        </w:rPr>
        <w:t xml:space="preserve">). Cela étant dit, les aides aux jeunes pousses prévues par le RGEC peuvent être directement octroyées par les États membres, sans intervention d’intermédiaires financiers et avec le recours à des instruments </w:t>
      </w:r>
      <w:r>
        <w:rPr>
          <w:rFonts w:ascii="Times New Roman" w:hAnsi="Times New Roman"/>
        </w:rPr>
        <w:lastRenderedPageBreak/>
        <w:t>financiers et à des subventions. Par conséquent, du fait de la possibilité d’octroyer des subventions (ou des prêts subordonnés/quasi-fonds propres), il n’est pas nécessaire de recourir aux fonds propres pour le financement des entreprises. Des investissements conjoints privés ne sont pas nécessaires. Les règles en matière d’aides d’État tiennent compte des caractéristiques des petites entreprises et des entreprises naissantes. De manière générale, les règles en matière d’aides d’État imposent moins de contraintes aux aides en faveur des PME. En outre, les règles en matière d’aides d’État prévoient également des règles spécifiques, plus permissives, pour les jeunes pousses, qui constituent un sous-ensemble de PME (les jeunes pousses sont des petites entreprises dont la création remonte à maximum 5 ans). Il convient également de noter que la nouvelle approche de la Commission en ce qui concerne l’application du mécanisme de renvoi (article 22 du règlement sur les concentrations) peut permettre un contrôle accru des «acquisitions prédatrices» par des acteurs bien établis de concurrents naissants à fort potentiel concurrentiel, au bénéfice notamment des PME et des jeunes pousses qui sont en concurrence avec l’entité issue de la concentration ou qui en dépendent pour des intrants ou des approvisionnements essentiels.</w:t>
      </w:r>
    </w:p>
    <w:p w14:paraId="4D83E2C5" w14:textId="77777777" w:rsidR="00713742" w:rsidRDefault="00713742" w:rsidP="00713742">
      <w:pPr>
        <w:spacing w:after="120"/>
        <w:rPr>
          <w:rFonts w:ascii="Times New Roman" w:hAnsi="Times New Roman"/>
          <w:szCs w:val="24"/>
        </w:rPr>
      </w:pPr>
      <w:r>
        <w:rPr>
          <w:rFonts w:ascii="Times New Roman" w:hAnsi="Times New Roman"/>
        </w:rPr>
        <w:t>La Commission reconnaît que des obstacles continuent d’entraver la levée de financements sur le marché des capitaux par les entreprises de l’UE à différents stades de la chaîne de financement (</w:t>
      </w:r>
      <w:r>
        <w:rPr>
          <w:rFonts w:ascii="Times New Roman" w:hAnsi="Times New Roman"/>
          <w:b/>
          <w:bCs/>
        </w:rPr>
        <w:t>paragraphe 9</w:t>
      </w:r>
      <w:r>
        <w:rPr>
          <w:rFonts w:ascii="Times New Roman" w:hAnsi="Times New Roman"/>
        </w:rPr>
        <w:t>). Ces obstacles peuvent limiter en particulier la capacité des petites entreprises à lever des fonds propres et des financements par l’emprunt. C’est pourquoi l’un des principaux objectifs du plan d’action de 2020 pour l’union des marchés des capitaux (UMC) est de faciliter l’accès des entreprises de toutes tailles aux fonds nécessaires, en accordant une attention particulière aux PME, et de faire en sorte que les capitaux puissent circuler librement par-delà les frontières. Les actions proposées par la Commission dans le cadre du plan d’action pour l’union des marchés des capitaux du présent mandat comprennent la création d’un point d’accès unique européen afin de rendre les petites entreprises plus visibles pour les investisseurs transfrontières, la révision des règles de cotation afin de faciliter à la fois l’accès des entreprises au financement public par fonds propres et la sortie des investisseurs intervenant à un stade précoce et la révision des règles applicables aux fonds européens d’investissement à long terme afin de mieux canaliser les investissements de détail dans les petites entreprises non cotées. La Commission se félicite de l’ambition politique forte visant à mettre en œuvre ces initiatives en temps utile afin de garantir aux entreprises, et en particulier aux petites entreprises, toute une série d’alternatives de financement, en réduisant la dépendance à l’égard d’une seule source ou d’un seul fournisseur de financement et en réduisant le déficit de financement. En outre, les États membres et les régions disposent d’instruments de la politique de cohésion pour soutenir les PME, y compris les jeunes pousses et les entreprises en expansion. Le soutien des États membres et des régions aux PME va dans une large mesure à l’expansion et à la modernisation de la production, mais aussi aux activités de recherche et d’innovation, aux pépinières d’entreprises, au développement et à l’internationalisation des entreprises, au soutien des pôles d’innovation et aux réseaux d’entreprises pour les PME. Tous sont propres à chaque État membre ou région et sont importants pour la création d’un écosystème de soutien aux jeunes pousses et aux entreprises en expansion fondé sur les besoins locaux.</w:t>
      </w:r>
    </w:p>
    <w:p w14:paraId="579F7FD9" w14:textId="77777777" w:rsidR="00713742" w:rsidRDefault="00713742" w:rsidP="00713742">
      <w:pPr>
        <w:spacing w:after="120"/>
        <w:rPr>
          <w:rFonts w:ascii="Times New Roman" w:hAnsi="Times New Roman"/>
          <w:szCs w:val="24"/>
        </w:rPr>
      </w:pPr>
      <w:r>
        <w:rPr>
          <w:rFonts w:ascii="Times New Roman" w:hAnsi="Times New Roman"/>
        </w:rPr>
        <w:t>La Commission est consciente qu’un accès aisé et non bureaucratique à des instruments adéquats de soutien financier de l’UE est de la plus haute importance, en particulier dans le contexte actuel difficile des entreprises (</w:t>
      </w:r>
      <w:r>
        <w:rPr>
          <w:rFonts w:ascii="Times New Roman" w:hAnsi="Times New Roman"/>
          <w:b/>
          <w:bCs/>
        </w:rPr>
        <w:t>paragraphe 10</w:t>
      </w:r>
      <w:r>
        <w:rPr>
          <w:rFonts w:ascii="Times New Roman" w:hAnsi="Times New Roman"/>
        </w:rPr>
        <w:t xml:space="preserve">). À cet égard, la Commission tient à rappeler les nombreux programmes et initiatives déjà en place. L’«accès aux </w:t>
      </w:r>
      <w:r>
        <w:rPr>
          <w:rFonts w:ascii="Times New Roman" w:hAnsi="Times New Roman"/>
        </w:rPr>
        <w:lastRenderedPageBreak/>
        <w:t>financements de l’UE»</w:t>
      </w:r>
      <w:r w:rsidRPr="00247306">
        <w:rPr>
          <w:rStyle w:val="FootnoteReference"/>
          <w:rFonts w:ascii="Times New Roman" w:hAnsi="Times New Roman"/>
          <w:szCs w:val="24"/>
        </w:rPr>
        <w:footnoteReference w:id="6"/>
      </w:r>
      <w:r>
        <w:rPr>
          <w:rFonts w:ascii="Times New Roman" w:hAnsi="Times New Roman"/>
        </w:rPr>
        <w:t xml:space="preserve"> permet aux entreprises d’avoir une vue d’ensemble de tous les instruments financiers soutenus par les Fonds structurels, les programmes gérés de manière centralisée par l’UE, la Banque européenne d’investissement et le FEI. En outre, quiconque sollicite des conseils sur le financement de programmes d’aide et une demande d’aide est invitée à demander un soutien au niveau local par l’intermédiaire du réseau Entreprise Europe</w:t>
      </w:r>
      <w:r w:rsidRPr="00247306">
        <w:rPr>
          <w:rStyle w:val="FootnoteReference"/>
          <w:rFonts w:ascii="Times New Roman" w:hAnsi="Times New Roman"/>
          <w:szCs w:val="24"/>
        </w:rPr>
        <w:footnoteReference w:id="7"/>
      </w:r>
      <w:r>
        <w:rPr>
          <w:rFonts w:ascii="Times New Roman" w:hAnsi="Times New Roman"/>
        </w:rPr>
        <w:t>. En outre, au cours de la période de programmation actuelle, la Commission apporte un soutien important aux jeunes pousses et aux entreprises en expansion par l’intermédiaire d’InvestEU</w:t>
      </w:r>
      <w:r w:rsidRPr="00247306">
        <w:rPr>
          <w:rStyle w:val="FootnoteReference"/>
          <w:rFonts w:ascii="Times New Roman" w:hAnsi="Times New Roman"/>
          <w:szCs w:val="24"/>
        </w:rPr>
        <w:footnoteReference w:id="8"/>
      </w:r>
      <w:r>
        <w:rPr>
          <w:rFonts w:ascii="Times New Roman" w:hAnsi="Times New Roman"/>
        </w:rPr>
        <w:t>, son programme d’investissement phare</w:t>
      </w:r>
      <w:r w:rsidRPr="00247306">
        <w:rPr>
          <w:rStyle w:val="FootnoteReference"/>
          <w:rFonts w:ascii="Times New Roman" w:hAnsi="Times New Roman"/>
          <w:szCs w:val="24"/>
        </w:rPr>
        <w:footnoteReference w:id="9"/>
      </w:r>
      <w:r>
        <w:rPr>
          <w:rFonts w:ascii="Times New Roman" w:hAnsi="Times New Roman"/>
        </w:rPr>
        <w:t xml:space="preserve">. Pour faciliter l’accès, la Commission a regroupé tous les instruments financiers dans le cadre d’un seul programme de l’UE (contre 13 programmes par le passé). Cela a débouché sur une gouvernance simplifiée et un flux de financement plus rapide. </w:t>
      </w:r>
      <w:r>
        <w:rPr>
          <w:rStyle w:val="eop"/>
          <w:rFonts w:ascii="Times New Roman" w:hAnsi="Times New Roman"/>
        </w:rPr>
        <w:t>En outre, grâce à l’initiative de la plateforme «Technologies stratégiques pour l’Europe» (STEP)</w:t>
      </w:r>
      <w:r>
        <w:rPr>
          <w:rStyle w:val="FootnoteReference"/>
          <w:rFonts w:ascii="Times New Roman" w:hAnsi="Times New Roman"/>
          <w:szCs w:val="24"/>
        </w:rPr>
        <w:footnoteReference w:id="10"/>
      </w:r>
      <w:r>
        <w:rPr>
          <w:rStyle w:val="eop"/>
          <w:rFonts w:ascii="Times New Roman" w:hAnsi="Times New Roman"/>
        </w:rPr>
        <w:t xml:space="preserve">, la Commission cherche à faciliter davantage l’accès au financement de l’UE pour l’industrie, y compris les jeunes pousses et les entreprises en expansion, active dans trois secteurs critiques recensés: les technologies numériques et l’innovation deep tech, les technologies propres et économes en ressources et les biotechnologies. Le portail STEP à mettre en place au titre de ce règlement rassemblera des informations sur les possibilités de financement offertes par les programmes pertinents gérés de manière centralisée par la Commission (par exemple, le Fonds pour l’innovation ou le programme pour une Europe numérique), ainsi que sur celles relevant de programmes en gestion indirecte tels qu’InvestEU, et sur celles provenant des autorités de gestion au titre des fonds de la politique de cohésion et des États membres au titre de la facilité pour la reprise et la résilience. </w:t>
      </w:r>
      <w:r>
        <w:rPr>
          <w:rFonts w:ascii="Times New Roman" w:hAnsi="Times New Roman"/>
        </w:rPr>
        <w:t xml:space="preserve">En ce qui concerne le financement ciblé en faveur du secteur de la culture et de la création </w:t>
      </w:r>
      <w:r>
        <w:rPr>
          <w:rFonts w:ascii="Times New Roman" w:hAnsi="Times New Roman"/>
          <w:b/>
        </w:rPr>
        <w:t>(paragraphe 11)</w:t>
      </w:r>
      <w:r>
        <w:rPr>
          <w:rFonts w:ascii="Times New Roman" w:hAnsi="Times New Roman"/>
        </w:rPr>
        <w:t xml:space="preserve"> au titre d’InvestEU, le FEI offre une garantie spécifique</w:t>
      </w:r>
      <w:r w:rsidRPr="00247306">
        <w:rPr>
          <w:rStyle w:val="FootnoteReference"/>
          <w:rFonts w:ascii="Times New Roman" w:hAnsi="Times New Roman"/>
          <w:szCs w:val="24"/>
        </w:rPr>
        <w:footnoteReference w:id="11"/>
      </w:r>
      <w:r>
        <w:rPr>
          <w:rFonts w:ascii="Times New Roman" w:hAnsi="Times New Roman"/>
        </w:rPr>
        <w:t>. Le FEI investit également dans des fonds propres qui se concentrent sur les investissements dans les jeunes pousses et les entreprises en expansion dans le secteur de la culture et de la création</w:t>
      </w:r>
      <w:r w:rsidRPr="00247306">
        <w:rPr>
          <w:rStyle w:val="FootnoteReference"/>
          <w:rFonts w:ascii="Times New Roman" w:hAnsi="Times New Roman"/>
          <w:szCs w:val="24"/>
        </w:rPr>
        <w:footnoteReference w:id="12"/>
      </w:r>
      <w:r>
        <w:rPr>
          <w:rFonts w:ascii="Times New Roman" w:hAnsi="Times New Roman"/>
        </w:rPr>
        <w:t xml:space="preserve"> et, en particulier, dans le cadre de l’action MediaInvest</w:t>
      </w:r>
      <w:r>
        <w:rPr>
          <w:rStyle w:val="FootnoteReference"/>
          <w:rFonts w:ascii="Times New Roman" w:hAnsi="Times New Roman"/>
          <w:szCs w:val="24"/>
        </w:rPr>
        <w:footnoteReference w:id="13"/>
      </w:r>
      <w:r>
        <w:rPr>
          <w:rFonts w:ascii="Times New Roman" w:hAnsi="Times New Roman"/>
        </w:rPr>
        <w:t>. En outre, le programme en faveur du marché unique</w:t>
      </w:r>
      <w:r w:rsidRPr="00B57DA0">
        <w:rPr>
          <w:rStyle w:val="FootnoteReference"/>
          <w:rFonts w:ascii="Times New Roman" w:hAnsi="Times New Roman"/>
          <w:szCs w:val="24"/>
        </w:rPr>
        <w:footnoteReference w:id="14"/>
      </w:r>
      <w:r>
        <w:rPr>
          <w:rFonts w:ascii="Times New Roman" w:hAnsi="Times New Roman"/>
        </w:rPr>
        <w:t xml:space="preserve"> aide les entrepreneurs et les jeunes entreprises du secteur de la culture et de la création, par l’intermédiaire du réseau Entreprise Europe, à développer leurs entreprises à n’importe quel stade de leur trajectoire de croissance. Le réseau propose des services et des conseils sur mesure concernant, entre autres, l’accès au financement. Par ailleurs, en 2023, l’Institut européen d’innovation et de technologie (EIT) a créé la communauté Culture et créativité de l’EIT. Elle vise à renforcer et à transformer les secteurs et industries de la culture et de la création européens en reliant les créateurs et les organisations au plus grand réseau européen d’innovation dans ce domaine. Elle concentrera ses activités sur la formation des futurs entrepreneurs du secteur, la promotion des jeunes pousses et des entreprises en expansion, le soutien aux entreprises de pointe dans le secteur et la fourniture de solutions innovantes aux défis auxquels les secteurs sont confrontés.</w:t>
      </w:r>
    </w:p>
    <w:p w14:paraId="1CF89155" w14:textId="77777777" w:rsidR="00713742" w:rsidRDefault="00713742" w:rsidP="00713742">
      <w:pPr>
        <w:spacing w:after="120"/>
        <w:rPr>
          <w:rFonts w:ascii="Times New Roman" w:hAnsi="Times New Roman"/>
          <w:szCs w:val="24"/>
        </w:rPr>
      </w:pPr>
      <w:r>
        <w:rPr>
          <w:rFonts w:ascii="Times New Roman" w:hAnsi="Times New Roman"/>
        </w:rPr>
        <w:t>La Commission souscrit pleinement à l’idée de l’importance du lien entre les politiques spatiales et les politiques en faveur des jeunes pousses et des entreprises en expansion (</w:t>
      </w:r>
      <w:r>
        <w:rPr>
          <w:rFonts w:ascii="Times New Roman" w:hAnsi="Times New Roman"/>
          <w:b/>
          <w:bCs/>
        </w:rPr>
        <w:t>paragraphe 12</w:t>
      </w:r>
      <w:r>
        <w:rPr>
          <w:rFonts w:ascii="Times New Roman" w:hAnsi="Times New Roman"/>
        </w:rPr>
        <w:t xml:space="preserve">). En raison des différences importantes de développement entre les </w:t>
      </w:r>
      <w:r>
        <w:rPr>
          <w:rFonts w:ascii="Times New Roman" w:hAnsi="Times New Roman"/>
        </w:rPr>
        <w:lastRenderedPageBreak/>
        <w:t>régions de l’UE, il est de la plus haute importance que les investissements soient territorialisés et répondent aux besoins des PME et des citoyens de la région de manière adaptée. L’objectif stratégique «Une Europe plus intelligente» de la programmation de la politique de cohésion pour la période 2021-2027 a pour objectif spécifique de tirer parti des avantages de la numérisation en investissant dans l’adoption des technologies de l’information et de la communication (TIC) par les PME, y compris les jeunes pousses et les entreprises en expansion, en introduisant des services nouveaux ou améliorés pour l’administration en ligne (6,74 milliards d’euros alloués), ainsi que pour l’inclusion numérique, la santé en ligne, l’apprentissage en ligne et la formation en ligne. Plus précisément, la Commission soutient la mise en place et le déploiement d’un réseau de plus de 200 pôles d’innovation numérique dans les régions d’Europe, qui aidera les PME, en particulier les jeunes pousses et les entreprises en expansion, à tester le potentiel, par exemple, des mégadonnées et de l’intelligence artificielle (IA) pour améliorer leurs modèles d’entreprise.</w:t>
      </w:r>
    </w:p>
    <w:p w14:paraId="06EC3A22" w14:textId="77777777" w:rsidR="00713742" w:rsidRDefault="00713742" w:rsidP="00713742">
      <w:pPr>
        <w:spacing w:after="120"/>
        <w:rPr>
          <w:rFonts w:ascii="Times New Roman" w:hAnsi="Times New Roman"/>
          <w:szCs w:val="24"/>
        </w:rPr>
      </w:pPr>
      <w:r>
        <w:rPr>
          <w:rFonts w:ascii="Times New Roman" w:hAnsi="Times New Roman"/>
        </w:rPr>
        <w:t>En ce qui concerne les obstacles auxquels sont confrontées les jeunes pousses et les entreprises en expansion dans l’accès au financement (</w:t>
      </w:r>
      <w:r>
        <w:rPr>
          <w:rFonts w:ascii="Times New Roman" w:hAnsi="Times New Roman"/>
          <w:b/>
          <w:bCs/>
        </w:rPr>
        <w:t>paragraphe 13</w:t>
      </w:r>
      <w:r>
        <w:rPr>
          <w:rFonts w:ascii="Times New Roman" w:hAnsi="Times New Roman"/>
        </w:rPr>
        <w:t>), la Commission suit l’évolution de l’accès des PME au financement dans le cadre de l’enquête annuelle conjointe (Commission européenne/Banque centrale européenne) sur l’accès des entreprises au financement, qui recense également les facteurs restrictifs perçus entravant l’obtention d’un soutien financier. En outre, en ce qui concerne l’accès au financement public, InvestEU permet un accès aisé pour les jeunes pousses/entreprises en expansion, qui peuvent contacter et solliciter leur établissement financier local</w:t>
      </w:r>
      <w:r w:rsidRPr="00247306">
        <w:rPr>
          <w:rStyle w:val="FootnoteReference"/>
          <w:rFonts w:ascii="Times New Roman" w:hAnsi="Times New Roman"/>
          <w:szCs w:val="24"/>
        </w:rPr>
        <w:footnoteReference w:id="15"/>
      </w:r>
      <w:r>
        <w:rPr>
          <w:rFonts w:ascii="Times New Roman" w:hAnsi="Times New Roman"/>
        </w:rPr>
        <w:t>, lequel prendra ensuite la décision de financement.</w:t>
      </w:r>
      <w:r>
        <w:rPr>
          <w:rStyle w:val="normaltextrun"/>
          <w:rFonts w:ascii="Times New Roman" w:hAnsi="Times New Roman"/>
        </w:rPr>
        <w:t xml:space="preserve"> Troisièmement</w:t>
      </w:r>
      <w:r>
        <w:rPr>
          <w:rFonts w:ascii="Times New Roman" w:hAnsi="Times New Roman"/>
        </w:rPr>
        <w:t>, le plan d’action pour l’union des marchés des capitaux de 2020 comprend plusieurs actions qui, une fois mises en œuvre, garantiront une meilleure harmonisation des marchés des capitaux dans l’UE et s’attaqueront à certains des principaux obstacles qui freinent encore l’intégration des marchés. Enfin, l’harmonisation de certains domaines ciblés des règles nationales en matière d’insolvabilité, un système plus normalisé à l’échelle de l’UE pour les procédures de dégrèvement de la retenue à la source, l’harmonisation de certains aspects du droit des sociétés sont autant de mesures qui visent à réduire la fragmentation du marché et à supprimer les obstacles qui dissuadent les investissements transfrontières.</w:t>
      </w:r>
    </w:p>
    <w:p w14:paraId="2F7ECC12" w14:textId="77777777" w:rsidR="00713742" w:rsidRDefault="00713742" w:rsidP="00713742">
      <w:pPr>
        <w:spacing w:after="120"/>
        <w:rPr>
          <w:rFonts w:ascii="Times New Roman" w:hAnsi="Times New Roman"/>
          <w:szCs w:val="24"/>
        </w:rPr>
      </w:pPr>
      <w:r>
        <w:rPr>
          <w:rFonts w:ascii="Times New Roman" w:hAnsi="Times New Roman"/>
        </w:rPr>
        <w:t>La Commission ne s’oppose pas à l’idée selon laquelle l’accès des jeunes pousses et des entreprises en expansion européennes au financement devrait être amélioré au-delà des instruments existants (</w:t>
      </w:r>
      <w:r>
        <w:rPr>
          <w:rFonts w:ascii="Times New Roman" w:hAnsi="Times New Roman"/>
          <w:b/>
          <w:bCs/>
        </w:rPr>
        <w:t>paragraphe 14</w:t>
      </w:r>
      <w:r>
        <w:rPr>
          <w:rFonts w:ascii="Times New Roman" w:hAnsi="Times New Roman"/>
        </w:rPr>
        <w:t>). Dans le cadre de son initiative phare d’union des marchés des capitaux</w:t>
      </w:r>
      <w:r w:rsidRPr="00247306">
        <w:rPr>
          <w:rStyle w:val="FootnoteReference"/>
          <w:rFonts w:ascii="Times New Roman" w:hAnsi="Times New Roman"/>
          <w:szCs w:val="24"/>
        </w:rPr>
        <w:footnoteReference w:id="16"/>
      </w:r>
      <w:r>
        <w:rPr>
          <w:rFonts w:ascii="Times New Roman" w:hAnsi="Times New Roman"/>
        </w:rPr>
        <w:t>, la Commission a lancé un nouveau passeport paneuropéen pour les prestataires de services de financement participatif, qui est désormais en place, et une initiative visant à structurer le retour d’information des banques qui refusent les demandes de crédit aux PME. Enfin, le réseau des représentants des PME</w:t>
      </w:r>
      <w:r w:rsidRPr="00247306">
        <w:rPr>
          <w:rStyle w:val="FootnoteReference"/>
          <w:rFonts w:ascii="Times New Roman" w:hAnsi="Times New Roman"/>
          <w:szCs w:val="24"/>
        </w:rPr>
        <w:footnoteReference w:id="17"/>
      </w:r>
      <w:r>
        <w:rPr>
          <w:rFonts w:ascii="Times New Roman" w:hAnsi="Times New Roman"/>
        </w:rPr>
        <w:t xml:space="preserve"> est également mis à contribution pour encourager le partage de bonnes pratiques par les États membres sur divers sujets, y compris sur la manière d’attirer des investissements à un stade précoce.</w:t>
      </w:r>
    </w:p>
    <w:p w14:paraId="2E679E57" w14:textId="77777777" w:rsidR="00713742" w:rsidRPr="00247306" w:rsidRDefault="00713742" w:rsidP="00713742">
      <w:pPr>
        <w:spacing w:after="120"/>
        <w:rPr>
          <w:rFonts w:ascii="Times New Roman" w:hAnsi="Times New Roman"/>
          <w:szCs w:val="24"/>
        </w:rPr>
      </w:pPr>
      <w:r>
        <w:rPr>
          <w:rFonts w:ascii="Times New Roman" w:hAnsi="Times New Roman"/>
        </w:rPr>
        <w:t xml:space="preserve">La Commission reconnaît l’importance d’inspirer des projets intersectoriels et des coopérations non conventionnelles en tant que composante importante des politiques en faveur des jeunes pousses et des entreprises en expansion </w:t>
      </w:r>
      <w:r>
        <w:rPr>
          <w:rFonts w:ascii="Times New Roman" w:hAnsi="Times New Roman"/>
          <w:b/>
        </w:rPr>
        <w:t>(paragraphe 16)</w:t>
      </w:r>
      <w:r>
        <w:rPr>
          <w:rFonts w:ascii="Times New Roman" w:hAnsi="Times New Roman"/>
        </w:rPr>
        <w:t xml:space="preserve">. Les actions Marie Skłodowska-Curie (AMSC), qui soutiennent également la coopération intersectorielle et la mobilité dans le domaine de la recherche et de l’innovation, </w:t>
      </w:r>
      <w:r>
        <w:rPr>
          <w:rFonts w:ascii="Times New Roman" w:hAnsi="Times New Roman"/>
        </w:rPr>
        <w:lastRenderedPageBreak/>
        <w:t>constituent un programme clé. Avec plus de 2200 PME distinctes, dont des jeunes pousses et des entreprises en expansion, participant à des projets financés par Horizon 2020, et déjà plus de 1 000 pour les deux premières années d’Horizon Europe (appels 2021-2022), le programme attire avec succès des organisations tant universitaires que non universitaires, y compris des PME, pour collaborer à des programmes de recherche et de formation exploratoire et de pointe, en mettant l’accent sur l’innovation dans tous les domaines scientifiques.</w:t>
      </w:r>
    </w:p>
    <w:p w14:paraId="5832343D" w14:textId="77777777" w:rsidR="00713742" w:rsidRPr="00247306" w:rsidRDefault="00713742" w:rsidP="00713742">
      <w:pPr>
        <w:widowControl w:val="0"/>
        <w:spacing w:after="120"/>
        <w:rPr>
          <w:rFonts w:ascii="Times New Roman" w:eastAsia="Arial" w:hAnsi="Times New Roman"/>
          <w:b/>
          <w:bCs/>
          <w:i/>
          <w:iCs/>
          <w:szCs w:val="24"/>
        </w:rPr>
      </w:pPr>
      <w:r>
        <w:rPr>
          <w:rFonts w:ascii="Times New Roman" w:hAnsi="Times New Roman"/>
          <w:b/>
          <w:i/>
        </w:rPr>
        <w:t>Conseil européen de l’innovation</w:t>
      </w:r>
    </w:p>
    <w:p w14:paraId="190AF0B0" w14:textId="77777777" w:rsidR="00713742" w:rsidRDefault="00713742" w:rsidP="00713742">
      <w:pPr>
        <w:widowControl w:val="0"/>
        <w:spacing w:after="120"/>
        <w:rPr>
          <w:rFonts w:ascii="Times New Roman" w:hAnsi="Times New Roman"/>
          <w:szCs w:val="24"/>
        </w:rPr>
      </w:pPr>
      <w:r>
        <w:rPr>
          <w:rFonts w:ascii="Times New Roman" w:hAnsi="Times New Roman"/>
        </w:rPr>
        <w:t>La mise en œuvre de l’action dans le cadre du Conseil européen de l’innovation</w:t>
      </w:r>
      <w:r w:rsidRPr="00247306">
        <w:rPr>
          <w:rStyle w:val="FootnoteReference"/>
          <w:rFonts w:ascii="Times New Roman" w:hAnsi="Times New Roman"/>
          <w:szCs w:val="24"/>
        </w:rPr>
        <w:footnoteReference w:id="18"/>
      </w:r>
      <w:r>
        <w:rPr>
          <w:rFonts w:ascii="Times New Roman" w:hAnsi="Times New Roman"/>
        </w:rPr>
        <w:t xml:space="preserve"> est en bonne voie (</w:t>
      </w:r>
      <w:r>
        <w:rPr>
          <w:rFonts w:ascii="Times New Roman" w:hAnsi="Times New Roman"/>
          <w:b/>
          <w:bCs/>
        </w:rPr>
        <w:t>paragraphe 17</w:t>
      </w:r>
      <w:r>
        <w:rPr>
          <w:rFonts w:ascii="Times New Roman" w:hAnsi="Times New Roman"/>
        </w:rPr>
        <w:t>). À cet égard, une étape importante a été franchie avec le premier milliard d’euros d’investissements totaux réalisés dans 159 entreprises «deep tech» par le Fonds du Conseil européen de l’innovation (CEI), qui a entamé ses activités en octobre 2022. Le Fonds du CEI est devenu l’investisseur de choix pour les entreprises européennes deep tech, avec sa combinaison de nouveaux investissements conjoints en fonds propres. Le CEI poursuivra ses efforts pour accroître la participation et les taux de réussite des pays visés par l’élargissement aux appels du CEI. En 2022-2023, le CEI a organisé 14 journées d’information spécifiques dans la région concernée par l’élargissement afin de sensibiliser les candidats potentiels et de leur fournir des informations. En réponse à une recommandation du comité CEI, la Commission étudie les possibilités de créer un programme de pré-accélération spécifique pour les pays visés par l’élargissement afin d’accroître leurs capacités à attirer un financement de l’Accélérateur du CEI. La Commission a déjà donné suite à certaines des recommandations du comité CEI, notamment pour augmenter la part des évaluateurs provenant des pays visés par l’élargissement et promouvoir les possibilités offertes par le CEI auprès des candidats potentiels dans ces pays. La Commission continuera de surveiller de près la mise en œuvre des autres recommandations.</w:t>
      </w:r>
    </w:p>
    <w:p w14:paraId="53C05253" w14:textId="77777777" w:rsidR="00713742" w:rsidRDefault="00713742" w:rsidP="00713742">
      <w:pPr>
        <w:spacing w:after="120"/>
        <w:rPr>
          <w:rFonts w:ascii="Times New Roman" w:hAnsi="Times New Roman"/>
          <w:b/>
          <w:bCs/>
          <w:i/>
          <w:iCs/>
          <w:szCs w:val="24"/>
        </w:rPr>
      </w:pPr>
      <w:r>
        <w:rPr>
          <w:rFonts w:ascii="Times New Roman" w:hAnsi="Times New Roman"/>
          <w:b/>
          <w:i/>
        </w:rPr>
        <w:t>Marchés publics</w:t>
      </w:r>
    </w:p>
    <w:p w14:paraId="14231172" w14:textId="77777777" w:rsidR="00713742" w:rsidRDefault="00713742" w:rsidP="00713742">
      <w:pPr>
        <w:spacing w:after="120"/>
        <w:rPr>
          <w:rFonts w:ascii="Times New Roman" w:hAnsi="Times New Roman"/>
          <w:szCs w:val="24"/>
        </w:rPr>
      </w:pPr>
      <w:r>
        <w:rPr>
          <w:rFonts w:ascii="Times New Roman" w:hAnsi="Times New Roman"/>
        </w:rPr>
        <w:t>En ce qui concerne la mise en place de mécanismes efficaces et transparents pour faciliter l’accès des jeunes pousses et des entreprises en expansion aux marchés publics (</w:t>
      </w:r>
      <w:r>
        <w:rPr>
          <w:rFonts w:ascii="Times New Roman" w:hAnsi="Times New Roman"/>
          <w:b/>
          <w:bCs/>
        </w:rPr>
        <w:t>paragraphe 21</w:t>
      </w:r>
      <w:r>
        <w:rPr>
          <w:rFonts w:ascii="Times New Roman" w:hAnsi="Times New Roman"/>
        </w:rPr>
        <w:t>), la Commission a lancé un certain nombre d’initiatives spécifiquement conçues pour relier le monde des marchés publics aux écosystèmes de l’innovation. Comme indiqué dans le nouveau programme européen d’innovation, la Commission lancera en 2024 un appel à projets visant à favoriser le lien entre pépinières d’entreprises et marchés publics, dans le cadre duquel les défis et les besoins des organismes publics pourront être relevés et surmontés au moyen de solutions innovantes émanant de jeunes pousses et d’entrepreneurs. En 2023, la Commission a publié deux brochures sur les jeunes pousses et les marchés publics. L’une d’entre elles s’adressait aux acheteurs publics et comprenait des conseils pour simplifier les procédures visant à attirer les jeunes pousses; l’autre s’adressait spécifiquement aux jeunes pousses et contenait des informations spécifiques à leur intention</w:t>
      </w:r>
      <w:r>
        <w:rPr>
          <w:rStyle w:val="FootnoteReference"/>
          <w:rFonts w:ascii="Times New Roman" w:hAnsi="Times New Roman"/>
          <w:szCs w:val="24"/>
        </w:rPr>
        <w:footnoteReference w:id="19"/>
      </w:r>
      <w:r>
        <w:rPr>
          <w:rStyle w:val="FootnoteReference"/>
          <w:rFonts w:ascii="Times New Roman" w:hAnsi="Times New Roman"/>
          <w:szCs w:val="24"/>
        </w:rPr>
        <w:footnoteReference w:id="20"/>
      </w:r>
      <w:r>
        <w:rPr>
          <w:rFonts w:ascii="Times New Roman" w:hAnsi="Times New Roman"/>
        </w:rPr>
        <w:t>.</w:t>
      </w:r>
    </w:p>
    <w:p w14:paraId="20610D58" w14:textId="77777777" w:rsidR="00713742" w:rsidRDefault="00713742" w:rsidP="00713742">
      <w:pPr>
        <w:spacing w:after="120"/>
        <w:rPr>
          <w:rFonts w:ascii="Times New Roman" w:hAnsi="Times New Roman"/>
          <w:szCs w:val="24"/>
        </w:rPr>
      </w:pPr>
      <w:r>
        <w:rPr>
          <w:rFonts w:ascii="Times New Roman" w:hAnsi="Times New Roman"/>
        </w:rPr>
        <w:t>La Commission est pleinement attachée à l’objectif de réduction des charges administratives (</w:t>
      </w:r>
      <w:r>
        <w:rPr>
          <w:rFonts w:ascii="Times New Roman" w:hAnsi="Times New Roman"/>
          <w:b/>
          <w:bCs/>
        </w:rPr>
        <w:t>paragraphes 22 et 27</w:t>
      </w:r>
      <w:r>
        <w:rPr>
          <w:rFonts w:ascii="Times New Roman" w:hAnsi="Times New Roman"/>
        </w:rPr>
        <w:t xml:space="preserve">). En témoignent les mesures les plus récentes figurant dans le train de mesures d’aide aux PME, par exemple l’engagement d’envisager systématiquement des dispositions favorables aux PME dans les nouvelles législations. Ces dispositions pourraient comprendre des périodes de transition plus longues pour les </w:t>
      </w:r>
      <w:r>
        <w:rPr>
          <w:rFonts w:ascii="Times New Roman" w:hAnsi="Times New Roman"/>
        </w:rPr>
        <w:lastRenderedPageBreak/>
        <w:t>PME, des orientations spécifiques pour ces dernières, une obligation pour la Commission d’accorder une attention particulière à l’incidence des actes délégués et des actes d’exécution sur les PME, ou l’introduction d’une clause de révision ou de limitation dans le temps dans le droit dérivé. L’angle particulier relatif aux jeunes pousses et aux entreprises en expansion a été pleinement pris en compte dans les propositions existantes ainsi que dans les nouvelles propositions. La Commission continue d’œuvrer à la réduction de 25 % des obligations de déclaration annoncée en mars 2023, notamment par un recensement systématique de ces charges et l’élaboration de plans de rationalisation ciblés. Depuis mars 2023, la Commission a proposé 41 initiatives qui soulageront déjà les entreprises si elles sont adoptées rapidement. Le programme de travail de la Commission pour 2024 présente des propositions supplémentaires de rationalisation. En outre, la Commission a lancé un appel à contributions afin de recueillir un retour d’information sur la lourdeur des obligations déclaratives et analyse en ce moment les contributions reçues. Dans le cadre du programme pour une réglementation affûtée et performante (REFIT), chaque évaluation et révision de la législation supposent un examen systématique du potentiel de réduction de la charge. La plateforme «Prêts pour l’avenir» contribue à ce processus. Pour toutes les propositions importantes, des analyses d’impact exhaustives garantissent que les avantages contrebalancent les coûts. La Commission partage pleinement l’importance du principe «une fois pour toutes» (</w:t>
      </w:r>
      <w:r>
        <w:rPr>
          <w:rFonts w:ascii="Times New Roman" w:hAnsi="Times New Roman"/>
          <w:b/>
          <w:bCs/>
        </w:rPr>
        <w:t>paragraphe 23</w:t>
      </w:r>
      <w:r>
        <w:rPr>
          <w:rFonts w:ascii="Times New Roman" w:hAnsi="Times New Roman"/>
        </w:rPr>
        <w:t>) et a proposé, dans le cadre du train de mesures d’aide aux PME, des mesures concrètes pour la mise en œuvre du portail numérique unique, qui devrait servir d’outil à l’échelle de l’UE pour améliorer la coordination et les échanges d’informations entre tous les organismes publics de régulation concernés dans l’UE afin de garantir la mise en œuvre de ce principe. En outre, depuis janvier 2022, la Commission a introduit, avec son approche «un ajout, un retrait», un «frein aux coûts» destiné à garantir que les coûts administratifs dans un domaine donné s’annulent et que les coûts d’ajustement soient compensés dans toute la mesure du possible. La première année de mise en œuvre complète de cette approche a entraîné une réduction substantielle des coûts administratifs, avec des propositions qui apporteront 7,3 milliards d’euros d’économies de plus qu’elles n’apporteront de coûts.</w:t>
      </w:r>
    </w:p>
    <w:p w14:paraId="4649B505" w14:textId="77777777" w:rsidR="00713742" w:rsidRDefault="00713742" w:rsidP="00713742">
      <w:pPr>
        <w:spacing w:after="120"/>
        <w:rPr>
          <w:rFonts w:ascii="Times New Roman" w:hAnsi="Times New Roman"/>
          <w:szCs w:val="24"/>
        </w:rPr>
      </w:pPr>
      <w:r>
        <w:rPr>
          <w:rFonts w:ascii="Times New Roman" w:hAnsi="Times New Roman"/>
        </w:rPr>
        <w:t>Dans le même temps, la Commission souscrit pleinement à un environnement réglementaire favorable aux jeunes pousses et aux entreprises en expansion et se félicite du soutien du Parlement à cet égard (</w:t>
      </w:r>
      <w:r>
        <w:rPr>
          <w:rFonts w:ascii="Times New Roman" w:hAnsi="Times New Roman"/>
          <w:b/>
          <w:bCs/>
        </w:rPr>
        <w:t>paragraphe 24</w:t>
      </w:r>
      <w:r>
        <w:rPr>
          <w:rFonts w:ascii="Times New Roman" w:hAnsi="Times New Roman"/>
        </w:rPr>
        <w:t>). Dans le cadre du train de mesures d’aide aux PME, la Commission s’est engagée à collaborer avec les États membres pour promouvoir l’expérimentation et l’innovation pour les jeunes pousses au moyen de bacs à sable réglementaires. Depuis le réexamen du «Small Business Act» en 2011, la Commission collabore avec les États membres pour réduire les délais de création des nouvelles entreprises. L’initiative en faveur des jeunes pousses et des entreprises en expansion de 2016 comprenait une série d’actions visant à rendre la création et l’expansion d’une entreprise plus attrayantes pour les entrepreneurs en Europe. La Commission encourage également les États membres à promouvoir la création de jeunes pousses en mettant en œuvre les principes et les bonnes pratiques énoncés dans la déclaration sur la norme d’excellence de l’UE pour les jeunes pousses</w:t>
      </w:r>
      <w:r>
        <w:rPr>
          <w:rStyle w:val="FootnoteReference"/>
          <w:rFonts w:ascii="Times New Roman" w:hAnsi="Times New Roman"/>
          <w:szCs w:val="24"/>
        </w:rPr>
        <w:footnoteReference w:id="21"/>
      </w:r>
      <w:r>
        <w:rPr>
          <w:rFonts w:ascii="Times New Roman" w:hAnsi="Times New Roman"/>
        </w:rPr>
        <w:t>.</w:t>
      </w:r>
    </w:p>
    <w:p w14:paraId="14B268AC" w14:textId="77777777" w:rsidR="00713742" w:rsidRPr="00247306" w:rsidRDefault="00713742" w:rsidP="00713742">
      <w:pPr>
        <w:spacing w:after="120"/>
        <w:rPr>
          <w:rFonts w:ascii="Times New Roman" w:hAnsi="Times New Roman"/>
          <w:szCs w:val="24"/>
        </w:rPr>
      </w:pPr>
      <w:r>
        <w:rPr>
          <w:rFonts w:ascii="Times New Roman" w:hAnsi="Times New Roman"/>
        </w:rPr>
        <w:t>La Commission note que le test PME existant (</w:t>
      </w:r>
      <w:r>
        <w:rPr>
          <w:rFonts w:ascii="Times New Roman" w:hAnsi="Times New Roman"/>
          <w:b/>
          <w:bCs/>
        </w:rPr>
        <w:t>paragraphe 25</w:t>
      </w:r>
      <w:r>
        <w:rPr>
          <w:rFonts w:ascii="Times New Roman" w:hAnsi="Times New Roman"/>
        </w:rPr>
        <w:t xml:space="preserve">) va déjà loin pour répondre aux intérêts des jeunes pousses et des entreprises en expansion, étant donné que les parties prenantes concernées sont déjà régulièrement consultées dans le cadre des processus législatifs pertinents. Par conséquent, tout nouveau test risque de présenter des inconvénients (par exemple, une prolongation du processus législatif). En ce qui </w:t>
      </w:r>
      <w:r>
        <w:rPr>
          <w:rFonts w:ascii="Times New Roman" w:hAnsi="Times New Roman"/>
        </w:rPr>
        <w:lastRenderedPageBreak/>
        <w:t>concerne l’appel à réévaluer l’effet sur les jeunes pousses de la future législation axée sur les PME (</w:t>
      </w:r>
      <w:r>
        <w:rPr>
          <w:rFonts w:ascii="Times New Roman" w:hAnsi="Times New Roman"/>
          <w:b/>
          <w:bCs/>
        </w:rPr>
        <w:t>paragraphe 26</w:t>
      </w:r>
      <w:r>
        <w:rPr>
          <w:rFonts w:ascii="Times New Roman" w:hAnsi="Times New Roman"/>
        </w:rPr>
        <w:t>), le test PME est réalisé et systématiquement consigné dans tous les rapports d’analyse d’impact, lorsque cela est proportionné à la pertinence d’une initiative pour les PME. En outre, le nouveau contrôle de la compétitivité introduit en mars 2023 rend compte, de manière intégrée dans toutes les analyses d’impact, des incidences sur la compétitivité des entreprises, y compris sur la compétitivité des PME. Les incidences sur les jeunes pousses et l’innovation sont incluses dans ces axes de travail, le cas échéant.</w:t>
      </w:r>
    </w:p>
    <w:p w14:paraId="1B663886" w14:textId="77777777" w:rsidR="00713742" w:rsidRPr="00247306" w:rsidRDefault="00713742" w:rsidP="00713742">
      <w:pPr>
        <w:widowControl w:val="0"/>
        <w:spacing w:after="120"/>
        <w:rPr>
          <w:rFonts w:ascii="Times New Roman" w:hAnsi="Times New Roman"/>
          <w:b/>
          <w:bCs/>
          <w:i/>
          <w:iCs/>
          <w:szCs w:val="24"/>
        </w:rPr>
      </w:pPr>
      <w:r>
        <w:rPr>
          <w:rFonts w:ascii="Times New Roman" w:hAnsi="Times New Roman"/>
          <w:b/>
          <w:i/>
        </w:rPr>
        <w:t>Acquisition de talents</w:t>
      </w:r>
    </w:p>
    <w:p w14:paraId="3B931C56" w14:textId="77777777" w:rsidR="00713742" w:rsidRDefault="00713742" w:rsidP="00713742">
      <w:pPr>
        <w:spacing w:after="120"/>
        <w:rPr>
          <w:rFonts w:ascii="Times New Roman" w:hAnsi="Times New Roman"/>
          <w:szCs w:val="24"/>
        </w:rPr>
      </w:pPr>
      <w:r>
        <w:rPr>
          <w:rFonts w:ascii="Times New Roman" w:hAnsi="Times New Roman"/>
        </w:rPr>
        <w:t>La Commission convient que la pénurie de talents et de compétences, notamment en ce qui concerne l’IA et d’autres technologies numériques, devient un problème de plus en plus pressant pour la compétitivité des entreprises de l’UE, et en particulier des jeunes pousses et des entreprises en expansion (</w:t>
      </w:r>
      <w:r>
        <w:rPr>
          <w:rFonts w:ascii="Times New Roman" w:hAnsi="Times New Roman"/>
          <w:b/>
          <w:bCs/>
        </w:rPr>
        <w:t>paragraphe 28</w:t>
      </w:r>
      <w:r>
        <w:rPr>
          <w:rFonts w:ascii="Times New Roman" w:hAnsi="Times New Roman"/>
        </w:rPr>
        <w:t xml:space="preserve">). C’est la raison pour laquelle des objectifs ambitieux ont été fixés dans le programme d’action pour la décennie numérique pour atteindre 20 millions de spécialistes des TIC et garantir un meilleur accès des femmes à ces fonctions d’ici à 2030. Il convient de noter que, dans certains domaines de compétences, des initiatives ont déjà été mises en place pour développer de nouvelles actions. Les actions Marie Curie (voir ci-dessus) soutiennent depuis près de 28 ans la formation, la mobilité et l’évolution de carrière des chercheurs dans tous les pays, disciplines et secteurs dans tous les domaines scientifiques. Afin d’accroître le nombre de diplômés et de professionnels des TIC, la Commission élabore actuellement des programmes éducatifs spécialisés (programmes de bachelor, de master et de doctorat), ainsi que des cours de formation de courte durée dans le cadre du programme pour une Europe numérique, couvrant divers domaines numériques clés et technologies critiques, notamment l’IA, la science des données, la cybersécurité, l’internet des objets, l’informatique en nuage, le calcul à haute performance (CHP), les technologies quantiques, les chaînes de blocs, la microélectronique, la robotique, la réalité étendue, etc. En outre, ces programmes offrent des possibilités de formation dans des secteurs spécifiques tels que les soins de santé, le commerce, les transports, l’agriculture, les chaînes alimentaires et les systèmes énergétiques. Les jeunes pousses et les entreprises en expansion européennes peuvent recruter ou accueillir des chercheurs dans le cadre de programmes de doctorat, de bourses postdoctorales, de programmes de formation et de projets de recherche collaborative, comme toute autre organisation européenne. Dans le cadre du nouveau programme européen d’innovation, l’initiative pour les talents deep tech de l’EIT formera un million de spécialistes en deep tech, tandis que des initiatives telles que Girls Go Circular et les festivals ESTEAM (Entrepreneuriat, Science, Technology, Engineering, Arts and Mathematics) permettront de doter au moins quarante mille jeunes femmes de compétences numériques et entrepreneuriales dans l’économie circulaire. </w:t>
      </w:r>
      <w:r w:rsidRPr="00913107">
        <w:rPr>
          <w:rFonts w:ascii="Times New Roman" w:hAnsi="Times New Roman"/>
        </w:rPr>
        <w:t>Cette initiative encourage la participation des femmes aux carrières dans les domaines des sciences, des technologies, de l’ingénierie, des arts et des mathématiques (STIAM) afin de faire progresser l’égalité entre les hommes et les femmes.</w:t>
      </w:r>
      <w:r>
        <w:rPr>
          <w:rFonts w:ascii="Times New Roman" w:hAnsi="Times New Roman"/>
        </w:rPr>
        <w:t xml:space="preserve"> En outre, l’initiative relative aux établissements d’enseignement supérieur (EES) de l’EIT vise à accroître la capacité d’innovation et d’entrepreneuriat des établissements d’enseignement supérieur en Europe et à renforcer leur intégration dans les écosystèmes de l’innovation. Par ailleurs, l’un des objectifs de STEP est de remédier aux pénuries de main-d’œuvre et de compétences au moyen de projets d’apprentissage tout au long de la vie, d’éducation, de formation et des stages d’apprentissage dans les trois secteurs critiques de STEP, y compris par l’intermédiaire des académies européennes de l’industrie «zéro net». </w:t>
      </w:r>
      <w:bookmarkStart w:id="1" w:name="_Hlk162946865"/>
      <w:r>
        <w:rPr>
          <w:rFonts w:ascii="Times New Roman" w:hAnsi="Times New Roman"/>
        </w:rPr>
        <w:t>Enfin, l’EIT encourage le perfectionnement et la reconversion des travailleurs par l’intermédiaire des académies européennes pour les batteries et les compétences solaires au titre du règlement pour une industrie «zéro net».</w:t>
      </w:r>
    </w:p>
    <w:bookmarkEnd w:id="1"/>
    <w:p w14:paraId="15B2D6CD" w14:textId="77777777" w:rsidR="00713742" w:rsidRPr="00247306" w:rsidRDefault="00713742" w:rsidP="00713742">
      <w:pPr>
        <w:spacing w:after="120"/>
        <w:rPr>
          <w:rFonts w:ascii="Times New Roman" w:hAnsi="Times New Roman"/>
          <w:i/>
          <w:iCs/>
          <w:szCs w:val="24"/>
        </w:rPr>
      </w:pPr>
      <w:r>
        <w:rPr>
          <w:rFonts w:ascii="Times New Roman" w:hAnsi="Times New Roman"/>
        </w:rPr>
        <w:lastRenderedPageBreak/>
        <w:t>La Commission reconnaît la nécessité d’investir dans les compétences pour l’industrie, en particulier à la lumière de la transition numérique et de la transition vers une économie à zéro émission nette, notamment en mettant l’accent sur les compétences dans le domaine des STIM (</w:t>
      </w:r>
      <w:r>
        <w:rPr>
          <w:rFonts w:ascii="Times New Roman" w:hAnsi="Times New Roman"/>
          <w:b/>
          <w:bCs/>
        </w:rPr>
        <w:t>paragraphe 29</w:t>
      </w:r>
      <w:r>
        <w:rPr>
          <w:rFonts w:ascii="Times New Roman" w:hAnsi="Times New Roman"/>
        </w:rPr>
        <w:t>). Avec la stratégie en matière de compétences et le plan d’action en matière d’éducation numérique, elle a défini des mesures concrètes pour soutenir le développement des compétences numériques et l’adaptation des systèmes d’éducation et de formation des États membres à l’ère numérique. Les centres d’excellence professionnelle jouent un rôle de catalyseur pour l’investissement dans les entreprises locales, en soutenant la reprise et les transitions écologique et numérique. Leur activité contribue à promouvoir l’innovation européenne et régionale ainsi que les stratégies de spécialisation intelligente et le développement de l’enseignement et de la formation professionnels, y compris à des niveaux de qualification plus élevés en fonction du contexte national. Enfin, ils fournissent des services innovants tels que des pôles et des pépinières d’entreprises pour les jeunes pousses et l’innovation technologique pour les PME, ainsi que des solutions innovantes de reconversion professionnelle pour les travailleurs exposés à un risque de licenciement.</w:t>
      </w:r>
    </w:p>
    <w:p w14:paraId="08E73BDC" w14:textId="77777777" w:rsidR="00713742" w:rsidRDefault="00713742" w:rsidP="00713742">
      <w:pPr>
        <w:spacing w:after="120"/>
        <w:rPr>
          <w:rFonts w:ascii="Times New Roman" w:hAnsi="Times New Roman"/>
          <w:szCs w:val="24"/>
        </w:rPr>
      </w:pPr>
      <w:r>
        <w:rPr>
          <w:rFonts w:ascii="Times New Roman" w:hAnsi="Times New Roman"/>
        </w:rPr>
        <w:t>La Commission partage pleinement l’avis selon lequel des actions de sensibilisation et des orientations sont nécessaires pour promouvoir les emplois dans les environnements numérique et industriel, en particulier pour attirer les talents féminins (</w:t>
      </w:r>
      <w:r>
        <w:rPr>
          <w:rFonts w:ascii="Times New Roman" w:hAnsi="Times New Roman"/>
          <w:b/>
          <w:bCs/>
        </w:rPr>
        <w:t>paragraphe 30</w:t>
      </w:r>
      <w:r>
        <w:rPr>
          <w:rFonts w:ascii="Times New Roman" w:hAnsi="Times New Roman"/>
        </w:rPr>
        <w:t>). Dans le cadre de partenariats à grande échelle relevant du pacte pour les compétences, les parties prenantes travaillent ensemble sur des questions relatives à la sensibilisation et à l’amélioration de l’activation des groupes qui sont sous-représentés dans le secteur concerné. La coalition en faveur des compétences et des emplois numériques réunit les parties prenantes, notamment les États membres, les partenaires sociaux, les entreprises, les organisations à but non lucratif et les prestataires de services éducatifs, afin de combler le déficit de compétences numériques en sensibilisant les organisations et en les encourageant à prendre des mesures pour soutenir la formation aux compétences numériques. La Commission met également l’accent sur les emplois numériques par l’apprentissage par l’intermédiaire de l’Alliance européenne pour l’apprentissage et promeut l’attraction d’un plus grand nombre de talents féminins, notamment au moyen d’une communauté dédiée à l’inclusion sociale et à l’égalité entre les hommes et les femmes, créée en 2023. Un appel à propositions Erasmus+ 2024 soutient des projets proposant des moyens de surmonter les obstacles empêchant les filles et les femmes de poursuivre une carrière dans le domaine de l’enseignement et de la formation professionnels (EFT) dans le secteur des technologies vertes/propres et d’accroître la participation des femmes dans ce secteur, au moyen d’actions telles que des campagnes, des programmes d’accompagnement ou d’orientation professionnelle ou grâce à des figures inspirantes, entre autres. Le pacte de l’UE pour les compétences offre des possibilités de perfectionnement et de reconversion professionnels qui profitent en particulier aux petits acteurs tels que les jeunes pousses et les PME en mettant en commun des ressources et en créant des partenariats réunissant le plus grand nombre possible de parties prenantes dans un secteur donné (</w:t>
      </w:r>
      <w:r>
        <w:rPr>
          <w:rFonts w:ascii="Times New Roman" w:hAnsi="Times New Roman"/>
          <w:b/>
          <w:bCs/>
        </w:rPr>
        <w:t>paragraphe 31</w:t>
      </w:r>
      <w:r>
        <w:rPr>
          <w:rFonts w:ascii="Times New Roman" w:hAnsi="Times New Roman"/>
        </w:rPr>
        <w:t>). La création d’entreprises et le soutien aux jeunes pousses et aux entreprises en expansion sont au cœur de la mission de l’EIT, qui, au fil des ans, a soutenu plus de 7 800 entreprises qui ont attiré 7,3 milliards d’euros d’investissements extérieurs, dont 7 licornes.</w:t>
      </w:r>
    </w:p>
    <w:p w14:paraId="29F0220B" w14:textId="77777777" w:rsidR="00713742" w:rsidRDefault="00713742" w:rsidP="00713742">
      <w:pPr>
        <w:spacing w:after="120"/>
        <w:rPr>
          <w:rFonts w:ascii="Times New Roman" w:hAnsi="Times New Roman"/>
          <w:b/>
          <w:bCs/>
          <w:i/>
          <w:iCs/>
          <w:szCs w:val="24"/>
        </w:rPr>
      </w:pPr>
      <w:r>
        <w:rPr>
          <w:rFonts w:ascii="Times New Roman" w:hAnsi="Times New Roman"/>
          <w:b/>
          <w:i/>
        </w:rPr>
        <w:t xml:space="preserve">Accès au marché et concurrence </w:t>
      </w:r>
    </w:p>
    <w:p w14:paraId="7C56BF88" w14:textId="77777777" w:rsidR="00713742" w:rsidRPr="00B22D74" w:rsidRDefault="00713742" w:rsidP="00713742">
      <w:pPr>
        <w:widowControl w:val="0"/>
        <w:spacing w:after="120"/>
        <w:rPr>
          <w:rFonts w:ascii="Times New Roman" w:hAnsi="Times New Roman"/>
          <w:b/>
          <w:bCs/>
          <w:i/>
          <w:iCs/>
          <w:szCs w:val="24"/>
        </w:rPr>
      </w:pPr>
      <w:r>
        <w:rPr>
          <w:rFonts w:ascii="Times New Roman" w:hAnsi="Times New Roman"/>
        </w:rPr>
        <w:t>La Commission soutient pleinement les arguments en faveur d’un environnement des entreprises clair et sûr sur un marché plus large (</w:t>
      </w:r>
      <w:r>
        <w:rPr>
          <w:rFonts w:ascii="Times New Roman" w:hAnsi="Times New Roman"/>
          <w:b/>
          <w:bCs/>
        </w:rPr>
        <w:t>paragraphe 33</w:t>
      </w:r>
      <w:r>
        <w:rPr>
          <w:rFonts w:ascii="Times New Roman" w:hAnsi="Times New Roman"/>
        </w:rPr>
        <w:t xml:space="preserve">). Déterminée à simplifier les politiques et à encourager la collaboration dans l’écosystème de l’innovation, la Commission fournit divers instruments pour faciliter l’internationalisation des entreprises européennes. Une vue d’ensemble actualisée, </w:t>
      </w:r>
      <w:r>
        <w:rPr>
          <w:rFonts w:ascii="Times New Roman" w:hAnsi="Times New Roman"/>
        </w:rPr>
        <w:lastRenderedPageBreak/>
        <w:t>publiée le 26 juillet 2023, met en évidence ces efforts. En réponse aux recommandations formulées par la Cour des comptes européenne en mai 2022, la Commission mène actuellement une étude visant à améliorer le soutien existant à l’internationalisation des PME, en s’alignant sur des politiques plus larges telles que les celles en faveur des PME, du commerce, de l’industrie, des régions et du développement, afin d’améliorer la cohérence et la durabilité. En outre, la Commission mène des dialogues réglementaires avec des pays tiers (États-Unis, Chine, Corée du Sud, Japon) afin de lever les obstacles potentiels au commerce. En ce qui concerne les initiatives visant à accroître la compétitivité des jeunes pousses et des entreprises en expansion européennes participant aux chaînes de valeur des technologies «zéro net» (</w:t>
      </w:r>
      <w:r>
        <w:rPr>
          <w:rFonts w:ascii="Times New Roman" w:hAnsi="Times New Roman"/>
          <w:b/>
          <w:bCs/>
        </w:rPr>
        <w:t>paragraphes 35 et 36</w:t>
      </w:r>
      <w:r>
        <w:rPr>
          <w:rFonts w:ascii="Times New Roman" w:hAnsi="Times New Roman"/>
        </w:rPr>
        <w:t>), le règlement pour une industrie «zéro net» promeut le rôle des jeunes pousses et des entreprises en expansion (ainsi que des PME) dans la promotion de l’innovation dans le domaine des technologies «zéro net», notamment en vue d’améliorer l’apprentissage réglementaire au moyen de bacs à sable réglementaires pour les technologies «zéro net». Une fois entré en vigueur, l’un des objectifs du règlement pour une industrie «zéro net» sera de favoriser l’innovation au moyen de cadres réglementaires favorables à créer pour le développement, l’expérimentation et la validation de technologies innovantes. Le règlement pour une industrie «zéro net» garantira que les États membres offriront aux jeunes pousses et aux PME un accès prioritaire aux bacs à sable réglementaires pour les technologies «zéro net», organiseront des activités de sensibilisation et mettront en place des canaux de communication spécifiques pour guider leur participation. Les bacs à sable réglementaires visent à permettre la mise sur le marché de technologies et de solutions innovantes qui profitent aux entreprises et aux consommateurs, renforçant ainsi la compétitivité du paysage technologique «zéro net» de l’UE. Ils contribuent à la démonstration et à la mise en place d’un modèle d’entreprise pour des solutions innovantes dont bénéficieront les jeunes pousses. Ils ont également pour objectif d’éliminer les obstacles, d’alléger la charge réglementaire, de réduire l’incertitude réglementaire et de soutenir l’innovation dans le domaine des technologies «zéro net».</w:t>
      </w:r>
    </w:p>
    <w:p w14:paraId="26FEC5CF" w14:textId="77777777" w:rsidR="00713742" w:rsidRPr="00247306" w:rsidRDefault="00713742" w:rsidP="00713742">
      <w:pPr>
        <w:widowControl w:val="0"/>
        <w:spacing w:after="120"/>
        <w:rPr>
          <w:rFonts w:ascii="Times New Roman" w:hAnsi="Times New Roman"/>
          <w:b/>
          <w:bCs/>
          <w:i/>
          <w:iCs/>
          <w:szCs w:val="24"/>
        </w:rPr>
      </w:pPr>
      <w:r>
        <w:rPr>
          <w:rFonts w:ascii="Times New Roman" w:hAnsi="Times New Roman"/>
          <w:b/>
          <w:i/>
        </w:rPr>
        <w:t xml:space="preserve">Accès aux données </w:t>
      </w:r>
    </w:p>
    <w:p w14:paraId="16F7645A" w14:textId="77777777" w:rsidR="00713742" w:rsidRPr="00100C5F" w:rsidRDefault="00713742" w:rsidP="00713742">
      <w:pPr>
        <w:spacing w:after="120"/>
        <w:rPr>
          <w:rFonts w:ascii="Times New Roman" w:hAnsi="Times New Roman"/>
          <w:szCs w:val="24"/>
        </w:rPr>
      </w:pPr>
      <w:r>
        <w:rPr>
          <w:rFonts w:ascii="Times New Roman" w:hAnsi="Times New Roman"/>
        </w:rPr>
        <w:t>La Commission accueille favorablement les suggestions concernant la fourniture d’un accès aux données publiques en temps réel (</w:t>
      </w:r>
      <w:r>
        <w:rPr>
          <w:rFonts w:ascii="Times New Roman" w:hAnsi="Times New Roman"/>
          <w:b/>
          <w:bCs/>
        </w:rPr>
        <w:t>paragraphe 37</w:t>
      </w:r>
      <w:r>
        <w:rPr>
          <w:rFonts w:ascii="Times New Roman" w:hAnsi="Times New Roman"/>
        </w:rPr>
        <w:t>). Elles sont pleinement cohérentes avec ses propres initiatives visant à sensibiliser les États membres à l’importance d’un accès adéquat aux données pour les entreprises innovantes, notamment en vue de garantir la compétitivité de l’UE dans les technologies émergentes, y compris l’IA. En outre, la Commission souligne que, dans le cadre de son initiative relative au portail numérique unique, des actions sont déjà prévues pour promouvoir et faciliter l’échange d’informations entre les différents acteurs. La Commission attache la plus haute importance à la mise en œuvre et à l’application des règlements récents dans le domaine numérique, y compris le règlement sur les services numériques, le règlement sur les marchés numériques, le règlement sur la gouvernance des données, le règlement sur les données et le règlement sur l’intelligence artificielle (</w:t>
      </w:r>
      <w:r>
        <w:rPr>
          <w:rFonts w:ascii="Times New Roman" w:hAnsi="Times New Roman"/>
          <w:b/>
          <w:bCs/>
        </w:rPr>
        <w:t>paragraphe 38</w:t>
      </w:r>
      <w:r>
        <w:rPr>
          <w:rFonts w:ascii="Times New Roman" w:hAnsi="Times New Roman"/>
        </w:rPr>
        <w:t>). Le dernier développement dans ce contexte est la création du Bureau de l’intelligence artificielle sur la base de changements organisationnels prenant effet le 16 juin 2024.</w:t>
      </w:r>
    </w:p>
    <w:p w14:paraId="2BD1957B" w14:textId="77777777" w:rsidR="00713742" w:rsidRPr="00247306" w:rsidRDefault="00713742" w:rsidP="00713742">
      <w:pPr>
        <w:widowControl w:val="0"/>
        <w:spacing w:after="120"/>
        <w:rPr>
          <w:rFonts w:ascii="Times New Roman" w:hAnsi="Times New Roman"/>
          <w:b/>
          <w:bCs/>
          <w:i/>
          <w:iCs/>
          <w:szCs w:val="24"/>
        </w:rPr>
      </w:pPr>
      <w:r>
        <w:rPr>
          <w:rFonts w:ascii="Times New Roman" w:hAnsi="Times New Roman"/>
          <w:b/>
          <w:i/>
        </w:rPr>
        <w:t>Écosystème de l’innovation et structures de soutien</w:t>
      </w:r>
    </w:p>
    <w:p w14:paraId="22605FC9" w14:textId="77777777" w:rsidR="00713742" w:rsidRDefault="00713742" w:rsidP="00713742">
      <w:pPr>
        <w:widowControl w:val="0"/>
        <w:spacing w:after="120"/>
        <w:rPr>
          <w:rFonts w:ascii="Times New Roman" w:hAnsi="Times New Roman"/>
          <w:szCs w:val="24"/>
        </w:rPr>
      </w:pPr>
      <w:r>
        <w:rPr>
          <w:rFonts w:ascii="Times New Roman" w:hAnsi="Times New Roman"/>
        </w:rPr>
        <w:t xml:space="preserve">Conformément à l’initiative de 2016 en faveur des jeunes pousses et des entreprises en expansion, le réseau Entreprise Europe (EEN) a mis en place des conseillers spécialisés dans l’expansion des entreprises en 2017. Ceux-ci se sont ensuite vu confier un rôle permanent dans les consortiums de l’EEN à partir de 2022, en raison d’un critère d’appel inclus dans l’appel à propositions du programme pour le marché unique de 2021. Dans ce contexte, les conseillers du réseau EEN ont la capacité d’accompagner les PME pour les aider à se développer et à s’étendre au niveau international, en tirant parti de l’expertise </w:t>
      </w:r>
      <w:r>
        <w:rPr>
          <w:rFonts w:ascii="Times New Roman" w:hAnsi="Times New Roman"/>
        </w:rPr>
        <w:lastRenderedPageBreak/>
        <w:t>acquise au sein de l’EEN et en utilisant ses services et en les reliant à d’autres formes de soutien plus pertinentes et souvent plus spécialisées.</w:t>
      </w:r>
    </w:p>
    <w:p w14:paraId="66475C29" w14:textId="77777777" w:rsidR="00713742" w:rsidRDefault="00713742" w:rsidP="00713742">
      <w:pPr>
        <w:widowControl w:val="0"/>
        <w:spacing w:after="120"/>
        <w:rPr>
          <w:rFonts w:ascii="Times New Roman" w:hAnsi="Times New Roman"/>
          <w:szCs w:val="24"/>
        </w:rPr>
      </w:pPr>
      <w:r>
        <w:rPr>
          <w:rFonts w:ascii="Times New Roman" w:hAnsi="Times New Roman"/>
        </w:rPr>
        <w:t>La Commission souscrit pleinement à l’idée de créer des écosystèmes de jeunes pousses pleinement inclusifs dans l’UE (</w:t>
      </w:r>
      <w:r>
        <w:rPr>
          <w:rFonts w:ascii="Times New Roman" w:hAnsi="Times New Roman"/>
          <w:b/>
          <w:bCs/>
        </w:rPr>
        <w:t>paragraphe 40</w:t>
      </w:r>
      <w:r>
        <w:rPr>
          <w:rFonts w:ascii="Times New Roman" w:hAnsi="Times New Roman"/>
        </w:rPr>
        <w:t>) et tient à s’appuyer sur les actions qu’elle a déjà entreprises à cet égard. En particulier, dans l’action 17 du train de mesures de soutien aux PME, la Commission annonce qu’elle poursuivra ses travaux avec des groupes dont le potentiel entrepreneurial inexploité reste élevé, tels que les femmes, les jeunes et les personnes handicapées, grâce à des campagnes de sensibilisation, de tutorat et d’accompagnement. La Commission convient également de l’importance des écosystèmes régionaux de jeunes pousses ainsi que de l’idée d’établir des liens étroits entre les politiques d’innovation territorialisées et les politiques d’excellence à l’échelle de l’UE (</w:t>
      </w:r>
      <w:r>
        <w:rPr>
          <w:rFonts w:ascii="Times New Roman" w:hAnsi="Times New Roman"/>
          <w:b/>
          <w:bCs/>
        </w:rPr>
        <w:t>paragraphe 42</w:t>
      </w:r>
      <w:r>
        <w:rPr>
          <w:rFonts w:ascii="Times New Roman" w:hAnsi="Times New Roman"/>
        </w:rPr>
        <w:t>). Le programme régional d’innovation (PRI) de l’EIT aide les pays et les régions dont les performances en matière d’innovation sont modestes à renforcer leur capacité à innover. Il met en place des pôles locaux dans les pays et les régions concernés afin d’encourager des interactions plus étroites entre les acteurs locaux de l’innovation et de relier les écosystèmes locaux d’innovation à l’écosystème paneuropéen d’innovation de l’EIT. Ces pôles contribuent également à intégrer de nouveaux partenaires issus de l’écosystème local d’innovation dans les activités de la communauté de l’EIT. D’ici à la fin de 2025, il y aura des pôles dans toutes les zones éligibles au PRI de l’EIT.</w:t>
      </w:r>
    </w:p>
    <w:p w14:paraId="3F324E8A" w14:textId="5AA78F4C" w:rsidR="00322A3C" w:rsidRPr="00713742" w:rsidRDefault="00713742" w:rsidP="00713742">
      <w:r>
        <w:rPr>
          <w:rFonts w:ascii="Times New Roman" w:hAnsi="Times New Roman"/>
        </w:rPr>
        <w:t>En outre, la Commission renforce son soutien aux jeunes pousses et aux PME européennes afin qu’elles puissent développer une IA digne de confiance, qui respecte les valeurs et les règles de l’UE. Le nouveau train de mesures sur l’IA adopté en janvier 2024 comprend un large éventail de mesures destinées à soutenir ces jeunes pousses et l’innovation, ainsi qu’une proposition visant à accorder à ces jeunes pousses et à la communauté de l’innovation au sens large un accès privilégié aux supercalculateurs.</w:t>
      </w:r>
    </w:p>
    <w:sectPr w:rsidR="00322A3C" w:rsidRPr="00713742" w:rsidSect="000A07D2">
      <w:headerReference w:type="even" r:id="rId11"/>
      <w:headerReference w:type="default" r:id="rId12"/>
      <w:footerReference w:type="even" r:id="rId13"/>
      <w:footerReference w:type="default" r:id="rId14"/>
      <w:headerReference w:type="first" r:id="rId15"/>
      <w:footerReference w:type="first" r:id="rId16"/>
      <w:footnotePr>
        <w:numRestart w:val="eachSect"/>
      </w:footnotePr>
      <w:pgSz w:w="11906" w:h="16838" w:code="9"/>
      <w:pgMar w:top="1021" w:right="1701" w:bottom="1021" w:left="1588" w:header="601" w:footer="6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871043" w14:textId="77777777" w:rsidR="000D50D8" w:rsidRDefault="000D50D8">
      <w:r>
        <w:separator/>
      </w:r>
    </w:p>
  </w:endnote>
  <w:endnote w:type="continuationSeparator" w:id="0">
    <w:p w14:paraId="4F801842" w14:textId="77777777" w:rsidR="000D50D8" w:rsidRDefault="000D50D8">
      <w:r>
        <w:continuationSeparator/>
      </w:r>
    </w:p>
  </w:endnote>
  <w:endnote w:type="continuationNotice" w:id="1">
    <w:p w14:paraId="36A551A9" w14:textId="77777777" w:rsidR="000D50D8" w:rsidRDefault="000D50D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EUAlbertina">
    <w:altName w:val="Calibri"/>
    <w:panose1 w:val="00000000000000000000"/>
    <w:charset w:val="00"/>
    <w:family w:val="swiss"/>
    <w:notTrueType/>
    <w:pitch w:val="default"/>
    <w:sig w:usb0="00000003" w:usb1="00000000" w:usb2="00000000" w:usb3="00000000" w:csb0="00000001" w:csb1="00000000"/>
  </w:font>
  <w:font w:name="EC Square Sans Cond Pro">
    <w:panose1 w:val="020B0506040000020004"/>
    <w:charset w:val="00"/>
    <w:family w:val="swiss"/>
    <w:pitch w:val="variable"/>
    <w:sig w:usb0="2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3D2E7D" w14:textId="77777777" w:rsidR="005E6EC2" w:rsidRDefault="005E6EC2" w:rsidP="006E569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35</w:t>
    </w:r>
    <w:r>
      <w:rPr>
        <w:rStyle w:val="PageNumber"/>
      </w:rPr>
      <w:fldChar w:fldCharType="end"/>
    </w:r>
  </w:p>
  <w:p w14:paraId="2A2D4688" w14:textId="77777777" w:rsidR="005E6EC2" w:rsidRDefault="005E6EC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5ED304" w14:textId="77777777" w:rsidR="005E6EC2" w:rsidRDefault="005E6EC2" w:rsidP="006E569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D246D">
      <w:rPr>
        <w:rStyle w:val="PageNumber"/>
      </w:rPr>
      <w:t>2</w:t>
    </w:r>
    <w:r>
      <w:rPr>
        <w:rStyle w:val="PageNumber"/>
      </w:rPr>
      <w:fldChar w:fldCharType="end"/>
    </w:r>
  </w:p>
  <w:p w14:paraId="41D1F713" w14:textId="77777777" w:rsidR="005E6EC2" w:rsidRPr="008A6623" w:rsidRDefault="005E6EC2" w:rsidP="008A6623">
    <w:pPr>
      <w:pStyle w:val="Footer"/>
      <w:rPr>
        <w:rFonts w:ascii="Times New Roman" w:hAnsi="Times New Roman"/>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E32826" w14:textId="1C31B827" w:rsidR="005E6EC2" w:rsidRPr="00984533" w:rsidRDefault="005E6EC2" w:rsidP="009845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F80CD7" w14:textId="77777777" w:rsidR="000D50D8" w:rsidRDefault="000D50D8">
      <w:r>
        <w:separator/>
      </w:r>
    </w:p>
  </w:footnote>
  <w:footnote w:type="continuationSeparator" w:id="0">
    <w:p w14:paraId="1F8E5045" w14:textId="77777777" w:rsidR="000D50D8" w:rsidRDefault="000D50D8">
      <w:r>
        <w:continuationSeparator/>
      </w:r>
    </w:p>
  </w:footnote>
  <w:footnote w:type="continuationNotice" w:id="1">
    <w:p w14:paraId="67FF5EB0" w14:textId="77777777" w:rsidR="000D50D8" w:rsidRDefault="000D50D8">
      <w:pPr>
        <w:spacing w:after="0"/>
      </w:pPr>
    </w:p>
  </w:footnote>
  <w:footnote w:id="2">
    <w:p w14:paraId="693140DB" w14:textId="77777777" w:rsidR="00713742" w:rsidRPr="004A5134" w:rsidRDefault="00713742" w:rsidP="00713742">
      <w:pPr>
        <w:pStyle w:val="FootnoteText"/>
        <w:spacing w:after="0"/>
        <w:rPr>
          <w:rFonts w:ascii="Times New Roman" w:hAnsi="Times New Roman"/>
        </w:rPr>
      </w:pPr>
      <w:r>
        <w:rPr>
          <w:rStyle w:val="FootnoteReference"/>
          <w:rFonts w:ascii="Times New Roman" w:hAnsi="Times New Roman"/>
        </w:rPr>
        <w:footnoteRef/>
      </w:r>
      <w:r>
        <w:rPr>
          <w:rFonts w:ascii="Times New Roman" w:hAnsi="Times New Roman"/>
        </w:rPr>
        <w:tab/>
        <w:t>Des exemples de définitions informelles des jeunes pousses et des entreprises en expansion sont disponibles: 1) dans l’initiative en faveur des jeunes pousses et des entreprises en expansion, qui souligne que les jeunes pousses combinent croissance élevée, innovation, évolutions technologiques et modèles d’entreprise innovants, 2) à l’article 22 du règlement RGEC, qui mentionne certains cas dans lesquels les aides d’État en faveur des jeunes pousses sont jugées compatibles avec les règles du marché intérieur. En outre, la communication intitulée «Un nouveau programme européen d’innovation» définit la deep tech comme une innovation ancrée dans la science, la technologie et l’ingénierie de pointe, qui combine souvent des avancées dans les domaines de la physique, de la biologie et du numérique ayant le potentiel d’apporter des solutions transformatrices aux défis mondiaux.</w:t>
      </w:r>
    </w:p>
  </w:footnote>
  <w:footnote w:id="3">
    <w:p w14:paraId="21920121" w14:textId="77777777" w:rsidR="00713742" w:rsidRPr="004A5134" w:rsidRDefault="00713742" w:rsidP="00713742">
      <w:pPr>
        <w:pStyle w:val="FootnoteText"/>
        <w:spacing w:after="0"/>
        <w:rPr>
          <w:rFonts w:ascii="Times New Roman" w:hAnsi="Times New Roman"/>
        </w:rPr>
      </w:pPr>
      <w:r>
        <w:rPr>
          <w:rStyle w:val="FootnoteReference"/>
          <w:rFonts w:ascii="Times New Roman" w:hAnsi="Times New Roman"/>
        </w:rPr>
        <w:footnoteRef/>
      </w:r>
      <w:r>
        <w:rPr>
          <w:rFonts w:ascii="Times New Roman" w:hAnsi="Times New Roman"/>
        </w:rPr>
        <w:tab/>
        <w:t>Des définitions informelles sont disponibles dans le règlement d’exécution (UE) 2020/1197 de la Commission définissant les entreprises à forte croissance comme des entreprises employant au moins 10 salariés dont la croissance annuelle moyenne du nombre de salariés dépasse 10 % par an sur une période de trois ans. En outre, Eurostat recueille des indicateurs qui se rapportent à une définition des entreprises à forte croissance fondée sur le chiffre d’affaires, dans laquelle la croissance est mesurée sur la base du chiffre d’affaires, et non du nombre de salariés. Enfin, si les entreprises à forte croissance ont 4 ou 5 ans, elles peuvent être définies comme des gazelles, conformément au même règlement.</w:t>
      </w:r>
    </w:p>
  </w:footnote>
  <w:footnote w:id="4">
    <w:p w14:paraId="79421438" w14:textId="77777777" w:rsidR="00713742" w:rsidRPr="005D38DF" w:rsidRDefault="00713742" w:rsidP="00713742">
      <w:pPr>
        <w:pStyle w:val="FootnoteText"/>
        <w:spacing w:after="0"/>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rPr>
        <w:tab/>
      </w:r>
      <w:hyperlink w:history="1">
        <w:r>
          <w:rPr>
            <w:rStyle w:val="Hyperlink"/>
            <w:rFonts w:ascii="Times New Roman" w:hAnsi="Times New Roman"/>
          </w:rPr>
          <w:t>https:// www.eif.org/etci/index.htm</w:t>
        </w:r>
      </w:hyperlink>
      <w:r>
        <w:rPr>
          <w:rFonts w:ascii="Times New Roman" w:hAnsi="Times New Roman"/>
        </w:rPr>
        <w:t xml:space="preserve"> </w:t>
      </w:r>
    </w:p>
  </w:footnote>
  <w:footnote w:id="5">
    <w:p w14:paraId="770EA240" w14:textId="77777777" w:rsidR="00713742" w:rsidRPr="0014462B" w:rsidRDefault="00713742" w:rsidP="00713742">
      <w:pPr>
        <w:pStyle w:val="FootnoteText"/>
        <w:spacing w:after="0"/>
        <w:rPr>
          <w:rFonts w:ascii="Calibri" w:hAnsi="Calibri" w:cs="Calibri"/>
        </w:rPr>
      </w:pPr>
      <w:r>
        <w:rPr>
          <w:rStyle w:val="FootnoteReference"/>
          <w:rFonts w:ascii="Times New Roman" w:hAnsi="Times New Roman"/>
        </w:rPr>
        <w:footnoteRef/>
      </w:r>
      <w:r>
        <w:rPr>
          <w:rFonts w:ascii="Times New Roman" w:hAnsi="Times New Roman"/>
        </w:rPr>
        <w:t xml:space="preserve"> </w:t>
      </w:r>
      <w:r>
        <w:rPr>
          <w:rFonts w:ascii="Times New Roman" w:hAnsi="Times New Roman"/>
        </w:rPr>
        <w:tab/>
      </w:r>
      <w:hyperlink r:id="rId1" w:history="1">
        <w:r>
          <w:rPr>
            <w:rStyle w:val="Hyperlink"/>
            <w:rFonts w:ascii="Times New Roman" w:hAnsi="Times New Roman"/>
          </w:rPr>
          <w:t>https://engage.eif.org/investeu/equity?overlay=ESCALAR</w:t>
        </w:r>
      </w:hyperlink>
      <w:r>
        <w:rPr>
          <w:rFonts w:ascii="Calibri" w:hAnsi="Calibri"/>
        </w:rPr>
        <w:t xml:space="preserve"> </w:t>
      </w:r>
    </w:p>
  </w:footnote>
  <w:footnote w:id="6">
    <w:p w14:paraId="07735F79" w14:textId="77777777" w:rsidR="00713742" w:rsidRPr="0014462B" w:rsidRDefault="00713742" w:rsidP="00713742">
      <w:pPr>
        <w:pStyle w:val="FootnoteText"/>
        <w:spacing w:after="0"/>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rPr>
        <w:tab/>
      </w:r>
      <w:hyperlink r:id="rId2" w:history="1">
        <w:r>
          <w:rPr>
            <w:rStyle w:val="Hyperlink"/>
            <w:rFonts w:ascii="Times New Roman" w:hAnsi="Times New Roman"/>
          </w:rPr>
          <w:t>Accès au financement de l’UE - Accès au financement de l’UE - Commission européenne (europa.eu)</w:t>
        </w:r>
      </w:hyperlink>
      <w:r>
        <w:rPr>
          <w:rFonts w:ascii="Times New Roman" w:hAnsi="Times New Roman"/>
        </w:rPr>
        <w:t xml:space="preserve"> </w:t>
      </w:r>
    </w:p>
  </w:footnote>
  <w:footnote w:id="7">
    <w:p w14:paraId="70225FEC" w14:textId="77777777" w:rsidR="00713742" w:rsidRPr="0014462B" w:rsidRDefault="00713742" w:rsidP="00713742">
      <w:pPr>
        <w:pStyle w:val="FootnoteText"/>
        <w:spacing w:after="0"/>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rPr>
        <w:tab/>
      </w:r>
      <w:hyperlink r:id="rId3" w:history="1">
        <w:r>
          <w:rPr>
            <w:rStyle w:val="Hyperlink"/>
            <w:rFonts w:ascii="Times New Roman" w:hAnsi="Times New Roman"/>
          </w:rPr>
          <w:t>https://een.ec.europa.eu/</w:t>
        </w:r>
      </w:hyperlink>
      <w:r>
        <w:rPr>
          <w:rFonts w:ascii="Times New Roman" w:hAnsi="Times New Roman"/>
        </w:rPr>
        <w:t xml:space="preserve"> </w:t>
      </w:r>
    </w:p>
  </w:footnote>
  <w:footnote w:id="8">
    <w:p w14:paraId="71C6DF10" w14:textId="6D6B1382" w:rsidR="00713742" w:rsidRPr="0014462B" w:rsidRDefault="00713742" w:rsidP="00913107">
      <w:pPr>
        <w:pStyle w:val="FootnoteText"/>
        <w:spacing w:after="0"/>
        <w:rPr>
          <w:rFonts w:ascii="Times New Roman" w:hAnsi="Times New Roman"/>
        </w:rPr>
      </w:pPr>
      <w:r>
        <w:rPr>
          <w:rStyle w:val="FootnoteReference"/>
          <w:rFonts w:ascii="Times New Roman" w:hAnsi="Times New Roman"/>
        </w:rPr>
        <w:footnoteRef/>
      </w:r>
      <w:r>
        <w:rPr>
          <w:rFonts w:ascii="Times New Roman" w:hAnsi="Times New Roman"/>
        </w:rPr>
        <w:t xml:space="preserve"> </w:t>
      </w:r>
      <w:r w:rsidR="00913107">
        <w:rPr>
          <w:rFonts w:ascii="Times New Roman" w:hAnsi="Times New Roman"/>
        </w:rPr>
        <w:tab/>
      </w:r>
      <w:hyperlink r:id="rId4" w:history="1">
        <w:r w:rsidR="00913107" w:rsidRPr="00CA3B40">
          <w:rPr>
            <w:rStyle w:val="Hyperlink"/>
            <w:rFonts w:ascii="Times New Roman" w:hAnsi="Times New Roman"/>
          </w:rPr>
          <w:t>https://investeu.europa.eu/index_en?prefLang=fr</w:t>
        </w:r>
      </w:hyperlink>
    </w:p>
  </w:footnote>
  <w:footnote w:id="9">
    <w:p w14:paraId="75684C3D" w14:textId="77777777" w:rsidR="00713742" w:rsidRPr="0014462B" w:rsidRDefault="00713742" w:rsidP="00713742">
      <w:pPr>
        <w:pStyle w:val="FootnoteText"/>
        <w:spacing w:after="0"/>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rPr>
        <w:tab/>
      </w:r>
      <w:hyperlink r:id="rId5" w:history="1">
        <w:r>
          <w:rPr>
            <w:rStyle w:val="Hyperlink"/>
            <w:rFonts w:ascii="Times New Roman" w:hAnsi="Times New Roman"/>
          </w:rPr>
          <w:t>https://www.eif.org/news_centre/audiovisual_library/case_studies/index.htm</w:t>
        </w:r>
      </w:hyperlink>
      <w:r>
        <w:rPr>
          <w:rFonts w:ascii="Times New Roman" w:hAnsi="Times New Roman"/>
        </w:rPr>
        <w:t xml:space="preserve"> </w:t>
      </w:r>
    </w:p>
  </w:footnote>
  <w:footnote w:id="10">
    <w:p w14:paraId="3D41C1DD" w14:textId="77777777" w:rsidR="00713742" w:rsidRPr="0013467D" w:rsidRDefault="00713742" w:rsidP="00713742">
      <w:pPr>
        <w:pStyle w:val="FootnoteText"/>
        <w:spacing w:after="0"/>
      </w:pPr>
      <w:r>
        <w:rPr>
          <w:rStyle w:val="FootnoteReference"/>
        </w:rPr>
        <w:footnoteRef/>
      </w:r>
      <w:r>
        <w:tab/>
      </w:r>
      <w:r>
        <w:rPr>
          <w:rFonts w:ascii="Times New Roman" w:hAnsi="Times New Roman"/>
        </w:rPr>
        <w:t>Règlement (UE) 2024/795.</w:t>
      </w:r>
    </w:p>
  </w:footnote>
  <w:footnote w:id="11">
    <w:p w14:paraId="1EB6FEF3" w14:textId="77777777" w:rsidR="00713742" w:rsidRPr="0013467D" w:rsidRDefault="00713742" w:rsidP="00713742">
      <w:pPr>
        <w:pStyle w:val="FootnoteText"/>
        <w:spacing w:after="0"/>
        <w:rPr>
          <w:rFonts w:ascii="Times New Roman" w:hAnsi="Times New Roman"/>
        </w:rPr>
      </w:pPr>
      <w:r>
        <w:rPr>
          <w:rStyle w:val="FootnoteReference"/>
          <w:rFonts w:ascii="Times New Roman" w:hAnsi="Times New Roman"/>
        </w:rPr>
        <w:footnoteRef/>
      </w:r>
      <w:r>
        <w:t>.</w:t>
      </w:r>
      <w:r>
        <w:tab/>
      </w:r>
      <w:hyperlink r:id="rId6" w:history="1">
        <w:r>
          <w:rPr>
            <w:rStyle w:val="Hyperlink"/>
            <w:rFonts w:ascii="Times New Roman" w:hAnsi="Times New Roman"/>
          </w:rPr>
          <w:t>https:// www.eif.org/what_we_do/guarantees/cultural_creative_sectors_guarantee_facility/index.htm</w:t>
        </w:r>
      </w:hyperlink>
      <w:r>
        <w:rPr>
          <w:rFonts w:ascii="Times New Roman" w:hAnsi="Times New Roman"/>
        </w:rPr>
        <w:t xml:space="preserve"> </w:t>
      </w:r>
    </w:p>
  </w:footnote>
  <w:footnote w:id="12">
    <w:p w14:paraId="6D5F6493" w14:textId="77777777" w:rsidR="00713742" w:rsidRPr="0013467D" w:rsidRDefault="00713742" w:rsidP="00713742">
      <w:pPr>
        <w:pStyle w:val="FootnoteText"/>
        <w:spacing w:after="0"/>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rPr>
        <w:tab/>
      </w:r>
      <w:hyperlink r:id="rId7" w:history="1">
        <w:r>
          <w:rPr>
            <w:rStyle w:val="Hyperlink"/>
            <w:rFonts w:ascii="Times New Roman" w:hAnsi="Times New Roman"/>
          </w:rPr>
          <w:t>https://engage.eif.org/investeu/equity?overlay=Digital-CCS-Sectors</w:t>
        </w:r>
      </w:hyperlink>
      <w:r>
        <w:rPr>
          <w:rStyle w:val="Hyperlink"/>
          <w:rFonts w:ascii="Times New Roman" w:hAnsi="Times New Roman"/>
        </w:rPr>
        <w:t xml:space="preserve"> </w:t>
      </w:r>
    </w:p>
  </w:footnote>
  <w:footnote w:id="13">
    <w:p w14:paraId="3425B047" w14:textId="7EB34896" w:rsidR="00713742" w:rsidRPr="00876DE7" w:rsidRDefault="00713742" w:rsidP="00713742">
      <w:pPr>
        <w:pStyle w:val="FootnoteText"/>
        <w:spacing w:after="0"/>
      </w:pPr>
      <w:r>
        <w:rPr>
          <w:rStyle w:val="FootnoteReference"/>
          <w:rFonts w:ascii="Times New Roman" w:hAnsi="Times New Roman"/>
        </w:rPr>
        <w:footnoteRef/>
      </w:r>
      <w:r>
        <w:t xml:space="preserve"> </w:t>
      </w:r>
      <w:r>
        <w:tab/>
      </w:r>
      <w:hyperlink r:id="rId8" w:history="1">
        <w:r>
          <w:rPr>
            <w:rStyle w:val="Hyperlink"/>
            <w:rFonts w:ascii="Times New Roman" w:hAnsi="Times New Roman"/>
          </w:rPr>
          <w:t>https://digital-strategy.ec.europa.eu/en/policies/mediainvest</w:t>
        </w:r>
      </w:hyperlink>
    </w:p>
  </w:footnote>
  <w:footnote w:id="14">
    <w:p w14:paraId="1164E949" w14:textId="47D61416" w:rsidR="00713742" w:rsidRPr="0013467D" w:rsidRDefault="00713742" w:rsidP="00713742">
      <w:pPr>
        <w:pStyle w:val="FootnoteText"/>
        <w:spacing w:after="0"/>
      </w:pPr>
      <w:r>
        <w:rPr>
          <w:rStyle w:val="FootnoteReference"/>
          <w:rFonts w:ascii="Times New Roman" w:hAnsi="Times New Roman"/>
        </w:rPr>
        <w:footnoteRef/>
      </w:r>
      <w:r>
        <w:rPr>
          <w:rFonts w:ascii="Times New Roman" w:hAnsi="Times New Roman"/>
        </w:rPr>
        <w:t xml:space="preserve"> </w:t>
      </w:r>
      <w:r>
        <w:rPr>
          <w:rFonts w:ascii="Times New Roman" w:hAnsi="Times New Roman"/>
        </w:rPr>
        <w:tab/>
      </w:r>
      <w:hyperlink r:id="rId9" w:history="1">
        <w:r>
          <w:rPr>
            <w:rStyle w:val="Hyperlink"/>
            <w:rFonts w:ascii="Times New Roman" w:hAnsi="Times New Roman"/>
          </w:rPr>
          <w:t>https://een.ec.europa.eu/about-enterprise-europe-network</w:t>
        </w:r>
      </w:hyperlink>
    </w:p>
  </w:footnote>
  <w:footnote w:id="15">
    <w:p w14:paraId="6756488B" w14:textId="77777777" w:rsidR="00713742" w:rsidRPr="00984533" w:rsidRDefault="00713742" w:rsidP="00713742">
      <w:pPr>
        <w:pStyle w:val="FootnoteText"/>
        <w:spacing w:after="0"/>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rPr>
        <w:tab/>
      </w:r>
      <w:hyperlink r:id="rId10" w:history="1">
        <w:r>
          <w:rPr>
            <w:rStyle w:val="Hyperlink"/>
            <w:rFonts w:ascii="Times New Roman" w:hAnsi="Times New Roman"/>
          </w:rPr>
          <w:t>www.access2finance.eu</w:t>
        </w:r>
      </w:hyperlink>
      <w:r>
        <w:rPr>
          <w:rFonts w:ascii="Times New Roman" w:hAnsi="Times New Roman"/>
        </w:rPr>
        <w:t xml:space="preserve"> </w:t>
      </w:r>
    </w:p>
  </w:footnote>
  <w:footnote w:id="16">
    <w:p w14:paraId="7429F115" w14:textId="77777777" w:rsidR="00713742" w:rsidRPr="00984533" w:rsidRDefault="00713742" w:rsidP="00713742">
      <w:pPr>
        <w:pStyle w:val="FootnoteText"/>
        <w:spacing w:after="0"/>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rPr>
        <w:tab/>
      </w:r>
      <w:hyperlink r:id="rId11" w:history="1">
        <w:r>
          <w:rPr>
            <w:rStyle w:val="Hyperlink"/>
            <w:rFonts w:ascii="Times New Roman" w:hAnsi="Times New Roman"/>
          </w:rPr>
          <w:t>Union des marchés des capitaux - Commission européenne (europa.eu)</w:t>
        </w:r>
      </w:hyperlink>
      <w:r>
        <w:rPr>
          <w:rStyle w:val="Hyperlink"/>
          <w:rFonts w:ascii="Times New Roman" w:hAnsi="Times New Roman"/>
        </w:rPr>
        <w:t xml:space="preserve"> </w:t>
      </w:r>
    </w:p>
  </w:footnote>
  <w:footnote w:id="17">
    <w:p w14:paraId="0812A4C0" w14:textId="77777777" w:rsidR="00713742" w:rsidRPr="00984533" w:rsidRDefault="00713742" w:rsidP="00713742">
      <w:pPr>
        <w:pStyle w:val="FootnoteText"/>
        <w:spacing w:after="0"/>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rPr>
        <w:tab/>
      </w:r>
      <w:hyperlink r:id="rId12" w:history="1">
        <w:r>
          <w:rPr>
            <w:rStyle w:val="Hyperlink"/>
            <w:rFonts w:ascii="Times New Roman" w:hAnsi="Times New Roman"/>
          </w:rPr>
          <w:t>Réseau des représentants des PME - Commission européenne (europa.eu)</w:t>
        </w:r>
      </w:hyperlink>
      <w:r>
        <w:rPr>
          <w:rStyle w:val="Hyperlink"/>
          <w:rFonts w:ascii="Times New Roman" w:hAnsi="Times New Roman"/>
        </w:rPr>
        <w:t xml:space="preserve"> </w:t>
      </w:r>
    </w:p>
  </w:footnote>
  <w:footnote w:id="18">
    <w:p w14:paraId="4E46FF70" w14:textId="678D7270" w:rsidR="00713742" w:rsidRPr="00683234" w:rsidRDefault="00713742" w:rsidP="00713742">
      <w:pPr>
        <w:pStyle w:val="FootnoteText"/>
        <w:spacing w:after="0"/>
        <w:rPr>
          <w:rFonts w:ascii="Times New Roman" w:hAnsi="Times New Roman"/>
          <w:sz w:val="22"/>
        </w:rPr>
      </w:pPr>
      <w:r>
        <w:rPr>
          <w:rStyle w:val="FootnoteReference"/>
          <w:rFonts w:ascii="Times New Roman" w:hAnsi="Times New Roman"/>
        </w:rPr>
        <w:footnoteRef/>
      </w:r>
      <w:r>
        <w:rPr>
          <w:rFonts w:ascii="Times New Roman" w:hAnsi="Times New Roman"/>
        </w:rPr>
        <w:t xml:space="preserve"> </w:t>
      </w:r>
      <w:r>
        <w:rPr>
          <w:rFonts w:ascii="Times New Roman" w:hAnsi="Times New Roman"/>
        </w:rPr>
        <w:tab/>
      </w:r>
      <w:hyperlink r:id="rId13" w:history="1">
        <w:r>
          <w:rPr>
            <w:rStyle w:val="Hyperlink"/>
            <w:rFonts w:ascii="Times New Roman" w:hAnsi="Times New Roman"/>
          </w:rPr>
          <w:t xml:space="preserve">Conseil européen de l’innovation </w:t>
        </w:r>
        <w:r w:rsidR="00913107">
          <w:rPr>
            <w:rStyle w:val="Hyperlink"/>
            <w:rFonts w:ascii="Times New Roman" w:hAnsi="Times New Roman"/>
          </w:rPr>
          <w:t>-</w:t>
        </w:r>
        <w:r>
          <w:rPr>
            <w:rStyle w:val="Hyperlink"/>
            <w:rFonts w:ascii="Times New Roman" w:hAnsi="Times New Roman"/>
          </w:rPr>
          <w:t xml:space="preserve"> Commission européenne (europa.eu)</w:t>
        </w:r>
      </w:hyperlink>
      <w:r>
        <w:rPr>
          <w:rStyle w:val="Hyperlink"/>
          <w:rFonts w:ascii="Times New Roman" w:hAnsi="Times New Roman"/>
        </w:rPr>
        <w:t xml:space="preserve"> </w:t>
      </w:r>
    </w:p>
  </w:footnote>
  <w:footnote w:id="19">
    <w:p w14:paraId="14C2538B" w14:textId="77777777" w:rsidR="00713742" w:rsidRPr="00913107" w:rsidRDefault="00713742" w:rsidP="00713742">
      <w:pPr>
        <w:pStyle w:val="FootnoteText"/>
        <w:spacing w:after="0"/>
        <w:rPr>
          <w:rFonts w:ascii="Times New Roman" w:hAnsi="Times New Roman"/>
          <w:lang w:val="en-IE"/>
        </w:rPr>
      </w:pPr>
      <w:r>
        <w:rPr>
          <w:rStyle w:val="FootnoteReference"/>
          <w:rFonts w:ascii="Times New Roman" w:hAnsi="Times New Roman"/>
        </w:rPr>
        <w:footnoteRef/>
      </w:r>
      <w:r w:rsidRPr="00913107">
        <w:rPr>
          <w:rFonts w:ascii="Times New Roman" w:hAnsi="Times New Roman"/>
          <w:lang w:val="en-IE"/>
        </w:rPr>
        <w:t xml:space="preserve"> </w:t>
      </w:r>
      <w:r w:rsidRPr="00913107">
        <w:rPr>
          <w:rFonts w:ascii="Times New Roman" w:hAnsi="Times New Roman"/>
          <w:lang w:val="en-IE"/>
        </w:rPr>
        <w:tab/>
      </w:r>
      <w:hyperlink r:id="rId14" w:history="1">
        <w:r w:rsidRPr="00913107">
          <w:rPr>
            <w:rStyle w:val="Hyperlink"/>
            <w:rFonts w:ascii="Times New Roman" w:hAnsi="Times New Roman"/>
            <w:lang w:val="en-IE"/>
          </w:rPr>
          <w:t>How do start-ups fit in?</w:t>
        </w:r>
      </w:hyperlink>
      <w:hyperlink r:id="rId15" w:history="1">
        <w:r w:rsidRPr="00913107">
          <w:rPr>
            <w:rStyle w:val="Hyperlink"/>
            <w:rFonts w:ascii="Times New Roman" w:hAnsi="Times New Roman"/>
            <w:lang w:val="en-IE"/>
          </w:rPr>
          <w:t xml:space="preserve"> New brochure to guide public buyers |</w:t>
        </w:r>
      </w:hyperlink>
      <w:hyperlink r:id="rId16" w:history="1">
        <w:r w:rsidRPr="00913107">
          <w:rPr>
            <w:rStyle w:val="Hyperlink"/>
            <w:rFonts w:ascii="Times New Roman" w:hAnsi="Times New Roman"/>
            <w:lang w:val="en-IE"/>
          </w:rPr>
          <w:t xml:space="preserve"> Public Buyers Community (europa.eu)</w:t>
        </w:r>
      </w:hyperlink>
    </w:p>
  </w:footnote>
  <w:footnote w:id="20">
    <w:p w14:paraId="7E0BA587" w14:textId="77777777" w:rsidR="00713742" w:rsidRPr="00913107" w:rsidRDefault="00713742" w:rsidP="00713742">
      <w:pPr>
        <w:pStyle w:val="FootnoteText"/>
        <w:spacing w:after="0"/>
        <w:rPr>
          <w:rFonts w:ascii="Times New Roman" w:hAnsi="Times New Roman"/>
          <w:lang w:val="en-IE"/>
        </w:rPr>
      </w:pPr>
      <w:r>
        <w:rPr>
          <w:rStyle w:val="FootnoteReference"/>
          <w:rFonts w:ascii="Times New Roman" w:hAnsi="Times New Roman"/>
        </w:rPr>
        <w:footnoteRef/>
      </w:r>
      <w:r w:rsidRPr="00913107">
        <w:rPr>
          <w:rFonts w:ascii="Times New Roman" w:hAnsi="Times New Roman"/>
          <w:lang w:val="en-IE"/>
        </w:rPr>
        <w:t xml:space="preserve"> </w:t>
      </w:r>
      <w:r w:rsidRPr="00913107">
        <w:rPr>
          <w:rFonts w:ascii="Times New Roman" w:hAnsi="Times New Roman"/>
          <w:lang w:val="en-IE"/>
        </w:rPr>
        <w:tab/>
      </w:r>
      <w:hyperlink r:id="rId17" w:history="1">
        <w:r w:rsidRPr="00913107">
          <w:rPr>
            <w:rStyle w:val="Hyperlink"/>
            <w:rFonts w:ascii="Times New Roman" w:hAnsi="Times New Roman"/>
            <w:lang w:val="en-IE"/>
          </w:rPr>
          <w:t>Scale up with the public sector - A new brochure to guide startups |</w:t>
        </w:r>
      </w:hyperlink>
      <w:hyperlink r:id="rId18" w:history="1">
        <w:r w:rsidRPr="00913107">
          <w:rPr>
            <w:rStyle w:val="Hyperlink"/>
            <w:rFonts w:ascii="Times New Roman" w:hAnsi="Times New Roman"/>
            <w:lang w:val="en-IE"/>
          </w:rPr>
          <w:t xml:space="preserve"> Joinup (europa.eu)</w:t>
        </w:r>
      </w:hyperlink>
    </w:p>
  </w:footnote>
  <w:footnote w:id="21">
    <w:p w14:paraId="1FDA286D" w14:textId="77777777" w:rsidR="00713742" w:rsidRPr="00984533" w:rsidRDefault="00713742" w:rsidP="00713742">
      <w:pPr>
        <w:pStyle w:val="FootnoteText"/>
        <w:spacing w:after="0"/>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rPr>
        <w:tab/>
      </w:r>
      <w:hyperlink r:id="rId19" w:history="1">
        <w:r>
          <w:rPr>
            <w:rStyle w:val="Hyperlink"/>
            <w:rFonts w:ascii="Times New Roman" w:hAnsi="Times New Roman"/>
          </w:rPr>
          <w:t>SNS-declaration.pdf (startupnationsstandard.eu)</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57A60" w14:textId="77777777" w:rsidR="00984533" w:rsidRDefault="0098453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ACD530" w14:textId="77777777" w:rsidR="00984533" w:rsidRDefault="0098453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57B8D" w14:textId="77777777" w:rsidR="00984533" w:rsidRDefault="009845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A507D"/>
    <w:multiLevelType w:val="multilevel"/>
    <w:tmpl w:val="5F385A54"/>
    <w:name w:val="WW8Num2"/>
    <w:lvl w:ilvl="0">
      <w:start w:val="1"/>
      <w:numFmt w:val="bullet"/>
      <w:lvlText w:val="–"/>
      <w:lvlJc w:val="left"/>
      <w:pPr>
        <w:tabs>
          <w:tab w:val="num" w:pos="283"/>
        </w:tabs>
        <w:ind w:left="283" w:hanging="283"/>
      </w:pPr>
      <w:rPr>
        <w:rFonts w:ascii="Times New Roman" w:hAnsi="Times New Roman"/>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0B3F48"/>
    <w:multiLevelType w:val="singleLevel"/>
    <w:tmpl w:val="EFB46688"/>
    <w:name w:val="WW8Num6"/>
    <w:lvl w:ilvl="0">
      <w:start w:val="1"/>
      <w:numFmt w:val="bullet"/>
      <w:pStyle w:val="ListBullet"/>
      <w:lvlText w:val=""/>
      <w:lvlJc w:val="left"/>
      <w:pPr>
        <w:tabs>
          <w:tab w:val="num" w:pos="283"/>
        </w:tabs>
        <w:ind w:left="283" w:hanging="283"/>
      </w:pPr>
      <w:rPr>
        <w:rFonts w:ascii="Symbol" w:hAnsi="Symbol"/>
      </w:rPr>
    </w:lvl>
  </w:abstractNum>
  <w:abstractNum w:abstractNumId="2" w15:restartNumberingAfterBreak="0">
    <w:nsid w:val="03C8321C"/>
    <w:multiLevelType w:val="hybridMultilevel"/>
    <w:tmpl w:val="E75EBFFA"/>
    <w:lvl w:ilvl="0" w:tplc="FD6CBBE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1A20B4"/>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 w15:restartNumberingAfterBreak="0">
    <w:nsid w:val="0EBD20DB"/>
    <w:multiLevelType w:val="hybridMultilevel"/>
    <w:tmpl w:val="3BC09D28"/>
    <w:name w:val="WW8Num8"/>
    <w:lvl w:ilvl="0" w:tplc="1ED89A4C">
      <w:start w:val="1"/>
      <w:numFmt w:val="bullet"/>
      <w:pStyle w:val="Briefingspdef"/>
      <w:lvlText w:val=""/>
      <w:lvlJc w:val="left"/>
      <w:pPr>
        <w:tabs>
          <w:tab w:val="num" w:pos="360"/>
        </w:tabs>
        <w:ind w:left="360" w:hanging="360"/>
      </w:pPr>
      <w:rPr>
        <w:rFonts w:ascii="Symbol" w:hAnsi="Symbol" w:hint="default"/>
        <w:sz w:val="20"/>
      </w:rPr>
    </w:lvl>
    <w:lvl w:ilvl="1" w:tplc="E9786584">
      <w:start w:val="1"/>
      <w:numFmt w:val="bullet"/>
      <w:lvlText w:val=""/>
      <w:lvlJc w:val="left"/>
      <w:pPr>
        <w:tabs>
          <w:tab w:val="num" w:pos="1440"/>
        </w:tabs>
        <w:ind w:left="1440" w:hanging="360"/>
      </w:pPr>
      <w:rPr>
        <w:rFonts w:ascii="Symbol" w:hAnsi="Symbol" w:hint="default"/>
        <w:sz w:val="20"/>
      </w:rPr>
    </w:lvl>
    <w:lvl w:ilvl="2" w:tplc="D3E466F6" w:tentative="1">
      <w:start w:val="1"/>
      <w:numFmt w:val="bullet"/>
      <w:lvlText w:val=""/>
      <w:lvlJc w:val="left"/>
      <w:pPr>
        <w:tabs>
          <w:tab w:val="num" w:pos="2160"/>
        </w:tabs>
        <w:ind w:left="2160" w:hanging="360"/>
      </w:pPr>
      <w:rPr>
        <w:rFonts w:ascii="Wingdings" w:hAnsi="Wingdings" w:hint="default"/>
      </w:rPr>
    </w:lvl>
    <w:lvl w:ilvl="3" w:tplc="670E1398" w:tentative="1">
      <w:start w:val="1"/>
      <w:numFmt w:val="bullet"/>
      <w:lvlText w:val=""/>
      <w:lvlJc w:val="left"/>
      <w:pPr>
        <w:tabs>
          <w:tab w:val="num" w:pos="2880"/>
        </w:tabs>
        <w:ind w:left="2880" w:hanging="360"/>
      </w:pPr>
      <w:rPr>
        <w:rFonts w:ascii="Symbol" w:hAnsi="Symbol" w:hint="default"/>
      </w:rPr>
    </w:lvl>
    <w:lvl w:ilvl="4" w:tplc="03E003E2" w:tentative="1">
      <w:start w:val="1"/>
      <w:numFmt w:val="bullet"/>
      <w:lvlText w:val="o"/>
      <w:lvlJc w:val="left"/>
      <w:pPr>
        <w:tabs>
          <w:tab w:val="num" w:pos="3600"/>
        </w:tabs>
        <w:ind w:left="3600" w:hanging="360"/>
      </w:pPr>
      <w:rPr>
        <w:rFonts w:ascii="Courier New" w:hAnsi="Courier New" w:cs="Courier New" w:hint="default"/>
      </w:rPr>
    </w:lvl>
    <w:lvl w:ilvl="5" w:tplc="4FBE7CFE" w:tentative="1">
      <w:start w:val="1"/>
      <w:numFmt w:val="bullet"/>
      <w:lvlText w:val=""/>
      <w:lvlJc w:val="left"/>
      <w:pPr>
        <w:tabs>
          <w:tab w:val="num" w:pos="4320"/>
        </w:tabs>
        <w:ind w:left="4320" w:hanging="360"/>
      </w:pPr>
      <w:rPr>
        <w:rFonts w:ascii="Wingdings" w:hAnsi="Wingdings" w:hint="default"/>
      </w:rPr>
    </w:lvl>
    <w:lvl w:ilvl="6" w:tplc="BB54250A" w:tentative="1">
      <w:start w:val="1"/>
      <w:numFmt w:val="bullet"/>
      <w:lvlText w:val=""/>
      <w:lvlJc w:val="left"/>
      <w:pPr>
        <w:tabs>
          <w:tab w:val="num" w:pos="5040"/>
        </w:tabs>
        <w:ind w:left="5040" w:hanging="360"/>
      </w:pPr>
      <w:rPr>
        <w:rFonts w:ascii="Symbol" w:hAnsi="Symbol" w:hint="default"/>
      </w:rPr>
    </w:lvl>
    <w:lvl w:ilvl="7" w:tplc="546629E2" w:tentative="1">
      <w:start w:val="1"/>
      <w:numFmt w:val="bullet"/>
      <w:lvlText w:val="o"/>
      <w:lvlJc w:val="left"/>
      <w:pPr>
        <w:tabs>
          <w:tab w:val="num" w:pos="5760"/>
        </w:tabs>
        <w:ind w:left="5760" w:hanging="360"/>
      </w:pPr>
      <w:rPr>
        <w:rFonts w:ascii="Courier New" w:hAnsi="Courier New" w:cs="Courier New" w:hint="default"/>
      </w:rPr>
    </w:lvl>
    <w:lvl w:ilvl="8" w:tplc="19BC93F4"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3A83C3F"/>
    <w:multiLevelType w:val="singleLevel"/>
    <w:tmpl w:val="54744D6A"/>
    <w:name w:val="WW8Num13"/>
    <w:lvl w:ilvl="0">
      <w:start w:val="1"/>
      <w:numFmt w:val="bullet"/>
      <w:pStyle w:val="ListDash1"/>
      <w:lvlText w:val="–"/>
      <w:lvlJc w:val="left"/>
      <w:pPr>
        <w:tabs>
          <w:tab w:val="num" w:pos="765"/>
        </w:tabs>
        <w:ind w:left="765" w:hanging="283"/>
      </w:pPr>
      <w:rPr>
        <w:rFonts w:ascii="Times New Roman" w:hAnsi="Times New Roman"/>
      </w:rPr>
    </w:lvl>
  </w:abstractNum>
  <w:abstractNum w:abstractNumId="6" w15:restartNumberingAfterBreak="0">
    <w:nsid w:val="14E4220C"/>
    <w:multiLevelType w:val="multilevel"/>
    <w:tmpl w:val="D2ACB8CC"/>
    <w:lvl w:ilvl="0">
      <w:start w:val="1"/>
      <w:numFmt w:val="decimal"/>
      <w:pStyle w:val="Heading1"/>
      <w:lvlText w:val="%1."/>
      <w:lvlJc w:val="left"/>
      <w:pPr>
        <w:tabs>
          <w:tab w:val="num" w:pos="480"/>
        </w:tabs>
        <w:ind w:left="480" w:hanging="480"/>
      </w:pPr>
      <w:rPr>
        <w:b/>
        <w:lang w:val="fr-FR"/>
      </w:rPr>
    </w:lvl>
    <w:lvl w:ilvl="1">
      <w:start w:val="1"/>
      <w:numFmt w:val="decimal"/>
      <w:pStyle w:val="Heading2"/>
      <w:lvlText w:val="%1.%2."/>
      <w:lvlJc w:val="left"/>
      <w:pPr>
        <w:tabs>
          <w:tab w:val="num" w:pos="1167"/>
        </w:tabs>
        <w:ind w:left="1167" w:hanging="600"/>
      </w:pPr>
      <w:rPr>
        <w:lang w:val="en-GB"/>
      </w:rPr>
    </w:lvl>
    <w:lvl w:ilvl="2">
      <w:start w:val="1"/>
      <w:numFmt w:val="decimal"/>
      <w:pStyle w:val="Heading3"/>
      <w:lvlText w:val="%1.%2.%3."/>
      <w:lvlJc w:val="left"/>
      <w:pPr>
        <w:tabs>
          <w:tab w:val="num" w:pos="2062"/>
        </w:tabs>
        <w:ind w:left="2062" w:hanging="840"/>
      </w:pPr>
    </w:lvl>
    <w:lvl w:ilvl="3">
      <w:start w:val="1"/>
      <w:numFmt w:val="decimal"/>
      <w:pStyle w:val="Heading4"/>
      <w:lvlText w:val="%1.%2.%3.%4."/>
      <w:lvlJc w:val="left"/>
      <w:pPr>
        <w:tabs>
          <w:tab w:val="num" w:pos="3022"/>
        </w:tabs>
        <w:ind w:left="3022" w:hanging="960"/>
      </w:pPr>
    </w:lvl>
    <w:lvl w:ilvl="4">
      <w:start w:val="1"/>
      <w:numFmt w:val="lowerLetter"/>
      <w:lvlText w:val="(%5)"/>
      <w:lvlJc w:val="left"/>
      <w:pPr>
        <w:tabs>
          <w:tab w:val="num" w:pos="1942"/>
        </w:tabs>
        <w:ind w:left="1942" w:hanging="360"/>
      </w:pPr>
    </w:lvl>
    <w:lvl w:ilvl="5">
      <w:start w:val="1"/>
      <w:numFmt w:val="lowerRoman"/>
      <w:lvlText w:val="(%6)"/>
      <w:lvlJc w:val="left"/>
      <w:pPr>
        <w:tabs>
          <w:tab w:val="num" w:pos="2302"/>
        </w:tabs>
        <w:ind w:left="2302" w:hanging="360"/>
      </w:pPr>
    </w:lvl>
    <w:lvl w:ilvl="6">
      <w:start w:val="1"/>
      <w:numFmt w:val="decimal"/>
      <w:lvlText w:val="%7."/>
      <w:lvlJc w:val="left"/>
      <w:pPr>
        <w:tabs>
          <w:tab w:val="num" w:pos="2662"/>
        </w:tabs>
        <w:ind w:left="2662" w:hanging="360"/>
      </w:pPr>
    </w:lvl>
    <w:lvl w:ilvl="7">
      <w:start w:val="1"/>
      <w:numFmt w:val="lowerLetter"/>
      <w:lvlText w:val="%8."/>
      <w:lvlJc w:val="left"/>
      <w:pPr>
        <w:tabs>
          <w:tab w:val="num" w:pos="3022"/>
        </w:tabs>
        <w:ind w:left="3022" w:hanging="360"/>
      </w:pPr>
    </w:lvl>
    <w:lvl w:ilvl="8">
      <w:start w:val="1"/>
      <w:numFmt w:val="lowerRoman"/>
      <w:lvlText w:val="%9."/>
      <w:lvlJc w:val="left"/>
      <w:pPr>
        <w:tabs>
          <w:tab w:val="num" w:pos="3382"/>
        </w:tabs>
        <w:ind w:left="3382" w:hanging="360"/>
      </w:pPr>
    </w:lvl>
  </w:abstractNum>
  <w:abstractNum w:abstractNumId="7" w15:restartNumberingAfterBreak="0">
    <w:nsid w:val="17610807"/>
    <w:multiLevelType w:val="hybridMultilevel"/>
    <w:tmpl w:val="DA3CD6C8"/>
    <w:name w:val="List Bullet"/>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92973D2"/>
    <w:multiLevelType w:val="hybridMultilevel"/>
    <w:tmpl w:val="419A2060"/>
    <w:lvl w:ilvl="0" w:tplc="492C7160">
      <w:start w:val="1"/>
      <w:numFmt w:val="decimal"/>
      <w:lvlText w:val="%1."/>
      <w:lvlJc w:val="left"/>
      <w:pPr>
        <w:ind w:left="720" w:hanging="720"/>
      </w:pPr>
      <w:rPr>
        <w:rFonts w:hint="default"/>
        <w:b/>
        <w:i w:val="0"/>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9" w15:restartNumberingAfterBreak="0">
    <w:nsid w:val="19D23947"/>
    <w:multiLevelType w:val="hybridMultilevel"/>
    <w:tmpl w:val="A4003DA6"/>
    <w:lvl w:ilvl="0" w:tplc="08090001">
      <w:start w:val="1"/>
      <w:numFmt w:val="bullet"/>
      <w:lvlText w:val=""/>
      <w:lvlJc w:val="left"/>
      <w:pPr>
        <w:ind w:left="1434" w:hanging="360"/>
      </w:pPr>
      <w:rPr>
        <w:rFonts w:ascii="Symbol" w:hAnsi="Symbol" w:hint="default"/>
      </w:rPr>
    </w:lvl>
    <w:lvl w:ilvl="1" w:tplc="08090003" w:tentative="1">
      <w:start w:val="1"/>
      <w:numFmt w:val="bullet"/>
      <w:lvlText w:val="o"/>
      <w:lvlJc w:val="left"/>
      <w:pPr>
        <w:ind w:left="2154" w:hanging="360"/>
      </w:pPr>
      <w:rPr>
        <w:rFonts w:ascii="Courier New" w:hAnsi="Courier New" w:cs="Courier New" w:hint="default"/>
      </w:rPr>
    </w:lvl>
    <w:lvl w:ilvl="2" w:tplc="08090005" w:tentative="1">
      <w:start w:val="1"/>
      <w:numFmt w:val="bullet"/>
      <w:lvlText w:val=""/>
      <w:lvlJc w:val="left"/>
      <w:pPr>
        <w:ind w:left="2874" w:hanging="360"/>
      </w:pPr>
      <w:rPr>
        <w:rFonts w:ascii="Wingdings" w:hAnsi="Wingdings" w:hint="default"/>
      </w:rPr>
    </w:lvl>
    <w:lvl w:ilvl="3" w:tplc="08090001" w:tentative="1">
      <w:start w:val="1"/>
      <w:numFmt w:val="bullet"/>
      <w:lvlText w:val=""/>
      <w:lvlJc w:val="left"/>
      <w:pPr>
        <w:ind w:left="3594" w:hanging="360"/>
      </w:pPr>
      <w:rPr>
        <w:rFonts w:ascii="Symbol" w:hAnsi="Symbol" w:hint="default"/>
      </w:rPr>
    </w:lvl>
    <w:lvl w:ilvl="4" w:tplc="08090003" w:tentative="1">
      <w:start w:val="1"/>
      <w:numFmt w:val="bullet"/>
      <w:lvlText w:val="o"/>
      <w:lvlJc w:val="left"/>
      <w:pPr>
        <w:ind w:left="4314" w:hanging="360"/>
      </w:pPr>
      <w:rPr>
        <w:rFonts w:ascii="Courier New" w:hAnsi="Courier New" w:cs="Courier New" w:hint="default"/>
      </w:rPr>
    </w:lvl>
    <w:lvl w:ilvl="5" w:tplc="08090005" w:tentative="1">
      <w:start w:val="1"/>
      <w:numFmt w:val="bullet"/>
      <w:lvlText w:val=""/>
      <w:lvlJc w:val="left"/>
      <w:pPr>
        <w:ind w:left="5034" w:hanging="360"/>
      </w:pPr>
      <w:rPr>
        <w:rFonts w:ascii="Wingdings" w:hAnsi="Wingdings" w:hint="default"/>
      </w:rPr>
    </w:lvl>
    <w:lvl w:ilvl="6" w:tplc="08090001" w:tentative="1">
      <w:start w:val="1"/>
      <w:numFmt w:val="bullet"/>
      <w:lvlText w:val=""/>
      <w:lvlJc w:val="left"/>
      <w:pPr>
        <w:ind w:left="5754" w:hanging="360"/>
      </w:pPr>
      <w:rPr>
        <w:rFonts w:ascii="Symbol" w:hAnsi="Symbol" w:hint="default"/>
      </w:rPr>
    </w:lvl>
    <w:lvl w:ilvl="7" w:tplc="08090003" w:tentative="1">
      <w:start w:val="1"/>
      <w:numFmt w:val="bullet"/>
      <w:lvlText w:val="o"/>
      <w:lvlJc w:val="left"/>
      <w:pPr>
        <w:ind w:left="6474" w:hanging="360"/>
      </w:pPr>
      <w:rPr>
        <w:rFonts w:ascii="Courier New" w:hAnsi="Courier New" w:cs="Courier New" w:hint="default"/>
      </w:rPr>
    </w:lvl>
    <w:lvl w:ilvl="8" w:tplc="08090005" w:tentative="1">
      <w:start w:val="1"/>
      <w:numFmt w:val="bullet"/>
      <w:lvlText w:val=""/>
      <w:lvlJc w:val="left"/>
      <w:pPr>
        <w:ind w:left="7194" w:hanging="360"/>
      </w:pPr>
      <w:rPr>
        <w:rFonts w:ascii="Wingdings" w:hAnsi="Wingdings" w:hint="default"/>
      </w:rPr>
    </w:lvl>
  </w:abstractNum>
  <w:abstractNum w:abstractNumId="10" w15:restartNumberingAfterBreak="0">
    <w:nsid w:val="1D5150BD"/>
    <w:multiLevelType w:val="singleLevel"/>
    <w:tmpl w:val="EF0A0136"/>
    <w:lvl w:ilvl="0">
      <w:start w:val="1"/>
      <w:numFmt w:val="bullet"/>
      <w:pStyle w:val="ListBullet4"/>
      <w:lvlText w:val=""/>
      <w:lvlJc w:val="left"/>
      <w:pPr>
        <w:tabs>
          <w:tab w:val="num" w:pos="3163"/>
        </w:tabs>
        <w:ind w:left="3163" w:hanging="283"/>
      </w:pPr>
      <w:rPr>
        <w:rFonts w:ascii="Symbol" w:hAnsi="Symbol"/>
      </w:rPr>
    </w:lvl>
  </w:abstractNum>
  <w:abstractNum w:abstractNumId="11" w15:restartNumberingAfterBreak="0">
    <w:nsid w:val="228918BE"/>
    <w:multiLevelType w:val="multilevel"/>
    <w:tmpl w:val="4C3E72AA"/>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2B1E53BC"/>
    <w:multiLevelType w:val="singleLevel"/>
    <w:tmpl w:val="0BFC0FF8"/>
    <w:lvl w:ilvl="0">
      <w:start w:val="1"/>
      <w:numFmt w:val="bullet"/>
      <w:pStyle w:val="ListBullet2"/>
      <w:lvlText w:val=""/>
      <w:lvlJc w:val="left"/>
      <w:pPr>
        <w:tabs>
          <w:tab w:val="num" w:pos="1360"/>
        </w:tabs>
        <w:ind w:left="1360" w:hanging="283"/>
      </w:pPr>
      <w:rPr>
        <w:rFonts w:ascii="Symbol" w:hAnsi="Symbol"/>
      </w:rPr>
    </w:lvl>
  </w:abstractNum>
  <w:abstractNum w:abstractNumId="13" w15:restartNumberingAfterBreak="0">
    <w:nsid w:val="2BBE5D05"/>
    <w:multiLevelType w:val="hybridMultilevel"/>
    <w:tmpl w:val="F7FE6A86"/>
    <w:lvl w:ilvl="0" w:tplc="FD6CBBE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4834FA3"/>
    <w:multiLevelType w:val="multilevel"/>
    <w:tmpl w:val="8DC66598"/>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36615FEF"/>
    <w:multiLevelType w:val="singleLevel"/>
    <w:tmpl w:val="5CD4C666"/>
    <w:lvl w:ilvl="0">
      <w:start w:val="1"/>
      <w:numFmt w:val="bullet"/>
      <w:pStyle w:val="ListDash2"/>
      <w:lvlText w:val="–"/>
      <w:lvlJc w:val="left"/>
      <w:pPr>
        <w:tabs>
          <w:tab w:val="num" w:pos="1360"/>
        </w:tabs>
        <w:ind w:left="1360" w:hanging="283"/>
      </w:pPr>
      <w:rPr>
        <w:rFonts w:ascii="Times New Roman" w:hAnsi="Times New Roman"/>
      </w:rPr>
    </w:lvl>
  </w:abstractNum>
  <w:abstractNum w:abstractNumId="16" w15:restartNumberingAfterBreak="0">
    <w:nsid w:val="3A115290"/>
    <w:multiLevelType w:val="multilevel"/>
    <w:tmpl w:val="E3664658"/>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3C5F3EF7"/>
    <w:multiLevelType w:val="hybridMultilevel"/>
    <w:tmpl w:val="3E48E39C"/>
    <w:lvl w:ilvl="0" w:tplc="6EF40F1E">
      <w:numFmt w:val="bullet"/>
      <w:lvlText w:val="-"/>
      <w:lvlJc w:val="left"/>
      <w:rPr>
        <w:rFonts w:ascii="Calibri" w:eastAsia="Calibri" w:hAnsi="Calibri" w:cs="Calibri" w:hint="default"/>
      </w:rPr>
    </w:lvl>
    <w:lvl w:ilvl="1" w:tplc="080C0003">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8" w15:restartNumberingAfterBreak="0">
    <w:nsid w:val="46285676"/>
    <w:multiLevelType w:val="hybridMultilevel"/>
    <w:tmpl w:val="A2D08746"/>
    <w:lvl w:ilvl="0" w:tplc="2A0A2894">
      <w:start w:val="1"/>
      <w:numFmt w:val="bullet"/>
      <w:lvlText w:val="-"/>
      <w:lvlJc w:val="left"/>
      <w:pPr>
        <w:ind w:left="720" w:hanging="360"/>
      </w:pPr>
      <w:rPr>
        <w:rFonts w:ascii="Calibri" w:hAnsi="Calibri" w:hint="default"/>
      </w:rPr>
    </w:lvl>
    <w:lvl w:ilvl="1" w:tplc="2C808F7C">
      <w:start w:val="1"/>
      <w:numFmt w:val="bullet"/>
      <w:lvlText w:val="o"/>
      <w:lvlJc w:val="left"/>
      <w:pPr>
        <w:ind w:left="1440" w:hanging="360"/>
      </w:pPr>
      <w:rPr>
        <w:rFonts w:ascii="Courier New" w:hAnsi="Courier New" w:hint="default"/>
      </w:rPr>
    </w:lvl>
    <w:lvl w:ilvl="2" w:tplc="031CA4C2">
      <w:start w:val="1"/>
      <w:numFmt w:val="bullet"/>
      <w:lvlText w:val=""/>
      <w:lvlJc w:val="left"/>
      <w:pPr>
        <w:ind w:left="2160" w:hanging="360"/>
      </w:pPr>
      <w:rPr>
        <w:rFonts w:ascii="Wingdings" w:hAnsi="Wingdings" w:hint="default"/>
      </w:rPr>
    </w:lvl>
    <w:lvl w:ilvl="3" w:tplc="0F20C35E">
      <w:start w:val="1"/>
      <w:numFmt w:val="bullet"/>
      <w:lvlText w:val=""/>
      <w:lvlJc w:val="left"/>
      <w:pPr>
        <w:ind w:left="2880" w:hanging="360"/>
      </w:pPr>
      <w:rPr>
        <w:rFonts w:ascii="Symbol" w:hAnsi="Symbol" w:hint="default"/>
      </w:rPr>
    </w:lvl>
    <w:lvl w:ilvl="4" w:tplc="A5926CD0">
      <w:start w:val="1"/>
      <w:numFmt w:val="bullet"/>
      <w:lvlText w:val="o"/>
      <w:lvlJc w:val="left"/>
      <w:pPr>
        <w:ind w:left="3600" w:hanging="360"/>
      </w:pPr>
      <w:rPr>
        <w:rFonts w:ascii="Courier New" w:hAnsi="Courier New" w:hint="default"/>
      </w:rPr>
    </w:lvl>
    <w:lvl w:ilvl="5" w:tplc="F584824E">
      <w:start w:val="1"/>
      <w:numFmt w:val="bullet"/>
      <w:lvlText w:val=""/>
      <w:lvlJc w:val="left"/>
      <w:pPr>
        <w:ind w:left="4320" w:hanging="360"/>
      </w:pPr>
      <w:rPr>
        <w:rFonts w:ascii="Wingdings" w:hAnsi="Wingdings" w:hint="default"/>
      </w:rPr>
    </w:lvl>
    <w:lvl w:ilvl="6" w:tplc="5784CB20">
      <w:start w:val="1"/>
      <w:numFmt w:val="bullet"/>
      <w:lvlText w:val=""/>
      <w:lvlJc w:val="left"/>
      <w:pPr>
        <w:ind w:left="5040" w:hanging="360"/>
      </w:pPr>
      <w:rPr>
        <w:rFonts w:ascii="Symbol" w:hAnsi="Symbol" w:hint="default"/>
      </w:rPr>
    </w:lvl>
    <w:lvl w:ilvl="7" w:tplc="44A2736E">
      <w:start w:val="1"/>
      <w:numFmt w:val="bullet"/>
      <w:lvlText w:val="o"/>
      <w:lvlJc w:val="left"/>
      <w:pPr>
        <w:ind w:left="5760" w:hanging="360"/>
      </w:pPr>
      <w:rPr>
        <w:rFonts w:ascii="Courier New" w:hAnsi="Courier New" w:hint="default"/>
      </w:rPr>
    </w:lvl>
    <w:lvl w:ilvl="8" w:tplc="ABE27472">
      <w:start w:val="1"/>
      <w:numFmt w:val="bullet"/>
      <w:lvlText w:val=""/>
      <w:lvlJc w:val="left"/>
      <w:pPr>
        <w:ind w:left="6480" w:hanging="360"/>
      </w:pPr>
      <w:rPr>
        <w:rFonts w:ascii="Wingdings" w:hAnsi="Wingdings" w:hint="default"/>
      </w:rPr>
    </w:lvl>
  </w:abstractNum>
  <w:abstractNum w:abstractNumId="19" w15:restartNumberingAfterBreak="0">
    <w:nsid w:val="51393755"/>
    <w:multiLevelType w:val="hybridMultilevel"/>
    <w:tmpl w:val="2046894C"/>
    <w:lvl w:ilvl="0" w:tplc="08090001">
      <w:start w:val="1"/>
      <w:numFmt w:val="bullet"/>
      <w:lvlText w:val=""/>
      <w:lvlJc w:val="left"/>
      <w:pPr>
        <w:ind w:left="4680" w:hanging="360"/>
      </w:pPr>
      <w:rPr>
        <w:rFonts w:ascii="Symbol" w:hAnsi="Symbol" w:hint="default"/>
      </w:rPr>
    </w:lvl>
    <w:lvl w:ilvl="1" w:tplc="08090003" w:tentative="1">
      <w:start w:val="1"/>
      <w:numFmt w:val="bullet"/>
      <w:lvlText w:val="o"/>
      <w:lvlJc w:val="left"/>
      <w:pPr>
        <w:ind w:left="5400" w:hanging="360"/>
      </w:pPr>
      <w:rPr>
        <w:rFonts w:ascii="Courier New" w:hAnsi="Courier New" w:cs="Courier New" w:hint="default"/>
      </w:rPr>
    </w:lvl>
    <w:lvl w:ilvl="2" w:tplc="08090005" w:tentative="1">
      <w:start w:val="1"/>
      <w:numFmt w:val="bullet"/>
      <w:lvlText w:val=""/>
      <w:lvlJc w:val="left"/>
      <w:pPr>
        <w:ind w:left="6120" w:hanging="360"/>
      </w:pPr>
      <w:rPr>
        <w:rFonts w:ascii="Wingdings" w:hAnsi="Wingdings" w:hint="default"/>
      </w:rPr>
    </w:lvl>
    <w:lvl w:ilvl="3" w:tplc="08090001" w:tentative="1">
      <w:start w:val="1"/>
      <w:numFmt w:val="bullet"/>
      <w:lvlText w:val=""/>
      <w:lvlJc w:val="left"/>
      <w:pPr>
        <w:ind w:left="6840" w:hanging="360"/>
      </w:pPr>
      <w:rPr>
        <w:rFonts w:ascii="Symbol" w:hAnsi="Symbol" w:hint="default"/>
      </w:rPr>
    </w:lvl>
    <w:lvl w:ilvl="4" w:tplc="08090003" w:tentative="1">
      <w:start w:val="1"/>
      <w:numFmt w:val="bullet"/>
      <w:lvlText w:val="o"/>
      <w:lvlJc w:val="left"/>
      <w:pPr>
        <w:ind w:left="7560" w:hanging="360"/>
      </w:pPr>
      <w:rPr>
        <w:rFonts w:ascii="Courier New" w:hAnsi="Courier New" w:cs="Courier New" w:hint="default"/>
      </w:rPr>
    </w:lvl>
    <w:lvl w:ilvl="5" w:tplc="08090005" w:tentative="1">
      <w:start w:val="1"/>
      <w:numFmt w:val="bullet"/>
      <w:lvlText w:val=""/>
      <w:lvlJc w:val="left"/>
      <w:pPr>
        <w:ind w:left="8280" w:hanging="360"/>
      </w:pPr>
      <w:rPr>
        <w:rFonts w:ascii="Wingdings" w:hAnsi="Wingdings" w:hint="default"/>
      </w:rPr>
    </w:lvl>
    <w:lvl w:ilvl="6" w:tplc="08090001" w:tentative="1">
      <w:start w:val="1"/>
      <w:numFmt w:val="bullet"/>
      <w:lvlText w:val=""/>
      <w:lvlJc w:val="left"/>
      <w:pPr>
        <w:ind w:left="9000" w:hanging="360"/>
      </w:pPr>
      <w:rPr>
        <w:rFonts w:ascii="Symbol" w:hAnsi="Symbol" w:hint="default"/>
      </w:rPr>
    </w:lvl>
    <w:lvl w:ilvl="7" w:tplc="08090003" w:tentative="1">
      <w:start w:val="1"/>
      <w:numFmt w:val="bullet"/>
      <w:lvlText w:val="o"/>
      <w:lvlJc w:val="left"/>
      <w:pPr>
        <w:ind w:left="9720" w:hanging="360"/>
      </w:pPr>
      <w:rPr>
        <w:rFonts w:ascii="Courier New" w:hAnsi="Courier New" w:cs="Courier New" w:hint="default"/>
      </w:rPr>
    </w:lvl>
    <w:lvl w:ilvl="8" w:tplc="08090005" w:tentative="1">
      <w:start w:val="1"/>
      <w:numFmt w:val="bullet"/>
      <w:lvlText w:val=""/>
      <w:lvlJc w:val="left"/>
      <w:pPr>
        <w:ind w:left="10440" w:hanging="360"/>
      </w:pPr>
      <w:rPr>
        <w:rFonts w:ascii="Wingdings" w:hAnsi="Wingdings" w:hint="default"/>
      </w:rPr>
    </w:lvl>
  </w:abstractNum>
  <w:abstractNum w:abstractNumId="20" w15:restartNumberingAfterBreak="0">
    <w:nsid w:val="514632EE"/>
    <w:multiLevelType w:val="hybridMultilevel"/>
    <w:tmpl w:val="6012F114"/>
    <w:lvl w:ilvl="0" w:tplc="08090001">
      <w:start w:val="1"/>
      <w:numFmt w:val="bullet"/>
      <w:pStyle w:val="ListDash"/>
      <w:lvlText w:val="–"/>
      <w:lvlJc w:val="left"/>
      <w:pPr>
        <w:tabs>
          <w:tab w:val="num" w:pos="567"/>
        </w:tabs>
        <w:ind w:left="567" w:hanging="283"/>
      </w:pPr>
      <w:rPr>
        <w:rFonts w:ascii="Times New Roman" w:hAnsi="Times New Roman"/>
      </w:rPr>
    </w:lvl>
    <w:lvl w:ilvl="1" w:tplc="08090003">
      <w:numFmt w:val="bullet"/>
      <w:lvlText w:val="-"/>
      <w:lvlJc w:val="left"/>
      <w:pPr>
        <w:tabs>
          <w:tab w:val="num" w:pos="1724"/>
        </w:tabs>
        <w:ind w:left="1724" w:hanging="360"/>
      </w:pPr>
      <w:rPr>
        <w:rFonts w:ascii="Times New Roman" w:eastAsia="Times New Roman" w:hAnsi="Times New Roman" w:cs="Times New Roman"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tentative="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21" w15:restartNumberingAfterBreak="0">
    <w:nsid w:val="576A32C9"/>
    <w:multiLevelType w:val="multilevel"/>
    <w:tmpl w:val="52224248"/>
    <w:lvl w:ilvl="0">
      <w:start w:val="1"/>
      <w:numFmt w:val="decimal"/>
      <w:lvlRestart w:val="0"/>
      <w:pStyle w:val="Considrant"/>
      <w:lvlText w:val="%1."/>
      <w:lvlJc w:val="left"/>
      <w:pPr>
        <w:tabs>
          <w:tab w:val="num" w:pos="850"/>
        </w:tabs>
        <w:ind w:left="850" w:hanging="850"/>
      </w:pPr>
      <w:rPr>
        <w:rFonts w:cs="Times New Roman"/>
      </w:rPr>
    </w:lvl>
    <w:lvl w:ilvl="1">
      <w:start w:val="1"/>
      <w:numFmt w:val="decimal"/>
      <w:lvlText w:val="%1.%2."/>
      <w:lvlJc w:val="left"/>
      <w:pPr>
        <w:tabs>
          <w:tab w:val="num" w:pos="850"/>
        </w:tabs>
        <w:ind w:left="850" w:hanging="850"/>
      </w:pPr>
      <w:rPr>
        <w:rFonts w:cs="Times New Roman"/>
        <w:i w:val="0"/>
      </w:rPr>
    </w:lvl>
    <w:lvl w:ilvl="2">
      <w:start w:val="1"/>
      <w:numFmt w:val="decimal"/>
      <w:lvlText w:val="%1.%2.%3."/>
      <w:lvlJc w:val="left"/>
      <w:pPr>
        <w:tabs>
          <w:tab w:val="num" w:pos="850"/>
        </w:tabs>
        <w:ind w:left="850" w:hanging="850"/>
      </w:pPr>
      <w:rPr>
        <w:rFonts w:cs="Times New Roman"/>
      </w:rPr>
    </w:lvl>
    <w:lvl w:ilvl="3">
      <w:start w:val="1"/>
      <w:numFmt w:val="decimal"/>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2" w15:restartNumberingAfterBreak="0">
    <w:nsid w:val="5A2450F2"/>
    <w:multiLevelType w:val="singleLevel"/>
    <w:tmpl w:val="E41A6BD2"/>
    <w:lvl w:ilvl="0">
      <w:start w:val="1"/>
      <w:numFmt w:val="bullet"/>
      <w:pStyle w:val="ListDash4"/>
      <w:lvlText w:val="–"/>
      <w:lvlJc w:val="left"/>
      <w:pPr>
        <w:tabs>
          <w:tab w:val="num" w:pos="3163"/>
        </w:tabs>
        <w:ind w:left="3163" w:hanging="283"/>
      </w:pPr>
      <w:rPr>
        <w:rFonts w:ascii="Times New Roman" w:hAnsi="Times New Roman"/>
      </w:rPr>
    </w:lvl>
  </w:abstractNum>
  <w:abstractNum w:abstractNumId="23" w15:restartNumberingAfterBreak="0">
    <w:nsid w:val="5AF76E31"/>
    <w:multiLevelType w:val="hybridMultilevel"/>
    <w:tmpl w:val="31305262"/>
    <w:lvl w:ilvl="0" w:tplc="556096CA">
      <w:start w:val="1"/>
      <w:numFmt w:val="bullet"/>
      <w:lvlText w:val="-"/>
      <w:lvlJc w:val="left"/>
      <w:rPr>
        <w:rFonts w:ascii="Calibri" w:eastAsia="Calibri" w:hAnsi="Calibri" w:cs="Calibri"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24" w15:restartNumberingAfterBreak="0">
    <w:nsid w:val="641002BF"/>
    <w:multiLevelType w:val="hybridMultilevel"/>
    <w:tmpl w:val="F1CEEE5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79F1BF3"/>
    <w:multiLevelType w:val="multilevel"/>
    <w:tmpl w:val="537E9280"/>
    <w:lvl w:ilvl="0">
      <w:start w:val="1"/>
      <w:numFmt w:val="decimal"/>
      <w:pStyle w:val="ListNumber"/>
      <w:lvlText w:val="(%1)"/>
      <w:lvlJc w:val="left"/>
      <w:pPr>
        <w:tabs>
          <w:tab w:val="num" w:pos="709"/>
        </w:tabs>
        <w:ind w:left="709" w:hanging="709"/>
      </w:pPr>
      <w:rPr>
        <w:b w:val="0"/>
      </w:r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6C136061"/>
    <w:multiLevelType w:val="hybridMultilevel"/>
    <w:tmpl w:val="7052666E"/>
    <w:lvl w:ilvl="0" w:tplc="40D2097A">
      <w:start w:val="1"/>
      <w:numFmt w:val="bullet"/>
      <w:pStyle w:val="Briefingspeakdef"/>
      <w:lvlText w:val=""/>
      <w:lvlJc w:val="left"/>
      <w:pPr>
        <w:tabs>
          <w:tab w:val="num" w:pos="765"/>
        </w:tabs>
        <w:ind w:left="765" w:hanging="283"/>
      </w:pPr>
      <w:rPr>
        <w:rFonts w:ascii="Symbol" w:hAnsi="Symbol" w:hint="default"/>
        <w:sz w:val="22"/>
      </w:rPr>
    </w:lvl>
    <w:lvl w:ilvl="1" w:tplc="08090003">
      <w:start w:val="1"/>
      <w:numFmt w:val="bullet"/>
      <w:lvlText w:val=""/>
      <w:lvlJc w:val="left"/>
      <w:pPr>
        <w:tabs>
          <w:tab w:val="num" w:pos="1287"/>
        </w:tabs>
        <w:ind w:left="1287" w:hanging="207"/>
      </w:pPr>
      <w:rPr>
        <w:rFonts w:ascii="Symbol" w:hAnsi="Symbol" w:hint="default"/>
        <w:sz w:val="22"/>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D4070CA"/>
    <w:multiLevelType w:val="singleLevel"/>
    <w:tmpl w:val="0FC2EFC0"/>
    <w:lvl w:ilvl="0">
      <w:start w:val="1"/>
      <w:numFmt w:val="bullet"/>
      <w:pStyle w:val="ListBullet3"/>
      <w:lvlText w:val=""/>
      <w:lvlJc w:val="left"/>
      <w:pPr>
        <w:tabs>
          <w:tab w:val="num" w:pos="2199"/>
        </w:tabs>
        <w:ind w:left="2199" w:hanging="283"/>
      </w:pPr>
      <w:rPr>
        <w:rFonts w:ascii="Symbol" w:hAnsi="Symbol"/>
      </w:rPr>
    </w:lvl>
  </w:abstractNum>
  <w:abstractNum w:abstractNumId="28" w15:restartNumberingAfterBreak="0">
    <w:nsid w:val="746C1691"/>
    <w:multiLevelType w:val="hybridMultilevel"/>
    <w:tmpl w:val="014C1D4E"/>
    <w:lvl w:ilvl="0" w:tplc="3228B35C">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54117B7"/>
    <w:multiLevelType w:val="multilevel"/>
    <w:tmpl w:val="D2104988"/>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15:restartNumberingAfterBreak="0">
    <w:nsid w:val="755933D9"/>
    <w:multiLevelType w:val="hybridMultilevel"/>
    <w:tmpl w:val="B9D46C0A"/>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767545DE"/>
    <w:multiLevelType w:val="hybridMultilevel"/>
    <w:tmpl w:val="2E307808"/>
    <w:lvl w:ilvl="0" w:tplc="FD6CBBE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69864C1"/>
    <w:multiLevelType w:val="hybridMultilevel"/>
    <w:tmpl w:val="154C80D8"/>
    <w:lvl w:ilvl="0" w:tplc="843A22E8">
      <w:start w:val="1"/>
      <w:numFmt w:val="bullet"/>
      <w:pStyle w:val="NumPar1Char"/>
      <w:lvlText w:val="–"/>
      <w:lvlJc w:val="left"/>
      <w:pPr>
        <w:tabs>
          <w:tab w:val="num" w:pos="643"/>
        </w:tabs>
        <w:ind w:left="643" w:hanging="283"/>
      </w:pPr>
      <w:rPr>
        <w:rFonts w:ascii="Times New Roman" w:hAnsi="Times New Roman" w:hint="default"/>
      </w:rPr>
    </w:lvl>
    <w:lvl w:ilvl="1" w:tplc="60C2582C" w:tentative="1">
      <w:start w:val="1"/>
      <w:numFmt w:val="bullet"/>
      <w:lvlText w:val="o"/>
      <w:lvlJc w:val="left"/>
      <w:pPr>
        <w:tabs>
          <w:tab w:val="num" w:pos="1440"/>
        </w:tabs>
        <w:ind w:left="1440" w:hanging="360"/>
      </w:pPr>
      <w:rPr>
        <w:rFonts w:ascii="Courier New" w:hAnsi="Courier New" w:cs="Courier New" w:hint="default"/>
      </w:rPr>
    </w:lvl>
    <w:lvl w:ilvl="2" w:tplc="17D6AD3A" w:tentative="1">
      <w:start w:val="1"/>
      <w:numFmt w:val="bullet"/>
      <w:lvlText w:val=""/>
      <w:lvlJc w:val="left"/>
      <w:pPr>
        <w:tabs>
          <w:tab w:val="num" w:pos="2160"/>
        </w:tabs>
        <w:ind w:left="2160" w:hanging="360"/>
      </w:pPr>
      <w:rPr>
        <w:rFonts w:ascii="Wingdings" w:hAnsi="Wingdings" w:hint="default"/>
      </w:rPr>
    </w:lvl>
    <w:lvl w:ilvl="3" w:tplc="FEA221B2" w:tentative="1">
      <w:start w:val="1"/>
      <w:numFmt w:val="bullet"/>
      <w:lvlText w:val=""/>
      <w:lvlJc w:val="left"/>
      <w:pPr>
        <w:tabs>
          <w:tab w:val="num" w:pos="2880"/>
        </w:tabs>
        <w:ind w:left="2880" w:hanging="360"/>
      </w:pPr>
      <w:rPr>
        <w:rFonts w:ascii="Symbol" w:hAnsi="Symbol" w:hint="default"/>
      </w:rPr>
    </w:lvl>
    <w:lvl w:ilvl="4" w:tplc="EB305368" w:tentative="1">
      <w:start w:val="1"/>
      <w:numFmt w:val="bullet"/>
      <w:lvlText w:val="o"/>
      <w:lvlJc w:val="left"/>
      <w:pPr>
        <w:tabs>
          <w:tab w:val="num" w:pos="3600"/>
        </w:tabs>
        <w:ind w:left="3600" w:hanging="360"/>
      </w:pPr>
      <w:rPr>
        <w:rFonts w:ascii="Courier New" w:hAnsi="Courier New" w:cs="Courier New" w:hint="default"/>
      </w:rPr>
    </w:lvl>
    <w:lvl w:ilvl="5" w:tplc="1C38E420" w:tentative="1">
      <w:start w:val="1"/>
      <w:numFmt w:val="bullet"/>
      <w:lvlText w:val=""/>
      <w:lvlJc w:val="left"/>
      <w:pPr>
        <w:tabs>
          <w:tab w:val="num" w:pos="4320"/>
        </w:tabs>
        <w:ind w:left="4320" w:hanging="360"/>
      </w:pPr>
      <w:rPr>
        <w:rFonts w:ascii="Wingdings" w:hAnsi="Wingdings" w:hint="default"/>
      </w:rPr>
    </w:lvl>
    <w:lvl w:ilvl="6" w:tplc="58705602" w:tentative="1">
      <w:start w:val="1"/>
      <w:numFmt w:val="bullet"/>
      <w:lvlText w:val=""/>
      <w:lvlJc w:val="left"/>
      <w:pPr>
        <w:tabs>
          <w:tab w:val="num" w:pos="5040"/>
        </w:tabs>
        <w:ind w:left="5040" w:hanging="360"/>
      </w:pPr>
      <w:rPr>
        <w:rFonts w:ascii="Symbol" w:hAnsi="Symbol" w:hint="default"/>
      </w:rPr>
    </w:lvl>
    <w:lvl w:ilvl="7" w:tplc="EE5A94CC" w:tentative="1">
      <w:start w:val="1"/>
      <w:numFmt w:val="bullet"/>
      <w:lvlText w:val="o"/>
      <w:lvlJc w:val="left"/>
      <w:pPr>
        <w:tabs>
          <w:tab w:val="num" w:pos="5760"/>
        </w:tabs>
        <w:ind w:left="5760" w:hanging="360"/>
      </w:pPr>
      <w:rPr>
        <w:rFonts w:ascii="Courier New" w:hAnsi="Courier New" w:cs="Courier New" w:hint="default"/>
      </w:rPr>
    </w:lvl>
    <w:lvl w:ilvl="8" w:tplc="C0A63828"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7816C3A"/>
    <w:multiLevelType w:val="singleLevel"/>
    <w:tmpl w:val="C9E4CA12"/>
    <w:lvl w:ilvl="0">
      <w:start w:val="1"/>
      <w:numFmt w:val="bullet"/>
      <w:pStyle w:val="ListDash3"/>
      <w:lvlText w:val="–"/>
      <w:lvlJc w:val="left"/>
      <w:pPr>
        <w:tabs>
          <w:tab w:val="num" w:pos="2199"/>
        </w:tabs>
        <w:ind w:left="2199" w:hanging="283"/>
      </w:pPr>
      <w:rPr>
        <w:rFonts w:ascii="Times New Roman" w:hAnsi="Times New Roman"/>
      </w:rPr>
    </w:lvl>
  </w:abstractNum>
  <w:abstractNum w:abstractNumId="34" w15:restartNumberingAfterBreak="0">
    <w:nsid w:val="78080A0A"/>
    <w:multiLevelType w:val="singleLevel"/>
    <w:tmpl w:val="3CCA8980"/>
    <w:lvl w:ilvl="0">
      <w:start w:val="1"/>
      <w:numFmt w:val="bullet"/>
      <w:pStyle w:val="ListBullet1"/>
      <w:lvlText w:val=""/>
      <w:lvlJc w:val="left"/>
      <w:pPr>
        <w:tabs>
          <w:tab w:val="num" w:pos="765"/>
        </w:tabs>
        <w:ind w:left="765" w:hanging="283"/>
      </w:pPr>
      <w:rPr>
        <w:rFonts w:ascii="Symbol" w:hAnsi="Symbol"/>
      </w:rPr>
    </w:lvl>
  </w:abstractNum>
  <w:abstractNum w:abstractNumId="35" w15:restartNumberingAfterBreak="0">
    <w:nsid w:val="7ECB7708"/>
    <w:multiLevelType w:val="singleLevel"/>
    <w:tmpl w:val="5EA8E34C"/>
    <w:lvl w:ilvl="0">
      <w:start w:val="1"/>
      <w:numFmt w:val="decimal"/>
      <w:pStyle w:val="ATHeading1"/>
      <w:lvlText w:val="%1."/>
      <w:lvlJc w:val="left"/>
      <w:pPr>
        <w:tabs>
          <w:tab w:val="num" w:pos="360"/>
        </w:tabs>
        <w:ind w:left="360" w:hanging="360"/>
      </w:pPr>
    </w:lvl>
  </w:abstractNum>
  <w:num w:numId="1" w16cid:durableId="1364937981">
    <w:abstractNumId w:val="18"/>
  </w:num>
  <w:num w:numId="2" w16cid:durableId="1150832569">
    <w:abstractNumId w:val="6"/>
  </w:num>
  <w:num w:numId="3" w16cid:durableId="68701762">
    <w:abstractNumId w:val="1"/>
  </w:num>
  <w:num w:numId="4" w16cid:durableId="1754735802">
    <w:abstractNumId w:val="34"/>
  </w:num>
  <w:num w:numId="5" w16cid:durableId="1227957657">
    <w:abstractNumId w:val="12"/>
  </w:num>
  <w:num w:numId="6" w16cid:durableId="677387260">
    <w:abstractNumId w:val="27"/>
  </w:num>
  <w:num w:numId="7" w16cid:durableId="848327859">
    <w:abstractNumId w:val="10"/>
  </w:num>
  <w:num w:numId="8" w16cid:durableId="1325164916">
    <w:abstractNumId w:val="5"/>
  </w:num>
  <w:num w:numId="9" w16cid:durableId="267197560">
    <w:abstractNumId w:val="15"/>
  </w:num>
  <w:num w:numId="10" w16cid:durableId="1749880813">
    <w:abstractNumId w:val="33"/>
  </w:num>
  <w:num w:numId="11" w16cid:durableId="1718238643">
    <w:abstractNumId w:val="22"/>
  </w:num>
  <w:num w:numId="12" w16cid:durableId="137453565">
    <w:abstractNumId w:val="25"/>
  </w:num>
  <w:num w:numId="13" w16cid:durableId="680864050">
    <w:abstractNumId w:val="11"/>
  </w:num>
  <w:num w:numId="14" w16cid:durableId="1432625048">
    <w:abstractNumId w:val="16"/>
  </w:num>
  <w:num w:numId="15" w16cid:durableId="1260718353">
    <w:abstractNumId w:val="29"/>
  </w:num>
  <w:num w:numId="16" w16cid:durableId="844831690">
    <w:abstractNumId w:val="14"/>
  </w:num>
  <w:num w:numId="17" w16cid:durableId="585503704">
    <w:abstractNumId w:val="35"/>
  </w:num>
  <w:num w:numId="18" w16cid:durableId="1741517002">
    <w:abstractNumId w:val="32"/>
  </w:num>
  <w:num w:numId="19" w16cid:durableId="1428886111">
    <w:abstractNumId w:val="20"/>
  </w:num>
  <w:num w:numId="20" w16cid:durableId="2083868533">
    <w:abstractNumId w:val="21"/>
  </w:num>
  <w:num w:numId="21" w16cid:durableId="285083076">
    <w:abstractNumId w:val="26"/>
  </w:num>
  <w:num w:numId="22" w16cid:durableId="1785004308">
    <w:abstractNumId w:val="3"/>
  </w:num>
  <w:num w:numId="23" w16cid:durableId="1039545777">
    <w:abstractNumId w:val="4"/>
  </w:num>
  <w:num w:numId="24" w16cid:durableId="1627814512">
    <w:abstractNumId w:val="19"/>
  </w:num>
  <w:num w:numId="25" w16cid:durableId="1361659577">
    <w:abstractNumId w:val="30"/>
  </w:num>
  <w:num w:numId="26" w16cid:durableId="1575358753">
    <w:abstractNumId w:val="9"/>
  </w:num>
  <w:num w:numId="27" w16cid:durableId="1032455577">
    <w:abstractNumId w:val="31"/>
  </w:num>
  <w:num w:numId="28" w16cid:durableId="1707874358">
    <w:abstractNumId w:val="8"/>
  </w:num>
  <w:num w:numId="29" w16cid:durableId="1767075215">
    <w:abstractNumId w:val="2"/>
  </w:num>
  <w:num w:numId="30" w16cid:durableId="644895030">
    <w:abstractNumId w:val="13"/>
  </w:num>
  <w:num w:numId="31" w16cid:durableId="1536578247">
    <w:abstractNumId w:val="24"/>
  </w:num>
  <w:num w:numId="32" w16cid:durableId="1770658978">
    <w:abstractNumId w:val="34"/>
  </w:num>
  <w:num w:numId="33" w16cid:durableId="1160926980">
    <w:abstractNumId w:val="28"/>
  </w:num>
  <w:num w:numId="34" w16cid:durableId="1677220486">
    <w:abstractNumId w:val="23"/>
  </w:num>
  <w:num w:numId="35" w16cid:durableId="1097096971">
    <w:abstractNumId w:val="17"/>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readOnly" w:formatting="1" w:enforcement="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LW_DocType" w:val="TEL"/>
  </w:docVars>
  <w:rsids>
    <w:rsidRoot w:val="009A3DA0"/>
    <w:rsid w:val="00000080"/>
    <w:rsid w:val="000001DC"/>
    <w:rsid w:val="0000032F"/>
    <w:rsid w:val="00000397"/>
    <w:rsid w:val="00000486"/>
    <w:rsid w:val="0000050D"/>
    <w:rsid w:val="000005E9"/>
    <w:rsid w:val="000006FD"/>
    <w:rsid w:val="0000071A"/>
    <w:rsid w:val="00000795"/>
    <w:rsid w:val="000009FA"/>
    <w:rsid w:val="00000BE2"/>
    <w:rsid w:val="00000C13"/>
    <w:rsid w:val="00000DBF"/>
    <w:rsid w:val="00001369"/>
    <w:rsid w:val="00001CDC"/>
    <w:rsid w:val="000021E5"/>
    <w:rsid w:val="000023BA"/>
    <w:rsid w:val="000024E2"/>
    <w:rsid w:val="0000279C"/>
    <w:rsid w:val="00002BE3"/>
    <w:rsid w:val="00002CF6"/>
    <w:rsid w:val="000031B6"/>
    <w:rsid w:val="00003423"/>
    <w:rsid w:val="00003511"/>
    <w:rsid w:val="00003652"/>
    <w:rsid w:val="00003854"/>
    <w:rsid w:val="00003862"/>
    <w:rsid w:val="00003C85"/>
    <w:rsid w:val="00004288"/>
    <w:rsid w:val="0000450D"/>
    <w:rsid w:val="000046C1"/>
    <w:rsid w:val="000048D8"/>
    <w:rsid w:val="00004C3F"/>
    <w:rsid w:val="0000525F"/>
    <w:rsid w:val="000054A7"/>
    <w:rsid w:val="00005541"/>
    <w:rsid w:val="000058C9"/>
    <w:rsid w:val="00005961"/>
    <w:rsid w:val="00005D46"/>
    <w:rsid w:val="00005DE3"/>
    <w:rsid w:val="0000613E"/>
    <w:rsid w:val="00006304"/>
    <w:rsid w:val="0000679D"/>
    <w:rsid w:val="000068F7"/>
    <w:rsid w:val="00006B10"/>
    <w:rsid w:val="00006C43"/>
    <w:rsid w:val="00006F0E"/>
    <w:rsid w:val="00006FAD"/>
    <w:rsid w:val="0000749B"/>
    <w:rsid w:val="000074BB"/>
    <w:rsid w:val="000075DF"/>
    <w:rsid w:val="000078A5"/>
    <w:rsid w:val="00007CED"/>
    <w:rsid w:val="00007ECC"/>
    <w:rsid w:val="0001047E"/>
    <w:rsid w:val="0001064E"/>
    <w:rsid w:val="00010AC9"/>
    <w:rsid w:val="00011281"/>
    <w:rsid w:val="0001134B"/>
    <w:rsid w:val="000113AB"/>
    <w:rsid w:val="0001140F"/>
    <w:rsid w:val="0001153B"/>
    <w:rsid w:val="00011589"/>
    <w:rsid w:val="00011615"/>
    <w:rsid w:val="00011727"/>
    <w:rsid w:val="000117D8"/>
    <w:rsid w:val="0001183E"/>
    <w:rsid w:val="00011A9B"/>
    <w:rsid w:val="00011B30"/>
    <w:rsid w:val="00011D79"/>
    <w:rsid w:val="0001228B"/>
    <w:rsid w:val="000122B5"/>
    <w:rsid w:val="0001250D"/>
    <w:rsid w:val="00012EFD"/>
    <w:rsid w:val="000130BE"/>
    <w:rsid w:val="00013716"/>
    <w:rsid w:val="00013997"/>
    <w:rsid w:val="000139D8"/>
    <w:rsid w:val="00013D92"/>
    <w:rsid w:val="00013EE5"/>
    <w:rsid w:val="0001448B"/>
    <w:rsid w:val="000145A2"/>
    <w:rsid w:val="000146F4"/>
    <w:rsid w:val="000149EF"/>
    <w:rsid w:val="00014A71"/>
    <w:rsid w:val="00014CE1"/>
    <w:rsid w:val="00015264"/>
    <w:rsid w:val="000152CA"/>
    <w:rsid w:val="00015341"/>
    <w:rsid w:val="00015452"/>
    <w:rsid w:val="0001589A"/>
    <w:rsid w:val="00015A65"/>
    <w:rsid w:val="00015B9E"/>
    <w:rsid w:val="00015C38"/>
    <w:rsid w:val="00015EB6"/>
    <w:rsid w:val="00015F13"/>
    <w:rsid w:val="0001612D"/>
    <w:rsid w:val="000162A0"/>
    <w:rsid w:val="000164BD"/>
    <w:rsid w:val="000166D5"/>
    <w:rsid w:val="00016A8D"/>
    <w:rsid w:val="00016C72"/>
    <w:rsid w:val="000170C1"/>
    <w:rsid w:val="00017265"/>
    <w:rsid w:val="0001730F"/>
    <w:rsid w:val="00017430"/>
    <w:rsid w:val="000174AF"/>
    <w:rsid w:val="0001776A"/>
    <w:rsid w:val="00017883"/>
    <w:rsid w:val="00017A67"/>
    <w:rsid w:val="00017AA9"/>
    <w:rsid w:val="00017C25"/>
    <w:rsid w:val="00017F27"/>
    <w:rsid w:val="00017F3D"/>
    <w:rsid w:val="00020E26"/>
    <w:rsid w:val="000218F1"/>
    <w:rsid w:val="00021AEC"/>
    <w:rsid w:val="00021B43"/>
    <w:rsid w:val="00021BCD"/>
    <w:rsid w:val="00021EF0"/>
    <w:rsid w:val="00021FA4"/>
    <w:rsid w:val="0002207D"/>
    <w:rsid w:val="0002216F"/>
    <w:rsid w:val="000221F2"/>
    <w:rsid w:val="00022538"/>
    <w:rsid w:val="00022669"/>
    <w:rsid w:val="00022775"/>
    <w:rsid w:val="00022776"/>
    <w:rsid w:val="00022903"/>
    <w:rsid w:val="00022B33"/>
    <w:rsid w:val="00022E91"/>
    <w:rsid w:val="00022FAA"/>
    <w:rsid w:val="00023162"/>
    <w:rsid w:val="000232A5"/>
    <w:rsid w:val="00023424"/>
    <w:rsid w:val="00023451"/>
    <w:rsid w:val="00023626"/>
    <w:rsid w:val="00023C78"/>
    <w:rsid w:val="00023E4D"/>
    <w:rsid w:val="000240AC"/>
    <w:rsid w:val="000241F9"/>
    <w:rsid w:val="00024204"/>
    <w:rsid w:val="000242C9"/>
    <w:rsid w:val="0002435B"/>
    <w:rsid w:val="0002435F"/>
    <w:rsid w:val="0002452D"/>
    <w:rsid w:val="00024671"/>
    <w:rsid w:val="00024685"/>
    <w:rsid w:val="000248D5"/>
    <w:rsid w:val="000249F6"/>
    <w:rsid w:val="00024BE2"/>
    <w:rsid w:val="00024C5F"/>
    <w:rsid w:val="00024F7A"/>
    <w:rsid w:val="000250B7"/>
    <w:rsid w:val="000252F2"/>
    <w:rsid w:val="00025341"/>
    <w:rsid w:val="00025501"/>
    <w:rsid w:val="0002561D"/>
    <w:rsid w:val="00025C89"/>
    <w:rsid w:val="00025D8A"/>
    <w:rsid w:val="00025EB9"/>
    <w:rsid w:val="000260DC"/>
    <w:rsid w:val="000261DA"/>
    <w:rsid w:val="0002630E"/>
    <w:rsid w:val="000265AD"/>
    <w:rsid w:val="000265DD"/>
    <w:rsid w:val="00026B29"/>
    <w:rsid w:val="00026CA1"/>
    <w:rsid w:val="00026D00"/>
    <w:rsid w:val="00026E21"/>
    <w:rsid w:val="0002725A"/>
    <w:rsid w:val="00027E3F"/>
    <w:rsid w:val="00030058"/>
    <w:rsid w:val="000300B4"/>
    <w:rsid w:val="00030676"/>
    <w:rsid w:val="00030996"/>
    <w:rsid w:val="00030E3E"/>
    <w:rsid w:val="000310AA"/>
    <w:rsid w:val="000310E8"/>
    <w:rsid w:val="000315BD"/>
    <w:rsid w:val="0003167F"/>
    <w:rsid w:val="00031793"/>
    <w:rsid w:val="00031A4C"/>
    <w:rsid w:val="00031BDA"/>
    <w:rsid w:val="00031CA2"/>
    <w:rsid w:val="00031D00"/>
    <w:rsid w:val="00031DA3"/>
    <w:rsid w:val="00031F4C"/>
    <w:rsid w:val="00032296"/>
    <w:rsid w:val="0003243D"/>
    <w:rsid w:val="000326E6"/>
    <w:rsid w:val="00032766"/>
    <w:rsid w:val="000328B1"/>
    <w:rsid w:val="00032DC3"/>
    <w:rsid w:val="00032E4F"/>
    <w:rsid w:val="00032EDB"/>
    <w:rsid w:val="000332FE"/>
    <w:rsid w:val="000337C2"/>
    <w:rsid w:val="00033EA1"/>
    <w:rsid w:val="00033F57"/>
    <w:rsid w:val="000340CA"/>
    <w:rsid w:val="0003483E"/>
    <w:rsid w:val="000348CA"/>
    <w:rsid w:val="0003496F"/>
    <w:rsid w:val="00034992"/>
    <w:rsid w:val="00034B24"/>
    <w:rsid w:val="00034CA0"/>
    <w:rsid w:val="00034EB6"/>
    <w:rsid w:val="00034FFC"/>
    <w:rsid w:val="0003501A"/>
    <w:rsid w:val="0003509D"/>
    <w:rsid w:val="000350BB"/>
    <w:rsid w:val="000351DA"/>
    <w:rsid w:val="00035357"/>
    <w:rsid w:val="000355A7"/>
    <w:rsid w:val="000356EC"/>
    <w:rsid w:val="00035B81"/>
    <w:rsid w:val="00035CE3"/>
    <w:rsid w:val="00035FDE"/>
    <w:rsid w:val="00036009"/>
    <w:rsid w:val="00036106"/>
    <w:rsid w:val="00036177"/>
    <w:rsid w:val="0003633B"/>
    <w:rsid w:val="00037004"/>
    <w:rsid w:val="00037224"/>
    <w:rsid w:val="000372EF"/>
    <w:rsid w:val="0003737B"/>
    <w:rsid w:val="0003745C"/>
    <w:rsid w:val="000374FB"/>
    <w:rsid w:val="0003758E"/>
    <w:rsid w:val="000375BA"/>
    <w:rsid w:val="00037990"/>
    <w:rsid w:val="00040060"/>
    <w:rsid w:val="00040281"/>
    <w:rsid w:val="00040A13"/>
    <w:rsid w:val="00040C7A"/>
    <w:rsid w:val="00040E6E"/>
    <w:rsid w:val="0004105D"/>
    <w:rsid w:val="00041310"/>
    <w:rsid w:val="0004146E"/>
    <w:rsid w:val="000414BC"/>
    <w:rsid w:val="0004189C"/>
    <w:rsid w:val="0004193F"/>
    <w:rsid w:val="0004195A"/>
    <w:rsid w:val="00041A87"/>
    <w:rsid w:val="00041DA3"/>
    <w:rsid w:val="00041F1F"/>
    <w:rsid w:val="0004209B"/>
    <w:rsid w:val="000420DB"/>
    <w:rsid w:val="000421A1"/>
    <w:rsid w:val="00042508"/>
    <w:rsid w:val="00042A8B"/>
    <w:rsid w:val="00042F4E"/>
    <w:rsid w:val="000434BD"/>
    <w:rsid w:val="000436A8"/>
    <w:rsid w:val="00043B7B"/>
    <w:rsid w:val="00043E36"/>
    <w:rsid w:val="000443C3"/>
    <w:rsid w:val="0004455F"/>
    <w:rsid w:val="00044806"/>
    <w:rsid w:val="00044A42"/>
    <w:rsid w:val="00044AB8"/>
    <w:rsid w:val="000454B2"/>
    <w:rsid w:val="00045976"/>
    <w:rsid w:val="00045E41"/>
    <w:rsid w:val="00046550"/>
    <w:rsid w:val="000466E7"/>
    <w:rsid w:val="000468E2"/>
    <w:rsid w:val="00046A3E"/>
    <w:rsid w:val="00046C6A"/>
    <w:rsid w:val="00046D8E"/>
    <w:rsid w:val="0004701B"/>
    <w:rsid w:val="00047124"/>
    <w:rsid w:val="00047444"/>
    <w:rsid w:val="00047661"/>
    <w:rsid w:val="000476C0"/>
    <w:rsid w:val="00047734"/>
    <w:rsid w:val="000477EA"/>
    <w:rsid w:val="00047936"/>
    <w:rsid w:val="0004798E"/>
    <w:rsid w:val="00047BB5"/>
    <w:rsid w:val="00047D53"/>
    <w:rsid w:val="000502A5"/>
    <w:rsid w:val="000504A8"/>
    <w:rsid w:val="0005052B"/>
    <w:rsid w:val="000506A1"/>
    <w:rsid w:val="00050823"/>
    <w:rsid w:val="000508EC"/>
    <w:rsid w:val="000509DA"/>
    <w:rsid w:val="00050AFA"/>
    <w:rsid w:val="00051333"/>
    <w:rsid w:val="00051E3C"/>
    <w:rsid w:val="000520B1"/>
    <w:rsid w:val="00052241"/>
    <w:rsid w:val="00052672"/>
    <w:rsid w:val="00052814"/>
    <w:rsid w:val="000529E9"/>
    <w:rsid w:val="00053766"/>
    <w:rsid w:val="00053BE0"/>
    <w:rsid w:val="00053CB9"/>
    <w:rsid w:val="00053FAD"/>
    <w:rsid w:val="00054078"/>
    <w:rsid w:val="000541A5"/>
    <w:rsid w:val="0005422C"/>
    <w:rsid w:val="00054973"/>
    <w:rsid w:val="00054C6E"/>
    <w:rsid w:val="00054DF3"/>
    <w:rsid w:val="00055034"/>
    <w:rsid w:val="000550B3"/>
    <w:rsid w:val="0005513C"/>
    <w:rsid w:val="00055234"/>
    <w:rsid w:val="00055406"/>
    <w:rsid w:val="00055569"/>
    <w:rsid w:val="00055DF6"/>
    <w:rsid w:val="00055ED8"/>
    <w:rsid w:val="000568D7"/>
    <w:rsid w:val="000568F4"/>
    <w:rsid w:val="00056C02"/>
    <w:rsid w:val="00057006"/>
    <w:rsid w:val="00057285"/>
    <w:rsid w:val="0005742E"/>
    <w:rsid w:val="00057439"/>
    <w:rsid w:val="000574AC"/>
    <w:rsid w:val="0005753C"/>
    <w:rsid w:val="00057902"/>
    <w:rsid w:val="00057E1C"/>
    <w:rsid w:val="00057EA9"/>
    <w:rsid w:val="00060742"/>
    <w:rsid w:val="0006088F"/>
    <w:rsid w:val="00060C03"/>
    <w:rsid w:val="00060C9D"/>
    <w:rsid w:val="00060CB2"/>
    <w:rsid w:val="00060D87"/>
    <w:rsid w:val="00060EF5"/>
    <w:rsid w:val="00060F44"/>
    <w:rsid w:val="000611E6"/>
    <w:rsid w:val="0006140F"/>
    <w:rsid w:val="00061530"/>
    <w:rsid w:val="00061536"/>
    <w:rsid w:val="000615E8"/>
    <w:rsid w:val="00061822"/>
    <w:rsid w:val="000619C8"/>
    <w:rsid w:val="00061FAC"/>
    <w:rsid w:val="00061FD0"/>
    <w:rsid w:val="00062240"/>
    <w:rsid w:val="000622F5"/>
    <w:rsid w:val="00062919"/>
    <w:rsid w:val="0006296B"/>
    <w:rsid w:val="000629E6"/>
    <w:rsid w:val="00062BE7"/>
    <w:rsid w:val="00063101"/>
    <w:rsid w:val="00063857"/>
    <w:rsid w:val="0006396A"/>
    <w:rsid w:val="00063A60"/>
    <w:rsid w:val="00063AEF"/>
    <w:rsid w:val="00063B1D"/>
    <w:rsid w:val="00063C33"/>
    <w:rsid w:val="00064178"/>
    <w:rsid w:val="0006443B"/>
    <w:rsid w:val="000647C3"/>
    <w:rsid w:val="00064C35"/>
    <w:rsid w:val="00064D3D"/>
    <w:rsid w:val="00064F90"/>
    <w:rsid w:val="00065096"/>
    <w:rsid w:val="0006524C"/>
    <w:rsid w:val="00065445"/>
    <w:rsid w:val="00065A4F"/>
    <w:rsid w:val="00065ABF"/>
    <w:rsid w:val="00065BA5"/>
    <w:rsid w:val="00065D4F"/>
    <w:rsid w:val="00065D7A"/>
    <w:rsid w:val="00065E7F"/>
    <w:rsid w:val="0006634A"/>
    <w:rsid w:val="000664BE"/>
    <w:rsid w:val="00066554"/>
    <w:rsid w:val="0006680F"/>
    <w:rsid w:val="00066D35"/>
    <w:rsid w:val="00067155"/>
    <w:rsid w:val="00067567"/>
    <w:rsid w:val="00067C33"/>
    <w:rsid w:val="00067FB5"/>
    <w:rsid w:val="000703CB"/>
    <w:rsid w:val="000703FE"/>
    <w:rsid w:val="000705DD"/>
    <w:rsid w:val="000706D4"/>
    <w:rsid w:val="000713EE"/>
    <w:rsid w:val="00071470"/>
    <w:rsid w:val="00071695"/>
    <w:rsid w:val="000717D6"/>
    <w:rsid w:val="00071956"/>
    <w:rsid w:val="00071BD3"/>
    <w:rsid w:val="00071DDA"/>
    <w:rsid w:val="00071E87"/>
    <w:rsid w:val="00071FC6"/>
    <w:rsid w:val="00072134"/>
    <w:rsid w:val="00072D12"/>
    <w:rsid w:val="00072E6E"/>
    <w:rsid w:val="00072F6B"/>
    <w:rsid w:val="00073100"/>
    <w:rsid w:val="00073283"/>
    <w:rsid w:val="000732A8"/>
    <w:rsid w:val="00073445"/>
    <w:rsid w:val="0007349A"/>
    <w:rsid w:val="000735B6"/>
    <w:rsid w:val="000736A0"/>
    <w:rsid w:val="00073D03"/>
    <w:rsid w:val="0007403A"/>
    <w:rsid w:val="000744AE"/>
    <w:rsid w:val="000744BA"/>
    <w:rsid w:val="00074A10"/>
    <w:rsid w:val="00074BA2"/>
    <w:rsid w:val="00074C50"/>
    <w:rsid w:val="00074D75"/>
    <w:rsid w:val="00074DB5"/>
    <w:rsid w:val="00074E52"/>
    <w:rsid w:val="00074FA3"/>
    <w:rsid w:val="000751AC"/>
    <w:rsid w:val="000752DB"/>
    <w:rsid w:val="0007575A"/>
    <w:rsid w:val="00075847"/>
    <w:rsid w:val="00075908"/>
    <w:rsid w:val="00075952"/>
    <w:rsid w:val="00075C60"/>
    <w:rsid w:val="00077252"/>
    <w:rsid w:val="000776B1"/>
    <w:rsid w:val="000776D8"/>
    <w:rsid w:val="00077912"/>
    <w:rsid w:val="00077B88"/>
    <w:rsid w:val="00077BFB"/>
    <w:rsid w:val="000800AF"/>
    <w:rsid w:val="00080191"/>
    <w:rsid w:val="0008029D"/>
    <w:rsid w:val="000804D5"/>
    <w:rsid w:val="000807AE"/>
    <w:rsid w:val="000807B5"/>
    <w:rsid w:val="00080AD9"/>
    <w:rsid w:val="00080B91"/>
    <w:rsid w:val="00080CE2"/>
    <w:rsid w:val="00080F35"/>
    <w:rsid w:val="000811A4"/>
    <w:rsid w:val="000811D4"/>
    <w:rsid w:val="00081259"/>
    <w:rsid w:val="00081792"/>
    <w:rsid w:val="0008187A"/>
    <w:rsid w:val="0008189D"/>
    <w:rsid w:val="0008216A"/>
    <w:rsid w:val="0008217D"/>
    <w:rsid w:val="000825F0"/>
    <w:rsid w:val="000827CD"/>
    <w:rsid w:val="00082B1C"/>
    <w:rsid w:val="00083121"/>
    <w:rsid w:val="00083469"/>
    <w:rsid w:val="000834CD"/>
    <w:rsid w:val="000835B0"/>
    <w:rsid w:val="000835F5"/>
    <w:rsid w:val="0008378A"/>
    <w:rsid w:val="000838E4"/>
    <w:rsid w:val="00083B96"/>
    <w:rsid w:val="00083EAD"/>
    <w:rsid w:val="00084044"/>
    <w:rsid w:val="00084211"/>
    <w:rsid w:val="00084419"/>
    <w:rsid w:val="0008449C"/>
    <w:rsid w:val="000845D7"/>
    <w:rsid w:val="000846F8"/>
    <w:rsid w:val="00084B71"/>
    <w:rsid w:val="00084D1E"/>
    <w:rsid w:val="00084DFB"/>
    <w:rsid w:val="0008526A"/>
    <w:rsid w:val="000853EB"/>
    <w:rsid w:val="00085484"/>
    <w:rsid w:val="00085847"/>
    <w:rsid w:val="00085BE8"/>
    <w:rsid w:val="00085E04"/>
    <w:rsid w:val="0008608A"/>
    <w:rsid w:val="000863ED"/>
    <w:rsid w:val="00086911"/>
    <w:rsid w:val="00086C30"/>
    <w:rsid w:val="00086D5D"/>
    <w:rsid w:val="00086DA6"/>
    <w:rsid w:val="000875DD"/>
    <w:rsid w:val="00087C2A"/>
    <w:rsid w:val="00087E0A"/>
    <w:rsid w:val="00090055"/>
    <w:rsid w:val="000901F1"/>
    <w:rsid w:val="0009096A"/>
    <w:rsid w:val="00090B6B"/>
    <w:rsid w:val="00090D4B"/>
    <w:rsid w:val="00090EA4"/>
    <w:rsid w:val="000910D7"/>
    <w:rsid w:val="0009166A"/>
    <w:rsid w:val="00091727"/>
    <w:rsid w:val="000918B2"/>
    <w:rsid w:val="00091CE2"/>
    <w:rsid w:val="0009205D"/>
    <w:rsid w:val="00092442"/>
    <w:rsid w:val="0009257A"/>
    <w:rsid w:val="00092B44"/>
    <w:rsid w:val="00092C2D"/>
    <w:rsid w:val="00092EB9"/>
    <w:rsid w:val="0009343D"/>
    <w:rsid w:val="00093617"/>
    <w:rsid w:val="00093E98"/>
    <w:rsid w:val="00093FDF"/>
    <w:rsid w:val="00094051"/>
    <w:rsid w:val="000942B9"/>
    <w:rsid w:val="00094353"/>
    <w:rsid w:val="000945D6"/>
    <w:rsid w:val="00094600"/>
    <w:rsid w:val="00094AC0"/>
    <w:rsid w:val="00094B2F"/>
    <w:rsid w:val="0009571A"/>
    <w:rsid w:val="000957A2"/>
    <w:rsid w:val="00095892"/>
    <w:rsid w:val="00095A1A"/>
    <w:rsid w:val="00095A8C"/>
    <w:rsid w:val="00095C0B"/>
    <w:rsid w:val="00095C79"/>
    <w:rsid w:val="00096343"/>
    <w:rsid w:val="00096552"/>
    <w:rsid w:val="00096607"/>
    <w:rsid w:val="00096700"/>
    <w:rsid w:val="0009691F"/>
    <w:rsid w:val="00096925"/>
    <w:rsid w:val="0009694F"/>
    <w:rsid w:val="00096B06"/>
    <w:rsid w:val="0009706D"/>
    <w:rsid w:val="00097551"/>
    <w:rsid w:val="000975A5"/>
    <w:rsid w:val="00097833"/>
    <w:rsid w:val="000978DD"/>
    <w:rsid w:val="00097A89"/>
    <w:rsid w:val="00097E80"/>
    <w:rsid w:val="00097F2B"/>
    <w:rsid w:val="000A0424"/>
    <w:rsid w:val="000A05BC"/>
    <w:rsid w:val="000A06AB"/>
    <w:rsid w:val="000A07D2"/>
    <w:rsid w:val="000A07F3"/>
    <w:rsid w:val="000A0849"/>
    <w:rsid w:val="000A09F3"/>
    <w:rsid w:val="000A0BAF"/>
    <w:rsid w:val="000A1105"/>
    <w:rsid w:val="000A1418"/>
    <w:rsid w:val="000A1760"/>
    <w:rsid w:val="000A19A2"/>
    <w:rsid w:val="000A1BDC"/>
    <w:rsid w:val="000A1CD5"/>
    <w:rsid w:val="000A1E0A"/>
    <w:rsid w:val="000A1E8A"/>
    <w:rsid w:val="000A227F"/>
    <w:rsid w:val="000A22C0"/>
    <w:rsid w:val="000A2388"/>
    <w:rsid w:val="000A2AC3"/>
    <w:rsid w:val="000A2CC6"/>
    <w:rsid w:val="000A30BD"/>
    <w:rsid w:val="000A3320"/>
    <w:rsid w:val="000A3563"/>
    <w:rsid w:val="000A3935"/>
    <w:rsid w:val="000A3E2D"/>
    <w:rsid w:val="000A44D4"/>
    <w:rsid w:val="000A4524"/>
    <w:rsid w:val="000A4554"/>
    <w:rsid w:val="000A4A38"/>
    <w:rsid w:val="000A4B74"/>
    <w:rsid w:val="000A508F"/>
    <w:rsid w:val="000A52E7"/>
    <w:rsid w:val="000A5446"/>
    <w:rsid w:val="000A544B"/>
    <w:rsid w:val="000A591E"/>
    <w:rsid w:val="000A5A20"/>
    <w:rsid w:val="000A5A43"/>
    <w:rsid w:val="000A5D40"/>
    <w:rsid w:val="000A5DAF"/>
    <w:rsid w:val="000A6107"/>
    <w:rsid w:val="000A6195"/>
    <w:rsid w:val="000A64E1"/>
    <w:rsid w:val="000A6500"/>
    <w:rsid w:val="000A65ED"/>
    <w:rsid w:val="000A6ADD"/>
    <w:rsid w:val="000A6ECC"/>
    <w:rsid w:val="000A716D"/>
    <w:rsid w:val="000A77D0"/>
    <w:rsid w:val="000A7823"/>
    <w:rsid w:val="000A79F0"/>
    <w:rsid w:val="000A7A88"/>
    <w:rsid w:val="000A7A8B"/>
    <w:rsid w:val="000A7C1F"/>
    <w:rsid w:val="000A7F9D"/>
    <w:rsid w:val="000B01AF"/>
    <w:rsid w:val="000B0467"/>
    <w:rsid w:val="000B055C"/>
    <w:rsid w:val="000B09D0"/>
    <w:rsid w:val="000B0F74"/>
    <w:rsid w:val="000B1471"/>
    <w:rsid w:val="000B16FC"/>
    <w:rsid w:val="000B1845"/>
    <w:rsid w:val="000B1B92"/>
    <w:rsid w:val="000B1CA5"/>
    <w:rsid w:val="000B250E"/>
    <w:rsid w:val="000B25E8"/>
    <w:rsid w:val="000B281C"/>
    <w:rsid w:val="000B29E5"/>
    <w:rsid w:val="000B2A6D"/>
    <w:rsid w:val="000B2C0D"/>
    <w:rsid w:val="000B2C17"/>
    <w:rsid w:val="000B2CE1"/>
    <w:rsid w:val="000B2FAD"/>
    <w:rsid w:val="000B307A"/>
    <w:rsid w:val="000B30CD"/>
    <w:rsid w:val="000B3373"/>
    <w:rsid w:val="000B3478"/>
    <w:rsid w:val="000B37E6"/>
    <w:rsid w:val="000B3BA4"/>
    <w:rsid w:val="000B3BDA"/>
    <w:rsid w:val="000B3E6B"/>
    <w:rsid w:val="000B3FC1"/>
    <w:rsid w:val="000B414C"/>
    <w:rsid w:val="000B41C6"/>
    <w:rsid w:val="000B43C6"/>
    <w:rsid w:val="000B47A7"/>
    <w:rsid w:val="000B48FF"/>
    <w:rsid w:val="000B497E"/>
    <w:rsid w:val="000B4C66"/>
    <w:rsid w:val="000B4D57"/>
    <w:rsid w:val="000B4EBD"/>
    <w:rsid w:val="000B50AF"/>
    <w:rsid w:val="000B54AE"/>
    <w:rsid w:val="000B58B6"/>
    <w:rsid w:val="000B595A"/>
    <w:rsid w:val="000B5C5B"/>
    <w:rsid w:val="000B5E9E"/>
    <w:rsid w:val="000B5FF0"/>
    <w:rsid w:val="000B607D"/>
    <w:rsid w:val="000B6139"/>
    <w:rsid w:val="000B61F1"/>
    <w:rsid w:val="000B641A"/>
    <w:rsid w:val="000B64EA"/>
    <w:rsid w:val="000B66DF"/>
    <w:rsid w:val="000B67EE"/>
    <w:rsid w:val="000B6A5E"/>
    <w:rsid w:val="000B70BC"/>
    <w:rsid w:val="000B739A"/>
    <w:rsid w:val="000B73B7"/>
    <w:rsid w:val="000B7631"/>
    <w:rsid w:val="000B776B"/>
    <w:rsid w:val="000B7A33"/>
    <w:rsid w:val="000B7AF5"/>
    <w:rsid w:val="000B7B36"/>
    <w:rsid w:val="000B7E37"/>
    <w:rsid w:val="000B8B1F"/>
    <w:rsid w:val="000C0100"/>
    <w:rsid w:val="000C027E"/>
    <w:rsid w:val="000C0681"/>
    <w:rsid w:val="000C0999"/>
    <w:rsid w:val="000C0E3A"/>
    <w:rsid w:val="000C0EAA"/>
    <w:rsid w:val="000C0FF7"/>
    <w:rsid w:val="000C109C"/>
    <w:rsid w:val="000C1898"/>
    <w:rsid w:val="000C1978"/>
    <w:rsid w:val="000C1A64"/>
    <w:rsid w:val="000C1ADA"/>
    <w:rsid w:val="000C1B81"/>
    <w:rsid w:val="000C1E86"/>
    <w:rsid w:val="000C1EEB"/>
    <w:rsid w:val="000C1F70"/>
    <w:rsid w:val="000C2046"/>
    <w:rsid w:val="000C2A98"/>
    <w:rsid w:val="000C2CC9"/>
    <w:rsid w:val="000C2E50"/>
    <w:rsid w:val="000C3067"/>
    <w:rsid w:val="000C30DD"/>
    <w:rsid w:val="000C323C"/>
    <w:rsid w:val="000C34F0"/>
    <w:rsid w:val="000C3512"/>
    <w:rsid w:val="000C3534"/>
    <w:rsid w:val="000C3BFA"/>
    <w:rsid w:val="000C3D3E"/>
    <w:rsid w:val="000C3E3B"/>
    <w:rsid w:val="000C4015"/>
    <w:rsid w:val="000C405D"/>
    <w:rsid w:val="000C4440"/>
    <w:rsid w:val="000C45D5"/>
    <w:rsid w:val="000C4733"/>
    <w:rsid w:val="000C4791"/>
    <w:rsid w:val="000C4804"/>
    <w:rsid w:val="000C486E"/>
    <w:rsid w:val="000C4BEC"/>
    <w:rsid w:val="000C4CD3"/>
    <w:rsid w:val="000C52B2"/>
    <w:rsid w:val="000C53D3"/>
    <w:rsid w:val="000C53D4"/>
    <w:rsid w:val="000C5518"/>
    <w:rsid w:val="000C5720"/>
    <w:rsid w:val="000C5898"/>
    <w:rsid w:val="000C61AB"/>
    <w:rsid w:val="000C628E"/>
    <w:rsid w:val="000C6577"/>
    <w:rsid w:val="000C6610"/>
    <w:rsid w:val="000C6902"/>
    <w:rsid w:val="000C69CA"/>
    <w:rsid w:val="000C71A3"/>
    <w:rsid w:val="000C728E"/>
    <w:rsid w:val="000C755B"/>
    <w:rsid w:val="000C7646"/>
    <w:rsid w:val="000C7708"/>
    <w:rsid w:val="000C7914"/>
    <w:rsid w:val="000C7A75"/>
    <w:rsid w:val="000C7BE4"/>
    <w:rsid w:val="000C7E7C"/>
    <w:rsid w:val="000D02D7"/>
    <w:rsid w:val="000D0536"/>
    <w:rsid w:val="000D057B"/>
    <w:rsid w:val="000D0723"/>
    <w:rsid w:val="000D082B"/>
    <w:rsid w:val="000D084A"/>
    <w:rsid w:val="000D0AEE"/>
    <w:rsid w:val="000D1461"/>
    <w:rsid w:val="000D1C63"/>
    <w:rsid w:val="000D20A1"/>
    <w:rsid w:val="000D23CE"/>
    <w:rsid w:val="000D25EF"/>
    <w:rsid w:val="000D2718"/>
    <w:rsid w:val="000D280C"/>
    <w:rsid w:val="000D333F"/>
    <w:rsid w:val="000D34BD"/>
    <w:rsid w:val="000D3537"/>
    <w:rsid w:val="000D37F7"/>
    <w:rsid w:val="000D38B0"/>
    <w:rsid w:val="000D390C"/>
    <w:rsid w:val="000D3A17"/>
    <w:rsid w:val="000D414D"/>
    <w:rsid w:val="000D416D"/>
    <w:rsid w:val="000D4395"/>
    <w:rsid w:val="000D4534"/>
    <w:rsid w:val="000D45F1"/>
    <w:rsid w:val="000D46FC"/>
    <w:rsid w:val="000D47E4"/>
    <w:rsid w:val="000D4894"/>
    <w:rsid w:val="000D4E86"/>
    <w:rsid w:val="000D4EB1"/>
    <w:rsid w:val="000D50D8"/>
    <w:rsid w:val="000D51B6"/>
    <w:rsid w:val="000D5487"/>
    <w:rsid w:val="000D5579"/>
    <w:rsid w:val="000D5939"/>
    <w:rsid w:val="000D5B15"/>
    <w:rsid w:val="000D5BB3"/>
    <w:rsid w:val="000D5BD5"/>
    <w:rsid w:val="000D60AC"/>
    <w:rsid w:val="000D60E8"/>
    <w:rsid w:val="000D6258"/>
    <w:rsid w:val="000D63FC"/>
    <w:rsid w:val="000D655C"/>
    <w:rsid w:val="000D6660"/>
    <w:rsid w:val="000D66D1"/>
    <w:rsid w:val="000D6895"/>
    <w:rsid w:val="000D6953"/>
    <w:rsid w:val="000D6DC4"/>
    <w:rsid w:val="000D6FA4"/>
    <w:rsid w:val="000D708B"/>
    <w:rsid w:val="000D73E2"/>
    <w:rsid w:val="000D744E"/>
    <w:rsid w:val="000D7527"/>
    <w:rsid w:val="000D7721"/>
    <w:rsid w:val="000D7802"/>
    <w:rsid w:val="000D7806"/>
    <w:rsid w:val="000D7836"/>
    <w:rsid w:val="000D7B79"/>
    <w:rsid w:val="000D7E48"/>
    <w:rsid w:val="000D7F97"/>
    <w:rsid w:val="000E0200"/>
    <w:rsid w:val="000E0223"/>
    <w:rsid w:val="000E0335"/>
    <w:rsid w:val="000E03A7"/>
    <w:rsid w:val="000E07F5"/>
    <w:rsid w:val="000E082D"/>
    <w:rsid w:val="000E0C92"/>
    <w:rsid w:val="000E0E67"/>
    <w:rsid w:val="000E1071"/>
    <w:rsid w:val="000E125F"/>
    <w:rsid w:val="000E14F3"/>
    <w:rsid w:val="000E18B0"/>
    <w:rsid w:val="000E198B"/>
    <w:rsid w:val="000E1A41"/>
    <w:rsid w:val="000E1A9E"/>
    <w:rsid w:val="000E1BF8"/>
    <w:rsid w:val="000E1D21"/>
    <w:rsid w:val="000E1EE0"/>
    <w:rsid w:val="000E2609"/>
    <w:rsid w:val="000E26CD"/>
    <w:rsid w:val="000E27EA"/>
    <w:rsid w:val="000E2C4B"/>
    <w:rsid w:val="000E2D27"/>
    <w:rsid w:val="000E2F2B"/>
    <w:rsid w:val="000E2F5A"/>
    <w:rsid w:val="000E356E"/>
    <w:rsid w:val="000E35F1"/>
    <w:rsid w:val="000E3A04"/>
    <w:rsid w:val="000E3A37"/>
    <w:rsid w:val="000E3A7F"/>
    <w:rsid w:val="000E3B7F"/>
    <w:rsid w:val="000E3C1E"/>
    <w:rsid w:val="000E3EC4"/>
    <w:rsid w:val="000E3FBC"/>
    <w:rsid w:val="000E459D"/>
    <w:rsid w:val="000E4750"/>
    <w:rsid w:val="000E4788"/>
    <w:rsid w:val="000E4C9D"/>
    <w:rsid w:val="000E4E61"/>
    <w:rsid w:val="000E51A0"/>
    <w:rsid w:val="000E58E0"/>
    <w:rsid w:val="000E59FD"/>
    <w:rsid w:val="000E5C16"/>
    <w:rsid w:val="000E6201"/>
    <w:rsid w:val="000E68CA"/>
    <w:rsid w:val="000E690A"/>
    <w:rsid w:val="000E695D"/>
    <w:rsid w:val="000E699A"/>
    <w:rsid w:val="000E6FA8"/>
    <w:rsid w:val="000E702D"/>
    <w:rsid w:val="000E719A"/>
    <w:rsid w:val="000E72A8"/>
    <w:rsid w:val="000E7303"/>
    <w:rsid w:val="000E75D1"/>
    <w:rsid w:val="000E7FD0"/>
    <w:rsid w:val="000F0118"/>
    <w:rsid w:val="000F023F"/>
    <w:rsid w:val="000F0582"/>
    <w:rsid w:val="000F0603"/>
    <w:rsid w:val="000F08AF"/>
    <w:rsid w:val="000F0B16"/>
    <w:rsid w:val="000F0B77"/>
    <w:rsid w:val="000F1404"/>
    <w:rsid w:val="000F1480"/>
    <w:rsid w:val="000F1A32"/>
    <w:rsid w:val="000F24AC"/>
    <w:rsid w:val="000F2713"/>
    <w:rsid w:val="000F2E1A"/>
    <w:rsid w:val="000F343E"/>
    <w:rsid w:val="000F3948"/>
    <w:rsid w:val="000F39AA"/>
    <w:rsid w:val="000F3B1E"/>
    <w:rsid w:val="000F3CF6"/>
    <w:rsid w:val="000F3D65"/>
    <w:rsid w:val="000F3F15"/>
    <w:rsid w:val="000F4058"/>
    <w:rsid w:val="000F43EC"/>
    <w:rsid w:val="000F454E"/>
    <w:rsid w:val="000F46D8"/>
    <w:rsid w:val="000F47D5"/>
    <w:rsid w:val="000F48A0"/>
    <w:rsid w:val="000F49EA"/>
    <w:rsid w:val="000F4A60"/>
    <w:rsid w:val="000F4B0A"/>
    <w:rsid w:val="000F4D76"/>
    <w:rsid w:val="000F4E7E"/>
    <w:rsid w:val="000F514F"/>
    <w:rsid w:val="000F52C9"/>
    <w:rsid w:val="000F54AD"/>
    <w:rsid w:val="000F5A73"/>
    <w:rsid w:val="000F5F64"/>
    <w:rsid w:val="000F63D5"/>
    <w:rsid w:val="000F6650"/>
    <w:rsid w:val="000F6C35"/>
    <w:rsid w:val="000F6E53"/>
    <w:rsid w:val="000F7126"/>
    <w:rsid w:val="000F7275"/>
    <w:rsid w:val="000F77FE"/>
    <w:rsid w:val="000F7AFB"/>
    <w:rsid w:val="000F7BB0"/>
    <w:rsid w:val="000F7CDA"/>
    <w:rsid w:val="000F7D76"/>
    <w:rsid w:val="0010003D"/>
    <w:rsid w:val="001002AB"/>
    <w:rsid w:val="00100669"/>
    <w:rsid w:val="0010068B"/>
    <w:rsid w:val="00100830"/>
    <w:rsid w:val="00100C5F"/>
    <w:rsid w:val="00100D89"/>
    <w:rsid w:val="00100F0B"/>
    <w:rsid w:val="00101519"/>
    <w:rsid w:val="00101721"/>
    <w:rsid w:val="0010195B"/>
    <w:rsid w:val="00101B5C"/>
    <w:rsid w:val="00101BA0"/>
    <w:rsid w:val="00101DA2"/>
    <w:rsid w:val="00101E67"/>
    <w:rsid w:val="00101ED4"/>
    <w:rsid w:val="001020E1"/>
    <w:rsid w:val="001021D2"/>
    <w:rsid w:val="00102311"/>
    <w:rsid w:val="0010247B"/>
    <w:rsid w:val="001026A3"/>
    <w:rsid w:val="001028DE"/>
    <w:rsid w:val="00102CB5"/>
    <w:rsid w:val="00102E26"/>
    <w:rsid w:val="00102F10"/>
    <w:rsid w:val="00102FEA"/>
    <w:rsid w:val="00103293"/>
    <w:rsid w:val="001033A4"/>
    <w:rsid w:val="00103442"/>
    <w:rsid w:val="001035F6"/>
    <w:rsid w:val="0010374F"/>
    <w:rsid w:val="00103959"/>
    <w:rsid w:val="00103CCA"/>
    <w:rsid w:val="00103DE9"/>
    <w:rsid w:val="00103FA7"/>
    <w:rsid w:val="00104198"/>
    <w:rsid w:val="0010440E"/>
    <w:rsid w:val="00104824"/>
    <w:rsid w:val="001048AE"/>
    <w:rsid w:val="00104CC5"/>
    <w:rsid w:val="00104E16"/>
    <w:rsid w:val="0010517D"/>
    <w:rsid w:val="0010525A"/>
    <w:rsid w:val="001054F9"/>
    <w:rsid w:val="001055C5"/>
    <w:rsid w:val="0010582B"/>
    <w:rsid w:val="00105A47"/>
    <w:rsid w:val="00105ABA"/>
    <w:rsid w:val="00105C4F"/>
    <w:rsid w:val="0010606B"/>
    <w:rsid w:val="0010634A"/>
    <w:rsid w:val="00106376"/>
    <w:rsid w:val="001069D6"/>
    <w:rsid w:val="00106D10"/>
    <w:rsid w:val="00107244"/>
    <w:rsid w:val="0010748A"/>
    <w:rsid w:val="001074E6"/>
    <w:rsid w:val="00107718"/>
    <w:rsid w:val="00107EB5"/>
    <w:rsid w:val="00110052"/>
    <w:rsid w:val="0011006F"/>
    <w:rsid w:val="00110158"/>
    <w:rsid w:val="001106DA"/>
    <w:rsid w:val="001107B9"/>
    <w:rsid w:val="00110C86"/>
    <w:rsid w:val="00110DE1"/>
    <w:rsid w:val="00110F5F"/>
    <w:rsid w:val="001111EF"/>
    <w:rsid w:val="00111223"/>
    <w:rsid w:val="00111350"/>
    <w:rsid w:val="0011142F"/>
    <w:rsid w:val="00111643"/>
    <w:rsid w:val="0011166B"/>
    <w:rsid w:val="00111A81"/>
    <w:rsid w:val="00111D10"/>
    <w:rsid w:val="00112203"/>
    <w:rsid w:val="00112486"/>
    <w:rsid w:val="00112539"/>
    <w:rsid w:val="00112579"/>
    <w:rsid w:val="00112A1C"/>
    <w:rsid w:val="00112ED5"/>
    <w:rsid w:val="00113072"/>
    <w:rsid w:val="0011325C"/>
    <w:rsid w:val="0011381F"/>
    <w:rsid w:val="00113B42"/>
    <w:rsid w:val="00113E69"/>
    <w:rsid w:val="00113F1A"/>
    <w:rsid w:val="00114480"/>
    <w:rsid w:val="00114568"/>
    <w:rsid w:val="0011485F"/>
    <w:rsid w:val="001148C2"/>
    <w:rsid w:val="00114954"/>
    <w:rsid w:val="00114C21"/>
    <w:rsid w:val="00115521"/>
    <w:rsid w:val="0011582E"/>
    <w:rsid w:val="001158F2"/>
    <w:rsid w:val="00115B02"/>
    <w:rsid w:val="00115E85"/>
    <w:rsid w:val="00116019"/>
    <w:rsid w:val="00116169"/>
    <w:rsid w:val="001163D1"/>
    <w:rsid w:val="00116539"/>
    <w:rsid w:val="001166A1"/>
    <w:rsid w:val="00116823"/>
    <w:rsid w:val="00116AC9"/>
    <w:rsid w:val="00116B75"/>
    <w:rsid w:val="001176DE"/>
    <w:rsid w:val="0011799C"/>
    <w:rsid w:val="00117E41"/>
    <w:rsid w:val="00117F86"/>
    <w:rsid w:val="00120043"/>
    <w:rsid w:val="00120115"/>
    <w:rsid w:val="00120230"/>
    <w:rsid w:val="00120411"/>
    <w:rsid w:val="0012079D"/>
    <w:rsid w:val="00120E34"/>
    <w:rsid w:val="00120E8D"/>
    <w:rsid w:val="0012121E"/>
    <w:rsid w:val="00121335"/>
    <w:rsid w:val="00121382"/>
    <w:rsid w:val="00121541"/>
    <w:rsid w:val="00121B5E"/>
    <w:rsid w:val="00121E93"/>
    <w:rsid w:val="00121EDE"/>
    <w:rsid w:val="00121F5D"/>
    <w:rsid w:val="00122706"/>
    <w:rsid w:val="00122B44"/>
    <w:rsid w:val="00123681"/>
    <w:rsid w:val="001238F5"/>
    <w:rsid w:val="00123957"/>
    <w:rsid w:val="00123AB0"/>
    <w:rsid w:val="00123BDF"/>
    <w:rsid w:val="0012410B"/>
    <w:rsid w:val="00124328"/>
    <w:rsid w:val="0012440C"/>
    <w:rsid w:val="00124462"/>
    <w:rsid w:val="001245F3"/>
    <w:rsid w:val="0012465E"/>
    <w:rsid w:val="0012482B"/>
    <w:rsid w:val="00124A0A"/>
    <w:rsid w:val="00124A7A"/>
    <w:rsid w:val="00124E68"/>
    <w:rsid w:val="00125393"/>
    <w:rsid w:val="00125666"/>
    <w:rsid w:val="001257EB"/>
    <w:rsid w:val="00125AD3"/>
    <w:rsid w:val="00125B17"/>
    <w:rsid w:val="00125B9B"/>
    <w:rsid w:val="001260EA"/>
    <w:rsid w:val="001261A4"/>
    <w:rsid w:val="001261BA"/>
    <w:rsid w:val="00126295"/>
    <w:rsid w:val="00126493"/>
    <w:rsid w:val="0012657B"/>
    <w:rsid w:val="00126F64"/>
    <w:rsid w:val="00127008"/>
    <w:rsid w:val="0012713C"/>
    <w:rsid w:val="00127307"/>
    <w:rsid w:val="00127422"/>
    <w:rsid w:val="001275A6"/>
    <w:rsid w:val="00127654"/>
    <w:rsid w:val="00127678"/>
    <w:rsid w:val="00127CE6"/>
    <w:rsid w:val="001304C4"/>
    <w:rsid w:val="00130541"/>
    <w:rsid w:val="00130719"/>
    <w:rsid w:val="00130B37"/>
    <w:rsid w:val="00130B64"/>
    <w:rsid w:val="00130E70"/>
    <w:rsid w:val="00130FF4"/>
    <w:rsid w:val="0013129F"/>
    <w:rsid w:val="001312DE"/>
    <w:rsid w:val="001315A5"/>
    <w:rsid w:val="001315EB"/>
    <w:rsid w:val="00131B2B"/>
    <w:rsid w:val="00131B4D"/>
    <w:rsid w:val="00131BB3"/>
    <w:rsid w:val="001320D2"/>
    <w:rsid w:val="001322C9"/>
    <w:rsid w:val="001323E0"/>
    <w:rsid w:val="00132432"/>
    <w:rsid w:val="0013245F"/>
    <w:rsid w:val="00132665"/>
    <w:rsid w:val="001327A2"/>
    <w:rsid w:val="00132DA0"/>
    <w:rsid w:val="00132E24"/>
    <w:rsid w:val="00132F4C"/>
    <w:rsid w:val="00132F88"/>
    <w:rsid w:val="001331B5"/>
    <w:rsid w:val="001332BB"/>
    <w:rsid w:val="001332DE"/>
    <w:rsid w:val="001334FF"/>
    <w:rsid w:val="00133885"/>
    <w:rsid w:val="00133938"/>
    <w:rsid w:val="0013397A"/>
    <w:rsid w:val="00133BE8"/>
    <w:rsid w:val="00133FAD"/>
    <w:rsid w:val="00134114"/>
    <w:rsid w:val="001341EF"/>
    <w:rsid w:val="001343DF"/>
    <w:rsid w:val="0013462F"/>
    <w:rsid w:val="0013467D"/>
    <w:rsid w:val="0013494F"/>
    <w:rsid w:val="001349BA"/>
    <w:rsid w:val="00134AAE"/>
    <w:rsid w:val="00134DB4"/>
    <w:rsid w:val="00134E51"/>
    <w:rsid w:val="00134F5D"/>
    <w:rsid w:val="00134FA5"/>
    <w:rsid w:val="0013524C"/>
    <w:rsid w:val="001354C7"/>
    <w:rsid w:val="00135DC8"/>
    <w:rsid w:val="00135F3C"/>
    <w:rsid w:val="001361F1"/>
    <w:rsid w:val="001363F1"/>
    <w:rsid w:val="001364BC"/>
    <w:rsid w:val="00136660"/>
    <w:rsid w:val="001366A2"/>
    <w:rsid w:val="00136D26"/>
    <w:rsid w:val="001370BE"/>
    <w:rsid w:val="00137319"/>
    <w:rsid w:val="00137470"/>
    <w:rsid w:val="00140405"/>
    <w:rsid w:val="001409FC"/>
    <w:rsid w:val="00140A06"/>
    <w:rsid w:val="00140B17"/>
    <w:rsid w:val="00140B5B"/>
    <w:rsid w:val="00140B81"/>
    <w:rsid w:val="00140C28"/>
    <w:rsid w:val="00141418"/>
    <w:rsid w:val="001416BD"/>
    <w:rsid w:val="0014174F"/>
    <w:rsid w:val="00141A02"/>
    <w:rsid w:val="00141C08"/>
    <w:rsid w:val="00141CA1"/>
    <w:rsid w:val="0014201B"/>
    <w:rsid w:val="00142062"/>
    <w:rsid w:val="0014210A"/>
    <w:rsid w:val="00142485"/>
    <w:rsid w:val="0014296A"/>
    <w:rsid w:val="00143061"/>
    <w:rsid w:val="00143335"/>
    <w:rsid w:val="00143391"/>
    <w:rsid w:val="001438FC"/>
    <w:rsid w:val="00143DDE"/>
    <w:rsid w:val="00143F3D"/>
    <w:rsid w:val="0014413D"/>
    <w:rsid w:val="0014462B"/>
    <w:rsid w:val="00145AB8"/>
    <w:rsid w:val="00145BBD"/>
    <w:rsid w:val="00145D7D"/>
    <w:rsid w:val="001463CA"/>
    <w:rsid w:val="00146572"/>
    <w:rsid w:val="0014708A"/>
    <w:rsid w:val="00147197"/>
    <w:rsid w:val="001476D4"/>
    <w:rsid w:val="0014776E"/>
    <w:rsid w:val="00147784"/>
    <w:rsid w:val="00147791"/>
    <w:rsid w:val="001477F4"/>
    <w:rsid w:val="00147B3E"/>
    <w:rsid w:val="00147E99"/>
    <w:rsid w:val="00150056"/>
    <w:rsid w:val="0015007A"/>
    <w:rsid w:val="001501AF"/>
    <w:rsid w:val="0015095B"/>
    <w:rsid w:val="00150A4F"/>
    <w:rsid w:val="00150F85"/>
    <w:rsid w:val="00151028"/>
    <w:rsid w:val="0015144C"/>
    <w:rsid w:val="00151521"/>
    <w:rsid w:val="00151572"/>
    <w:rsid w:val="00151969"/>
    <w:rsid w:val="00151B26"/>
    <w:rsid w:val="00151F5E"/>
    <w:rsid w:val="00151F7E"/>
    <w:rsid w:val="001520FA"/>
    <w:rsid w:val="0015220F"/>
    <w:rsid w:val="00152B3C"/>
    <w:rsid w:val="00152D6E"/>
    <w:rsid w:val="00152E1C"/>
    <w:rsid w:val="00153005"/>
    <w:rsid w:val="001538A6"/>
    <w:rsid w:val="00153952"/>
    <w:rsid w:val="00153AD9"/>
    <w:rsid w:val="00153C3E"/>
    <w:rsid w:val="00153F3C"/>
    <w:rsid w:val="001540D4"/>
    <w:rsid w:val="00154153"/>
    <w:rsid w:val="00154223"/>
    <w:rsid w:val="00154492"/>
    <w:rsid w:val="001545E0"/>
    <w:rsid w:val="00154908"/>
    <w:rsid w:val="00154E3C"/>
    <w:rsid w:val="00155050"/>
    <w:rsid w:val="00155265"/>
    <w:rsid w:val="001559B7"/>
    <w:rsid w:val="00155DAE"/>
    <w:rsid w:val="0015615D"/>
    <w:rsid w:val="001561D4"/>
    <w:rsid w:val="00156301"/>
    <w:rsid w:val="001565BD"/>
    <w:rsid w:val="00156775"/>
    <w:rsid w:val="00156BB9"/>
    <w:rsid w:val="00157383"/>
    <w:rsid w:val="0015754F"/>
    <w:rsid w:val="00157717"/>
    <w:rsid w:val="001577FE"/>
    <w:rsid w:val="00157826"/>
    <w:rsid w:val="001579E7"/>
    <w:rsid w:val="00157B10"/>
    <w:rsid w:val="00160197"/>
    <w:rsid w:val="00160355"/>
    <w:rsid w:val="0016053D"/>
    <w:rsid w:val="00160A74"/>
    <w:rsid w:val="00160B1A"/>
    <w:rsid w:val="00160EB3"/>
    <w:rsid w:val="001616F0"/>
    <w:rsid w:val="00161826"/>
    <w:rsid w:val="00161B04"/>
    <w:rsid w:val="00161DD3"/>
    <w:rsid w:val="00162094"/>
    <w:rsid w:val="001623A4"/>
    <w:rsid w:val="001625B7"/>
    <w:rsid w:val="0016261F"/>
    <w:rsid w:val="001630F8"/>
    <w:rsid w:val="0016323F"/>
    <w:rsid w:val="00163676"/>
    <w:rsid w:val="001636EE"/>
    <w:rsid w:val="001637E5"/>
    <w:rsid w:val="001638B6"/>
    <w:rsid w:val="00163961"/>
    <w:rsid w:val="00163A47"/>
    <w:rsid w:val="00163BF8"/>
    <w:rsid w:val="00163F92"/>
    <w:rsid w:val="001642FB"/>
    <w:rsid w:val="00164681"/>
    <w:rsid w:val="00164721"/>
    <w:rsid w:val="00164785"/>
    <w:rsid w:val="00164CE6"/>
    <w:rsid w:val="00164DD5"/>
    <w:rsid w:val="001650A6"/>
    <w:rsid w:val="00165345"/>
    <w:rsid w:val="00165465"/>
    <w:rsid w:val="00165769"/>
    <w:rsid w:val="00165A0B"/>
    <w:rsid w:val="00165C19"/>
    <w:rsid w:val="00165D60"/>
    <w:rsid w:val="001661B4"/>
    <w:rsid w:val="001661D6"/>
    <w:rsid w:val="00166332"/>
    <w:rsid w:val="001663A4"/>
    <w:rsid w:val="001663DB"/>
    <w:rsid w:val="001664C3"/>
    <w:rsid w:val="001666E5"/>
    <w:rsid w:val="0016679D"/>
    <w:rsid w:val="00166919"/>
    <w:rsid w:val="00166C29"/>
    <w:rsid w:val="00166E70"/>
    <w:rsid w:val="001671CF"/>
    <w:rsid w:val="001674CC"/>
    <w:rsid w:val="00167650"/>
    <w:rsid w:val="001676ED"/>
    <w:rsid w:val="001700A5"/>
    <w:rsid w:val="001700B5"/>
    <w:rsid w:val="001702E0"/>
    <w:rsid w:val="001705FC"/>
    <w:rsid w:val="0017076B"/>
    <w:rsid w:val="00170888"/>
    <w:rsid w:val="00170AFC"/>
    <w:rsid w:val="00170BD3"/>
    <w:rsid w:val="00171149"/>
    <w:rsid w:val="00171357"/>
    <w:rsid w:val="001716AB"/>
    <w:rsid w:val="00171872"/>
    <w:rsid w:val="001718D9"/>
    <w:rsid w:val="001719EA"/>
    <w:rsid w:val="0017264A"/>
    <w:rsid w:val="00172D10"/>
    <w:rsid w:val="00172D59"/>
    <w:rsid w:val="00172ED9"/>
    <w:rsid w:val="00172F37"/>
    <w:rsid w:val="00172F62"/>
    <w:rsid w:val="00173099"/>
    <w:rsid w:val="001730C2"/>
    <w:rsid w:val="001730D9"/>
    <w:rsid w:val="001738A9"/>
    <w:rsid w:val="00173BC9"/>
    <w:rsid w:val="00173BFF"/>
    <w:rsid w:val="00173E07"/>
    <w:rsid w:val="00174654"/>
    <w:rsid w:val="001747EB"/>
    <w:rsid w:val="00174CD1"/>
    <w:rsid w:val="001750CD"/>
    <w:rsid w:val="001752C8"/>
    <w:rsid w:val="001754EE"/>
    <w:rsid w:val="00175520"/>
    <w:rsid w:val="001755D6"/>
    <w:rsid w:val="001755FC"/>
    <w:rsid w:val="00175895"/>
    <w:rsid w:val="00175935"/>
    <w:rsid w:val="00175A18"/>
    <w:rsid w:val="00175C34"/>
    <w:rsid w:val="0017633D"/>
    <w:rsid w:val="001763B3"/>
    <w:rsid w:val="0017648C"/>
    <w:rsid w:val="001764A5"/>
    <w:rsid w:val="00176697"/>
    <w:rsid w:val="001766DB"/>
    <w:rsid w:val="00176734"/>
    <w:rsid w:val="00176748"/>
    <w:rsid w:val="00176AFC"/>
    <w:rsid w:val="00176E31"/>
    <w:rsid w:val="001772C8"/>
    <w:rsid w:val="00177404"/>
    <w:rsid w:val="001774B6"/>
    <w:rsid w:val="001774D3"/>
    <w:rsid w:val="00177510"/>
    <w:rsid w:val="001777B7"/>
    <w:rsid w:val="001777D3"/>
    <w:rsid w:val="00177816"/>
    <w:rsid w:val="00177996"/>
    <w:rsid w:val="00177AE0"/>
    <w:rsid w:val="00177AFD"/>
    <w:rsid w:val="00177B86"/>
    <w:rsid w:val="00177CE2"/>
    <w:rsid w:val="00177CF4"/>
    <w:rsid w:val="00177F1E"/>
    <w:rsid w:val="00180116"/>
    <w:rsid w:val="001807A9"/>
    <w:rsid w:val="00180812"/>
    <w:rsid w:val="0018082C"/>
    <w:rsid w:val="00180C02"/>
    <w:rsid w:val="00180C73"/>
    <w:rsid w:val="00180CA5"/>
    <w:rsid w:val="00180DB8"/>
    <w:rsid w:val="00180DD5"/>
    <w:rsid w:val="001810AC"/>
    <w:rsid w:val="00181350"/>
    <w:rsid w:val="0018161C"/>
    <w:rsid w:val="0018176E"/>
    <w:rsid w:val="001818CE"/>
    <w:rsid w:val="00181DFD"/>
    <w:rsid w:val="001821DE"/>
    <w:rsid w:val="00182429"/>
    <w:rsid w:val="001824D3"/>
    <w:rsid w:val="001824FF"/>
    <w:rsid w:val="00182C2F"/>
    <w:rsid w:val="00182D7D"/>
    <w:rsid w:val="00182F24"/>
    <w:rsid w:val="001831CD"/>
    <w:rsid w:val="001832C4"/>
    <w:rsid w:val="00183592"/>
    <w:rsid w:val="0018363F"/>
    <w:rsid w:val="00183764"/>
    <w:rsid w:val="001839A0"/>
    <w:rsid w:val="00183A22"/>
    <w:rsid w:val="00183EF3"/>
    <w:rsid w:val="001843EF"/>
    <w:rsid w:val="001844BB"/>
    <w:rsid w:val="001844C3"/>
    <w:rsid w:val="00184870"/>
    <w:rsid w:val="00184950"/>
    <w:rsid w:val="00184FD0"/>
    <w:rsid w:val="00185069"/>
    <w:rsid w:val="001852B6"/>
    <w:rsid w:val="00185546"/>
    <w:rsid w:val="00185816"/>
    <w:rsid w:val="00185CCB"/>
    <w:rsid w:val="00185D07"/>
    <w:rsid w:val="001864D1"/>
    <w:rsid w:val="00186B84"/>
    <w:rsid w:val="00186CA2"/>
    <w:rsid w:val="00186CD2"/>
    <w:rsid w:val="0018707E"/>
    <w:rsid w:val="001870AB"/>
    <w:rsid w:val="00187102"/>
    <w:rsid w:val="00187221"/>
    <w:rsid w:val="001872B2"/>
    <w:rsid w:val="00187488"/>
    <w:rsid w:val="001876ED"/>
    <w:rsid w:val="00187749"/>
    <w:rsid w:val="00187849"/>
    <w:rsid w:val="0018789B"/>
    <w:rsid w:val="0018792D"/>
    <w:rsid w:val="00187997"/>
    <w:rsid w:val="00187B9B"/>
    <w:rsid w:val="00187E15"/>
    <w:rsid w:val="00187E5B"/>
    <w:rsid w:val="00187E74"/>
    <w:rsid w:val="00187F9D"/>
    <w:rsid w:val="00187FBE"/>
    <w:rsid w:val="00190163"/>
    <w:rsid w:val="001908F8"/>
    <w:rsid w:val="00190A1E"/>
    <w:rsid w:val="001912E2"/>
    <w:rsid w:val="00191A2A"/>
    <w:rsid w:val="00191BF5"/>
    <w:rsid w:val="00191C56"/>
    <w:rsid w:val="00191DD2"/>
    <w:rsid w:val="00191E0F"/>
    <w:rsid w:val="00191EC5"/>
    <w:rsid w:val="001920C5"/>
    <w:rsid w:val="001922AC"/>
    <w:rsid w:val="001922FE"/>
    <w:rsid w:val="0019262E"/>
    <w:rsid w:val="00192DC8"/>
    <w:rsid w:val="00192E36"/>
    <w:rsid w:val="00192ED2"/>
    <w:rsid w:val="001930FC"/>
    <w:rsid w:val="001932A6"/>
    <w:rsid w:val="0019344A"/>
    <w:rsid w:val="00193567"/>
    <w:rsid w:val="001939BF"/>
    <w:rsid w:val="00193D1E"/>
    <w:rsid w:val="00193E17"/>
    <w:rsid w:val="00193FA0"/>
    <w:rsid w:val="0019484D"/>
    <w:rsid w:val="00194A0F"/>
    <w:rsid w:val="00194B51"/>
    <w:rsid w:val="00194C96"/>
    <w:rsid w:val="00195512"/>
    <w:rsid w:val="00196088"/>
    <w:rsid w:val="001962D1"/>
    <w:rsid w:val="00196902"/>
    <w:rsid w:val="00196BE4"/>
    <w:rsid w:val="00196CC1"/>
    <w:rsid w:val="001970C6"/>
    <w:rsid w:val="00197294"/>
    <w:rsid w:val="00197522"/>
    <w:rsid w:val="001976A1"/>
    <w:rsid w:val="0019786E"/>
    <w:rsid w:val="00197A47"/>
    <w:rsid w:val="001A01B9"/>
    <w:rsid w:val="001A02EB"/>
    <w:rsid w:val="001A0303"/>
    <w:rsid w:val="001A03B3"/>
    <w:rsid w:val="001A090B"/>
    <w:rsid w:val="001A0C22"/>
    <w:rsid w:val="001A0CB3"/>
    <w:rsid w:val="001A0D6D"/>
    <w:rsid w:val="001A102F"/>
    <w:rsid w:val="001A14A4"/>
    <w:rsid w:val="001A1572"/>
    <w:rsid w:val="001A183D"/>
    <w:rsid w:val="001A1CA7"/>
    <w:rsid w:val="001A1DC1"/>
    <w:rsid w:val="001A2019"/>
    <w:rsid w:val="001A2024"/>
    <w:rsid w:val="001A2787"/>
    <w:rsid w:val="001A2A80"/>
    <w:rsid w:val="001A2C40"/>
    <w:rsid w:val="001A2D05"/>
    <w:rsid w:val="001A2EA0"/>
    <w:rsid w:val="001A3205"/>
    <w:rsid w:val="001A332F"/>
    <w:rsid w:val="001A3653"/>
    <w:rsid w:val="001A3A1C"/>
    <w:rsid w:val="001A3A62"/>
    <w:rsid w:val="001A3C4B"/>
    <w:rsid w:val="001A3E66"/>
    <w:rsid w:val="001A4016"/>
    <w:rsid w:val="001A40E0"/>
    <w:rsid w:val="001A4259"/>
    <w:rsid w:val="001A446E"/>
    <w:rsid w:val="001A45AB"/>
    <w:rsid w:val="001A4C2D"/>
    <w:rsid w:val="001A4CFE"/>
    <w:rsid w:val="001A4D24"/>
    <w:rsid w:val="001A4FE4"/>
    <w:rsid w:val="001A5720"/>
    <w:rsid w:val="001A58FB"/>
    <w:rsid w:val="001A59BE"/>
    <w:rsid w:val="001A5EB0"/>
    <w:rsid w:val="001A5EFC"/>
    <w:rsid w:val="001A5FC1"/>
    <w:rsid w:val="001A602A"/>
    <w:rsid w:val="001A61A3"/>
    <w:rsid w:val="001A63A1"/>
    <w:rsid w:val="001A63A2"/>
    <w:rsid w:val="001A65C7"/>
    <w:rsid w:val="001A6768"/>
    <w:rsid w:val="001A6852"/>
    <w:rsid w:val="001A68DD"/>
    <w:rsid w:val="001A695B"/>
    <w:rsid w:val="001A6B5F"/>
    <w:rsid w:val="001A6BBB"/>
    <w:rsid w:val="001A6ED0"/>
    <w:rsid w:val="001A6F52"/>
    <w:rsid w:val="001A7123"/>
    <w:rsid w:val="001A7453"/>
    <w:rsid w:val="001A7460"/>
    <w:rsid w:val="001A7968"/>
    <w:rsid w:val="001A79CF"/>
    <w:rsid w:val="001A7A26"/>
    <w:rsid w:val="001A7F9C"/>
    <w:rsid w:val="001B001A"/>
    <w:rsid w:val="001B0178"/>
    <w:rsid w:val="001B03A0"/>
    <w:rsid w:val="001B0427"/>
    <w:rsid w:val="001B061B"/>
    <w:rsid w:val="001B079F"/>
    <w:rsid w:val="001B07D6"/>
    <w:rsid w:val="001B0814"/>
    <w:rsid w:val="001B0918"/>
    <w:rsid w:val="001B0ADD"/>
    <w:rsid w:val="001B0FAC"/>
    <w:rsid w:val="001B100D"/>
    <w:rsid w:val="001B1034"/>
    <w:rsid w:val="001B1499"/>
    <w:rsid w:val="001B15A6"/>
    <w:rsid w:val="001B17DA"/>
    <w:rsid w:val="001B1A64"/>
    <w:rsid w:val="001B1B45"/>
    <w:rsid w:val="001B1BC5"/>
    <w:rsid w:val="001B1C3B"/>
    <w:rsid w:val="001B1C41"/>
    <w:rsid w:val="001B1CD7"/>
    <w:rsid w:val="001B296B"/>
    <w:rsid w:val="001B2A14"/>
    <w:rsid w:val="001B31D0"/>
    <w:rsid w:val="001B31FB"/>
    <w:rsid w:val="001B35F9"/>
    <w:rsid w:val="001B3705"/>
    <w:rsid w:val="001B3734"/>
    <w:rsid w:val="001B3A7C"/>
    <w:rsid w:val="001B3EB5"/>
    <w:rsid w:val="001B400F"/>
    <w:rsid w:val="001B4075"/>
    <w:rsid w:val="001B42A3"/>
    <w:rsid w:val="001B43E8"/>
    <w:rsid w:val="001B4508"/>
    <w:rsid w:val="001B459A"/>
    <w:rsid w:val="001B4D25"/>
    <w:rsid w:val="001B4D98"/>
    <w:rsid w:val="001B5070"/>
    <w:rsid w:val="001B51CB"/>
    <w:rsid w:val="001B533B"/>
    <w:rsid w:val="001B54BE"/>
    <w:rsid w:val="001B572C"/>
    <w:rsid w:val="001B57D4"/>
    <w:rsid w:val="001B627A"/>
    <w:rsid w:val="001B6448"/>
    <w:rsid w:val="001B6B7E"/>
    <w:rsid w:val="001B6BAD"/>
    <w:rsid w:val="001B6F81"/>
    <w:rsid w:val="001B70A1"/>
    <w:rsid w:val="001B76B5"/>
    <w:rsid w:val="001B7802"/>
    <w:rsid w:val="001B7D87"/>
    <w:rsid w:val="001B7E7B"/>
    <w:rsid w:val="001C0463"/>
    <w:rsid w:val="001C04FE"/>
    <w:rsid w:val="001C0985"/>
    <w:rsid w:val="001C10DE"/>
    <w:rsid w:val="001C11EB"/>
    <w:rsid w:val="001C13D8"/>
    <w:rsid w:val="001C15ED"/>
    <w:rsid w:val="001C17B1"/>
    <w:rsid w:val="001C18FB"/>
    <w:rsid w:val="001C19DF"/>
    <w:rsid w:val="001C1B45"/>
    <w:rsid w:val="001C1FB2"/>
    <w:rsid w:val="001C1FCF"/>
    <w:rsid w:val="001C2232"/>
    <w:rsid w:val="001C25DA"/>
    <w:rsid w:val="001C2668"/>
    <w:rsid w:val="001C2D6D"/>
    <w:rsid w:val="001C2EEF"/>
    <w:rsid w:val="001C31B9"/>
    <w:rsid w:val="001C3321"/>
    <w:rsid w:val="001C394A"/>
    <w:rsid w:val="001C3D04"/>
    <w:rsid w:val="001C3EC5"/>
    <w:rsid w:val="001C4737"/>
    <w:rsid w:val="001C4833"/>
    <w:rsid w:val="001C48DA"/>
    <w:rsid w:val="001C4A99"/>
    <w:rsid w:val="001C580F"/>
    <w:rsid w:val="001C58C0"/>
    <w:rsid w:val="001C5C8A"/>
    <w:rsid w:val="001C5ED6"/>
    <w:rsid w:val="001C6197"/>
    <w:rsid w:val="001C680C"/>
    <w:rsid w:val="001C68EB"/>
    <w:rsid w:val="001C6B35"/>
    <w:rsid w:val="001C6E36"/>
    <w:rsid w:val="001C6ECF"/>
    <w:rsid w:val="001C7433"/>
    <w:rsid w:val="001C77DB"/>
    <w:rsid w:val="001C7BBA"/>
    <w:rsid w:val="001C7C96"/>
    <w:rsid w:val="001C7CF5"/>
    <w:rsid w:val="001C7D9C"/>
    <w:rsid w:val="001D00BA"/>
    <w:rsid w:val="001D0217"/>
    <w:rsid w:val="001D03B9"/>
    <w:rsid w:val="001D091B"/>
    <w:rsid w:val="001D0AC4"/>
    <w:rsid w:val="001D0D78"/>
    <w:rsid w:val="001D0FE7"/>
    <w:rsid w:val="001D112C"/>
    <w:rsid w:val="001D11F0"/>
    <w:rsid w:val="001D27B6"/>
    <w:rsid w:val="001D2BA0"/>
    <w:rsid w:val="001D35D5"/>
    <w:rsid w:val="001D3722"/>
    <w:rsid w:val="001D3813"/>
    <w:rsid w:val="001D39D7"/>
    <w:rsid w:val="001D3DAC"/>
    <w:rsid w:val="001D4080"/>
    <w:rsid w:val="001D4188"/>
    <w:rsid w:val="001D41D1"/>
    <w:rsid w:val="001D41E2"/>
    <w:rsid w:val="001D437D"/>
    <w:rsid w:val="001D45BA"/>
    <w:rsid w:val="001D4679"/>
    <w:rsid w:val="001D48E3"/>
    <w:rsid w:val="001D4B50"/>
    <w:rsid w:val="001D4D89"/>
    <w:rsid w:val="001D4F82"/>
    <w:rsid w:val="001D5301"/>
    <w:rsid w:val="001D5466"/>
    <w:rsid w:val="001D585C"/>
    <w:rsid w:val="001D5903"/>
    <w:rsid w:val="001D595B"/>
    <w:rsid w:val="001D59BC"/>
    <w:rsid w:val="001D5B41"/>
    <w:rsid w:val="001D5C65"/>
    <w:rsid w:val="001D5D1B"/>
    <w:rsid w:val="001D670F"/>
    <w:rsid w:val="001D68FE"/>
    <w:rsid w:val="001D6923"/>
    <w:rsid w:val="001D6C21"/>
    <w:rsid w:val="001D6DC1"/>
    <w:rsid w:val="001D72EF"/>
    <w:rsid w:val="001D7541"/>
    <w:rsid w:val="001D7715"/>
    <w:rsid w:val="001E0259"/>
    <w:rsid w:val="001E035B"/>
    <w:rsid w:val="001E03CE"/>
    <w:rsid w:val="001E0A98"/>
    <w:rsid w:val="001E0B9A"/>
    <w:rsid w:val="001E0C41"/>
    <w:rsid w:val="001E0CEF"/>
    <w:rsid w:val="001E0F6D"/>
    <w:rsid w:val="001E15FE"/>
    <w:rsid w:val="001E161D"/>
    <w:rsid w:val="001E17B2"/>
    <w:rsid w:val="001E1BB8"/>
    <w:rsid w:val="001E2351"/>
    <w:rsid w:val="001E2525"/>
    <w:rsid w:val="001E2729"/>
    <w:rsid w:val="001E2862"/>
    <w:rsid w:val="001E295A"/>
    <w:rsid w:val="001E2A37"/>
    <w:rsid w:val="001E2C18"/>
    <w:rsid w:val="001E3584"/>
    <w:rsid w:val="001E3A51"/>
    <w:rsid w:val="001E3B09"/>
    <w:rsid w:val="001E3B15"/>
    <w:rsid w:val="001E3C0D"/>
    <w:rsid w:val="001E436A"/>
    <w:rsid w:val="001E44C6"/>
    <w:rsid w:val="001E45D5"/>
    <w:rsid w:val="001E462A"/>
    <w:rsid w:val="001E4C0D"/>
    <w:rsid w:val="001E506B"/>
    <w:rsid w:val="001E509F"/>
    <w:rsid w:val="001E519F"/>
    <w:rsid w:val="001E5308"/>
    <w:rsid w:val="001E5462"/>
    <w:rsid w:val="001E5475"/>
    <w:rsid w:val="001E549E"/>
    <w:rsid w:val="001E58C1"/>
    <w:rsid w:val="001E5CE5"/>
    <w:rsid w:val="001E5D29"/>
    <w:rsid w:val="001E5E9C"/>
    <w:rsid w:val="001E60BD"/>
    <w:rsid w:val="001E6125"/>
    <w:rsid w:val="001E63C7"/>
    <w:rsid w:val="001E6428"/>
    <w:rsid w:val="001E65C4"/>
    <w:rsid w:val="001E684B"/>
    <w:rsid w:val="001E69E0"/>
    <w:rsid w:val="001E74CA"/>
    <w:rsid w:val="001E7518"/>
    <w:rsid w:val="001E758F"/>
    <w:rsid w:val="001E765C"/>
    <w:rsid w:val="001E7741"/>
    <w:rsid w:val="001E77A4"/>
    <w:rsid w:val="001E77D1"/>
    <w:rsid w:val="001E787B"/>
    <w:rsid w:val="001E79DD"/>
    <w:rsid w:val="001E79E2"/>
    <w:rsid w:val="001E7C26"/>
    <w:rsid w:val="001F0008"/>
    <w:rsid w:val="001F00BC"/>
    <w:rsid w:val="001F04D8"/>
    <w:rsid w:val="001F08E5"/>
    <w:rsid w:val="001F09AF"/>
    <w:rsid w:val="001F0A12"/>
    <w:rsid w:val="001F0C8D"/>
    <w:rsid w:val="001F1458"/>
    <w:rsid w:val="001F1A7E"/>
    <w:rsid w:val="001F1ACF"/>
    <w:rsid w:val="001F1F32"/>
    <w:rsid w:val="001F201C"/>
    <w:rsid w:val="001F219E"/>
    <w:rsid w:val="001F2403"/>
    <w:rsid w:val="001F25EF"/>
    <w:rsid w:val="001F28BF"/>
    <w:rsid w:val="001F28DC"/>
    <w:rsid w:val="001F34E1"/>
    <w:rsid w:val="001F37CE"/>
    <w:rsid w:val="001F3B91"/>
    <w:rsid w:val="001F3D7C"/>
    <w:rsid w:val="001F4229"/>
    <w:rsid w:val="001F4355"/>
    <w:rsid w:val="001F452E"/>
    <w:rsid w:val="001F475C"/>
    <w:rsid w:val="001F4A26"/>
    <w:rsid w:val="001F4BD7"/>
    <w:rsid w:val="001F4C53"/>
    <w:rsid w:val="001F4D28"/>
    <w:rsid w:val="001F4E1E"/>
    <w:rsid w:val="001F4F9A"/>
    <w:rsid w:val="001F51CB"/>
    <w:rsid w:val="001F5646"/>
    <w:rsid w:val="001F56D3"/>
    <w:rsid w:val="001F57FF"/>
    <w:rsid w:val="001F58F5"/>
    <w:rsid w:val="001F5956"/>
    <w:rsid w:val="001F5A25"/>
    <w:rsid w:val="001F5A4A"/>
    <w:rsid w:val="001F5AE6"/>
    <w:rsid w:val="001F5B4A"/>
    <w:rsid w:val="001F5C00"/>
    <w:rsid w:val="001F5C54"/>
    <w:rsid w:val="001F5D90"/>
    <w:rsid w:val="001F5FF5"/>
    <w:rsid w:val="001F61D7"/>
    <w:rsid w:val="001F6B23"/>
    <w:rsid w:val="001F6BCF"/>
    <w:rsid w:val="001F6D8B"/>
    <w:rsid w:val="001F7077"/>
    <w:rsid w:val="001F72B2"/>
    <w:rsid w:val="001F7666"/>
    <w:rsid w:val="001F7668"/>
    <w:rsid w:val="001F7CC6"/>
    <w:rsid w:val="001F7DD5"/>
    <w:rsid w:val="00200026"/>
    <w:rsid w:val="0020021A"/>
    <w:rsid w:val="00200333"/>
    <w:rsid w:val="002003F9"/>
    <w:rsid w:val="0020057E"/>
    <w:rsid w:val="00200D57"/>
    <w:rsid w:val="00200EC8"/>
    <w:rsid w:val="0020101D"/>
    <w:rsid w:val="00201DC2"/>
    <w:rsid w:val="002022F5"/>
    <w:rsid w:val="0020232A"/>
    <w:rsid w:val="002026BF"/>
    <w:rsid w:val="00202A30"/>
    <w:rsid w:val="00202A5F"/>
    <w:rsid w:val="00202DA7"/>
    <w:rsid w:val="00202F74"/>
    <w:rsid w:val="0020318B"/>
    <w:rsid w:val="002031AB"/>
    <w:rsid w:val="00203310"/>
    <w:rsid w:val="0020347A"/>
    <w:rsid w:val="00203B39"/>
    <w:rsid w:val="00203B3C"/>
    <w:rsid w:val="00203D52"/>
    <w:rsid w:val="00203E7E"/>
    <w:rsid w:val="002040C7"/>
    <w:rsid w:val="002044AA"/>
    <w:rsid w:val="00204709"/>
    <w:rsid w:val="00204843"/>
    <w:rsid w:val="00204B36"/>
    <w:rsid w:val="00204BAA"/>
    <w:rsid w:val="00204CEC"/>
    <w:rsid w:val="00205236"/>
    <w:rsid w:val="0020559E"/>
    <w:rsid w:val="00205B3A"/>
    <w:rsid w:val="0020610A"/>
    <w:rsid w:val="002064C9"/>
    <w:rsid w:val="00206676"/>
    <w:rsid w:val="0020687E"/>
    <w:rsid w:val="00206A85"/>
    <w:rsid w:val="00206CA4"/>
    <w:rsid w:val="002070EA"/>
    <w:rsid w:val="00207700"/>
    <w:rsid w:val="00207853"/>
    <w:rsid w:val="002079D9"/>
    <w:rsid w:val="00210269"/>
    <w:rsid w:val="002105BF"/>
    <w:rsid w:val="00210C8D"/>
    <w:rsid w:val="00210F5F"/>
    <w:rsid w:val="00210FDF"/>
    <w:rsid w:val="00210FF4"/>
    <w:rsid w:val="002111C6"/>
    <w:rsid w:val="00211279"/>
    <w:rsid w:val="002118CB"/>
    <w:rsid w:val="0021193D"/>
    <w:rsid w:val="0021199C"/>
    <w:rsid w:val="00211B2F"/>
    <w:rsid w:val="00211B32"/>
    <w:rsid w:val="00211D11"/>
    <w:rsid w:val="00211D71"/>
    <w:rsid w:val="00211FFF"/>
    <w:rsid w:val="00212222"/>
    <w:rsid w:val="00212706"/>
    <w:rsid w:val="002128AE"/>
    <w:rsid w:val="00212B11"/>
    <w:rsid w:val="00212FD8"/>
    <w:rsid w:val="0021304A"/>
    <w:rsid w:val="002130AE"/>
    <w:rsid w:val="002134DA"/>
    <w:rsid w:val="0021353E"/>
    <w:rsid w:val="002135B7"/>
    <w:rsid w:val="0021365E"/>
    <w:rsid w:val="002136AD"/>
    <w:rsid w:val="0021393D"/>
    <w:rsid w:val="00213A2B"/>
    <w:rsid w:val="00213AA0"/>
    <w:rsid w:val="00213D55"/>
    <w:rsid w:val="00213F32"/>
    <w:rsid w:val="002141CA"/>
    <w:rsid w:val="002142D3"/>
    <w:rsid w:val="0021443E"/>
    <w:rsid w:val="002144DE"/>
    <w:rsid w:val="002146CF"/>
    <w:rsid w:val="002147CD"/>
    <w:rsid w:val="002147D6"/>
    <w:rsid w:val="00214A3D"/>
    <w:rsid w:val="00214E34"/>
    <w:rsid w:val="00215065"/>
    <w:rsid w:val="002150B5"/>
    <w:rsid w:val="00215329"/>
    <w:rsid w:val="0021540F"/>
    <w:rsid w:val="00215619"/>
    <w:rsid w:val="00215821"/>
    <w:rsid w:val="00215A04"/>
    <w:rsid w:val="00215C09"/>
    <w:rsid w:val="00215CD9"/>
    <w:rsid w:val="00215D24"/>
    <w:rsid w:val="00215DA9"/>
    <w:rsid w:val="0021653C"/>
    <w:rsid w:val="00216DD8"/>
    <w:rsid w:val="0021709E"/>
    <w:rsid w:val="002171ED"/>
    <w:rsid w:val="0021726E"/>
    <w:rsid w:val="002172CA"/>
    <w:rsid w:val="002178CA"/>
    <w:rsid w:val="00217919"/>
    <w:rsid w:val="002179F6"/>
    <w:rsid w:val="00217D07"/>
    <w:rsid w:val="00217E30"/>
    <w:rsid w:val="00217E33"/>
    <w:rsid w:val="00217E48"/>
    <w:rsid w:val="00220EC6"/>
    <w:rsid w:val="002210AF"/>
    <w:rsid w:val="002212B8"/>
    <w:rsid w:val="002216B1"/>
    <w:rsid w:val="00221B95"/>
    <w:rsid w:val="00221CDB"/>
    <w:rsid w:val="00221CDE"/>
    <w:rsid w:val="00221D83"/>
    <w:rsid w:val="00221FFB"/>
    <w:rsid w:val="0022203A"/>
    <w:rsid w:val="00222570"/>
    <w:rsid w:val="00222764"/>
    <w:rsid w:val="00222E0F"/>
    <w:rsid w:val="0022357E"/>
    <w:rsid w:val="00223715"/>
    <w:rsid w:val="002238D6"/>
    <w:rsid w:val="00223C56"/>
    <w:rsid w:val="00223E4D"/>
    <w:rsid w:val="00224042"/>
    <w:rsid w:val="00224502"/>
    <w:rsid w:val="0022467C"/>
    <w:rsid w:val="0022491A"/>
    <w:rsid w:val="00224A14"/>
    <w:rsid w:val="00224A5D"/>
    <w:rsid w:val="00224D7F"/>
    <w:rsid w:val="00224E28"/>
    <w:rsid w:val="00224FBC"/>
    <w:rsid w:val="00225067"/>
    <w:rsid w:val="0022509F"/>
    <w:rsid w:val="002250A7"/>
    <w:rsid w:val="002250AE"/>
    <w:rsid w:val="002252C1"/>
    <w:rsid w:val="002256F7"/>
    <w:rsid w:val="002258B4"/>
    <w:rsid w:val="00225AAA"/>
    <w:rsid w:val="00225AEA"/>
    <w:rsid w:val="00225C2F"/>
    <w:rsid w:val="0022613D"/>
    <w:rsid w:val="002263AF"/>
    <w:rsid w:val="0022658F"/>
    <w:rsid w:val="00226668"/>
    <w:rsid w:val="002267B2"/>
    <w:rsid w:val="002268EA"/>
    <w:rsid w:val="00226C21"/>
    <w:rsid w:val="00227056"/>
    <w:rsid w:val="00227511"/>
    <w:rsid w:val="002276B7"/>
    <w:rsid w:val="00227749"/>
    <w:rsid w:val="00227750"/>
    <w:rsid w:val="00227794"/>
    <w:rsid w:val="00227EC2"/>
    <w:rsid w:val="00230277"/>
    <w:rsid w:val="0023029C"/>
    <w:rsid w:val="002302FC"/>
    <w:rsid w:val="002303C6"/>
    <w:rsid w:val="00230D30"/>
    <w:rsid w:val="00230DC9"/>
    <w:rsid w:val="00230F07"/>
    <w:rsid w:val="0023153C"/>
    <w:rsid w:val="0023194F"/>
    <w:rsid w:val="002319B1"/>
    <w:rsid w:val="00231DFE"/>
    <w:rsid w:val="00232166"/>
    <w:rsid w:val="00232359"/>
    <w:rsid w:val="00232BAA"/>
    <w:rsid w:val="00232DF2"/>
    <w:rsid w:val="00232E14"/>
    <w:rsid w:val="00232E5E"/>
    <w:rsid w:val="0023356F"/>
    <w:rsid w:val="00233656"/>
    <w:rsid w:val="00233749"/>
    <w:rsid w:val="002338E8"/>
    <w:rsid w:val="00233B5C"/>
    <w:rsid w:val="00233E26"/>
    <w:rsid w:val="00233E5C"/>
    <w:rsid w:val="00233ED8"/>
    <w:rsid w:val="00233FD6"/>
    <w:rsid w:val="002346D9"/>
    <w:rsid w:val="00234E56"/>
    <w:rsid w:val="00234EB2"/>
    <w:rsid w:val="0023552E"/>
    <w:rsid w:val="00235968"/>
    <w:rsid w:val="00235B35"/>
    <w:rsid w:val="00235BFB"/>
    <w:rsid w:val="00235D31"/>
    <w:rsid w:val="00236008"/>
    <w:rsid w:val="00236124"/>
    <w:rsid w:val="00236259"/>
    <w:rsid w:val="00236570"/>
    <w:rsid w:val="00236722"/>
    <w:rsid w:val="002367F0"/>
    <w:rsid w:val="00237015"/>
    <w:rsid w:val="00237507"/>
    <w:rsid w:val="0023752E"/>
    <w:rsid w:val="0023757C"/>
    <w:rsid w:val="00237677"/>
    <w:rsid w:val="00237701"/>
    <w:rsid w:val="00237C25"/>
    <w:rsid w:val="00237C85"/>
    <w:rsid w:val="00237D02"/>
    <w:rsid w:val="00237EEE"/>
    <w:rsid w:val="0024032B"/>
    <w:rsid w:val="002406E1"/>
    <w:rsid w:val="00240932"/>
    <w:rsid w:val="00240A59"/>
    <w:rsid w:val="00240D88"/>
    <w:rsid w:val="0024116F"/>
    <w:rsid w:val="00241806"/>
    <w:rsid w:val="002419E1"/>
    <w:rsid w:val="00241AD7"/>
    <w:rsid w:val="00241BC3"/>
    <w:rsid w:val="002422D1"/>
    <w:rsid w:val="00242379"/>
    <w:rsid w:val="002425C0"/>
    <w:rsid w:val="00242766"/>
    <w:rsid w:val="00242878"/>
    <w:rsid w:val="00242CCC"/>
    <w:rsid w:val="00242EB7"/>
    <w:rsid w:val="00243051"/>
    <w:rsid w:val="002432D1"/>
    <w:rsid w:val="00243799"/>
    <w:rsid w:val="002437AD"/>
    <w:rsid w:val="002437F7"/>
    <w:rsid w:val="00243AFA"/>
    <w:rsid w:val="00243D04"/>
    <w:rsid w:val="00243E8B"/>
    <w:rsid w:val="00243F0D"/>
    <w:rsid w:val="0024431C"/>
    <w:rsid w:val="0024456F"/>
    <w:rsid w:val="00244969"/>
    <w:rsid w:val="00244EA6"/>
    <w:rsid w:val="00244EAE"/>
    <w:rsid w:val="00245424"/>
    <w:rsid w:val="0024573A"/>
    <w:rsid w:val="002457C1"/>
    <w:rsid w:val="0024588B"/>
    <w:rsid w:val="00245BF1"/>
    <w:rsid w:val="00245F0C"/>
    <w:rsid w:val="00245F73"/>
    <w:rsid w:val="002465C5"/>
    <w:rsid w:val="002465CE"/>
    <w:rsid w:val="00246682"/>
    <w:rsid w:val="0024668D"/>
    <w:rsid w:val="00246ABF"/>
    <w:rsid w:val="00246D5F"/>
    <w:rsid w:val="00247306"/>
    <w:rsid w:val="002474CC"/>
    <w:rsid w:val="002474F0"/>
    <w:rsid w:val="00247599"/>
    <w:rsid w:val="0024773E"/>
    <w:rsid w:val="0024780E"/>
    <w:rsid w:val="00247A12"/>
    <w:rsid w:val="00247A18"/>
    <w:rsid w:val="00247BEA"/>
    <w:rsid w:val="00247C95"/>
    <w:rsid w:val="0024F3F3"/>
    <w:rsid w:val="00250018"/>
    <w:rsid w:val="0025015C"/>
    <w:rsid w:val="002501C7"/>
    <w:rsid w:val="0025093D"/>
    <w:rsid w:val="002509CE"/>
    <w:rsid w:val="002509FE"/>
    <w:rsid w:val="00250A36"/>
    <w:rsid w:val="00250E62"/>
    <w:rsid w:val="002512AA"/>
    <w:rsid w:val="00251401"/>
    <w:rsid w:val="00251693"/>
    <w:rsid w:val="002516B7"/>
    <w:rsid w:val="002517BC"/>
    <w:rsid w:val="002519D3"/>
    <w:rsid w:val="00251E29"/>
    <w:rsid w:val="00252029"/>
    <w:rsid w:val="00252072"/>
    <w:rsid w:val="00252528"/>
    <w:rsid w:val="00252719"/>
    <w:rsid w:val="00252890"/>
    <w:rsid w:val="00252898"/>
    <w:rsid w:val="00252CC6"/>
    <w:rsid w:val="00252F33"/>
    <w:rsid w:val="00252FE9"/>
    <w:rsid w:val="00253A58"/>
    <w:rsid w:val="00253F47"/>
    <w:rsid w:val="00253F7D"/>
    <w:rsid w:val="00253FB8"/>
    <w:rsid w:val="00254470"/>
    <w:rsid w:val="002544C2"/>
    <w:rsid w:val="0025459C"/>
    <w:rsid w:val="002546A9"/>
    <w:rsid w:val="00254775"/>
    <w:rsid w:val="00255137"/>
    <w:rsid w:val="0025526A"/>
    <w:rsid w:val="00255578"/>
    <w:rsid w:val="002556B3"/>
    <w:rsid w:val="002556E1"/>
    <w:rsid w:val="00255A78"/>
    <w:rsid w:val="00255BF8"/>
    <w:rsid w:val="00255C80"/>
    <w:rsid w:val="0025616F"/>
    <w:rsid w:val="002563EC"/>
    <w:rsid w:val="0025664F"/>
    <w:rsid w:val="0025668E"/>
    <w:rsid w:val="002566AB"/>
    <w:rsid w:val="002568E7"/>
    <w:rsid w:val="00256ADD"/>
    <w:rsid w:val="00256BE4"/>
    <w:rsid w:val="00256D78"/>
    <w:rsid w:val="00256F85"/>
    <w:rsid w:val="002571BB"/>
    <w:rsid w:val="002576C5"/>
    <w:rsid w:val="00257D10"/>
    <w:rsid w:val="00257D45"/>
    <w:rsid w:val="00257D71"/>
    <w:rsid w:val="00257F05"/>
    <w:rsid w:val="00260320"/>
    <w:rsid w:val="00260441"/>
    <w:rsid w:val="0026086F"/>
    <w:rsid w:val="00260B9E"/>
    <w:rsid w:val="00260BDC"/>
    <w:rsid w:val="00260BE4"/>
    <w:rsid w:val="00260DDA"/>
    <w:rsid w:val="00261102"/>
    <w:rsid w:val="00261486"/>
    <w:rsid w:val="00261624"/>
    <w:rsid w:val="0026196C"/>
    <w:rsid w:val="00261A15"/>
    <w:rsid w:val="00261B14"/>
    <w:rsid w:val="00261C78"/>
    <w:rsid w:val="00261D2F"/>
    <w:rsid w:val="00261DD1"/>
    <w:rsid w:val="00261FEE"/>
    <w:rsid w:val="002625B1"/>
    <w:rsid w:val="002625CD"/>
    <w:rsid w:val="0026269C"/>
    <w:rsid w:val="00262AC3"/>
    <w:rsid w:val="00262ACD"/>
    <w:rsid w:val="00262BA1"/>
    <w:rsid w:val="00262DD9"/>
    <w:rsid w:val="002630EB"/>
    <w:rsid w:val="002631AE"/>
    <w:rsid w:val="002633CF"/>
    <w:rsid w:val="00263439"/>
    <w:rsid w:val="002637D2"/>
    <w:rsid w:val="00263CF9"/>
    <w:rsid w:val="00263F17"/>
    <w:rsid w:val="00264018"/>
    <w:rsid w:val="002640CA"/>
    <w:rsid w:val="00264112"/>
    <w:rsid w:val="002643CA"/>
    <w:rsid w:val="00264448"/>
    <w:rsid w:val="0026454F"/>
    <w:rsid w:val="0026456E"/>
    <w:rsid w:val="0026461A"/>
    <w:rsid w:val="0026467F"/>
    <w:rsid w:val="002647AF"/>
    <w:rsid w:val="0026483C"/>
    <w:rsid w:val="002648C0"/>
    <w:rsid w:val="00264913"/>
    <w:rsid w:val="00264EEC"/>
    <w:rsid w:val="00265041"/>
    <w:rsid w:val="002650E2"/>
    <w:rsid w:val="002654AF"/>
    <w:rsid w:val="002656F4"/>
    <w:rsid w:val="002658EF"/>
    <w:rsid w:val="00265BA7"/>
    <w:rsid w:val="00265CD1"/>
    <w:rsid w:val="00266140"/>
    <w:rsid w:val="0026615E"/>
    <w:rsid w:val="002664D5"/>
    <w:rsid w:val="00266567"/>
    <w:rsid w:val="00266588"/>
    <w:rsid w:val="002667CA"/>
    <w:rsid w:val="0026689A"/>
    <w:rsid w:val="002668EB"/>
    <w:rsid w:val="00266B0F"/>
    <w:rsid w:val="002671AB"/>
    <w:rsid w:val="0026730F"/>
    <w:rsid w:val="002673CC"/>
    <w:rsid w:val="0026776A"/>
    <w:rsid w:val="00267B57"/>
    <w:rsid w:val="00267C0D"/>
    <w:rsid w:val="00270014"/>
    <w:rsid w:val="00270017"/>
    <w:rsid w:val="00270719"/>
    <w:rsid w:val="0027096B"/>
    <w:rsid w:val="00270B0A"/>
    <w:rsid w:val="00270E3C"/>
    <w:rsid w:val="00271269"/>
    <w:rsid w:val="002712AD"/>
    <w:rsid w:val="0027150C"/>
    <w:rsid w:val="002717B1"/>
    <w:rsid w:val="00271C81"/>
    <w:rsid w:val="00271E5E"/>
    <w:rsid w:val="00271EC6"/>
    <w:rsid w:val="00271FDE"/>
    <w:rsid w:val="00272266"/>
    <w:rsid w:val="00272751"/>
    <w:rsid w:val="00272A3D"/>
    <w:rsid w:val="00272D3A"/>
    <w:rsid w:val="00272F67"/>
    <w:rsid w:val="0027312B"/>
    <w:rsid w:val="00273231"/>
    <w:rsid w:val="0027352C"/>
    <w:rsid w:val="00273A74"/>
    <w:rsid w:val="00273A98"/>
    <w:rsid w:val="00273C44"/>
    <w:rsid w:val="00273F7F"/>
    <w:rsid w:val="00274104"/>
    <w:rsid w:val="00274C62"/>
    <w:rsid w:val="00274E39"/>
    <w:rsid w:val="00274E49"/>
    <w:rsid w:val="00275026"/>
    <w:rsid w:val="0027504D"/>
    <w:rsid w:val="002750EB"/>
    <w:rsid w:val="0027528D"/>
    <w:rsid w:val="00275370"/>
    <w:rsid w:val="002756D4"/>
    <w:rsid w:val="00275BAA"/>
    <w:rsid w:val="00275E50"/>
    <w:rsid w:val="00276574"/>
    <w:rsid w:val="00276944"/>
    <w:rsid w:val="00276AF9"/>
    <w:rsid w:val="00276CAD"/>
    <w:rsid w:val="0027701F"/>
    <w:rsid w:val="00277198"/>
    <w:rsid w:val="002772F2"/>
    <w:rsid w:val="00277399"/>
    <w:rsid w:val="002777D6"/>
    <w:rsid w:val="0027789B"/>
    <w:rsid w:val="00277C97"/>
    <w:rsid w:val="00277DBC"/>
    <w:rsid w:val="00277F8B"/>
    <w:rsid w:val="00280616"/>
    <w:rsid w:val="002806D9"/>
    <w:rsid w:val="0028080A"/>
    <w:rsid w:val="00280966"/>
    <w:rsid w:val="00281040"/>
    <w:rsid w:val="002811E7"/>
    <w:rsid w:val="002814AE"/>
    <w:rsid w:val="002816AF"/>
    <w:rsid w:val="00281957"/>
    <w:rsid w:val="00281C23"/>
    <w:rsid w:val="00281D74"/>
    <w:rsid w:val="002822DD"/>
    <w:rsid w:val="002829CC"/>
    <w:rsid w:val="00282E90"/>
    <w:rsid w:val="00282F78"/>
    <w:rsid w:val="00282FDF"/>
    <w:rsid w:val="0028302D"/>
    <w:rsid w:val="0028348D"/>
    <w:rsid w:val="00283730"/>
    <w:rsid w:val="00283B0F"/>
    <w:rsid w:val="00283C63"/>
    <w:rsid w:val="00283D7F"/>
    <w:rsid w:val="00283DD8"/>
    <w:rsid w:val="00284207"/>
    <w:rsid w:val="00284491"/>
    <w:rsid w:val="00284886"/>
    <w:rsid w:val="00284928"/>
    <w:rsid w:val="00284D1A"/>
    <w:rsid w:val="00284D97"/>
    <w:rsid w:val="00284DD3"/>
    <w:rsid w:val="0028579B"/>
    <w:rsid w:val="00285CB4"/>
    <w:rsid w:val="00285E08"/>
    <w:rsid w:val="00285E27"/>
    <w:rsid w:val="0028663E"/>
    <w:rsid w:val="0028681D"/>
    <w:rsid w:val="0028691E"/>
    <w:rsid w:val="00286980"/>
    <w:rsid w:val="00286B16"/>
    <w:rsid w:val="00286ECA"/>
    <w:rsid w:val="00286F8D"/>
    <w:rsid w:val="00287042"/>
    <w:rsid w:val="0028727C"/>
    <w:rsid w:val="00287310"/>
    <w:rsid w:val="00287486"/>
    <w:rsid w:val="002875AC"/>
    <w:rsid w:val="00287613"/>
    <w:rsid w:val="002877C0"/>
    <w:rsid w:val="002879FA"/>
    <w:rsid w:val="00287A97"/>
    <w:rsid w:val="00287E0E"/>
    <w:rsid w:val="00290099"/>
    <w:rsid w:val="002902EA"/>
    <w:rsid w:val="00290320"/>
    <w:rsid w:val="0029039B"/>
    <w:rsid w:val="0029098C"/>
    <w:rsid w:val="00290AAD"/>
    <w:rsid w:val="00290B60"/>
    <w:rsid w:val="00290E98"/>
    <w:rsid w:val="002910BF"/>
    <w:rsid w:val="002910E0"/>
    <w:rsid w:val="002914DF"/>
    <w:rsid w:val="002914FC"/>
    <w:rsid w:val="00291DA7"/>
    <w:rsid w:val="002922CA"/>
    <w:rsid w:val="002924ED"/>
    <w:rsid w:val="0029256D"/>
    <w:rsid w:val="00292578"/>
    <w:rsid w:val="00292752"/>
    <w:rsid w:val="0029277C"/>
    <w:rsid w:val="002927D0"/>
    <w:rsid w:val="002928F4"/>
    <w:rsid w:val="002929EE"/>
    <w:rsid w:val="00292AE0"/>
    <w:rsid w:val="00292D8F"/>
    <w:rsid w:val="00292F25"/>
    <w:rsid w:val="00293046"/>
    <w:rsid w:val="00293106"/>
    <w:rsid w:val="00293131"/>
    <w:rsid w:val="00293291"/>
    <w:rsid w:val="00293301"/>
    <w:rsid w:val="00293342"/>
    <w:rsid w:val="00293466"/>
    <w:rsid w:val="00293489"/>
    <w:rsid w:val="002937EF"/>
    <w:rsid w:val="00293B9E"/>
    <w:rsid w:val="002940C3"/>
    <w:rsid w:val="0029415D"/>
    <w:rsid w:val="00294170"/>
    <w:rsid w:val="00294327"/>
    <w:rsid w:val="00294809"/>
    <w:rsid w:val="00294A66"/>
    <w:rsid w:val="00294E7D"/>
    <w:rsid w:val="002952D8"/>
    <w:rsid w:val="00295404"/>
    <w:rsid w:val="00295489"/>
    <w:rsid w:val="002954EC"/>
    <w:rsid w:val="002957C4"/>
    <w:rsid w:val="0029582E"/>
    <w:rsid w:val="00295995"/>
    <w:rsid w:val="00295A12"/>
    <w:rsid w:val="00295A33"/>
    <w:rsid w:val="00295B63"/>
    <w:rsid w:val="00295D26"/>
    <w:rsid w:val="00296014"/>
    <w:rsid w:val="002962E6"/>
    <w:rsid w:val="00296D2B"/>
    <w:rsid w:val="002972E1"/>
    <w:rsid w:val="00297A99"/>
    <w:rsid w:val="00297B82"/>
    <w:rsid w:val="00297E5E"/>
    <w:rsid w:val="002A0317"/>
    <w:rsid w:val="002A03DE"/>
    <w:rsid w:val="002A0635"/>
    <w:rsid w:val="002A07CD"/>
    <w:rsid w:val="002A0858"/>
    <w:rsid w:val="002A0A02"/>
    <w:rsid w:val="002A0A88"/>
    <w:rsid w:val="002A0CD2"/>
    <w:rsid w:val="002A13D1"/>
    <w:rsid w:val="002A1456"/>
    <w:rsid w:val="002A1573"/>
    <w:rsid w:val="002A15D8"/>
    <w:rsid w:val="002A18D2"/>
    <w:rsid w:val="002A19A2"/>
    <w:rsid w:val="002A1B34"/>
    <w:rsid w:val="002A1C16"/>
    <w:rsid w:val="002A2787"/>
    <w:rsid w:val="002A2B61"/>
    <w:rsid w:val="002A313A"/>
    <w:rsid w:val="002A3179"/>
    <w:rsid w:val="002A3257"/>
    <w:rsid w:val="002A3292"/>
    <w:rsid w:val="002A3A49"/>
    <w:rsid w:val="002A3CFD"/>
    <w:rsid w:val="002A3EA2"/>
    <w:rsid w:val="002A4132"/>
    <w:rsid w:val="002A4221"/>
    <w:rsid w:val="002A466C"/>
    <w:rsid w:val="002A46B9"/>
    <w:rsid w:val="002A4EA4"/>
    <w:rsid w:val="002A5068"/>
    <w:rsid w:val="002A52D1"/>
    <w:rsid w:val="002A5B34"/>
    <w:rsid w:val="002A5BCC"/>
    <w:rsid w:val="002A648C"/>
    <w:rsid w:val="002A6A37"/>
    <w:rsid w:val="002A6F44"/>
    <w:rsid w:val="002A728E"/>
    <w:rsid w:val="002A7347"/>
    <w:rsid w:val="002A75AE"/>
    <w:rsid w:val="002A7744"/>
    <w:rsid w:val="002A7A3E"/>
    <w:rsid w:val="002A7B9D"/>
    <w:rsid w:val="002A7F12"/>
    <w:rsid w:val="002B038F"/>
    <w:rsid w:val="002B0486"/>
    <w:rsid w:val="002B0499"/>
    <w:rsid w:val="002B0BA4"/>
    <w:rsid w:val="002B0E1C"/>
    <w:rsid w:val="002B0FE7"/>
    <w:rsid w:val="002B165A"/>
    <w:rsid w:val="002B1709"/>
    <w:rsid w:val="002B1740"/>
    <w:rsid w:val="002B1820"/>
    <w:rsid w:val="002B19FE"/>
    <w:rsid w:val="002B1A67"/>
    <w:rsid w:val="002B1BA3"/>
    <w:rsid w:val="002B2485"/>
    <w:rsid w:val="002B2627"/>
    <w:rsid w:val="002B26A2"/>
    <w:rsid w:val="002B2751"/>
    <w:rsid w:val="002B3151"/>
    <w:rsid w:val="002B366D"/>
    <w:rsid w:val="002B3BD7"/>
    <w:rsid w:val="002B3C56"/>
    <w:rsid w:val="002B3D3B"/>
    <w:rsid w:val="002B3E4F"/>
    <w:rsid w:val="002B3F77"/>
    <w:rsid w:val="002B4078"/>
    <w:rsid w:val="002B45F9"/>
    <w:rsid w:val="002B4722"/>
    <w:rsid w:val="002B47A1"/>
    <w:rsid w:val="002B497D"/>
    <w:rsid w:val="002B5080"/>
    <w:rsid w:val="002B534A"/>
    <w:rsid w:val="002B558F"/>
    <w:rsid w:val="002B5875"/>
    <w:rsid w:val="002B5ABA"/>
    <w:rsid w:val="002B5C23"/>
    <w:rsid w:val="002B606D"/>
    <w:rsid w:val="002B60CB"/>
    <w:rsid w:val="002B627D"/>
    <w:rsid w:val="002B649E"/>
    <w:rsid w:val="002B64A3"/>
    <w:rsid w:val="002B65C7"/>
    <w:rsid w:val="002B6882"/>
    <w:rsid w:val="002B6B4F"/>
    <w:rsid w:val="002B6C64"/>
    <w:rsid w:val="002B6CFB"/>
    <w:rsid w:val="002B6D3A"/>
    <w:rsid w:val="002B6E97"/>
    <w:rsid w:val="002B7AD5"/>
    <w:rsid w:val="002B7BAF"/>
    <w:rsid w:val="002B7BEB"/>
    <w:rsid w:val="002B7CCD"/>
    <w:rsid w:val="002C0046"/>
    <w:rsid w:val="002C00E0"/>
    <w:rsid w:val="002C05F0"/>
    <w:rsid w:val="002C0661"/>
    <w:rsid w:val="002C085E"/>
    <w:rsid w:val="002C089B"/>
    <w:rsid w:val="002C093A"/>
    <w:rsid w:val="002C0C05"/>
    <w:rsid w:val="002C0C47"/>
    <w:rsid w:val="002C0FF0"/>
    <w:rsid w:val="002C17DF"/>
    <w:rsid w:val="002C1C93"/>
    <w:rsid w:val="002C1D99"/>
    <w:rsid w:val="002C2151"/>
    <w:rsid w:val="002C230C"/>
    <w:rsid w:val="002C2311"/>
    <w:rsid w:val="002C24F2"/>
    <w:rsid w:val="002C2665"/>
    <w:rsid w:val="002C2802"/>
    <w:rsid w:val="002C2CDB"/>
    <w:rsid w:val="002C2E02"/>
    <w:rsid w:val="002C2ECE"/>
    <w:rsid w:val="002C2F3D"/>
    <w:rsid w:val="002C30C5"/>
    <w:rsid w:val="002C33B4"/>
    <w:rsid w:val="002C33B8"/>
    <w:rsid w:val="002C3623"/>
    <w:rsid w:val="002C3AE6"/>
    <w:rsid w:val="002C3C14"/>
    <w:rsid w:val="002C3CD0"/>
    <w:rsid w:val="002C3FDC"/>
    <w:rsid w:val="002C4BB7"/>
    <w:rsid w:val="002C4CF3"/>
    <w:rsid w:val="002C530A"/>
    <w:rsid w:val="002C5558"/>
    <w:rsid w:val="002C5771"/>
    <w:rsid w:val="002C57CD"/>
    <w:rsid w:val="002C5A58"/>
    <w:rsid w:val="002C5A7A"/>
    <w:rsid w:val="002C5B07"/>
    <w:rsid w:val="002C5B23"/>
    <w:rsid w:val="002C5E51"/>
    <w:rsid w:val="002C5FCC"/>
    <w:rsid w:val="002C64FE"/>
    <w:rsid w:val="002C655E"/>
    <w:rsid w:val="002C66B2"/>
    <w:rsid w:val="002C6A79"/>
    <w:rsid w:val="002C6B27"/>
    <w:rsid w:val="002C6B40"/>
    <w:rsid w:val="002C6DA1"/>
    <w:rsid w:val="002C7857"/>
    <w:rsid w:val="002C7B8E"/>
    <w:rsid w:val="002C7E85"/>
    <w:rsid w:val="002C7F07"/>
    <w:rsid w:val="002C7FA2"/>
    <w:rsid w:val="002D01C9"/>
    <w:rsid w:val="002D032B"/>
    <w:rsid w:val="002D0428"/>
    <w:rsid w:val="002D0AE3"/>
    <w:rsid w:val="002D0C3B"/>
    <w:rsid w:val="002D0C57"/>
    <w:rsid w:val="002D0CEC"/>
    <w:rsid w:val="002D0E6B"/>
    <w:rsid w:val="002D0F86"/>
    <w:rsid w:val="002D1035"/>
    <w:rsid w:val="002D14B9"/>
    <w:rsid w:val="002D1A52"/>
    <w:rsid w:val="002D1B95"/>
    <w:rsid w:val="002D1FC1"/>
    <w:rsid w:val="002D22B1"/>
    <w:rsid w:val="002D29DA"/>
    <w:rsid w:val="002D2C46"/>
    <w:rsid w:val="002D2C48"/>
    <w:rsid w:val="002D2D7A"/>
    <w:rsid w:val="002D30A9"/>
    <w:rsid w:val="002D3157"/>
    <w:rsid w:val="002D333B"/>
    <w:rsid w:val="002D347A"/>
    <w:rsid w:val="002D3499"/>
    <w:rsid w:val="002D3704"/>
    <w:rsid w:val="002D385E"/>
    <w:rsid w:val="002D387A"/>
    <w:rsid w:val="002D3A30"/>
    <w:rsid w:val="002D3A51"/>
    <w:rsid w:val="002D3BEB"/>
    <w:rsid w:val="002D3F07"/>
    <w:rsid w:val="002D409F"/>
    <w:rsid w:val="002D40F0"/>
    <w:rsid w:val="002D4273"/>
    <w:rsid w:val="002D43B5"/>
    <w:rsid w:val="002D4719"/>
    <w:rsid w:val="002D5184"/>
    <w:rsid w:val="002D55EB"/>
    <w:rsid w:val="002D563C"/>
    <w:rsid w:val="002D58F7"/>
    <w:rsid w:val="002D5C45"/>
    <w:rsid w:val="002D5CF9"/>
    <w:rsid w:val="002D5E62"/>
    <w:rsid w:val="002D5FFF"/>
    <w:rsid w:val="002D62A4"/>
    <w:rsid w:val="002D62A9"/>
    <w:rsid w:val="002D636B"/>
    <w:rsid w:val="002D6BD9"/>
    <w:rsid w:val="002D6CF0"/>
    <w:rsid w:val="002D6FFE"/>
    <w:rsid w:val="002D7047"/>
    <w:rsid w:val="002D70C1"/>
    <w:rsid w:val="002D784E"/>
    <w:rsid w:val="002D7930"/>
    <w:rsid w:val="002D7B18"/>
    <w:rsid w:val="002D7B49"/>
    <w:rsid w:val="002E090F"/>
    <w:rsid w:val="002E0967"/>
    <w:rsid w:val="002E0F16"/>
    <w:rsid w:val="002E0FA2"/>
    <w:rsid w:val="002E13A0"/>
    <w:rsid w:val="002E185A"/>
    <w:rsid w:val="002E1C42"/>
    <w:rsid w:val="002E1E26"/>
    <w:rsid w:val="002E2748"/>
    <w:rsid w:val="002E2A70"/>
    <w:rsid w:val="002E2B77"/>
    <w:rsid w:val="002E33BF"/>
    <w:rsid w:val="002E37B5"/>
    <w:rsid w:val="002E380E"/>
    <w:rsid w:val="002E3B41"/>
    <w:rsid w:val="002E3DF0"/>
    <w:rsid w:val="002E4608"/>
    <w:rsid w:val="002E4671"/>
    <w:rsid w:val="002E4E82"/>
    <w:rsid w:val="002E4EE2"/>
    <w:rsid w:val="002E5335"/>
    <w:rsid w:val="002E5734"/>
    <w:rsid w:val="002E5811"/>
    <w:rsid w:val="002E5AF7"/>
    <w:rsid w:val="002E5CF2"/>
    <w:rsid w:val="002E5F3B"/>
    <w:rsid w:val="002E660A"/>
    <w:rsid w:val="002E6799"/>
    <w:rsid w:val="002E6C40"/>
    <w:rsid w:val="002E6CCF"/>
    <w:rsid w:val="002E6E72"/>
    <w:rsid w:val="002E706B"/>
    <w:rsid w:val="002E7523"/>
    <w:rsid w:val="002E7AA9"/>
    <w:rsid w:val="002E7ABC"/>
    <w:rsid w:val="002E7BCD"/>
    <w:rsid w:val="002E7D0A"/>
    <w:rsid w:val="002F0567"/>
    <w:rsid w:val="002F077D"/>
    <w:rsid w:val="002F08DC"/>
    <w:rsid w:val="002F0A6D"/>
    <w:rsid w:val="002F1017"/>
    <w:rsid w:val="002F121B"/>
    <w:rsid w:val="002F1306"/>
    <w:rsid w:val="002F13EB"/>
    <w:rsid w:val="002F140F"/>
    <w:rsid w:val="002F182E"/>
    <w:rsid w:val="002F1B67"/>
    <w:rsid w:val="002F2568"/>
    <w:rsid w:val="002F2624"/>
    <w:rsid w:val="002F2926"/>
    <w:rsid w:val="002F29CB"/>
    <w:rsid w:val="002F2B44"/>
    <w:rsid w:val="002F2B8F"/>
    <w:rsid w:val="002F2EEA"/>
    <w:rsid w:val="002F3437"/>
    <w:rsid w:val="002F3659"/>
    <w:rsid w:val="002F38A9"/>
    <w:rsid w:val="002F3BAD"/>
    <w:rsid w:val="002F3E3D"/>
    <w:rsid w:val="002F4122"/>
    <w:rsid w:val="002F41C9"/>
    <w:rsid w:val="002F476D"/>
    <w:rsid w:val="002F47C6"/>
    <w:rsid w:val="002F4893"/>
    <w:rsid w:val="002F4A47"/>
    <w:rsid w:val="002F4BDF"/>
    <w:rsid w:val="002F4C97"/>
    <w:rsid w:val="002F4FC1"/>
    <w:rsid w:val="002F50A4"/>
    <w:rsid w:val="002F538A"/>
    <w:rsid w:val="002F6268"/>
    <w:rsid w:val="002F644B"/>
    <w:rsid w:val="002F688E"/>
    <w:rsid w:val="002F6B0D"/>
    <w:rsid w:val="002F6B84"/>
    <w:rsid w:val="002F6D2F"/>
    <w:rsid w:val="002F6D5F"/>
    <w:rsid w:val="002F76CC"/>
    <w:rsid w:val="002F77DD"/>
    <w:rsid w:val="002F78D9"/>
    <w:rsid w:val="002F793B"/>
    <w:rsid w:val="002F7AC3"/>
    <w:rsid w:val="003001EC"/>
    <w:rsid w:val="00300613"/>
    <w:rsid w:val="003008AD"/>
    <w:rsid w:val="003008E3"/>
    <w:rsid w:val="00300C7C"/>
    <w:rsid w:val="00300C85"/>
    <w:rsid w:val="00300EF7"/>
    <w:rsid w:val="0030122E"/>
    <w:rsid w:val="003012B3"/>
    <w:rsid w:val="00301354"/>
    <w:rsid w:val="0030179B"/>
    <w:rsid w:val="00301BE1"/>
    <w:rsid w:val="00302431"/>
    <w:rsid w:val="003026DD"/>
    <w:rsid w:val="003026F0"/>
    <w:rsid w:val="0030276D"/>
    <w:rsid w:val="00302946"/>
    <w:rsid w:val="00302A86"/>
    <w:rsid w:val="00302B76"/>
    <w:rsid w:val="00302C8D"/>
    <w:rsid w:val="00302D6C"/>
    <w:rsid w:val="00302E3D"/>
    <w:rsid w:val="00303524"/>
    <w:rsid w:val="00303BB2"/>
    <w:rsid w:val="00303F41"/>
    <w:rsid w:val="00303F7C"/>
    <w:rsid w:val="003041B9"/>
    <w:rsid w:val="003041DB"/>
    <w:rsid w:val="0030429A"/>
    <w:rsid w:val="003042F3"/>
    <w:rsid w:val="00304447"/>
    <w:rsid w:val="0030452E"/>
    <w:rsid w:val="003047CA"/>
    <w:rsid w:val="003048A6"/>
    <w:rsid w:val="003049D1"/>
    <w:rsid w:val="00304A1C"/>
    <w:rsid w:val="00304AA6"/>
    <w:rsid w:val="00304E0B"/>
    <w:rsid w:val="00304E21"/>
    <w:rsid w:val="00304E88"/>
    <w:rsid w:val="00305165"/>
    <w:rsid w:val="003051C3"/>
    <w:rsid w:val="00305253"/>
    <w:rsid w:val="003052FF"/>
    <w:rsid w:val="003053C2"/>
    <w:rsid w:val="003054C3"/>
    <w:rsid w:val="00305895"/>
    <w:rsid w:val="00305CA8"/>
    <w:rsid w:val="00305DBB"/>
    <w:rsid w:val="00305DE3"/>
    <w:rsid w:val="003061A9"/>
    <w:rsid w:val="00306342"/>
    <w:rsid w:val="003065FD"/>
    <w:rsid w:val="0030679B"/>
    <w:rsid w:val="003067B0"/>
    <w:rsid w:val="00306914"/>
    <w:rsid w:val="00306DA0"/>
    <w:rsid w:val="00306FED"/>
    <w:rsid w:val="003076A7"/>
    <w:rsid w:val="003078FC"/>
    <w:rsid w:val="00307C81"/>
    <w:rsid w:val="003100B4"/>
    <w:rsid w:val="00310475"/>
    <w:rsid w:val="003107E7"/>
    <w:rsid w:val="00310AF2"/>
    <w:rsid w:val="00310CE4"/>
    <w:rsid w:val="0031100E"/>
    <w:rsid w:val="00311194"/>
    <w:rsid w:val="0031125F"/>
    <w:rsid w:val="0031136C"/>
    <w:rsid w:val="0031177F"/>
    <w:rsid w:val="00311B7B"/>
    <w:rsid w:val="00311F51"/>
    <w:rsid w:val="003122E8"/>
    <w:rsid w:val="00312635"/>
    <w:rsid w:val="00312B96"/>
    <w:rsid w:val="00312BA3"/>
    <w:rsid w:val="00313481"/>
    <w:rsid w:val="00313B7C"/>
    <w:rsid w:val="00313C32"/>
    <w:rsid w:val="00314017"/>
    <w:rsid w:val="00314034"/>
    <w:rsid w:val="00314397"/>
    <w:rsid w:val="003144BA"/>
    <w:rsid w:val="00314523"/>
    <w:rsid w:val="00314645"/>
    <w:rsid w:val="003149A3"/>
    <w:rsid w:val="00314B2A"/>
    <w:rsid w:val="00315000"/>
    <w:rsid w:val="003153D9"/>
    <w:rsid w:val="0031550B"/>
    <w:rsid w:val="00315540"/>
    <w:rsid w:val="00315A9D"/>
    <w:rsid w:val="00315E08"/>
    <w:rsid w:val="00316755"/>
    <w:rsid w:val="003169B6"/>
    <w:rsid w:val="00316C69"/>
    <w:rsid w:val="003171CB"/>
    <w:rsid w:val="00317261"/>
    <w:rsid w:val="0031736F"/>
    <w:rsid w:val="00317766"/>
    <w:rsid w:val="003179CF"/>
    <w:rsid w:val="00317E3D"/>
    <w:rsid w:val="00320010"/>
    <w:rsid w:val="003201FF"/>
    <w:rsid w:val="0032038E"/>
    <w:rsid w:val="00320682"/>
    <w:rsid w:val="00320862"/>
    <w:rsid w:val="00320881"/>
    <w:rsid w:val="003214CE"/>
    <w:rsid w:val="00321665"/>
    <w:rsid w:val="00321A5B"/>
    <w:rsid w:val="00321D00"/>
    <w:rsid w:val="00321D56"/>
    <w:rsid w:val="00321F48"/>
    <w:rsid w:val="00321FB7"/>
    <w:rsid w:val="003220F3"/>
    <w:rsid w:val="0032220B"/>
    <w:rsid w:val="0032238A"/>
    <w:rsid w:val="00322A19"/>
    <w:rsid w:val="00322A3C"/>
    <w:rsid w:val="00322B6A"/>
    <w:rsid w:val="00322CD0"/>
    <w:rsid w:val="00322ED9"/>
    <w:rsid w:val="00322FA3"/>
    <w:rsid w:val="00323450"/>
    <w:rsid w:val="0032350B"/>
    <w:rsid w:val="00323BC5"/>
    <w:rsid w:val="00323BEB"/>
    <w:rsid w:val="00324673"/>
    <w:rsid w:val="00324B9B"/>
    <w:rsid w:val="00324D46"/>
    <w:rsid w:val="00324DE1"/>
    <w:rsid w:val="003250DD"/>
    <w:rsid w:val="003257CD"/>
    <w:rsid w:val="00325B0D"/>
    <w:rsid w:val="00325B56"/>
    <w:rsid w:val="00325DF1"/>
    <w:rsid w:val="0032655A"/>
    <w:rsid w:val="003268E8"/>
    <w:rsid w:val="00326C01"/>
    <w:rsid w:val="00326D93"/>
    <w:rsid w:val="003273F4"/>
    <w:rsid w:val="0032744B"/>
    <w:rsid w:val="00327607"/>
    <w:rsid w:val="00327618"/>
    <w:rsid w:val="00327764"/>
    <w:rsid w:val="003279D2"/>
    <w:rsid w:val="00327C5F"/>
    <w:rsid w:val="00327FFA"/>
    <w:rsid w:val="00330315"/>
    <w:rsid w:val="003308CB"/>
    <w:rsid w:val="00330F5F"/>
    <w:rsid w:val="003313FF"/>
    <w:rsid w:val="00331867"/>
    <w:rsid w:val="00331871"/>
    <w:rsid w:val="003319F5"/>
    <w:rsid w:val="00331AB5"/>
    <w:rsid w:val="00331DB9"/>
    <w:rsid w:val="0033227C"/>
    <w:rsid w:val="003322F4"/>
    <w:rsid w:val="0033265D"/>
    <w:rsid w:val="0033272D"/>
    <w:rsid w:val="003328DC"/>
    <w:rsid w:val="00332BE1"/>
    <w:rsid w:val="00332D95"/>
    <w:rsid w:val="00333302"/>
    <w:rsid w:val="00333880"/>
    <w:rsid w:val="0033389B"/>
    <w:rsid w:val="003338D8"/>
    <w:rsid w:val="0033391C"/>
    <w:rsid w:val="00333CAD"/>
    <w:rsid w:val="00333F29"/>
    <w:rsid w:val="0033435C"/>
    <w:rsid w:val="00334AA7"/>
    <w:rsid w:val="0033504D"/>
    <w:rsid w:val="00335190"/>
    <w:rsid w:val="003351D9"/>
    <w:rsid w:val="0033532E"/>
    <w:rsid w:val="00335BDA"/>
    <w:rsid w:val="00335CE3"/>
    <w:rsid w:val="00335E9E"/>
    <w:rsid w:val="00336146"/>
    <w:rsid w:val="003364E2"/>
    <w:rsid w:val="00336662"/>
    <w:rsid w:val="003366AE"/>
    <w:rsid w:val="003369EE"/>
    <w:rsid w:val="00336A2E"/>
    <w:rsid w:val="00336A91"/>
    <w:rsid w:val="00336DB6"/>
    <w:rsid w:val="00336F08"/>
    <w:rsid w:val="003370CB"/>
    <w:rsid w:val="0033723E"/>
    <w:rsid w:val="0033735C"/>
    <w:rsid w:val="0033798E"/>
    <w:rsid w:val="00337F55"/>
    <w:rsid w:val="00337F79"/>
    <w:rsid w:val="0034027E"/>
    <w:rsid w:val="00340626"/>
    <w:rsid w:val="00340750"/>
    <w:rsid w:val="00340B0D"/>
    <w:rsid w:val="00340B2F"/>
    <w:rsid w:val="00340B67"/>
    <w:rsid w:val="00340CA2"/>
    <w:rsid w:val="00340D69"/>
    <w:rsid w:val="00340ED5"/>
    <w:rsid w:val="00340F9F"/>
    <w:rsid w:val="00341359"/>
    <w:rsid w:val="003413D6"/>
    <w:rsid w:val="0034152B"/>
    <w:rsid w:val="003416C2"/>
    <w:rsid w:val="00341C05"/>
    <w:rsid w:val="00341D0F"/>
    <w:rsid w:val="00341EF2"/>
    <w:rsid w:val="003420BF"/>
    <w:rsid w:val="003423CA"/>
    <w:rsid w:val="003425BE"/>
    <w:rsid w:val="00342669"/>
    <w:rsid w:val="0034287B"/>
    <w:rsid w:val="00342965"/>
    <w:rsid w:val="003429B5"/>
    <w:rsid w:val="00342BA1"/>
    <w:rsid w:val="00342BE0"/>
    <w:rsid w:val="00342FDE"/>
    <w:rsid w:val="0034313B"/>
    <w:rsid w:val="003431AA"/>
    <w:rsid w:val="003431F1"/>
    <w:rsid w:val="00343F07"/>
    <w:rsid w:val="003443FB"/>
    <w:rsid w:val="00344488"/>
    <w:rsid w:val="003444CF"/>
    <w:rsid w:val="003445AC"/>
    <w:rsid w:val="003445F0"/>
    <w:rsid w:val="00344760"/>
    <w:rsid w:val="00344B24"/>
    <w:rsid w:val="00344E5B"/>
    <w:rsid w:val="0034500C"/>
    <w:rsid w:val="003450B8"/>
    <w:rsid w:val="00345185"/>
    <w:rsid w:val="003458B8"/>
    <w:rsid w:val="00345B6E"/>
    <w:rsid w:val="003461F2"/>
    <w:rsid w:val="00346411"/>
    <w:rsid w:val="003466AD"/>
    <w:rsid w:val="003469AA"/>
    <w:rsid w:val="00346F1B"/>
    <w:rsid w:val="00347337"/>
    <w:rsid w:val="003473BB"/>
    <w:rsid w:val="003473FB"/>
    <w:rsid w:val="00347505"/>
    <w:rsid w:val="00347690"/>
    <w:rsid w:val="00347719"/>
    <w:rsid w:val="00347A1E"/>
    <w:rsid w:val="00347C45"/>
    <w:rsid w:val="00347D45"/>
    <w:rsid w:val="00347DF7"/>
    <w:rsid w:val="00347F2F"/>
    <w:rsid w:val="00347FD5"/>
    <w:rsid w:val="003502F1"/>
    <w:rsid w:val="003503E7"/>
    <w:rsid w:val="00350557"/>
    <w:rsid w:val="00350967"/>
    <w:rsid w:val="00350A35"/>
    <w:rsid w:val="00350D13"/>
    <w:rsid w:val="00350EDC"/>
    <w:rsid w:val="003510D7"/>
    <w:rsid w:val="0035152F"/>
    <w:rsid w:val="00351630"/>
    <w:rsid w:val="0035166A"/>
    <w:rsid w:val="00351C0B"/>
    <w:rsid w:val="00351FC7"/>
    <w:rsid w:val="003520DC"/>
    <w:rsid w:val="00352337"/>
    <w:rsid w:val="003524DB"/>
    <w:rsid w:val="00352522"/>
    <w:rsid w:val="003525B9"/>
    <w:rsid w:val="003528A2"/>
    <w:rsid w:val="0035296F"/>
    <w:rsid w:val="00352E69"/>
    <w:rsid w:val="00352EE8"/>
    <w:rsid w:val="00352EF6"/>
    <w:rsid w:val="003530CF"/>
    <w:rsid w:val="003530D4"/>
    <w:rsid w:val="00353333"/>
    <w:rsid w:val="00353907"/>
    <w:rsid w:val="00353C8B"/>
    <w:rsid w:val="00353DCC"/>
    <w:rsid w:val="00353E7D"/>
    <w:rsid w:val="003542D4"/>
    <w:rsid w:val="003543DA"/>
    <w:rsid w:val="00354514"/>
    <w:rsid w:val="0035483F"/>
    <w:rsid w:val="00354B65"/>
    <w:rsid w:val="00354B6B"/>
    <w:rsid w:val="00354B7A"/>
    <w:rsid w:val="00354F05"/>
    <w:rsid w:val="00355439"/>
    <w:rsid w:val="003555F5"/>
    <w:rsid w:val="00355B3F"/>
    <w:rsid w:val="0035616C"/>
    <w:rsid w:val="00356450"/>
    <w:rsid w:val="00356A2D"/>
    <w:rsid w:val="00356ADE"/>
    <w:rsid w:val="00356DB8"/>
    <w:rsid w:val="00356EF5"/>
    <w:rsid w:val="00357466"/>
    <w:rsid w:val="0035798B"/>
    <w:rsid w:val="00357999"/>
    <w:rsid w:val="00357A18"/>
    <w:rsid w:val="00357EF9"/>
    <w:rsid w:val="00357FCD"/>
    <w:rsid w:val="00360101"/>
    <w:rsid w:val="00360125"/>
    <w:rsid w:val="00360258"/>
    <w:rsid w:val="0036088E"/>
    <w:rsid w:val="003608DB"/>
    <w:rsid w:val="00360D85"/>
    <w:rsid w:val="00360F07"/>
    <w:rsid w:val="00361109"/>
    <w:rsid w:val="0036136A"/>
    <w:rsid w:val="00361A6B"/>
    <w:rsid w:val="0036202E"/>
    <w:rsid w:val="00362166"/>
    <w:rsid w:val="003623F6"/>
    <w:rsid w:val="00362556"/>
    <w:rsid w:val="00362709"/>
    <w:rsid w:val="0036283F"/>
    <w:rsid w:val="00362CBC"/>
    <w:rsid w:val="00362F6B"/>
    <w:rsid w:val="00362F78"/>
    <w:rsid w:val="00363328"/>
    <w:rsid w:val="0036335B"/>
    <w:rsid w:val="003636C9"/>
    <w:rsid w:val="00363D5D"/>
    <w:rsid w:val="00363F44"/>
    <w:rsid w:val="003641FE"/>
    <w:rsid w:val="003642E2"/>
    <w:rsid w:val="003644C1"/>
    <w:rsid w:val="0036461E"/>
    <w:rsid w:val="0036495E"/>
    <w:rsid w:val="00364B70"/>
    <w:rsid w:val="00364DAF"/>
    <w:rsid w:val="00364F6F"/>
    <w:rsid w:val="003651C3"/>
    <w:rsid w:val="003652AD"/>
    <w:rsid w:val="0036554A"/>
    <w:rsid w:val="003656AA"/>
    <w:rsid w:val="00365C98"/>
    <w:rsid w:val="00365EE8"/>
    <w:rsid w:val="00365F42"/>
    <w:rsid w:val="00365F6D"/>
    <w:rsid w:val="00366965"/>
    <w:rsid w:val="003671D4"/>
    <w:rsid w:val="00367409"/>
    <w:rsid w:val="00367433"/>
    <w:rsid w:val="0036748C"/>
    <w:rsid w:val="00367716"/>
    <w:rsid w:val="00367745"/>
    <w:rsid w:val="00367816"/>
    <w:rsid w:val="00367ACE"/>
    <w:rsid w:val="00367B01"/>
    <w:rsid w:val="00367DCF"/>
    <w:rsid w:val="00367F9B"/>
    <w:rsid w:val="003700CC"/>
    <w:rsid w:val="00370536"/>
    <w:rsid w:val="00370E4B"/>
    <w:rsid w:val="00370F6E"/>
    <w:rsid w:val="00371062"/>
    <w:rsid w:val="00371091"/>
    <w:rsid w:val="003714B2"/>
    <w:rsid w:val="00371518"/>
    <w:rsid w:val="0037158B"/>
    <w:rsid w:val="003717F1"/>
    <w:rsid w:val="00371BC0"/>
    <w:rsid w:val="00371ECA"/>
    <w:rsid w:val="0037209F"/>
    <w:rsid w:val="003726B7"/>
    <w:rsid w:val="00372984"/>
    <w:rsid w:val="00372AE1"/>
    <w:rsid w:val="00372B4A"/>
    <w:rsid w:val="0037310C"/>
    <w:rsid w:val="00373254"/>
    <w:rsid w:val="003733D9"/>
    <w:rsid w:val="003734B6"/>
    <w:rsid w:val="00373684"/>
    <w:rsid w:val="003738DA"/>
    <w:rsid w:val="00373990"/>
    <w:rsid w:val="00373AFB"/>
    <w:rsid w:val="00373CCC"/>
    <w:rsid w:val="00373F24"/>
    <w:rsid w:val="0037417E"/>
    <w:rsid w:val="00374622"/>
    <w:rsid w:val="0037480E"/>
    <w:rsid w:val="00374E3A"/>
    <w:rsid w:val="00374FE9"/>
    <w:rsid w:val="0037539C"/>
    <w:rsid w:val="00375424"/>
    <w:rsid w:val="003754E1"/>
    <w:rsid w:val="00375597"/>
    <w:rsid w:val="00375630"/>
    <w:rsid w:val="00375BF6"/>
    <w:rsid w:val="00375EE8"/>
    <w:rsid w:val="00375FDA"/>
    <w:rsid w:val="00376585"/>
    <w:rsid w:val="00376651"/>
    <w:rsid w:val="00376816"/>
    <w:rsid w:val="00376844"/>
    <w:rsid w:val="00376D11"/>
    <w:rsid w:val="00376DE8"/>
    <w:rsid w:val="00376F1D"/>
    <w:rsid w:val="003770C0"/>
    <w:rsid w:val="00377319"/>
    <w:rsid w:val="0037731B"/>
    <w:rsid w:val="0037740F"/>
    <w:rsid w:val="003774D4"/>
    <w:rsid w:val="0037768C"/>
    <w:rsid w:val="0037799A"/>
    <w:rsid w:val="00377A24"/>
    <w:rsid w:val="00377E52"/>
    <w:rsid w:val="003800DD"/>
    <w:rsid w:val="0038026E"/>
    <w:rsid w:val="0038028B"/>
    <w:rsid w:val="003805D6"/>
    <w:rsid w:val="003806E4"/>
    <w:rsid w:val="00380AC1"/>
    <w:rsid w:val="00380E9B"/>
    <w:rsid w:val="00381015"/>
    <w:rsid w:val="003814F7"/>
    <w:rsid w:val="00381E30"/>
    <w:rsid w:val="0038251C"/>
    <w:rsid w:val="0038264C"/>
    <w:rsid w:val="00382880"/>
    <w:rsid w:val="00382A18"/>
    <w:rsid w:val="00382AA2"/>
    <w:rsid w:val="00382ACB"/>
    <w:rsid w:val="00382B3E"/>
    <w:rsid w:val="00382DAE"/>
    <w:rsid w:val="00382E5F"/>
    <w:rsid w:val="00382F65"/>
    <w:rsid w:val="003830FC"/>
    <w:rsid w:val="003839CE"/>
    <w:rsid w:val="00383B86"/>
    <w:rsid w:val="00383C9A"/>
    <w:rsid w:val="00383D49"/>
    <w:rsid w:val="00383F4D"/>
    <w:rsid w:val="003843D7"/>
    <w:rsid w:val="0038452B"/>
    <w:rsid w:val="0038459E"/>
    <w:rsid w:val="00384611"/>
    <w:rsid w:val="00384ABB"/>
    <w:rsid w:val="00384AE0"/>
    <w:rsid w:val="00384C20"/>
    <w:rsid w:val="00384E52"/>
    <w:rsid w:val="0038500C"/>
    <w:rsid w:val="00385295"/>
    <w:rsid w:val="0038532C"/>
    <w:rsid w:val="0038556F"/>
    <w:rsid w:val="0038578E"/>
    <w:rsid w:val="003857DB"/>
    <w:rsid w:val="00385CB4"/>
    <w:rsid w:val="00385D1A"/>
    <w:rsid w:val="00385D43"/>
    <w:rsid w:val="00385DBC"/>
    <w:rsid w:val="00385E39"/>
    <w:rsid w:val="0038630D"/>
    <w:rsid w:val="003864AE"/>
    <w:rsid w:val="003865A8"/>
    <w:rsid w:val="00386A36"/>
    <w:rsid w:val="00386B20"/>
    <w:rsid w:val="00386B7F"/>
    <w:rsid w:val="00386BB5"/>
    <w:rsid w:val="00386D61"/>
    <w:rsid w:val="00386D7C"/>
    <w:rsid w:val="00386F24"/>
    <w:rsid w:val="00386FED"/>
    <w:rsid w:val="00387056"/>
    <w:rsid w:val="0038739C"/>
    <w:rsid w:val="003874E6"/>
    <w:rsid w:val="0038755D"/>
    <w:rsid w:val="003879BE"/>
    <w:rsid w:val="00387A0E"/>
    <w:rsid w:val="00387AA7"/>
    <w:rsid w:val="00387F13"/>
    <w:rsid w:val="00387FA6"/>
    <w:rsid w:val="00390051"/>
    <w:rsid w:val="003902B6"/>
    <w:rsid w:val="003903E6"/>
    <w:rsid w:val="0039094B"/>
    <w:rsid w:val="00390BF7"/>
    <w:rsid w:val="00390C65"/>
    <w:rsid w:val="003911BC"/>
    <w:rsid w:val="00391227"/>
    <w:rsid w:val="003912A4"/>
    <w:rsid w:val="003912C4"/>
    <w:rsid w:val="00391378"/>
    <w:rsid w:val="003914C8"/>
    <w:rsid w:val="003915B0"/>
    <w:rsid w:val="003915F3"/>
    <w:rsid w:val="003917A8"/>
    <w:rsid w:val="00391914"/>
    <w:rsid w:val="00391CD1"/>
    <w:rsid w:val="003922BF"/>
    <w:rsid w:val="00392A69"/>
    <w:rsid w:val="00392E4E"/>
    <w:rsid w:val="003930EB"/>
    <w:rsid w:val="003931D8"/>
    <w:rsid w:val="00393229"/>
    <w:rsid w:val="00393509"/>
    <w:rsid w:val="00393569"/>
    <w:rsid w:val="00393C42"/>
    <w:rsid w:val="00393EFB"/>
    <w:rsid w:val="003942F1"/>
    <w:rsid w:val="00394705"/>
    <w:rsid w:val="0039480F"/>
    <w:rsid w:val="00394AD2"/>
    <w:rsid w:val="00394B28"/>
    <w:rsid w:val="00394B89"/>
    <w:rsid w:val="00395151"/>
    <w:rsid w:val="0039525E"/>
    <w:rsid w:val="00395514"/>
    <w:rsid w:val="0039554E"/>
    <w:rsid w:val="003957BB"/>
    <w:rsid w:val="00395C25"/>
    <w:rsid w:val="00395C2B"/>
    <w:rsid w:val="00395C4B"/>
    <w:rsid w:val="00395C7A"/>
    <w:rsid w:val="00395CC6"/>
    <w:rsid w:val="00395E22"/>
    <w:rsid w:val="00395FEF"/>
    <w:rsid w:val="003961B5"/>
    <w:rsid w:val="003962D6"/>
    <w:rsid w:val="0039638D"/>
    <w:rsid w:val="00396828"/>
    <w:rsid w:val="00396E02"/>
    <w:rsid w:val="00397119"/>
    <w:rsid w:val="0039723A"/>
    <w:rsid w:val="003975C0"/>
    <w:rsid w:val="003979E0"/>
    <w:rsid w:val="00397D6F"/>
    <w:rsid w:val="003A0146"/>
    <w:rsid w:val="003A03F0"/>
    <w:rsid w:val="003A0743"/>
    <w:rsid w:val="003A0C86"/>
    <w:rsid w:val="003A0EBC"/>
    <w:rsid w:val="003A193D"/>
    <w:rsid w:val="003A21D7"/>
    <w:rsid w:val="003A24F9"/>
    <w:rsid w:val="003A25B0"/>
    <w:rsid w:val="003A270F"/>
    <w:rsid w:val="003A2E76"/>
    <w:rsid w:val="003A2EA3"/>
    <w:rsid w:val="003A309A"/>
    <w:rsid w:val="003A3237"/>
    <w:rsid w:val="003A3314"/>
    <w:rsid w:val="003A335C"/>
    <w:rsid w:val="003A36D3"/>
    <w:rsid w:val="003A3B8F"/>
    <w:rsid w:val="003A3EF6"/>
    <w:rsid w:val="003A4264"/>
    <w:rsid w:val="003A4296"/>
    <w:rsid w:val="003A42CC"/>
    <w:rsid w:val="003A4319"/>
    <w:rsid w:val="003A4523"/>
    <w:rsid w:val="003A4954"/>
    <w:rsid w:val="003A4AA7"/>
    <w:rsid w:val="003A4AD7"/>
    <w:rsid w:val="003A4D30"/>
    <w:rsid w:val="003A50BD"/>
    <w:rsid w:val="003A50F8"/>
    <w:rsid w:val="003A52C4"/>
    <w:rsid w:val="003A5735"/>
    <w:rsid w:val="003A58C7"/>
    <w:rsid w:val="003A5ACF"/>
    <w:rsid w:val="003A618E"/>
    <w:rsid w:val="003A66D7"/>
    <w:rsid w:val="003A6CDC"/>
    <w:rsid w:val="003A7265"/>
    <w:rsid w:val="003A7367"/>
    <w:rsid w:val="003A797C"/>
    <w:rsid w:val="003A7A6F"/>
    <w:rsid w:val="003A7FF6"/>
    <w:rsid w:val="003B03F4"/>
    <w:rsid w:val="003B0413"/>
    <w:rsid w:val="003B0677"/>
    <w:rsid w:val="003B083A"/>
    <w:rsid w:val="003B0A0F"/>
    <w:rsid w:val="003B0B9C"/>
    <w:rsid w:val="003B0D40"/>
    <w:rsid w:val="003B0EC1"/>
    <w:rsid w:val="003B12DD"/>
    <w:rsid w:val="003B16D2"/>
    <w:rsid w:val="003B192B"/>
    <w:rsid w:val="003B1B21"/>
    <w:rsid w:val="003B1C17"/>
    <w:rsid w:val="003B1CB6"/>
    <w:rsid w:val="003B202F"/>
    <w:rsid w:val="003B206D"/>
    <w:rsid w:val="003B209A"/>
    <w:rsid w:val="003B20B8"/>
    <w:rsid w:val="003B2198"/>
    <w:rsid w:val="003B2498"/>
    <w:rsid w:val="003B28BC"/>
    <w:rsid w:val="003B29FE"/>
    <w:rsid w:val="003B2F17"/>
    <w:rsid w:val="003B32F5"/>
    <w:rsid w:val="003B38CD"/>
    <w:rsid w:val="003B3A56"/>
    <w:rsid w:val="003B3D10"/>
    <w:rsid w:val="003B3F0A"/>
    <w:rsid w:val="003B44FE"/>
    <w:rsid w:val="003B46B5"/>
    <w:rsid w:val="003B4849"/>
    <w:rsid w:val="003B4A40"/>
    <w:rsid w:val="003B4A70"/>
    <w:rsid w:val="003B4D62"/>
    <w:rsid w:val="003B4D70"/>
    <w:rsid w:val="003B4EDF"/>
    <w:rsid w:val="003B4F2E"/>
    <w:rsid w:val="003B55EE"/>
    <w:rsid w:val="003B58B3"/>
    <w:rsid w:val="003B5B16"/>
    <w:rsid w:val="003B5C09"/>
    <w:rsid w:val="003B5C97"/>
    <w:rsid w:val="003B5D35"/>
    <w:rsid w:val="003B605D"/>
    <w:rsid w:val="003B6110"/>
    <w:rsid w:val="003B6255"/>
    <w:rsid w:val="003B632F"/>
    <w:rsid w:val="003B6346"/>
    <w:rsid w:val="003B6427"/>
    <w:rsid w:val="003B65D2"/>
    <w:rsid w:val="003B68ED"/>
    <w:rsid w:val="003B6960"/>
    <w:rsid w:val="003B6A9C"/>
    <w:rsid w:val="003B6B94"/>
    <w:rsid w:val="003B6C95"/>
    <w:rsid w:val="003B6DB5"/>
    <w:rsid w:val="003B6E55"/>
    <w:rsid w:val="003B7014"/>
    <w:rsid w:val="003B76BF"/>
    <w:rsid w:val="003B7716"/>
    <w:rsid w:val="003B7A53"/>
    <w:rsid w:val="003B7B24"/>
    <w:rsid w:val="003B7BB9"/>
    <w:rsid w:val="003B7BEB"/>
    <w:rsid w:val="003B7ECE"/>
    <w:rsid w:val="003C00AB"/>
    <w:rsid w:val="003C00D5"/>
    <w:rsid w:val="003C041C"/>
    <w:rsid w:val="003C0F40"/>
    <w:rsid w:val="003C0F54"/>
    <w:rsid w:val="003C0FEF"/>
    <w:rsid w:val="003C121D"/>
    <w:rsid w:val="003C1658"/>
    <w:rsid w:val="003C1867"/>
    <w:rsid w:val="003C188E"/>
    <w:rsid w:val="003C1937"/>
    <w:rsid w:val="003C260C"/>
    <w:rsid w:val="003C277F"/>
    <w:rsid w:val="003C281D"/>
    <w:rsid w:val="003C2897"/>
    <w:rsid w:val="003C29EE"/>
    <w:rsid w:val="003C2C8D"/>
    <w:rsid w:val="003C2E50"/>
    <w:rsid w:val="003C3016"/>
    <w:rsid w:val="003C319E"/>
    <w:rsid w:val="003C33A3"/>
    <w:rsid w:val="003C387E"/>
    <w:rsid w:val="003C3ACE"/>
    <w:rsid w:val="003C3CCD"/>
    <w:rsid w:val="003C3D25"/>
    <w:rsid w:val="003C3F26"/>
    <w:rsid w:val="003C40A4"/>
    <w:rsid w:val="003C44E3"/>
    <w:rsid w:val="003C45A6"/>
    <w:rsid w:val="003C4DC1"/>
    <w:rsid w:val="003C4ED1"/>
    <w:rsid w:val="003C4EEA"/>
    <w:rsid w:val="003C511B"/>
    <w:rsid w:val="003C53A9"/>
    <w:rsid w:val="003C53B5"/>
    <w:rsid w:val="003C587F"/>
    <w:rsid w:val="003C5A7A"/>
    <w:rsid w:val="003C6073"/>
    <w:rsid w:val="003C64B5"/>
    <w:rsid w:val="003C64F7"/>
    <w:rsid w:val="003C675B"/>
    <w:rsid w:val="003C690E"/>
    <w:rsid w:val="003C6C49"/>
    <w:rsid w:val="003C6D10"/>
    <w:rsid w:val="003C6D72"/>
    <w:rsid w:val="003C6FBE"/>
    <w:rsid w:val="003C6FFB"/>
    <w:rsid w:val="003C74C2"/>
    <w:rsid w:val="003C757F"/>
    <w:rsid w:val="003C75B1"/>
    <w:rsid w:val="003C75B4"/>
    <w:rsid w:val="003C7820"/>
    <w:rsid w:val="003C79A3"/>
    <w:rsid w:val="003D00D2"/>
    <w:rsid w:val="003D056E"/>
    <w:rsid w:val="003D0AFB"/>
    <w:rsid w:val="003D0BD2"/>
    <w:rsid w:val="003D0BE3"/>
    <w:rsid w:val="003D1331"/>
    <w:rsid w:val="003D1730"/>
    <w:rsid w:val="003D184B"/>
    <w:rsid w:val="003D1C0A"/>
    <w:rsid w:val="003D1C91"/>
    <w:rsid w:val="003D21F7"/>
    <w:rsid w:val="003D228D"/>
    <w:rsid w:val="003D23EE"/>
    <w:rsid w:val="003D2589"/>
    <w:rsid w:val="003D25F4"/>
    <w:rsid w:val="003D26D5"/>
    <w:rsid w:val="003D26F7"/>
    <w:rsid w:val="003D2CD5"/>
    <w:rsid w:val="003D2CEE"/>
    <w:rsid w:val="003D2F99"/>
    <w:rsid w:val="003D30D6"/>
    <w:rsid w:val="003D34E8"/>
    <w:rsid w:val="003D37D4"/>
    <w:rsid w:val="003D3A0C"/>
    <w:rsid w:val="003D3E70"/>
    <w:rsid w:val="003D41F2"/>
    <w:rsid w:val="003D4937"/>
    <w:rsid w:val="003D4B9D"/>
    <w:rsid w:val="003D4E2B"/>
    <w:rsid w:val="003D4EFD"/>
    <w:rsid w:val="003D4F92"/>
    <w:rsid w:val="003D576D"/>
    <w:rsid w:val="003D5CD5"/>
    <w:rsid w:val="003D6151"/>
    <w:rsid w:val="003D61CE"/>
    <w:rsid w:val="003D6235"/>
    <w:rsid w:val="003D6672"/>
    <w:rsid w:val="003D670E"/>
    <w:rsid w:val="003D684E"/>
    <w:rsid w:val="003D690B"/>
    <w:rsid w:val="003D69FF"/>
    <w:rsid w:val="003D6CA1"/>
    <w:rsid w:val="003D6EE8"/>
    <w:rsid w:val="003D6F6F"/>
    <w:rsid w:val="003D70AA"/>
    <w:rsid w:val="003D728F"/>
    <w:rsid w:val="003D7461"/>
    <w:rsid w:val="003D746B"/>
    <w:rsid w:val="003D76CD"/>
    <w:rsid w:val="003D76F9"/>
    <w:rsid w:val="003D7B0C"/>
    <w:rsid w:val="003D7CF1"/>
    <w:rsid w:val="003E025F"/>
    <w:rsid w:val="003E0730"/>
    <w:rsid w:val="003E0A59"/>
    <w:rsid w:val="003E0E48"/>
    <w:rsid w:val="003E1178"/>
    <w:rsid w:val="003E1723"/>
    <w:rsid w:val="003E1769"/>
    <w:rsid w:val="003E1A3A"/>
    <w:rsid w:val="003E1A8D"/>
    <w:rsid w:val="003E1B7B"/>
    <w:rsid w:val="003E1BC0"/>
    <w:rsid w:val="003E1BC4"/>
    <w:rsid w:val="003E1D15"/>
    <w:rsid w:val="003E1D48"/>
    <w:rsid w:val="003E1D49"/>
    <w:rsid w:val="003E1EE5"/>
    <w:rsid w:val="003E1F00"/>
    <w:rsid w:val="003E2078"/>
    <w:rsid w:val="003E23F6"/>
    <w:rsid w:val="003E2540"/>
    <w:rsid w:val="003E2AA8"/>
    <w:rsid w:val="003E2D9E"/>
    <w:rsid w:val="003E2ED0"/>
    <w:rsid w:val="003E3331"/>
    <w:rsid w:val="003E33DF"/>
    <w:rsid w:val="003E35BF"/>
    <w:rsid w:val="003E3637"/>
    <w:rsid w:val="003E3860"/>
    <w:rsid w:val="003E3A1D"/>
    <w:rsid w:val="003E3A8B"/>
    <w:rsid w:val="003E3B82"/>
    <w:rsid w:val="003E3CC2"/>
    <w:rsid w:val="003E3E5C"/>
    <w:rsid w:val="003E404F"/>
    <w:rsid w:val="003E4096"/>
    <w:rsid w:val="003E4527"/>
    <w:rsid w:val="003E4927"/>
    <w:rsid w:val="003E49A2"/>
    <w:rsid w:val="003E49B0"/>
    <w:rsid w:val="003E4CF4"/>
    <w:rsid w:val="003E4FA2"/>
    <w:rsid w:val="003E5103"/>
    <w:rsid w:val="003E5330"/>
    <w:rsid w:val="003E5B22"/>
    <w:rsid w:val="003E5D70"/>
    <w:rsid w:val="003E5FD6"/>
    <w:rsid w:val="003E603E"/>
    <w:rsid w:val="003E61D8"/>
    <w:rsid w:val="003E629E"/>
    <w:rsid w:val="003E6517"/>
    <w:rsid w:val="003E6906"/>
    <w:rsid w:val="003E6985"/>
    <w:rsid w:val="003E6BF2"/>
    <w:rsid w:val="003E6D22"/>
    <w:rsid w:val="003E6D70"/>
    <w:rsid w:val="003E6FA0"/>
    <w:rsid w:val="003E7016"/>
    <w:rsid w:val="003E71CD"/>
    <w:rsid w:val="003E74E6"/>
    <w:rsid w:val="003E7E8B"/>
    <w:rsid w:val="003F006A"/>
    <w:rsid w:val="003F01F6"/>
    <w:rsid w:val="003F020C"/>
    <w:rsid w:val="003F033C"/>
    <w:rsid w:val="003F03C4"/>
    <w:rsid w:val="003F04C5"/>
    <w:rsid w:val="003F066F"/>
    <w:rsid w:val="003F07C3"/>
    <w:rsid w:val="003F0C9B"/>
    <w:rsid w:val="003F110B"/>
    <w:rsid w:val="003F1299"/>
    <w:rsid w:val="003F1C0F"/>
    <w:rsid w:val="003F1F1D"/>
    <w:rsid w:val="003F2A8C"/>
    <w:rsid w:val="003F2CEF"/>
    <w:rsid w:val="003F2DEE"/>
    <w:rsid w:val="003F307C"/>
    <w:rsid w:val="003F31AE"/>
    <w:rsid w:val="003F325F"/>
    <w:rsid w:val="003F3282"/>
    <w:rsid w:val="003F34C8"/>
    <w:rsid w:val="003F3650"/>
    <w:rsid w:val="003F3733"/>
    <w:rsid w:val="003F3919"/>
    <w:rsid w:val="003F3982"/>
    <w:rsid w:val="003F39F1"/>
    <w:rsid w:val="003F3B8F"/>
    <w:rsid w:val="003F3CE3"/>
    <w:rsid w:val="003F416F"/>
    <w:rsid w:val="003F41F2"/>
    <w:rsid w:val="003F441C"/>
    <w:rsid w:val="003F443F"/>
    <w:rsid w:val="003F44C8"/>
    <w:rsid w:val="003F45EB"/>
    <w:rsid w:val="003F46B8"/>
    <w:rsid w:val="003F4D21"/>
    <w:rsid w:val="003F4DA7"/>
    <w:rsid w:val="003F5277"/>
    <w:rsid w:val="003F576C"/>
    <w:rsid w:val="003F57F4"/>
    <w:rsid w:val="003F5BB3"/>
    <w:rsid w:val="003F5C88"/>
    <w:rsid w:val="003F62DB"/>
    <w:rsid w:val="003F62DE"/>
    <w:rsid w:val="003F62ED"/>
    <w:rsid w:val="003F647C"/>
    <w:rsid w:val="003F6545"/>
    <w:rsid w:val="003F66F8"/>
    <w:rsid w:val="003F6ABD"/>
    <w:rsid w:val="003F6B6C"/>
    <w:rsid w:val="003F6F06"/>
    <w:rsid w:val="003F6F6C"/>
    <w:rsid w:val="003F703F"/>
    <w:rsid w:val="003F711F"/>
    <w:rsid w:val="003F7546"/>
    <w:rsid w:val="003F77D2"/>
    <w:rsid w:val="003F77F7"/>
    <w:rsid w:val="003F78D8"/>
    <w:rsid w:val="004000F9"/>
    <w:rsid w:val="004001FC"/>
    <w:rsid w:val="00400398"/>
    <w:rsid w:val="004003A6"/>
    <w:rsid w:val="004007D0"/>
    <w:rsid w:val="0040082E"/>
    <w:rsid w:val="00400A90"/>
    <w:rsid w:val="00400B2C"/>
    <w:rsid w:val="00400D42"/>
    <w:rsid w:val="004010A5"/>
    <w:rsid w:val="004013E1"/>
    <w:rsid w:val="00401A04"/>
    <w:rsid w:val="00401A6B"/>
    <w:rsid w:val="00401C60"/>
    <w:rsid w:val="00401FCB"/>
    <w:rsid w:val="0040203A"/>
    <w:rsid w:val="00402B30"/>
    <w:rsid w:val="00402C69"/>
    <w:rsid w:val="004030CE"/>
    <w:rsid w:val="004034C1"/>
    <w:rsid w:val="004034E5"/>
    <w:rsid w:val="00403504"/>
    <w:rsid w:val="00403633"/>
    <w:rsid w:val="00403812"/>
    <w:rsid w:val="00403959"/>
    <w:rsid w:val="00403B3C"/>
    <w:rsid w:val="00403DE5"/>
    <w:rsid w:val="00404053"/>
    <w:rsid w:val="004046CF"/>
    <w:rsid w:val="00404744"/>
    <w:rsid w:val="004047F2"/>
    <w:rsid w:val="0040483C"/>
    <w:rsid w:val="00404BD5"/>
    <w:rsid w:val="00404F0C"/>
    <w:rsid w:val="00404FF8"/>
    <w:rsid w:val="0040505C"/>
    <w:rsid w:val="00405095"/>
    <w:rsid w:val="0040521E"/>
    <w:rsid w:val="00405329"/>
    <w:rsid w:val="00405562"/>
    <w:rsid w:val="004059E0"/>
    <w:rsid w:val="00405C11"/>
    <w:rsid w:val="00406009"/>
    <w:rsid w:val="00406119"/>
    <w:rsid w:val="004065C4"/>
    <w:rsid w:val="004066EE"/>
    <w:rsid w:val="00406765"/>
    <w:rsid w:val="00406B99"/>
    <w:rsid w:val="00406E5B"/>
    <w:rsid w:val="00406F6F"/>
    <w:rsid w:val="004073A8"/>
    <w:rsid w:val="00407428"/>
    <w:rsid w:val="004074FF"/>
    <w:rsid w:val="004077F4"/>
    <w:rsid w:val="00407840"/>
    <w:rsid w:val="0040796E"/>
    <w:rsid w:val="004079E9"/>
    <w:rsid w:val="0041021F"/>
    <w:rsid w:val="004102D2"/>
    <w:rsid w:val="004103F2"/>
    <w:rsid w:val="00410619"/>
    <w:rsid w:val="0041073C"/>
    <w:rsid w:val="004107D2"/>
    <w:rsid w:val="00410AB1"/>
    <w:rsid w:val="00410F60"/>
    <w:rsid w:val="004112AE"/>
    <w:rsid w:val="00411903"/>
    <w:rsid w:val="00411CCB"/>
    <w:rsid w:val="00411E7E"/>
    <w:rsid w:val="00411F4F"/>
    <w:rsid w:val="00412042"/>
    <w:rsid w:val="0041239D"/>
    <w:rsid w:val="004124B3"/>
    <w:rsid w:val="00412535"/>
    <w:rsid w:val="00412A7B"/>
    <w:rsid w:val="00412B5E"/>
    <w:rsid w:val="00412C90"/>
    <w:rsid w:val="00412D0B"/>
    <w:rsid w:val="0041303A"/>
    <w:rsid w:val="00413097"/>
    <w:rsid w:val="004134C0"/>
    <w:rsid w:val="00413C08"/>
    <w:rsid w:val="00413F33"/>
    <w:rsid w:val="00413FFE"/>
    <w:rsid w:val="00414299"/>
    <w:rsid w:val="004145B4"/>
    <w:rsid w:val="00414967"/>
    <w:rsid w:val="00414B5B"/>
    <w:rsid w:val="00414C19"/>
    <w:rsid w:val="00414CAD"/>
    <w:rsid w:val="004150F4"/>
    <w:rsid w:val="00415BC5"/>
    <w:rsid w:val="00415DB8"/>
    <w:rsid w:val="00415EE3"/>
    <w:rsid w:val="00415F40"/>
    <w:rsid w:val="0041604E"/>
    <w:rsid w:val="004161DD"/>
    <w:rsid w:val="00416341"/>
    <w:rsid w:val="004173EB"/>
    <w:rsid w:val="00417B31"/>
    <w:rsid w:val="0042018B"/>
    <w:rsid w:val="004203E3"/>
    <w:rsid w:val="0042055A"/>
    <w:rsid w:val="00420BD0"/>
    <w:rsid w:val="00420CB0"/>
    <w:rsid w:val="00420F40"/>
    <w:rsid w:val="0042114F"/>
    <w:rsid w:val="00421840"/>
    <w:rsid w:val="00421975"/>
    <w:rsid w:val="00421BB3"/>
    <w:rsid w:val="00421F35"/>
    <w:rsid w:val="0042208B"/>
    <w:rsid w:val="00422404"/>
    <w:rsid w:val="004229AD"/>
    <w:rsid w:val="00422C05"/>
    <w:rsid w:val="0042304A"/>
    <w:rsid w:val="004232DA"/>
    <w:rsid w:val="004238F9"/>
    <w:rsid w:val="00423967"/>
    <w:rsid w:val="00423B59"/>
    <w:rsid w:val="00423B8D"/>
    <w:rsid w:val="004240E0"/>
    <w:rsid w:val="00424879"/>
    <w:rsid w:val="00424B6C"/>
    <w:rsid w:val="00424BC8"/>
    <w:rsid w:val="00424C9B"/>
    <w:rsid w:val="00424E78"/>
    <w:rsid w:val="00424F79"/>
    <w:rsid w:val="0042523D"/>
    <w:rsid w:val="0042527E"/>
    <w:rsid w:val="004252FB"/>
    <w:rsid w:val="00425683"/>
    <w:rsid w:val="00425907"/>
    <w:rsid w:val="00425987"/>
    <w:rsid w:val="00425A69"/>
    <w:rsid w:val="00425B72"/>
    <w:rsid w:val="00425E08"/>
    <w:rsid w:val="00425F1B"/>
    <w:rsid w:val="004260FD"/>
    <w:rsid w:val="004266A3"/>
    <w:rsid w:val="004266B1"/>
    <w:rsid w:val="00427696"/>
    <w:rsid w:val="00427865"/>
    <w:rsid w:val="00427876"/>
    <w:rsid w:val="004278E6"/>
    <w:rsid w:val="00430012"/>
    <w:rsid w:val="004302B7"/>
    <w:rsid w:val="0043054F"/>
    <w:rsid w:val="00430567"/>
    <w:rsid w:val="004308E5"/>
    <w:rsid w:val="004309E8"/>
    <w:rsid w:val="00430DFD"/>
    <w:rsid w:val="00431096"/>
    <w:rsid w:val="004322D4"/>
    <w:rsid w:val="00432570"/>
    <w:rsid w:val="0043269D"/>
    <w:rsid w:val="00432A76"/>
    <w:rsid w:val="00432F05"/>
    <w:rsid w:val="004330BC"/>
    <w:rsid w:val="00433783"/>
    <w:rsid w:val="0043396B"/>
    <w:rsid w:val="00433C0B"/>
    <w:rsid w:val="00434174"/>
    <w:rsid w:val="0043417D"/>
    <w:rsid w:val="00434627"/>
    <w:rsid w:val="0043479C"/>
    <w:rsid w:val="00434A59"/>
    <w:rsid w:val="00434D4B"/>
    <w:rsid w:val="00434E88"/>
    <w:rsid w:val="00435099"/>
    <w:rsid w:val="004350A2"/>
    <w:rsid w:val="00435101"/>
    <w:rsid w:val="00435175"/>
    <w:rsid w:val="004351AE"/>
    <w:rsid w:val="00435632"/>
    <w:rsid w:val="00435734"/>
    <w:rsid w:val="0043584E"/>
    <w:rsid w:val="004358C5"/>
    <w:rsid w:val="0043594B"/>
    <w:rsid w:val="00435D10"/>
    <w:rsid w:val="004362BB"/>
    <w:rsid w:val="004368AE"/>
    <w:rsid w:val="004369C6"/>
    <w:rsid w:val="00436CDF"/>
    <w:rsid w:val="00437330"/>
    <w:rsid w:val="004378EC"/>
    <w:rsid w:val="004379D0"/>
    <w:rsid w:val="00440018"/>
    <w:rsid w:val="0044040B"/>
    <w:rsid w:val="00440604"/>
    <w:rsid w:val="00440DFC"/>
    <w:rsid w:val="00440E5B"/>
    <w:rsid w:val="00440FD7"/>
    <w:rsid w:val="0044129B"/>
    <w:rsid w:val="004412D1"/>
    <w:rsid w:val="0044130F"/>
    <w:rsid w:val="00441AFE"/>
    <w:rsid w:val="00441C3C"/>
    <w:rsid w:val="00442386"/>
    <w:rsid w:val="00442B2E"/>
    <w:rsid w:val="00442BD9"/>
    <w:rsid w:val="00442D21"/>
    <w:rsid w:val="00443182"/>
    <w:rsid w:val="004431E9"/>
    <w:rsid w:val="00443287"/>
    <w:rsid w:val="00443392"/>
    <w:rsid w:val="004433C5"/>
    <w:rsid w:val="00443630"/>
    <w:rsid w:val="0044365B"/>
    <w:rsid w:val="0044368D"/>
    <w:rsid w:val="00443ADC"/>
    <w:rsid w:val="004443AF"/>
    <w:rsid w:val="00444631"/>
    <w:rsid w:val="00444B3D"/>
    <w:rsid w:val="00444C12"/>
    <w:rsid w:val="00444D1D"/>
    <w:rsid w:val="00444E76"/>
    <w:rsid w:val="00444EA8"/>
    <w:rsid w:val="00445089"/>
    <w:rsid w:val="00445144"/>
    <w:rsid w:val="0044536C"/>
    <w:rsid w:val="00445832"/>
    <w:rsid w:val="00445B21"/>
    <w:rsid w:val="00445CC2"/>
    <w:rsid w:val="00445CCE"/>
    <w:rsid w:val="00445E44"/>
    <w:rsid w:val="00446095"/>
    <w:rsid w:val="004460FE"/>
    <w:rsid w:val="0044680C"/>
    <w:rsid w:val="00446A40"/>
    <w:rsid w:val="00446CE8"/>
    <w:rsid w:val="004477EF"/>
    <w:rsid w:val="00447895"/>
    <w:rsid w:val="004479D4"/>
    <w:rsid w:val="00447A16"/>
    <w:rsid w:val="00447A38"/>
    <w:rsid w:val="00447BCF"/>
    <w:rsid w:val="00450446"/>
    <w:rsid w:val="004504D6"/>
    <w:rsid w:val="004507E5"/>
    <w:rsid w:val="00450AC0"/>
    <w:rsid w:val="00450D71"/>
    <w:rsid w:val="004512E4"/>
    <w:rsid w:val="004516D6"/>
    <w:rsid w:val="004516F2"/>
    <w:rsid w:val="004519F1"/>
    <w:rsid w:val="00451ED2"/>
    <w:rsid w:val="004525C1"/>
    <w:rsid w:val="004526DF"/>
    <w:rsid w:val="00452A17"/>
    <w:rsid w:val="00452C4A"/>
    <w:rsid w:val="00452E1E"/>
    <w:rsid w:val="00452E70"/>
    <w:rsid w:val="00453037"/>
    <w:rsid w:val="00453106"/>
    <w:rsid w:val="00453314"/>
    <w:rsid w:val="0045334B"/>
    <w:rsid w:val="00453A19"/>
    <w:rsid w:val="00453B7D"/>
    <w:rsid w:val="00453FF4"/>
    <w:rsid w:val="0045437C"/>
    <w:rsid w:val="004543BB"/>
    <w:rsid w:val="00454739"/>
    <w:rsid w:val="00454A14"/>
    <w:rsid w:val="00454A30"/>
    <w:rsid w:val="00454D6E"/>
    <w:rsid w:val="00454F63"/>
    <w:rsid w:val="00454F87"/>
    <w:rsid w:val="004552DD"/>
    <w:rsid w:val="0045588B"/>
    <w:rsid w:val="00455F9E"/>
    <w:rsid w:val="004563D6"/>
    <w:rsid w:val="00456654"/>
    <w:rsid w:val="00456C43"/>
    <w:rsid w:val="00456CB2"/>
    <w:rsid w:val="00456EC9"/>
    <w:rsid w:val="00456EF5"/>
    <w:rsid w:val="004571D4"/>
    <w:rsid w:val="00457315"/>
    <w:rsid w:val="004577BF"/>
    <w:rsid w:val="0045781E"/>
    <w:rsid w:val="00457AFC"/>
    <w:rsid w:val="00457CFF"/>
    <w:rsid w:val="004600CC"/>
    <w:rsid w:val="00460494"/>
    <w:rsid w:val="004605BC"/>
    <w:rsid w:val="00460AD1"/>
    <w:rsid w:val="00461003"/>
    <w:rsid w:val="004618B8"/>
    <w:rsid w:val="00461B72"/>
    <w:rsid w:val="00462001"/>
    <w:rsid w:val="00462117"/>
    <w:rsid w:val="00462400"/>
    <w:rsid w:val="004624B9"/>
    <w:rsid w:val="004627BC"/>
    <w:rsid w:val="00462C57"/>
    <w:rsid w:val="00462F8E"/>
    <w:rsid w:val="004630A2"/>
    <w:rsid w:val="00463226"/>
    <w:rsid w:val="004635B5"/>
    <w:rsid w:val="00463769"/>
    <w:rsid w:val="00463BA9"/>
    <w:rsid w:val="00463C42"/>
    <w:rsid w:val="00463F28"/>
    <w:rsid w:val="004643B9"/>
    <w:rsid w:val="0046458A"/>
    <w:rsid w:val="004646EE"/>
    <w:rsid w:val="004648AF"/>
    <w:rsid w:val="004649AB"/>
    <w:rsid w:val="004649B8"/>
    <w:rsid w:val="00464DCD"/>
    <w:rsid w:val="00464DED"/>
    <w:rsid w:val="00464FC4"/>
    <w:rsid w:val="00465070"/>
    <w:rsid w:val="004651D0"/>
    <w:rsid w:val="0046566C"/>
    <w:rsid w:val="0046581F"/>
    <w:rsid w:val="0046584D"/>
    <w:rsid w:val="00465877"/>
    <w:rsid w:val="00465A90"/>
    <w:rsid w:val="00465AEB"/>
    <w:rsid w:val="00465CC2"/>
    <w:rsid w:val="00466357"/>
    <w:rsid w:val="004665D2"/>
    <w:rsid w:val="0046689D"/>
    <w:rsid w:val="00466AB7"/>
    <w:rsid w:val="00466B35"/>
    <w:rsid w:val="00466C93"/>
    <w:rsid w:val="00466D14"/>
    <w:rsid w:val="00466DE0"/>
    <w:rsid w:val="00466DF8"/>
    <w:rsid w:val="00467357"/>
    <w:rsid w:val="00467610"/>
    <w:rsid w:val="004677AB"/>
    <w:rsid w:val="00467906"/>
    <w:rsid w:val="00467B7D"/>
    <w:rsid w:val="00467CFF"/>
    <w:rsid w:val="00467E58"/>
    <w:rsid w:val="00467FAA"/>
    <w:rsid w:val="00467FFC"/>
    <w:rsid w:val="00470031"/>
    <w:rsid w:val="004700AF"/>
    <w:rsid w:val="0047030E"/>
    <w:rsid w:val="0047041D"/>
    <w:rsid w:val="004707D6"/>
    <w:rsid w:val="00470B1D"/>
    <w:rsid w:val="00470D18"/>
    <w:rsid w:val="00470F57"/>
    <w:rsid w:val="0047102C"/>
    <w:rsid w:val="00471161"/>
    <w:rsid w:val="004711CD"/>
    <w:rsid w:val="0047151E"/>
    <w:rsid w:val="00471868"/>
    <w:rsid w:val="00471B16"/>
    <w:rsid w:val="00471B50"/>
    <w:rsid w:val="00471BD5"/>
    <w:rsid w:val="00471C87"/>
    <w:rsid w:val="00472153"/>
    <w:rsid w:val="00472155"/>
    <w:rsid w:val="0047239D"/>
    <w:rsid w:val="0047245C"/>
    <w:rsid w:val="00472465"/>
    <w:rsid w:val="00472807"/>
    <w:rsid w:val="00472866"/>
    <w:rsid w:val="00472A7A"/>
    <w:rsid w:val="00472BB9"/>
    <w:rsid w:val="00472D9E"/>
    <w:rsid w:val="00473214"/>
    <w:rsid w:val="00473405"/>
    <w:rsid w:val="0047349E"/>
    <w:rsid w:val="00473717"/>
    <w:rsid w:val="004738CB"/>
    <w:rsid w:val="004738F7"/>
    <w:rsid w:val="00473935"/>
    <w:rsid w:val="00473A0E"/>
    <w:rsid w:val="00473A6C"/>
    <w:rsid w:val="00473D60"/>
    <w:rsid w:val="00473EC6"/>
    <w:rsid w:val="00474437"/>
    <w:rsid w:val="0047457D"/>
    <w:rsid w:val="00474709"/>
    <w:rsid w:val="00474BEC"/>
    <w:rsid w:val="00474E90"/>
    <w:rsid w:val="00474F03"/>
    <w:rsid w:val="00475053"/>
    <w:rsid w:val="004750E2"/>
    <w:rsid w:val="004753C4"/>
    <w:rsid w:val="004753F4"/>
    <w:rsid w:val="00475849"/>
    <w:rsid w:val="0047592B"/>
    <w:rsid w:val="004759EC"/>
    <w:rsid w:val="00475AFC"/>
    <w:rsid w:val="00475D63"/>
    <w:rsid w:val="00475E7A"/>
    <w:rsid w:val="0047635D"/>
    <w:rsid w:val="00476425"/>
    <w:rsid w:val="00476711"/>
    <w:rsid w:val="004767BE"/>
    <w:rsid w:val="0047689B"/>
    <w:rsid w:val="00476AB0"/>
    <w:rsid w:val="00476BB5"/>
    <w:rsid w:val="004771BF"/>
    <w:rsid w:val="004772AC"/>
    <w:rsid w:val="00477631"/>
    <w:rsid w:val="00477975"/>
    <w:rsid w:val="00477D9B"/>
    <w:rsid w:val="0048001E"/>
    <w:rsid w:val="00480173"/>
    <w:rsid w:val="00480B68"/>
    <w:rsid w:val="00480B72"/>
    <w:rsid w:val="00480E45"/>
    <w:rsid w:val="00480E46"/>
    <w:rsid w:val="00481225"/>
    <w:rsid w:val="0048131F"/>
    <w:rsid w:val="004813B3"/>
    <w:rsid w:val="004814A1"/>
    <w:rsid w:val="004816B2"/>
    <w:rsid w:val="0048198B"/>
    <w:rsid w:val="00481A23"/>
    <w:rsid w:val="00481C46"/>
    <w:rsid w:val="00481F8D"/>
    <w:rsid w:val="00482001"/>
    <w:rsid w:val="00482138"/>
    <w:rsid w:val="004824C5"/>
    <w:rsid w:val="004829E6"/>
    <w:rsid w:val="00482BD5"/>
    <w:rsid w:val="00482BDE"/>
    <w:rsid w:val="00482C59"/>
    <w:rsid w:val="00482CB3"/>
    <w:rsid w:val="00482E4F"/>
    <w:rsid w:val="00483022"/>
    <w:rsid w:val="004830C8"/>
    <w:rsid w:val="004831A9"/>
    <w:rsid w:val="004836B8"/>
    <w:rsid w:val="004838D7"/>
    <w:rsid w:val="00483B40"/>
    <w:rsid w:val="00483C6D"/>
    <w:rsid w:val="00483D75"/>
    <w:rsid w:val="0048412E"/>
    <w:rsid w:val="00484273"/>
    <w:rsid w:val="004847CB"/>
    <w:rsid w:val="00484937"/>
    <w:rsid w:val="00484A58"/>
    <w:rsid w:val="004852F4"/>
    <w:rsid w:val="0048552D"/>
    <w:rsid w:val="004855D7"/>
    <w:rsid w:val="0048585C"/>
    <w:rsid w:val="00485CDE"/>
    <w:rsid w:val="00485D08"/>
    <w:rsid w:val="00485FCD"/>
    <w:rsid w:val="0048641F"/>
    <w:rsid w:val="00486603"/>
    <w:rsid w:val="00486C0B"/>
    <w:rsid w:val="00486CB5"/>
    <w:rsid w:val="00486D4F"/>
    <w:rsid w:val="00486D50"/>
    <w:rsid w:val="00486D7F"/>
    <w:rsid w:val="00486F13"/>
    <w:rsid w:val="00487009"/>
    <w:rsid w:val="00487069"/>
    <w:rsid w:val="004870C9"/>
    <w:rsid w:val="004871B7"/>
    <w:rsid w:val="00487659"/>
    <w:rsid w:val="00487A90"/>
    <w:rsid w:val="00487D7A"/>
    <w:rsid w:val="00487DFF"/>
    <w:rsid w:val="00487F5F"/>
    <w:rsid w:val="00490293"/>
    <w:rsid w:val="004907D3"/>
    <w:rsid w:val="004907F2"/>
    <w:rsid w:val="004908E5"/>
    <w:rsid w:val="004909B7"/>
    <w:rsid w:val="00490E8E"/>
    <w:rsid w:val="00491088"/>
    <w:rsid w:val="00491432"/>
    <w:rsid w:val="0049143C"/>
    <w:rsid w:val="00491A0A"/>
    <w:rsid w:val="00491E7D"/>
    <w:rsid w:val="00491FDA"/>
    <w:rsid w:val="0049203F"/>
    <w:rsid w:val="00492284"/>
    <w:rsid w:val="00492373"/>
    <w:rsid w:val="004924A9"/>
    <w:rsid w:val="00492788"/>
    <w:rsid w:val="00492A71"/>
    <w:rsid w:val="00492AA1"/>
    <w:rsid w:val="00492D47"/>
    <w:rsid w:val="00492DA2"/>
    <w:rsid w:val="00492E70"/>
    <w:rsid w:val="00492E75"/>
    <w:rsid w:val="004934CD"/>
    <w:rsid w:val="00493B0F"/>
    <w:rsid w:val="00493B38"/>
    <w:rsid w:val="00493B68"/>
    <w:rsid w:val="00493BA4"/>
    <w:rsid w:val="00493CCF"/>
    <w:rsid w:val="0049439A"/>
    <w:rsid w:val="00494683"/>
    <w:rsid w:val="004949AD"/>
    <w:rsid w:val="00494E20"/>
    <w:rsid w:val="00494F75"/>
    <w:rsid w:val="00495054"/>
    <w:rsid w:val="004951BE"/>
    <w:rsid w:val="0049526A"/>
    <w:rsid w:val="00495557"/>
    <w:rsid w:val="00495658"/>
    <w:rsid w:val="00495748"/>
    <w:rsid w:val="004958A4"/>
    <w:rsid w:val="00495BB5"/>
    <w:rsid w:val="00495C30"/>
    <w:rsid w:val="00495C92"/>
    <w:rsid w:val="00495D27"/>
    <w:rsid w:val="00495D65"/>
    <w:rsid w:val="00495D8E"/>
    <w:rsid w:val="00495E63"/>
    <w:rsid w:val="00495F0C"/>
    <w:rsid w:val="00496031"/>
    <w:rsid w:val="004961B3"/>
    <w:rsid w:val="004961E7"/>
    <w:rsid w:val="0049622B"/>
    <w:rsid w:val="004962EB"/>
    <w:rsid w:val="00496865"/>
    <w:rsid w:val="00497272"/>
    <w:rsid w:val="00497671"/>
    <w:rsid w:val="0049782B"/>
    <w:rsid w:val="00497C2A"/>
    <w:rsid w:val="00497C74"/>
    <w:rsid w:val="00497CAB"/>
    <w:rsid w:val="004A0116"/>
    <w:rsid w:val="004A011E"/>
    <w:rsid w:val="004A03A0"/>
    <w:rsid w:val="004A03D9"/>
    <w:rsid w:val="004A05E1"/>
    <w:rsid w:val="004A07DF"/>
    <w:rsid w:val="004A09C8"/>
    <w:rsid w:val="004A0C18"/>
    <w:rsid w:val="004A108C"/>
    <w:rsid w:val="004A12D0"/>
    <w:rsid w:val="004A13B4"/>
    <w:rsid w:val="004A15F8"/>
    <w:rsid w:val="004A162D"/>
    <w:rsid w:val="004A1826"/>
    <w:rsid w:val="004A1A6D"/>
    <w:rsid w:val="004A1D9F"/>
    <w:rsid w:val="004A1F03"/>
    <w:rsid w:val="004A1FF3"/>
    <w:rsid w:val="004A2079"/>
    <w:rsid w:val="004A21D5"/>
    <w:rsid w:val="004A22D4"/>
    <w:rsid w:val="004A2355"/>
    <w:rsid w:val="004A23F0"/>
    <w:rsid w:val="004A272C"/>
    <w:rsid w:val="004A2748"/>
    <w:rsid w:val="004A2805"/>
    <w:rsid w:val="004A2F7C"/>
    <w:rsid w:val="004A3254"/>
    <w:rsid w:val="004A3261"/>
    <w:rsid w:val="004A34F8"/>
    <w:rsid w:val="004A3878"/>
    <w:rsid w:val="004A3E7B"/>
    <w:rsid w:val="004A3FB2"/>
    <w:rsid w:val="004A4356"/>
    <w:rsid w:val="004A4627"/>
    <w:rsid w:val="004A4629"/>
    <w:rsid w:val="004A4774"/>
    <w:rsid w:val="004A4B32"/>
    <w:rsid w:val="004A4CFD"/>
    <w:rsid w:val="004A537E"/>
    <w:rsid w:val="004A545D"/>
    <w:rsid w:val="004A5541"/>
    <w:rsid w:val="004A5660"/>
    <w:rsid w:val="004A5E07"/>
    <w:rsid w:val="004A5F03"/>
    <w:rsid w:val="004A5F07"/>
    <w:rsid w:val="004A6334"/>
    <w:rsid w:val="004A643D"/>
    <w:rsid w:val="004A6C66"/>
    <w:rsid w:val="004A6CA7"/>
    <w:rsid w:val="004A713E"/>
    <w:rsid w:val="004A72C3"/>
    <w:rsid w:val="004A73E9"/>
    <w:rsid w:val="004A7680"/>
    <w:rsid w:val="004A77AA"/>
    <w:rsid w:val="004A77B4"/>
    <w:rsid w:val="004A79E6"/>
    <w:rsid w:val="004B028E"/>
    <w:rsid w:val="004B038D"/>
    <w:rsid w:val="004B06B6"/>
    <w:rsid w:val="004B08AF"/>
    <w:rsid w:val="004B0A61"/>
    <w:rsid w:val="004B0AEA"/>
    <w:rsid w:val="004B0BD9"/>
    <w:rsid w:val="004B0E7C"/>
    <w:rsid w:val="004B105B"/>
    <w:rsid w:val="004B14A4"/>
    <w:rsid w:val="004B14E1"/>
    <w:rsid w:val="004B15AD"/>
    <w:rsid w:val="004B15F1"/>
    <w:rsid w:val="004B17CB"/>
    <w:rsid w:val="004B1891"/>
    <w:rsid w:val="004B18BE"/>
    <w:rsid w:val="004B203E"/>
    <w:rsid w:val="004B20F7"/>
    <w:rsid w:val="004B277F"/>
    <w:rsid w:val="004B28A2"/>
    <w:rsid w:val="004B2BFD"/>
    <w:rsid w:val="004B33B9"/>
    <w:rsid w:val="004B340E"/>
    <w:rsid w:val="004B3420"/>
    <w:rsid w:val="004B35AA"/>
    <w:rsid w:val="004B37E4"/>
    <w:rsid w:val="004B399F"/>
    <w:rsid w:val="004B39D5"/>
    <w:rsid w:val="004B39F4"/>
    <w:rsid w:val="004B42FD"/>
    <w:rsid w:val="004B438E"/>
    <w:rsid w:val="004B440A"/>
    <w:rsid w:val="004B496B"/>
    <w:rsid w:val="004B4A44"/>
    <w:rsid w:val="004B4BEA"/>
    <w:rsid w:val="004B50E8"/>
    <w:rsid w:val="004B5595"/>
    <w:rsid w:val="004B55C8"/>
    <w:rsid w:val="004B5888"/>
    <w:rsid w:val="004B5CC1"/>
    <w:rsid w:val="004B5DB8"/>
    <w:rsid w:val="004B5F0D"/>
    <w:rsid w:val="004B60AC"/>
    <w:rsid w:val="004B612F"/>
    <w:rsid w:val="004B6485"/>
    <w:rsid w:val="004B6618"/>
    <w:rsid w:val="004B6819"/>
    <w:rsid w:val="004B6840"/>
    <w:rsid w:val="004B6B02"/>
    <w:rsid w:val="004B6C88"/>
    <w:rsid w:val="004B6D63"/>
    <w:rsid w:val="004B71A4"/>
    <w:rsid w:val="004B7EC1"/>
    <w:rsid w:val="004C039F"/>
    <w:rsid w:val="004C0571"/>
    <w:rsid w:val="004C093C"/>
    <w:rsid w:val="004C0BC9"/>
    <w:rsid w:val="004C0DF1"/>
    <w:rsid w:val="004C0DF8"/>
    <w:rsid w:val="004C0E96"/>
    <w:rsid w:val="004C0EF6"/>
    <w:rsid w:val="004C1479"/>
    <w:rsid w:val="004C14A0"/>
    <w:rsid w:val="004C1697"/>
    <w:rsid w:val="004C1747"/>
    <w:rsid w:val="004C1A61"/>
    <w:rsid w:val="004C1D49"/>
    <w:rsid w:val="004C1E97"/>
    <w:rsid w:val="004C2009"/>
    <w:rsid w:val="004C2076"/>
    <w:rsid w:val="004C236F"/>
    <w:rsid w:val="004C243B"/>
    <w:rsid w:val="004C246F"/>
    <w:rsid w:val="004C2683"/>
    <w:rsid w:val="004C26BA"/>
    <w:rsid w:val="004C27DD"/>
    <w:rsid w:val="004C2843"/>
    <w:rsid w:val="004C28D5"/>
    <w:rsid w:val="004C2ECD"/>
    <w:rsid w:val="004C3089"/>
    <w:rsid w:val="004C35D2"/>
    <w:rsid w:val="004C3944"/>
    <w:rsid w:val="004C394D"/>
    <w:rsid w:val="004C39B3"/>
    <w:rsid w:val="004C3B48"/>
    <w:rsid w:val="004C3D8F"/>
    <w:rsid w:val="004C44E0"/>
    <w:rsid w:val="004C44E5"/>
    <w:rsid w:val="004C4550"/>
    <w:rsid w:val="004C4814"/>
    <w:rsid w:val="004C48EC"/>
    <w:rsid w:val="004C4A8E"/>
    <w:rsid w:val="004C4F0A"/>
    <w:rsid w:val="004C4FC4"/>
    <w:rsid w:val="004C50E9"/>
    <w:rsid w:val="004C5230"/>
    <w:rsid w:val="004C53F2"/>
    <w:rsid w:val="004C55A3"/>
    <w:rsid w:val="004C5831"/>
    <w:rsid w:val="004C5D9F"/>
    <w:rsid w:val="004C5E4F"/>
    <w:rsid w:val="004C5E76"/>
    <w:rsid w:val="004C602B"/>
    <w:rsid w:val="004C61E2"/>
    <w:rsid w:val="004C648E"/>
    <w:rsid w:val="004C66F5"/>
    <w:rsid w:val="004C67F9"/>
    <w:rsid w:val="004C6804"/>
    <w:rsid w:val="004C6A3A"/>
    <w:rsid w:val="004C6ADB"/>
    <w:rsid w:val="004C6BE0"/>
    <w:rsid w:val="004C6D24"/>
    <w:rsid w:val="004C7154"/>
    <w:rsid w:val="004C7503"/>
    <w:rsid w:val="004C76F3"/>
    <w:rsid w:val="004C776E"/>
    <w:rsid w:val="004C77D9"/>
    <w:rsid w:val="004C7921"/>
    <w:rsid w:val="004C7B8C"/>
    <w:rsid w:val="004C7F3E"/>
    <w:rsid w:val="004D05F3"/>
    <w:rsid w:val="004D08BF"/>
    <w:rsid w:val="004D0B9F"/>
    <w:rsid w:val="004D0C77"/>
    <w:rsid w:val="004D0DD6"/>
    <w:rsid w:val="004D0FF1"/>
    <w:rsid w:val="004D1027"/>
    <w:rsid w:val="004D13B6"/>
    <w:rsid w:val="004D156A"/>
    <w:rsid w:val="004D1B28"/>
    <w:rsid w:val="004D1D5E"/>
    <w:rsid w:val="004D1E00"/>
    <w:rsid w:val="004D1FEF"/>
    <w:rsid w:val="004D238F"/>
    <w:rsid w:val="004D323C"/>
    <w:rsid w:val="004D35C6"/>
    <w:rsid w:val="004D378E"/>
    <w:rsid w:val="004D3797"/>
    <w:rsid w:val="004D3A2C"/>
    <w:rsid w:val="004D3B94"/>
    <w:rsid w:val="004D3BF7"/>
    <w:rsid w:val="004D3E24"/>
    <w:rsid w:val="004D3FDF"/>
    <w:rsid w:val="004D4312"/>
    <w:rsid w:val="004D4544"/>
    <w:rsid w:val="004D4647"/>
    <w:rsid w:val="004D4C47"/>
    <w:rsid w:val="004D5477"/>
    <w:rsid w:val="004D5745"/>
    <w:rsid w:val="004D5CD9"/>
    <w:rsid w:val="004D5E82"/>
    <w:rsid w:val="004D5F42"/>
    <w:rsid w:val="004D602D"/>
    <w:rsid w:val="004D6687"/>
    <w:rsid w:val="004D6CF4"/>
    <w:rsid w:val="004D6E44"/>
    <w:rsid w:val="004D6EDA"/>
    <w:rsid w:val="004D6EE2"/>
    <w:rsid w:val="004D6F65"/>
    <w:rsid w:val="004D76BF"/>
    <w:rsid w:val="004D771F"/>
    <w:rsid w:val="004D7841"/>
    <w:rsid w:val="004D79F3"/>
    <w:rsid w:val="004D7B81"/>
    <w:rsid w:val="004E00C1"/>
    <w:rsid w:val="004E0480"/>
    <w:rsid w:val="004E0734"/>
    <w:rsid w:val="004E07AA"/>
    <w:rsid w:val="004E0DAB"/>
    <w:rsid w:val="004E0E58"/>
    <w:rsid w:val="004E0E80"/>
    <w:rsid w:val="004E0E9C"/>
    <w:rsid w:val="004E1294"/>
    <w:rsid w:val="004E1447"/>
    <w:rsid w:val="004E18DF"/>
    <w:rsid w:val="004E1905"/>
    <w:rsid w:val="004E1992"/>
    <w:rsid w:val="004E1C79"/>
    <w:rsid w:val="004E1FDF"/>
    <w:rsid w:val="004E2138"/>
    <w:rsid w:val="004E21C6"/>
    <w:rsid w:val="004E22A4"/>
    <w:rsid w:val="004E2726"/>
    <w:rsid w:val="004E281C"/>
    <w:rsid w:val="004E283A"/>
    <w:rsid w:val="004E2A17"/>
    <w:rsid w:val="004E2ADF"/>
    <w:rsid w:val="004E2CE5"/>
    <w:rsid w:val="004E2E35"/>
    <w:rsid w:val="004E3543"/>
    <w:rsid w:val="004E366E"/>
    <w:rsid w:val="004E39FA"/>
    <w:rsid w:val="004E3AE0"/>
    <w:rsid w:val="004E3C70"/>
    <w:rsid w:val="004E3EFB"/>
    <w:rsid w:val="004E4161"/>
    <w:rsid w:val="004E438B"/>
    <w:rsid w:val="004E443C"/>
    <w:rsid w:val="004E451A"/>
    <w:rsid w:val="004E48F1"/>
    <w:rsid w:val="004E4B90"/>
    <w:rsid w:val="004E4F11"/>
    <w:rsid w:val="004E53E0"/>
    <w:rsid w:val="004E5A51"/>
    <w:rsid w:val="004E5A77"/>
    <w:rsid w:val="004E5AD2"/>
    <w:rsid w:val="004E5C72"/>
    <w:rsid w:val="004E5FFF"/>
    <w:rsid w:val="004E6091"/>
    <w:rsid w:val="004E6617"/>
    <w:rsid w:val="004E6625"/>
    <w:rsid w:val="004E6929"/>
    <w:rsid w:val="004E698C"/>
    <w:rsid w:val="004E6EB9"/>
    <w:rsid w:val="004E74E2"/>
    <w:rsid w:val="004E7CA9"/>
    <w:rsid w:val="004E7CE1"/>
    <w:rsid w:val="004E7D7E"/>
    <w:rsid w:val="004E7EB3"/>
    <w:rsid w:val="004E7FA9"/>
    <w:rsid w:val="004F0057"/>
    <w:rsid w:val="004F0144"/>
    <w:rsid w:val="004F01C3"/>
    <w:rsid w:val="004F01DD"/>
    <w:rsid w:val="004F0776"/>
    <w:rsid w:val="004F0C08"/>
    <w:rsid w:val="004F0D65"/>
    <w:rsid w:val="004F0D81"/>
    <w:rsid w:val="004F0FC9"/>
    <w:rsid w:val="004F10BF"/>
    <w:rsid w:val="004F1AC2"/>
    <w:rsid w:val="004F1FAC"/>
    <w:rsid w:val="004F1FBB"/>
    <w:rsid w:val="004F1FE4"/>
    <w:rsid w:val="004F212A"/>
    <w:rsid w:val="004F217D"/>
    <w:rsid w:val="004F2D15"/>
    <w:rsid w:val="004F3127"/>
    <w:rsid w:val="004F313B"/>
    <w:rsid w:val="004F34D9"/>
    <w:rsid w:val="004F38E8"/>
    <w:rsid w:val="004F3B07"/>
    <w:rsid w:val="004F3B17"/>
    <w:rsid w:val="004F3D83"/>
    <w:rsid w:val="004F3E85"/>
    <w:rsid w:val="004F4071"/>
    <w:rsid w:val="004F41DE"/>
    <w:rsid w:val="004F4638"/>
    <w:rsid w:val="004F4655"/>
    <w:rsid w:val="004F481D"/>
    <w:rsid w:val="004F498B"/>
    <w:rsid w:val="004F4990"/>
    <w:rsid w:val="004F4C1A"/>
    <w:rsid w:val="004F514F"/>
    <w:rsid w:val="004F58C9"/>
    <w:rsid w:val="004F5A1A"/>
    <w:rsid w:val="004F5AA1"/>
    <w:rsid w:val="004F5AE3"/>
    <w:rsid w:val="004F5B97"/>
    <w:rsid w:val="004F6187"/>
    <w:rsid w:val="004F68F7"/>
    <w:rsid w:val="004F6C03"/>
    <w:rsid w:val="004F6E44"/>
    <w:rsid w:val="004F7584"/>
    <w:rsid w:val="004F7A0A"/>
    <w:rsid w:val="004F7A2C"/>
    <w:rsid w:val="004F7FEF"/>
    <w:rsid w:val="005001D7"/>
    <w:rsid w:val="00500369"/>
    <w:rsid w:val="00500412"/>
    <w:rsid w:val="00500480"/>
    <w:rsid w:val="005008E5"/>
    <w:rsid w:val="00500B0C"/>
    <w:rsid w:val="00500DB5"/>
    <w:rsid w:val="00500DDC"/>
    <w:rsid w:val="00501282"/>
    <w:rsid w:val="005013AF"/>
    <w:rsid w:val="0050144E"/>
    <w:rsid w:val="005015B1"/>
    <w:rsid w:val="005016F1"/>
    <w:rsid w:val="00501B32"/>
    <w:rsid w:val="00501CE9"/>
    <w:rsid w:val="00501E42"/>
    <w:rsid w:val="00501E71"/>
    <w:rsid w:val="0050214A"/>
    <w:rsid w:val="00502387"/>
    <w:rsid w:val="00502D0D"/>
    <w:rsid w:val="00502D67"/>
    <w:rsid w:val="00502F22"/>
    <w:rsid w:val="0050310D"/>
    <w:rsid w:val="0050345A"/>
    <w:rsid w:val="005035BF"/>
    <w:rsid w:val="0050397D"/>
    <w:rsid w:val="0050461E"/>
    <w:rsid w:val="005049A3"/>
    <w:rsid w:val="005052B3"/>
    <w:rsid w:val="005055E5"/>
    <w:rsid w:val="005057EA"/>
    <w:rsid w:val="00505A5D"/>
    <w:rsid w:val="00505B38"/>
    <w:rsid w:val="00505D76"/>
    <w:rsid w:val="005062A4"/>
    <w:rsid w:val="0050661D"/>
    <w:rsid w:val="0050681E"/>
    <w:rsid w:val="005069A8"/>
    <w:rsid w:val="00506C13"/>
    <w:rsid w:val="00506CFE"/>
    <w:rsid w:val="00507067"/>
    <w:rsid w:val="00507367"/>
    <w:rsid w:val="00507380"/>
    <w:rsid w:val="005074C9"/>
    <w:rsid w:val="005075AB"/>
    <w:rsid w:val="005078B3"/>
    <w:rsid w:val="00507918"/>
    <w:rsid w:val="00507ABB"/>
    <w:rsid w:val="00507D22"/>
    <w:rsid w:val="00510059"/>
    <w:rsid w:val="0051085D"/>
    <w:rsid w:val="005108B1"/>
    <w:rsid w:val="00510991"/>
    <w:rsid w:val="005109F2"/>
    <w:rsid w:val="00510B8E"/>
    <w:rsid w:val="00510BAA"/>
    <w:rsid w:val="00510E9B"/>
    <w:rsid w:val="00510F84"/>
    <w:rsid w:val="00510FAF"/>
    <w:rsid w:val="00510FF4"/>
    <w:rsid w:val="0051108C"/>
    <w:rsid w:val="00511288"/>
    <w:rsid w:val="00511343"/>
    <w:rsid w:val="0051152C"/>
    <w:rsid w:val="0051194C"/>
    <w:rsid w:val="00511E58"/>
    <w:rsid w:val="005120EA"/>
    <w:rsid w:val="0051212A"/>
    <w:rsid w:val="00512267"/>
    <w:rsid w:val="00512314"/>
    <w:rsid w:val="005123D3"/>
    <w:rsid w:val="00512A6D"/>
    <w:rsid w:val="00512BA1"/>
    <w:rsid w:val="00513395"/>
    <w:rsid w:val="0051347D"/>
    <w:rsid w:val="0051349F"/>
    <w:rsid w:val="00513851"/>
    <w:rsid w:val="00513877"/>
    <w:rsid w:val="0051391D"/>
    <w:rsid w:val="00513BF5"/>
    <w:rsid w:val="00513CF8"/>
    <w:rsid w:val="005140E6"/>
    <w:rsid w:val="0051411E"/>
    <w:rsid w:val="005145C5"/>
    <w:rsid w:val="00514730"/>
    <w:rsid w:val="005147BB"/>
    <w:rsid w:val="005147F4"/>
    <w:rsid w:val="00514A3A"/>
    <w:rsid w:val="00514E17"/>
    <w:rsid w:val="005152C9"/>
    <w:rsid w:val="0051551E"/>
    <w:rsid w:val="0051560D"/>
    <w:rsid w:val="00515737"/>
    <w:rsid w:val="0051587A"/>
    <w:rsid w:val="00516066"/>
    <w:rsid w:val="00516265"/>
    <w:rsid w:val="00516D9F"/>
    <w:rsid w:val="00516DBA"/>
    <w:rsid w:val="00516E9F"/>
    <w:rsid w:val="00516F49"/>
    <w:rsid w:val="00516FE4"/>
    <w:rsid w:val="0051702A"/>
    <w:rsid w:val="00517357"/>
    <w:rsid w:val="005175AE"/>
    <w:rsid w:val="0051783B"/>
    <w:rsid w:val="00517B20"/>
    <w:rsid w:val="00517CB7"/>
    <w:rsid w:val="00520154"/>
    <w:rsid w:val="005202BD"/>
    <w:rsid w:val="005204F4"/>
    <w:rsid w:val="005207FC"/>
    <w:rsid w:val="00520D7C"/>
    <w:rsid w:val="00521034"/>
    <w:rsid w:val="005214ED"/>
    <w:rsid w:val="0052164E"/>
    <w:rsid w:val="0052187E"/>
    <w:rsid w:val="005219B7"/>
    <w:rsid w:val="00521AB9"/>
    <w:rsid w:val="0052209B"/>
    <w:rsid w:val="005221B2"/>
    <w:rsid w:val="005223A5"/>
    <w:rsid w:val="0052243A"/>
    <w:rsid w:val="0052299E"/>
    <w:rsid w:val="00522DDE"/>
    <w:rsid w:val="0052304E"/>
    <w:rsid w:val="00523157"/>
    <w:rsid w:val="0052349A"/>
    <w:rsid w:val="005235CB"/>
    <w:rsid w:val="005236AB"/>
    <w:rsid w:val="005237B8"/>
    <w:rsid w:val="005237BA"/>
    <w:rsid w:val="00523843"/>
    <w:rsid w:val="00523A83"/>
    <w:rsid w:val="00523AEC"/>
    <w:rsid w:val="00523E19"/>
    <w:rsid w:val="00523F25"/>
    <w:rsid w:val="00524136"/>
    <w:rsid w:val="00524150"/>
    <w:rsid w:val="00524370"/>
    <w:rsid w:val="005244C5"/>
    <w:rsid w:val="00524693"/>
    <w:rsid w:val="005246B0"/>
    <w:rsid w:val="0052474E"/>
    <w:rsid w:val="005249E8"/>
    <w:rsid w:val="00524C6A"/>
    <w:rsid w:val="00524F60"/>
    <w:rsid w:val="005256E5"/>
    <w:rsid w:val="00525992"/>
    <w:rsid w:val="00525A0D"/>
    <w:rsid w:val="005260C5"/>
    <w:rsid w:val="0052615C"/>
    <w:rsid w:val="00526293"/>
    <w:rsid w:val="0052643B"/>
    <w:rsid w:val="005267DC"/>
    <w:rsid w:val="00526827"/>
    <w:rsid w:val="00526BD8"/>
    <w:rsid w:val="00526CA2"/>
    <w:rsid w:val="00526CA6"/>
    <w:rsid w:val="00526CA8"/>
    <w:rsid w:val="00526CCF"/>
    <w:rsid w:val="00526D49"/>
    <w:rsid w:val="00526E1F"/>
    <w:rsid w:val="00526EBD"/>
    <w:rsid w:val="005272D7"/>
    <w:rsid w:val="0052734A"/>
    <w:rsid w:val="005273F0"/>
    <w:rsid w:val="00527995"/>
    <w:rsid w:val="00527B51"/>
    <w:rsid w:val="00527CA2"/>
    <w:rsid w:val="0053006E"/>
    <w:rsid w:val="005300DA"/>
    <w:rsid w:val="00530157"/>
    <w:rsid w:val="00530208"/>
    <w:rsid w:val="00530472"/>
    <w:rsid w:val="005308E1"/>
    <w:rsid w:val="00530A79"/>
    <w:rsid w:val="00530BE4"/>
    <w:rsid w:val="00530CAC"/>
    <w:rsid w:val="00531062"/>
    <w:rsid w:val="00531595"/>
    <w:rsid w:val="00531B26"/>
    <w:rsid w:val="0053232E"/>
    <w:rsid w:val="005323F1"/>
    <w:rsid w:val="005328B7"/>
    <w:rsid w:val="00532B79"/>
    <w:rsid w:val="00532BDF"/>
    <w:rsid w:val="00532D8A"/>
    <w:rsid w:val="005332CE"/>
    <w:rsid w:val="00533353"/>
    <w:rsid w:val="005337E4"/>
    <w:rsid w:val="00533922"/>
    <w:rsid w:val="00533E9B"/>
    <w:rsid w:val="00533FA2"/>
    <w:rsid w:val="00533FA7"/>
    <w:rsid w:val="00533FDB"/>
    <w:rsid w:val="00534343"/>
    <w:rsid w:val="00534644"/>
    <w:rsid w:val="00534757"/>
    <w:rsid w:val="00535205"/>
    <w:rsid w:val="00535232"/>
    <w:rsid w:val="00535388"/>
    <w:rsid w:val="005358B3"/>
    <w:rsid w:val="00535B25"/>
    <w:rsid w:val="00535C32"/>
    <w:rsid w:val="00535D4D"/>
    <w:rsid w:val="00536069"/>
    <w:rsid w:val="0053639C"/>
    <w:rsid w:val="005365AA"/>
    <w:rsid w:val="00536692"/>
    <w:rsid w:val="00536975"/>
    <w:rsid w:val="0053698E"/>
    <w:rsid w:val="00536B68"/>
    <w:rsid w:val="00536B76"/>
    <w:rsid w:val="00536D4D"/>
    <w:rsid w:val="00537035"/>
    <w:rsid w:val="0053779B"/>
    <w:rsid w:val="00537854"/>
    <w:rsid w:val="005378AA"/>
    <w:rsid w:val="00537C42"/>
    <w:rsid w:val="00537C61"/>
    <w:rsid w:val="00537CF6"/>
    <w:rsid w:val="00537D43"/>
    <w:rsid w:val="00537E7F"/>
    <w:rsid w:val="005400BC"/>
    <w:rsid w:val="00540304"/>
    <w:rsid w:val="00540437"/>
    <w:rsid w:val="00540AF1"/>
    <w:rsid w:val="00540D35"/>
    <w:rsid w:val="00540F30"/>
    <w:rsid w:val="00540F4B"/>
    <w:rsid w:val="0054144C"/>
    <w:rsid w:val="00541B3F"/>
    <w:rsid w:val="00541CB8"/>
    <w:rsid w:val="005427AE"/>
    <w:rsid w:val="005427D7"/>
    <w:rsid w:val="005428BB"/>
    <w:rsid w:val="00542B93"/>
    <w:rsid w:val="00543466"/>
    <w:rsid w:val="00543717"/>
    <w:rsid w:val="00543A8D"/>
    <w:rsid w:val="00543B2D"/>
    <w:rsid w:val="00543F46"/>
    <w:rsid w:val="00543F92"/>
    <w:rsid w:val="00544082"/>
    <w:rsid w:val="00544918"/>
    <w:rsid w:val="00544928"/>
    <w:rsid w:val="0054498D"/>
    <w:rsid w:val="00544B77"/>
    <w:rsid w:val="00544E23"/>
    <w:rsid w:val="00545062"/>
    <w:rsid w:val="0054534A"/>
    <w:rsid w:val="0054540D"/>
    <w:rsid w:val="005459D3"/>
    <w:rsid w:val="00545C38"/>
    <w:rsid w:val="00545D61"/>
    <w:rsid w:val="005462CB"/>
    <w:rsid w:val="005462D1"/>
    <w:rsid w:val="00546375"/>
    <w:rsid w:val="0054653E"/>
    <w:rsid w:val="00546B02"/>
    <w:rsid w:val="00546D0E"/>
    <w:rsid w:val="00546D78"/>
    <w:rsid w:val="0054707A"/>
    <w:rsid w:val="005473EA"/>
    <w:rsid w:val="005475E1"/>
    <w:rsid w:val="0054763F"/>
    <w:rsid w:val="00547671"/>
    <w:rsid w:val="00547841"/>
    <w:rsid w:val="00547A50"/>
    <w:rsid w:val="00547A6D"/>
    <w:rsid w:val="00547DF0"/>
    <w:rsid w:val="00547F6E"/>
    <w:rsid w:val="005501E1"/>
    <w:rsid w:val="0055043E"/>
    <w:rsid w:val="0055050E"/>
    <w:rsid w:val="005508DC"/>
    <w:rsid w:val="00550BFF"/>
    <w:rsid w:val="00550CF4"/>
    <w:rsid w:val="00550F07"/>
    <w:rsid w:val="00550FC4"/>
    <w:rsid w:val="0055123F"/>
    <w:rsid w:val="00551288"/>
    <w:rsid w:val="005513E0"/>
    <w:rsid w:val="005514EE"/>
    <w:rsid w:val="005516B2"/>
    <w:rsid w:val="0055194B"/>
    <w:rsid w:val="00551A60"/>
    <w:rsid w:val="00551B63"/>
    <w:rsid w:val="00551D25"/>
    <w:rsid w:val="00551FED"/>
    <w:rsid w:val="005529BD"/>
    <w:rsid w:val="00552C21"/>
    <w:rsid w:val="00552DB9"/>
    <w:rsid w:val="00552E5E"/>
    <w:rsid w:val="00553081"/>
    <w:rsid w:val="005535AA"/>
    <w:rsid w:val="0055362B"/>
    <w:rsid w:val="005536A7"/>
    <w:rsid w:val="005537A2"/>
    <w:rsid w:val="00553DAD"/>
    <w:rsid w:val="00554758"/>
    <w:rsid w:val="00554A9B"/>
    <w:rsid w:val="00554ACD"/>
    <w:rsid w:val="00554C20"/>
    <w:rsid w:val="00554D72"/>
    <w:rsid w:val="00554DAD"/>
    <w:rsid w:val="00554FA2"/>
    <w:rsid w:val="005550E6"/>
    <w:rsid w:val="0055520C"/>
    <w:rsid w:val="005554BC"/>
    <w:rsid w:val="005558D9"/>
    <w:rsid w:val="00555B72"/>
    <w:rsid w:val="00555BD7"/>
    <w:rsid w:val="00555CF6"/>
    <w:rsid w:val="00556361"/>
    <w:rsid w:val="005564B8"/>
    <w:rsid w:val="005569FC"/>
    <w:rsid w:val="00556A21"/>
    <w:rsid w:val="00556CB1"/>
    <w:rsid w:val="00556E35"/>
    <w:rsid w:val="00556F11"/>
    <w:rsid w:val="00556FD5"/>
    <w:rsid w:val="005570F7"/>
    <w:rsid w:val="0055711F"/>
    <w:rsid w:val="00557270"/>
    <w:rsid w:val="00557359"/>
    <w:rsid w:val="00557827"/>
    <w:rsid w:val="00557B9E"/>
    <w:rsid w:val="00557DE4"/>
    <w:rsid w:val="00557F82"/>
    <w:rsid w:val="00560102"/>
    <w:rsid w:val="005606DA"/>
    <w:rsid w:val="005609D2"/>
    <w:rsid w:val="00560A3D"/>
    <w:rsid w:val="00560F0F"/>
    <w:rsid w:val="005610A0"/>
    <w:rsid w:val="005612D0"/>
    <w:rsid w:val="00561631"/>
    <w:rsid w:val="0056185C"/>
    <w:rsid w:val="00561E6D"/>
    <w:rsid w:val="00561F9C"/>
    <w:rsid w:val="005621A6"/>
    <w:rsid w:val="005623E8"/>
    <w:rsid w:val="005625F4"/>
    <w:rsid w:val="005626BF"/>
    <w:rsid w:val="005629B1"/>
    <w:rsid w:val="00562BBA"/>
    <w:rsid w:val="0056371A"/>
    <w:rsid w:val="00563955"/>
    <w:rsid w:val="005639FD"/>
    <w:rsid w:val="00563B74"/>
    <w:rsid w:val="00563D08"/>
    <w:rsid w:val="00563DFF"/>
    <w:rsid w:val="00563E54"/>
    <w:rsid w:val="00563F47"/>
    <w:rsid w:val="00563F55"/>
    <w:rsid w:val="00564021"/>
    <w:rsid w:val="005643B1"/>
    <w:rsid w:val="005647DB"/>
    <w:rsid w:val="005648E4"/>
    <w:rsid w:val="00565272"/>
    <w:rsid w:val="00565736"/>
    <w:rsid w:val="00565921"/>
    <w:rsid w:val="00565D02"/>
    <w:rsid w:val="00565F56"/>
    <w:rsid w:val="0056610C"/>
    <w:rsid w:val="0056637F"/>
    <w:rsid w:val="00566803"/>
    <w:rsid w:val="005668BB"/>
    <w:rsid w:val="0056697E"/>
    <w:rsid w:val="00566AB4"/>
    <w:rsid w:val="00566CD4"/>
    <w:rsid w:val="005670DA"/>
    <w:rsid w:val="0056743F"/>
    <w:rsid w:val="005675E9"/>
    <w:rsid w:val="00567602"/>
    <w:rsid w:val="0056777A"/>
    <w:rsid w:val="00567783"/>
    <w:rsid w:val="00567877"/>
    <w:rsid w:val="00567949"/>
    <w:rsid w:val="00567C85"/>
    <w:rsid w:val="00567E2F"/>
    <w:rsid w:val="00567FC5"/>
    <w:rsid w:val="00570010"/>
    <w:rsid w:val="00570129"/>
    <w:rsid w:val="00570147"/>
    <w:rsid w:val="005704F0"/>
    <w:rsid w:val="00570623"/>
    <w:rsid w:val="00570AEF"/>
    <w:rsid w:val="00570F91"/>
    <w:rsid w:val="005712A4"/>
    <w:rsid w:val="005715C0"/>
    <w:rsid w:val="005718A8"/>
    <w:rsid w:val="00571942"/>
    <w:rsid w:val="00571B5A"/>
    <w:rsid w:val="005721A4"/>
    <w:rsid w:val="00572203"/>
    <w:rsid w:val="005722BC"/>
    <w:rsid w:val="005723B6"/>
    <w:rsid w:val="005723BB"/>
    <w:rsid w:val="0057289B"/>
    <w:rsid w:val="005731E9"/>
    <w:rsid w:val="00573302"/>
    <w:rsid w:val="00573647"/>
    <w:rsid w:val="00573903"/>
    <w:rsid w:val="005739D7"/>
    <w:rsid w:val="00573B1A"/>
    <w:rsid w:val="00573D33"/>
    <w:rsid w:val="00573DC5"/>
    <w:rsid w:val="00574223"/>
    <w:rsid w:val="00574D66"/>
    <w:rsid w:val="00574E2E"/>
    <w:rsid w:val="00575284"/>
    <w:rsid w:val="0057546D"/>
    <w:rsid w:val="0057554A"/>
    <w:rsid w:val="00575822"/>
    <w:rsid w:val="00575973"/>
    <w:rsid w:val="00575E87"/>
    <w:rsid w:val="0057604C"/>
    <w:rsid w:val="00576147"/>
    <w:rsid w:val="00576436"/>
    <w:rsid w:val="00576564"/>
    <w:rsid w:val="005767C0"/>
    <w:rsid w:val="00576DD5"/>
    <w:rsid w:val="00576E83"/>
    <w:rsid w:val="00576EAA"/>
    <w:rsid w:val="00576FFD"/>
    <w:rsid w:val="0057719E"/>
    <w:rsid w:val="005773DC"/>
    <w:rsid w:val="00577618"/>
    <w:rsid w:val="005776CB"/>
    <w:rsid w:val="00577812"/>
    <w:rsid w:val="0057799A"/>
    <w:rsid w:val="005779D6"/>
    <w:rsid w:val="00577DE7"/>
    <w:rsid w:val="0058007E"/>
    <w:rsid w:val="0058019F"/>
    <w:rsid w:val="00580408"/>
    <w:rsid w:val="00580CCE"/>
    <w:rsid w:val="005814E6"/>
    <w:rsid w:val="0058172C"/>
    <w:rsid w:val="00581958"/>
    <w:rsid w:val="00581A42"/>
    <w:rsid w:val="00581C03"/>
    <w:rsid w:val="00581D7D"/>
    <w:rsid w:val="005821CC"/>
    <w:rsid w:val="00582D68"/>
    <w:rsid w:val="00582E7D"/>
    <w:rsid w:val="00582E8D"/>
    <w:rsid w:val="005833D3"/>
    <w:rsid w:val="00583454"/>
    <w:rsid w:val="00583944"/>
    <w:rsid w:val="00583E5F"/>
    <w:rsid w:val="00584205"/>
    <w:rsid w:val="00584757"/>
    <w:rsid w:val="00584838"/>
    <w:rsid w:val="00584BFE"/>
    <w:rsid w:val="00584D23"/>
    <w:rsid w:val="00584D98"/>
    <w:rsid w:val="00584EC4"/>
    <w:rsid w:val="00585172"/>
    <w:rsid w:val="00585537"/>
    <w:rsid w:val="005855E7"/>
    <w:rsid w:val="00585692"/>
    <w:rsid w:val="00585CF3"/>
    <w:rsid w:val="00585F57"/>
    <w:rsid w:val="00586025"/>
    <w:rsid w:val="005860DE"/>
    <w:rsid w:val="00586302"/>
    <w:rsid w:val="005864D9"/>
    <w:rsid w:val="0058654F"/>
    <w:rsid w:val="0058662C"/>
    <w:rsid w:val="0058693D"/>
    <w:rsid w:val="00586ACB"/>
    <w:rsid w:val="00586E61"/>
    <w:rsid w:val="00586F26"/>
    <w:rsid w:val="00587122"/>
    <w:rsid w:val="00587E8E"/>
    <w:rsid w:val="00590248"/>
    <w:rsid w:val="005903BF"/>
    <w:rsid w:val="005903FA"/>
    <w:rsid w:val="005906DF"/>
    <w:rsid w:val="0059077C"/>
    <w:rsid w:val="00590885"/>
    <w:rsid w:val="00591000"/>
    <w:rsid w:val="0059119C"/>
    <w:rsid w:val="005911E2"/>
    <w:rsid w:val="005916D5"/>
    <w:rsid w:val="005918AF"/>
    <w:rsid w:val="00591940"/>
    <w:rsid w:val="00591C6E"/>
    <w:rsid w:val="00591CC1"/>
    <w:rsid w:val="00591EF0"/>
    <w:rsid w:val="005926E2"/>
    <w:rsid w:val="00592AA8"/>
    <w:rsid w:val="005931F5"/>
    <w:rsid w:val="00593202"/>
    <w:rsid w:val="0059340C"/>
    <w:rsid w:val="00593546"/>
    <w:rsid w:val="005940A3"/>
    <w:rsid w:val="00594376"/>
    <w:rsid w:val="00594451"/>
    <w:rsid w:val="0059465D"/>
    <w:rsid w:val="005949B6"/>
    <w:rsid w:val="00594A50"/>
    <w:rsid w:val="005951D7"/>
    <w:rsid w:val="0059526A"/>
    <w:rsid w:val="005958A4"/>
    <w:rsid w:val="00595993"/>
    <w:rsid w:val="00595CF0"/>
    <w:rsid w:val="00595ECA"/>
    <w:rsid w:val="0059622C"/>
    <w:rsid w:val="0059629E"/>
    <w:rsid w:val="005967D4"/>
    <w:rsid w:val="0059681A"/>
    <w:rsid w:val="00596B26"/>
    <w:rsid w:val="00596B65"/>
    <w:rsid w:val="00596CA5"/>
    <w:rsid w:val="00596DEF"/>
    <w:rsid w:val="00597096"/>
    <w:rsid w:val="0059734D"/>
    <w:rsid w:val="00597394"/>
    <w:rsid w:val="0059741D"/>
    <w:rsid w:val="0059783C"/>
    <w:rsid w:val="00597C14"/>
    <w:rsid w:val="005A00C3"/>
    <w:rsid w:val="005A03EA"/>
    <w:rsid w:val="005A049F"/>
    <w:rsid w:val="005A05F8"/>
    <w:rsid w:val="005A0983"/>
    <w:rsid w:val="005A0C46"/>
    <w:rsid w:val="005A0D27"/>
    <w:rsid w:val="005A127B"/>
    <w:rsid w:val="005A12CE"/>
    <w:rsid w:val="005A14C5"/>
    <w:rsid w:val="005A16D2"/>
    <w:rsid w:val="005A19A2"/>
    <w:rsid w:val="005A19B3"/>
    <w:rsid w:val="005A1B49"/>
    <w:rsid w:val="005A1BD4"/>
    <w:rsid w:val="005A214D"/>
    <w:rsid w:val="005A2383"/>
    <w:rsid w:val="005A2C93"/>
    <w:rsid w:val="005A2D82"/>
    <w:rsid w:val="005A2DFD"/>
    <w:rsid w:val="005A2E96"/>
    <w:rsid w:val="005A3447"/>
    <w:rsid w:val="005A3602"/>
    <w:rsid w:val="005A36B6"/>
    <w:rsid w:val="005A3DA1"/>
    <w:rsid w:val="005A4487"/>
    <w:rsid w:val="005A4977"/>
    <w:rsid w:val="005A4A3A"/>
    <w:rsid w:val="005A4ECB"/>
    <w:rsid w:val="005A5135"/>
    <w:rsid w:val="005A54D4"/>
    <w:rsid w:val="005A5B14"/>
    <w:rsid w:val="005A5BDE"/>
    <w:rsid w:val="005A602F"/>
    <w:rsid w:val="005A60E0"/>
    <w:rsid w:val="005A633C"/>
    <w:rsid w:val="005A6BF6"/>
    <w:rsid w:val="005A6E15"/>
    <w:rsid w:val="005A6EFE"/>
    <w:rsid w:val="005A7074"/>
    <w:rsid w:val="005A7121"/>
    <w:rsid w:val="005A71D1"/>
    <w:rsid w:val="005A7276"/>
    <w:rsid w:val="005A74F7"/>
    <w:rsid w:val="005A756C"/>
    <w:rsid w:val="005A7869"/>
    <w:rsid w:val="005A7895"/>
    <w:rsid w:val="005A7B3C"/>
    <w:rsid w:val="005B0135"/>
    <w:rsid w:val="005B0157"/>
    <w:rsid w:val="005B045A"/>
    <w:rsid w:val="005B08D3"/>
    <w:rsid w:val="005B0963"/>
    <w:rsid w:val="005B0BE8"/>
    <w:rsid w:val="005B0C83"/>
    <w:rsid w:val="005B10C2"/>
    <w:rsid w:val="005B1338"/>
    <w:rsid w:val="005B141E"/>
    <w:rsid w:val="005B18B3"/>
    <w:rsid w:val="005B1AB3"/>
    <w:rsid w:val="005B1F12"/>
    <w:rsid w:val="005B20C7"/>
    <w:rsid w:val="005B215A"/>
    <w:rsid w:val="005B25EC"/>
    <w:rsid w:val="005B2820"/>
    <w:rsid w:val="005B2CBF"/>
    <w:rsid w:val="005B31C8"/>
    <w:rsid w:val="005B3204"/>
    <w:rsid w:val="005B363A"/>
    <w:rsid w:val="005B466D"/>
    <w:rsid w:val="005B4BB9"/>
    <w:rsid w:val="005B4EE9"/>
    <w:rsid w:val="005B4F48"/>
    <w:rsid w:val="005B5615"/>
    <w:rsid w:val="005B56F3"/>
    <w:rsid w:val="005B5751"/>
    <w:rsid w:val="005B57A5"/>
    <w:rsid w:val="005B5CB2"/>
    <w:rsid w:val="005B60C7"/>
    <w:rsid w:val="005B60D6"/>
    <w:rsid w:val="005B636A"/>
    <w:rsid w:val="005B640F"/>
    <w:rsid w:val="005B6763"/>
    <w:rsid w:val="005B69F0"/>
    <w:rsid w:val="005B6A18"/>
    <w:rsid w:val="005B7207"/>
    <w:rsid w:val="005B780A"/>
    <w:rsid w:val="005B7E45"/>
    <w:rsid w:val="005B7F65"/>
    <w:rsid w:val="005C0039"/>
    <w:rsid w:val="005C0448"/>
    <w:rsid w:val="005C0981"/>
    <w:rsid w:val="005C098F"/>
    <w:rsid w:val="005C0A8D"/>
    <w:rsid w:val="005C0BF7"/>
    <w:rsid w:val="005C0BFD"/>
    <w:rsid w:val="005C1164"/>
    <w:rsid w:val="005C1201"/>
    <w:rsid w:val="005C131D"/>
    <w:rsid w:val="005C1634"/>
    <w:rsid w:val="005C1AC5"/>
    <w:rsid w:val="005C1B7D"/>
    <w:rsid w:val="005C1DB5"/>
    <w:rsid w:val="005C22C3"/>
    <w:rsid w:val="005C2352"/>
    <w:rsid w:val="005C28BB"/>
    <w:rsid w:val="005C2956"/>
    <w:rsid w:val="005C2DD4"/>
    <w:rsid w:val="005C2E02"/>
    <w:rsid w:val="005C2E7C"/>
    <w:rsid w:val="005C2F04"/>
    <w:rsid w:val="005C3288"/>
    <w:rsid w:val="005C389C"/>
    <w:rsid w:val="005C3A23"/>
    <w:rsid w:val="005C3B0C"/>
    <w:rsid w:val="005C3BF3"/>
    <w:rsid w:val="005C3CFC"/>
    <w:rsid w:val="005C3E80"/>
    <w:rsid w:val="005C407B"/>
    <w:rsid w:val="005C4284"/>
    <w:rsid w:val="005C43E2"/>
    <w:rsid w:val="005C469E"/>
    <w:rsid w:val="005C4877"/>
    <w:rsid w:val="005C4892"/>
    <w:rsid w:val="005C4922"/>
    <w:rsid w:val="005C4EAA"/>
    <w:rsid w:val="005C5095"/>
    <w:rsid w:val="005C53DD"/>
    <w:rsid w:val="005C58FD"/>
    <w:rsid w:val="005C5A7E"/>
    <w:rsid w:val="005C5B7B"/>
    <w:rsid w:val="005C5BE0"/>
    <w:rsid w:val="005C5DF6"/>
    <w:rsid w:val="005C5EE0"/>
    <w:rsid w:val="005C6425"/>
    <w:rsid w:val="005C65AB"/>
    <w:rsid w:val="005C684A"/>
    <w:rsid w:val="005C69BE"/>
    <w:rsid w:val="005C6A03"/>
    <w:rsid w:val="005C6ADA"/>
    <w:rsid w:val="005C6C3D"/>
    <w:rsid w:val="005C6DDF"/>
    <w:rsid w:val="005C71A6"/>
    <w:rsid w:val="005C71EA"/>
    <w:rsid w:val="005C7226"/>
    <w:rsid w:val="005C730E"/>
    <w:rsid w:val="005C74DA"/>
    <w:rsid w:val="005C78FE"/>
    <w:rsid w:val="005C7BF3"/>
    <w:rsid w:val="005C7DFF"/>
    <w:rsid w:val="005D0215"/>
    <w:rsid w:val="005D027C"/>
    <w:rsid w:val="005D077F"/>
    <w:rsid w:val="005D07A3"/>
    <w:rsid w:val="005D10A9"/>
    <w:rsid w:val="005D1144"/>
    <w:rsid w:val="005D1769"/>
    <w:rsid w:val="005D19AC"/>
    <w:rsid w:val="005D1C5B"/>
    <w:rsid w:val="005D1DC8"/>
    <w:rsid w:val="005D1EF4"/>
    <w:rsid w:val="005D2072"/>
    <w:rsid w:val="005D221A"/>
    <w:rsid w:val="005D2333"/>
    <w:rsid w:val="005D234F"/>
    <w:rsid w:val="005D246D"/>
    <w:rsid w:val="005D24AF"/>
    <w:rsid w:val="005D289E"/>
    <w:rsid w:val="005D297B"/>
    <w:rsid w:val="005D2A4F"/>
    <w:rsid w:val="005D2A97"/>
    <w:rsid w:val="005D2F3A"/>
    <w:rsid w:val="005D3430"/>
    <w:rsid w:val="005D360C"/>
    <w:rsid w:val="005D36CE"/>
    <w:rsid w:val="005D38DF"/>
    <w:rsid w:val="005D39EF"/>
    <w:rsid w:val="005D3B50"/>
    <w:rsid w:val="005D3E72"/>
    <w:rsid w:val="005D4028"/>
    <w:rsid w:val="005D4997"/>
    <w:rsid w:val="005D51F0"/>
    <w:rsid w:val="005D5298"/>
    <w:rsid w:val="005D52A1"/>
    <w:rsid w:val="005D532B"/>
    <w:rsid w:val="005D5392"/>
    <w:rsid w:val="005D54EF"/>
    <w:rsid w:val="005D5533"/>
    <w:rsid w:val="005D55A7"/>
    <w:rsid w:val="005D55D2"/>
    <w:rsid w:val="005D56BC"/>
    <w:rsid w:val="005D5C1F"/>
    <w:rsid w:val="005D603E"/>
    <w:rsid w:val="005D60C9"/>
    <w:rsid w:val="005D6198"/>
    <w:rsid w:val="005D660C"/>
    <w:rsid w:val="005D678B"/>
    <w:rsid w:val="005D6C8E"/>
    <w:rsid w:val="005D73A6"/>
    <w:rsid w:val="005D7574"/>
    <w:rsid w:val="005D77C7"/>
    <w:rsid w:val="005D790D"/>
    <w:rsid w:val="005D7951"/>
    <w:rsid w:val="005E018B"/>
    <w:rsid w:val="005E0660"/>
    <w:rsid w:val="005E07EA"/>
    <w:rsid w:val="005E0815"/>
    <w:rsid w:val="005E0A1F"/>
    <w:rsid w:val="005E0A88"/>
    <w:rsid w:val="005E0D4F"/>
    <w:rsid w:val="005E0E29"/>
    <w:rsid w:val="005E0E6C"/>
    <w:rsid w:val="005E1480"/>
    <w:rsid w:val="005E1512"/>
    <w:rsid w:val="005E15E3"/>
    <w:rsid w:val="005E1A55"/>
    <w:rsid w:val="005E1E55"/>
    <w:rsid w:val="005E2005"/>
    <w:rsid w:val="005E224F"/>
    <w:rsid w:val="005E2460"/>
    <w:rsid w:val="005E262C"/>
    <w:rsid w:val="005E2A6D"/>
    <w:rsid w:val="005E2B22"/>
    <w:rsid w:val="005E2C61"/>
    <w:rsid w:val="005E2CA4"/>
    <w:rsid w:val="005E3046"/>
    <w:rsid w:val="005E3510"/>
    <w:rsid w:val="005E36D6"/>
    <w:rsid w:val="005E38C2"/>
    <w:rsid w:val="005E3967"/>
    <w:rsid w:val="005E3A70"/>
    <w:rsid w:val="005E3D05"/>
    <w:rsid w:val="005E3E22"/>
    <w:rsid w:val="005E3F5B"/>
    <w:rsid w:val="005E443D"/>
    <w:rsid w:val="005E449A"/>
    <w:rsid w:val="005E45FB"/>
    <w:rsid w:val="005E4723"/>
    <w:rsid w:val="005E4E46"/>
    <w:rsid w:val="005E50AA"/>
    <w:rsid w:val="005E51EC"/>
    <w:rsid w:val="005E521A"/>
    <w:rsid w:val="005E526A"/>
    <w:rsid w:val="005E5311"/>
    <w:rsid w:val="005E571B"/>
    <w:rsid w:val="005E5771"/>
    <w:rsid w:val="005E5A02"/>
    <w:rsid w:val="005E5B7D"/>
    <w:rsid w:val="005E6317"/>
    <w:rsid w:val="005E636F"/>
    <w:rsid w:val="005E6EC2"/>
    <w:rsid w:val="005E6F07"/>
    <w:rsid w:val="005E74B4"/>
    <w:rsid w:val="005E7724"/>
    <w:rsid w:val="005E79D7"/>
    <w:rsid w:val="005E7E6E"/>
    <w:rsid w:val="005E7E8D"/>
    <w:rsid w:val="005E7F4D"/>
    <w:rsid w:val="005EB14E"/>
    <w:rsid w:val="005F006A"/>
    <w:rsid w:val="005F00E1"/>
    <w:rsid w:val="005F00FC"/>
    <w:rsid w:val="005F0231"/>
    <w:rsid w:val="005F02B2"/>
    <w:rsid w:val="005F0691"/>
    <w:rsid w:val="005F09F5"/>
    <w:rsid w:val="005F0A4B"/>
    <w:rsid w:val="005F0A74"/>
    <w:rsid w:val="005F0BF7"/>
    <w:rsid w:val="005F1311"/>
    <w:rsid w:val="005F14F7"/>
    <w:rsid w:val="005F1558"/>
    <w:rsid w:val="005F188D"/>
    <w:rsid w:val="005F1D8D"/>
    <w:rsid w:val="005F21C9"/>
    <w:rsid w:val="005F241F"/>
    <w:rsid w:val="005F247D"/>
    <w:rsid w:val="005F26B1"/>
    <w:rsid w:val="005F2EF6"/>
    <w:rsid w:val="005F30BF"/>
    <w:rsid w:val="005F372C"/>
    <w:rsid w:val="005F3739"/>
    <w:rsid w:val="005F3E71"/>
    <w:rsid w:val="005F3FB8"/>
    <w:rsid w:val="005F4312"/>
    <w:rsid w:val="005F4523"/>
    <w:rsid w:val="005F4642"/>
    <w:rsid w:val="005F4788"/>
    <w:rsid w:val="005F4856"/>
    <w:rsid w:val="005F4B69"/>
    <w:rsid w:val="005F4EA7"/>
    <w:rsid w:val="005F502B"/>
    <w:rsid w:val="005F5040"/>
    <w:rsid w:val="005F51F2"/>
    <w:rsid w:val="005F520D"/>
    <w:rsid w:val="005F54FF"/>
    <w:rsid w:val="005F56AE"/>
    <w:rsid w:val="005F5978"/>
    <w:rsid w:val="005F5CB9"/>
    <w:rsid w:val="005F5E35"/>
    <w:rsid w:val="005F61FC"/>
    <w:rsid w:val="005F6447"/>
    <w:rsid w:val="005F64CD"/>
    <w:rsid w:val="005F653A"/>
    <w:rsid w:val="005F6615"/>
    <w:rsid w:val="005F68A0"/>
    <w:rsid w:val="005F69B7"/>
    <w:rsid w:val="005F6AC0"/>
    <w:rsid w:val="005F6D52"/>
    <w:rsid w:val="005F73C6"/>
    <w:rsid w:val="005F7421"/>
    <w:rsid w:val="005F7DB6"/>
    <w:rsid w:val="005F7E7B"/>
    <w:rsid w:val="005F7ECA"/>
    <w:rsid w:val="0060026E"/>
    <w:rsid w:val="00600389"/>
    <w:rsid w:val="0060043C"/>
    <w:rsid w:val="00600551"/>
    <w:rsid w:val="00600815"/>
    <w:rsid w:val="006009AC"/>
    <w:rsid w:val="006009F3"/>
    <w:rsid w:val="00600E99"/>
    <w:rsid w:val="006011BA"/>
    <w:rsid w:val="0060144C"/>
    <w:rsid w:val="00601957"/>
    <w:rsid w:val="00602081"/>
    <w:rsid w:val="00602180"/>
    <w:rsid w:val="00602383"/>
    <w:rsid w:val="006023DB"/>
    <w:rsid w:val="00602414"/>
    <w:rsid w:val="006026AC"/>
    <w:rsid w:val="006026E6"/>
    <w:rsid w:val="00602BEF"/>
    <w:rsid w:val="00602E57"/>
    <w:rsid w:val="00603012"/>
    <w:rsid w:val="006030BB"/>
    <w:rsid w:val="006030BD"/>
    <w:rsid w:val="00603808"/>
    <w:rsid w:val="00603C02"/>
    <w:rsid w:val="00603C48"/>
    <w:rsid w:val="006047B1"/>
    <w:rsid w:val="006047D4"/>
    <w:rsid w:val="00604C70"/>
    <w:rsid w:val="00604DE8"/>
    <w:rsid w:val="00605261"/>
    <w:rsid w:val="0060548A"/>
    <w:rsid w:val="006054D2"/>
    <w:rsid w:val="006055B8"/>
    <w:rsid w:val="0060563D"/>
    <w:rsid w:val="00605BE0"/>
    <w:rsid w:val="00605BE6"/>
    <w:rsid w:val="00605FAA"/>
    <w:rsid w:val="00606608"/>
    <w:rsid w:val="0060683B"/>
    <w:rsid w:val="00606BA1"/>
    <w:rsid w:val="00606C4D"/>
    <w:rsid w:val="00606D98"/>
    <w:rsid w:val="00606FA7"/>
    <w:rsid w:val="0060719F"/>
    <w:rsid w:val="0060722B"/>
    <w:rsid w:val="006076E6"/>
    <w:rsid w:val="00607856"/>
    <w:rsid w:val="006079D1"/>
    <w:rsid w:val="00607BD8"/>
    <w:rsid w:val="00607C4F"/>
    <w:rsid w:val="00607DA0"/>
    <w:rsid w:val="00610168"/>
    <w:rsid w:val="006101F7"/>
    <w:rsid w:val="0061038F"/>
    <w:rsid w:val="00610465"/>
    <w:rsid w:val="00610479"/>
    <w:rsid w:val="00610A82"/>
    <w:rsid w:val="00610A92"/>
    <w:rsid w:val="00610BAF"/>
    <w:rsid w:val="00611228"/>
    <w:rsid w:val="0061156F"/>
    <w:rsid w:val="00611990"/>
    <w:rsid w:val="00611B42"/>
    <w:rsid w:val="00611BAB"/>
    <w:rsid w:val="00611CF8"/>
    <w:rsid w:val="00611E6A"/>
    <w:rsid w:val="00611EAE"/>
    <w:rsid w:val="00612031"/>
    <w:rsid w:val="006120DC"/>
    <w:rsid w:val="0061213B"/>
    <w:rsid w:val="006124F6"/>
    <w:rsid w:val="0061286F"/>
    <w:rsid w:val="00612A4F"/>
    <w:rsid w:val="00612B0B"/>
    <w:rsid w:val="0061317B"/>
    <w:rsid w:val="006131C5"/>
    <w:rsid w:val="00613534"/>
    <w:rsid w:val="0061373D"/>
    <w:rsid w:val="0061388C"/>
    <w:rsid w:val="006139BA"/>
    <w:rsid w:val="00613A9B"/>
    <w:rsid w:val="00613B66"/>
    <w:rsid w:val="00613CCA"/>
    <w:rsid w:val="00614424"/>
    <w:rsid w:val="00614C5D"/>
    <w:rsid w:val="00614D6C"/>
    <w:rsid w:val="00614E47"/>
    <w:rsid w:val="0061530F"/>
    <w:rsid w:val="006154AB"/>
    <w:rsid w:val="0061557B"/>
    <w:rsid w:val="006160C4"/>
    <w:rsid w:val="00616265"/>
    <w:rsid w:val="006163CF"/>
    <w:rsid w:val="0061668C"/>
    <w:rsid w:val="00616B95"/>
    <w:rsid w:val="00617344"/>
    <w:rsid w:val="00617401"/>
    <w:rsid w:val="006176D6"/>
    <w:rsid w:val="00617784"/>
    <w:rsid w:val="00617EEA"/>
    <w:rsid w:val="006206B5"/>
    <w:rsid w:val="006207FC"/>
    <w:rsid w:val="006208FF"/>
    <w:rsid w:val="00620D96"/>
    <w:rsid w:val="00621183"/>
    <w:rsid w:val="0062190D"/>
    <w:rsid w:val="006219AD"/>
    <w:rsid w:val="00621B7A"/>
    <w:rsid w:val="00621C4D"/>
    <w:rsid w:val="00621D64"/>
    <w:rsid w:val="00621E7D"/>
    <w:rsid w:val="00622278"/>
    <w:rsid w:val="0062254B"/>
    <w:rsid w:val="00622929"/>
    <w:rsid w:val="00622E59"/>
    <w:rsid w:val="00623205"/>
    <w:rsid w:val="00623262"/>
    <w:rsid w:val="006233E1"/>
    <w:rsid w:val="00623488"/>
    <w:rsid w:val="00623515"/>
    <w:rsid w:val="006235BB"/>
    <w:rsid w:val="006236DB"/>
    <w:rsid w:val="0062377F"/>
    <w:rsid w:val="00623907"/>
    <w:rsid w:val="00623954"/>
    <w:rsid w:val="00623B68"/>
    <w:rsid w:val="00623B98"/>
    <w:rsid w:val="00623C13"/>
    <w:rsid w:val="0062415F"/>
    <w:rsid w:val="00624376"/>
    <w:rsid w:val="0062460B"/>
    <w:rsid w:val="0062479F"/>
    <w:rsid w:val="0062495F"/>
    <w:rsid w:val="00624A70"/>
    <w:rsid w:val="00624AB7"/>
    <w:rsid w:val="00624B39"/>
    <w:rsid w:val="00624BA2"/>
    <w:rsid w:val="00624DAB"/>
    <w:rsid w:val="0062509A"/>
    <w:rsid w:val="0062595E"/>
    <w:rsid w:val="00625C6D"/>
    <w:rsid w:val="00625F42"/>
    <w:rsid w:val="00626004"/>
    <w:rsid w:val="006262F3"/>
    <w:rsid w:val="006264E6"/>
    <w:rsid w:val="006269A8"/>
    <w:rsid w:val="00626A30"/>
    <w:rsid w:val="00626CEC"/>
    <w:rsid w:val="0062703F"/>
    <w:rsid w:val="006270A1"/>
    <w:rsid w:val="006270A7"/>
    <w:rsid w:val="006272A4"/>
    <w:rsid w:val="00627705"/>
    <w:rsid w:val="0062773E"/>
    <w:rsid w:val="0062796F"/>
    <w:rsid w:val="006279C8"/>
    <w:rsid w:val="00627D4A"/>
    <w:rsid w:val="006300E3"/>
    <w:rsid w:val="0063013E"/>
    <w:rsid w:val="00630683"/>
    <w:rsid w:val="006306A9"/>
    <w:rsid w:val="006307DF"/>
    <w:rsid w:val="00630A60"/>
    <w:rsid w:val="00630EB3"/>
    <w:rsid w:val="006312D6"/>
    <w:rsid w:val="0063139E"/>
    <w:rsid w:val="006314DF"/>
    <w:rsid w:val="00631605"/>
    <w:rsid w:val="0063176C"/>
    <w:rsid w:val="0063191F"/>
    <w:rsid w:val="00631A71"/>
    <w:rsid w:val="00631DA7"/>
    <w:rsid w:val="00631FF6"/>
    <w:rsid w:val="00632021"/>
    <w:rsid w:val="0063274C"/>
    <w:rsid w:val="00632A39"/>
    <w:rsid w:val="00632C15"/>
    <w:rsid w:val="00632EE5"/>
    <w:rsid w:val="006334FA"/>
    <w:rsid w:val="00633969"/>
    <w:rsid w:val="00633A06"/>
    <w:rsid w:val="00633A5F"/>
    <w:rsid w:val="00633CAE"/>
    <w:rsid w:val="00633E70"/>
    <w:rsid w:val="006340AF"/>
    <w:rsid w:val="006341F7"/>
    <w:rsid w:val="00634297"/>
    <w:rsid w:val="00634C12"/>
    <w:rsid w:val="00634C5F"/>
    <w:rsid w:val="00634CB5"/>
    <w:rsid w:val="00634ECD"/>
    <w:rsid w:val="00634F72"/>
    <w:rsid w:val="00635127"/>
    <w:rsid w:val="00635301"/>
    <w:rsid w:val="00635317"/>
    <w:rsid w:val="00635457"/>
    <w:rsid w:val="00635485"/>
    <w:rsid w:val="0063561D"/>
    <w:rsid w:val="0063563F"/>
    <w:rsid w:val="0063581B"/>
    <w:rsid w:val="00635860"/>
    <w:rsid w:val="006359F5"/>
    <w:rsid w:val="00635C89"/>
    <w:rsid w:val="00635DF2"/>
    <w:rsid w:val="00635E59"/>
    <w:rsid w:val="006361F2"/>
    <w:rsid w:val="00636542"/>
    <w:rsid w:val="006366DB"/>
    <w:rsid w:val="00636717"/>
    <w:rsid w:val="00636C84"/>
    <w:rsid w:val="00636CAE"/>
    <w:rsid w:val="00636DF1"/>
    <w:rsid w:val="0063717F"/>
    <w:rsid w:val="00637224"/>
    <w:rsid w:val="006377C8"/>
    <w:rsid w:val="00637999"/>
    <w:rsid w:val="00637B92"/>
    <w:rsid w:val="00637C9E"/>
    <w:rsid w:val="00637CC6"/>
    <w:rsid w:val="00637D06"/>
    <w:rsid w:val="00637E56"/>
    <w:rsid w:val="006400B3"/>
    <w:rsid w:val="00640161"/>
    <w:rsid w:val="0064022B"/>
    <w:rsid w:val="00640412"/>
    <w:rsid w:val="006405B9"/>
    <w:rsid w:val="00640967"/>
    <w:rsid w:val="006409F4"/>
    <w:rsid w:val="00640AA9"/>
    <w:rsid w:val="00640AEF"/>
    <w:rsid w:val="00640D07"/>
    <w:rsid w:val="00641298"/>
    <w:rsid w:val="0064145C"/>
    <w:rsid w:val="00641F9C"/>
    <w:rsid w:val="0064200B"/>
    <w:rsid w:val="0064202D"/>
    <w:rsid w:val="0064226C"/>
    <w:rsid w:val="0064238B"/>
    <w:rsid w:val="006429DB"/>
    <w:rsid w:val="00642A43"/>
    <w:rsid w:val="00642C89"/>
    <w:rsid w:val="00642E56"/>
    <w:rsid w:val="00642FD8"/>
    <w:rsid w:val="006430AE"/>
    <w:rsid w:val="0064310B"/>
    <w:rsid w:val="006431A1"/>
    <w:rsid w:val="00643313"/>
    <w:rsid w:val="0064346C"/>
    <w:rsid w:val="006434A3"/>
    <w:rsid w:val="00643563"/>
    <w:rsid w:val="006439A0"/>
    <w:rsid w:val="006439E9"/>
    <w:rsid w:val="00643AE4"/>
    <w:rsid w:val="00643DE6"/>
    <w:rsid w:val="00644553"/>
    <w:rsid w:val="00644B24"/>
    <w:rsid w:val="00644E7A"/>
    <w:rsid w:val="00644E7E"/>
    <w:rsid w:val="00644E87"/>
    <w:rsid w:val="0064511E"/>
    <w:rsid w:val="00645339"/>
    <w:rsid w:val="00645512"/>
    <w:rsid w:val="006457C8"/>
    <w:rsid w:val="00645D23"/>
    <w:rsid w:val="00646231"/>
    <w:rsid w:val="00646235"/>
    <w:rsid w:val="00646259"/>
    <w:rsid w:val="0064625A"/>
    <w:rsid w:val="006469BA"/>
    <w:rsid w:val="00646E88"/>
    <w:rsid w:val="00646EE8"/>
    <w:rsid w:val="00646FE0"/>
    <w:rsid w:val="0064706F"/>
    <w:rsid w:val="0064732A"/>
    <w:rsid w:val="006474B3"/>
    <w:rsid w:val="006474F2"/>
    <w:rsid w:val="00647EB2"/>
    <w:rsid w:val="00647FD7"/>
    <w:rsid w:val="0065008E"/>
    <w:rsid w:val="00650092"/>
    <w:rsid w:val="006506EC"/>
    <w:rsid w:val="0065098C"/>
    <w:rsid w:val="00650D8F"/>
    <w:rsid w:val="00651340"/>
    <w:rsid w:val="006513A5"/>
    <w:rsid w:val="006513C3"/>
    <w:rsid w:val="00651686"/>
    <w:rsid w:val="0065172C"/>
    <w:rsid w:val="00651740"/>
    <w:rsid w:val="0065180D"/>
    <w:rsid w:val="00651A4F"/>
    <w:rsid w:val="00651C93"/>
    <w:rsid w:val="00651CD7"/>
    <w:rsid w:val="00651E14"/>
    <w:rsid w:val="00651FF6"/>
    <w:rsid w:val="006520E3"/>
    <w:rsid w:val="006522EC"/>
    <w:rsid w:val="006527D6"/>
    <w:rsid w:val="00652939"/>
    <w:rsid w:val="0065299B"/>
    <w:rsid w:val="00652AA8"/>
    <w:rsid w:val="00652CC1"/>
    <w:rsid w:val="0065326D"/>
    <w:rsid w:val="0065343C"/>
    <w:rsid w:val="0065343E"/>
    <w:rsid w:val="0065373D"/>
    <w:rsid w:val="00653842"/>
    <w:rsid w:val="006539EE"/>
    <w:rsid w:val="00653E17"/>
    <w:rsid w:val="00654090"/>
    <w:rsid w:val="00654280"/>
    <w:rsid w:val="006542F2"/>
    <w:rsid w:val="006543E4"/>
    <w:rsid w:val="006546BB"/>
    <w:rsid w:val="0065481D"/>
    <w:rsid w:val="00654A84"/>
    <w:rsid w:val="00654AB8"/>
    <w:rsid w:val="00654AD7"/>
    <w:rsid w:val="00654B50"/>
    <w:rsid w:val="00654B83"/>
    <w:rsid w:val="006550AE"/>
    <w:rsid w:val="00655436"/>
    <w:rsid w:val="006554E8"/>
    <w:rsid w:val="006555CF"/>
    <w:rsid w:val="006556B5"/>
    <w:rsid w:val="00655798"/>
    <w:rsid w:val="006559E6"/>
    <w:rsid w:val="00655CB3"/>
    <w:rsid w:val="00656066"/>
    <w:rsid w:val="006561E2"/>
    <w:rsid w:val="0065639A"/>
    <w:rsid w:val="0065663A"/>
    <w:rsid w:val="00656AF0"/>
    <w:rsid w:val="00656C7F"/>
    <w:rsid w:val="00656CC2"/>
    <w:rsid w:val="00656E87"/>
    <w:rsid w:val="00656F8B"/>
    <w:rsid w:val="00656FCA"/>
    <w:rsid w:val="00657366"/>
    <w:rsid w:val="00657AE5"/>
    <w:rsid w:val="00657BE2"/>
    <w:rsid w:val="00657C4B"/>
    <w:rsid w:val="00657EBC"/>
    <w:rsid w:val="00657F70"/>
    <w:rsid w:val="00657FC6"/>
    <w:rsid w:val="0066015F"/>
    <w:rsid w:val="00660361"/>
    <w:rsid w:val="006604B7"/>
    <w:rsid w:val="00660675"/>
    <w:rsid w:val="00660BE4"/>
    <w:rsid w:val="00660D14"/>
    <w:rsid w:val="00660E89"/>
    <w:rsid w:val="00660EFE"/>
    <w:rsid w:val="00661804"/>
    <w:rsid w:val="006619C8"/>
    <w:rsid w:val="006621A6"/>
    <w:rsid w:val="0066224E"/>
    <w:rsid w:val="0066268A"/>
    <w:rsid w:val="006626D9"/>
    <w:rsid w:val="00662883"/>
    <w:rsid w:val="00662EDB"/>
    <w:rsid w:val="0066301F"/>
    <w:rsid w:val="006631F7"/>
    <w:rsid w:val="006633C0"/>
    <w:rsid w:val="006635CF"/>
    <w:rsid w:val="0066376F"/>
    <w:rsid w:val="006637E3"/>
    <w:rsid w:val="0066384C"/>
    <w:rsid w:val="00663AFC"/>
    <w:rsid w:val="00663FB6"/>
    <w:rsid w:val="00664205"/>
    <w:rsid w:val="006646A5"/>
    <w:rsid w:val="00664883"/>
    <w:rsid w:val="00664975"/>
    <w:rsid w:val="00664ADF"/>
    <w:rsid w:val="00664CFD"/>
    <w:rsid w:val="00665A2E"/>
    <w:rsid w:val="00665AD4"/>
    <w:rsid w:val="00665C42"/>
    <w:rsid w:val="00665C96"/>
    <w:rsid w:val="00666084"/>
    <w:rsid w:val="006661EA"/>
    <w:rsid w:val="00666215"/>
    <w:rsid w:val="00666499"/>
    <w:rsid w:val="0066655F"/>
    <w:rsid w:val="006665CB"/>
    <w:rsid w:val="0066661F"/>
    <w:rsid w:val="00666B90"/>
    <w:rsid w:val="006675B0"/>
    <w:rsid w:val="00667961"/>
    <w:rsid w:val="00667D30"/>
    <w:rsid w:val="0067002B"/>
    <w:rsid w:val="00670147"/>
    <w:rsid w:val="0067029D"/>
    <w:rsid w:val="00670403"/>
    <w:rsid w:val="006704C3"/>
    <w:rsid w:val="00670B0C"/>
    <w:rsid w:val="00670F2F"/>
    <w:rsid w:val="00671028"/>
    <w:rsid w:val="00671299"/>
    <w:rsid w:val="006713DF"/>
    <w:rsid w:val="0067143B"/>
    <w:rsid w:val="00671487"/>
    <w:rsid w:val="00671D6A"/>
    <w:rsid w:val="00672129"/>
    <w:rsid w:val="0067253E"/>
    <w:rsid w:val="00672583"/>
    <w:rsid w:val="00672736"/>
    <w:rsid w:val="006729B7"/>
    <w:rsid w:val="00672CD3"/>
    <w:rsid w:val="006732E8"/>
    <w:rsid w:val="00673426"/>
    <w:rsid w:val="00673482"/>
    <w:rsid w:val="0067369D"/>
    <w:rsid w:val="006737AC"/>
    <w:rsid w:val="006738FF"/>
    <w:rsid w:val="00673A9C"/>
    <w:rsid w:val="00673D17"/>
    <w:rsid w:val="00673E4F"/>
    <w:rsid w:val="00673F85"/>
    <w:rsid w:val="0067444B"/>
    <w:rsid w:val="00674684"/>
    <w:rsid w:val="00674AAE"/>
    <w:rsid w:val="00674B42"/>
    <w:rsid w:val="00674BAF"/>
    <w:rsid w:val="006752F2"/>
    <w:rsid w:val="00675509"/>
    <w:rsid w:val="006757AA"/>
    <w:rsid w:val="00675916"/>
    <w:rsid w:val="006759B3"/>
    <w:rsid w:val="00675AD1"/>
    <w:rsid w:val="00675C3F"/>
    <w:rsid w:val="00675CC8"/>
    <w:rsid w:val="00675F5D"/>
    <w:rsid w:val="00675FCF"/>
    <w:rsid w:val="006760AC"/>
    <w:rsid w:val="00676467"/>
    <w:rsid w:val="006766AA"/>
    <w:rsid w:val="006767BC"/>
    <w:rsid w:val="00676904"/>
    <w:rsid w:val="0067695B"/>
    <w:rsid w:val="00677604"/>
    <w:rsid w:val="00677861"/>
    <w:rsid w:val="0067798F"/>
    <w:rsid w:val="00677AD6"/>
    <w:rsid w:val="006800E7"/>
    <w:rsid w:val="00680197"/>
    <w:rsid w:val="006804C4"/>
    <w:rsid w:val="00680500"/>
    <w:rsid w:val="006806CA"/>
    <w:rsid w:val="00680ED3"/>
    <w:rsid w:val="00680F0D"/>
    <w:rsid w:val="00680F69"/>
    <w:rsid w:val="00681293"/>
    <w:rsid w:val="006816AC"/>
    <w:rsid w:val="00681933"/>
    <w:rsid w:val="0068194A"/>
    <w:rsid w:val="00681A7A"/>
    <w:rsid w:val="00681C42"/>
    <w:rsid w:val="00681EF1"/>
    <w:rsid w:val="006825F9"/>
    <w:rsid w:val="00682847"/>
    <w:rsid w:val="006829C2"/>
    <w:rsid w:val="00682A2B"/>
    <w:rsid w:val="00683473"/>
    <w:rsid w:val="00683520"/>
    <w:rsid w:val="006836B9"/>
    <w:rsid w:val="0068374A"/>
    <w:rsid w:val="006838ED"/>
    <w:rsid w:val="00683A16"/>
    <w:rsid w:val="006840C6"/>
    <w:rsid w:val="006840EA"/>
    <w:rsid w:val="006847B6"/>
    <w:rsid w:val="006847CF"/>
    <w:rsid w:val="006848D2"/>
    <w:rsid w:val="00684B52"/>
    <w:rsid w:val="00684BF5"/>
    <w:rsid w:val="00684EEF"/>
    <w:rsid w:val="006851A5"/>
    <w:rsid w:val="006851A7"/>
    <w:rsid w:val="00685266"/>
    <w:rsid w:val="00685571"/>
    <w:rsid w:val="006856F1"/>
    <w:rsid w:val="006858DF"/>
    <w:rsid w:val="00685A4D"/>
    <w:rsid w:val="00685ACD"/>
    <w:rsid w:val="00685B24"/>
    <w:rsid w:val="006861E9"/>
    <w:rsid w:val="00686313"/>
    <w:rsid w:val="0068655A"/>
    <w:rsid w:val="006865F8"/>
    <w:rsid w:val="00686C7F"/>
    <w:rsid w:val="0068775A"/>
    <w:rsid w:val="00687BC0"/>
    <w:rsid w:val="00687E54"/>
    <w:rsid w:val="00690013"/>
    <w:rsid w:val="0069026C"/>
    <w:rsid w:val="0069071A"/>
    <w:rsid w:val="00690823"/>
    <w:rsid w:val="00690A1B"/>
    <w:rsid w:val="00690BDE"/>
    <w:rsid w:val="00690C39"/>
    <w:rsid w:val="00690D30"/>
    <w:rsid w:val="00690F7C"/>
    <w:rsid w:val="00691180"/>
    <w:rsid w:val="00691460"/>
    <w:rsid w:val="0069149A"/>
    <w:rsid w:val="006915DD"/>
    <w:rsid w:val="00691935"/>
    <w:rsid w:val="00691ABB"/>
    <w:rsid w:val="00691B2F"/>
    <w:rsid w:val="00691B50"/>
    <w:rsid w:val="00691C9D"/>
    <w:rsid w:val="00691F71"/>
    <w:rsid w:val="006920F4"/>
    <w:rsid w:val="0069258D"/>
    <w:rsid w:val="00692D95"/>
    <w:rsid w:val="00693086"/>
    <w:rsid w:val="0069346F"/>
    <w:rsid w:val="006935C4"/>
    <w:rsid w:val="0069360E"/>
    <w:rsid w:val="0069389B"/>
    <w:rsid w:val="00693943"/>
    <w:rsid w:val="00693A6B"/>
    <w:rsid w:val="00693AC5"/>
    <w:rsid w:val="00693D4E"/>
    <w:rsid w:val="00693F81"/>
    <w:rsid w:val="0069432C"/>
    <w:rsid w:val="006945B4"/>
    <w:rsid w:val="0069471C"/>
    <w:rsid w:val="00694A94"/>
    <w:rsid w:val="00694C68"/>
    <w:rsid w:val="00694E98"/>
    <w:rsid w:val="0069509A"/>
    <w:rsid w:val="006952CE"/>
    <w:rsid w:val="00695629"/>
    <w:rsid w:val="006956AF"/>
    <w:rsid w:val="00695BC0"/>
    <w:rsid w:val="00695C46"/>
    <w:rsid w:val="00695D25"/>
    <w:rsid w:val="00696041"/>
    <w:rsid w:val="006963CB"/>
    <w:rsid w:val="006969DC"/>
    <w:rsid w:val="00696E73"/>
    <w:rsid w:val="00696EAD"/>
    <w:rsid w:val="00696EF5"/>
    <w:rsid w:val="006971B0"/>
    <w:rsid w:val="006971C7"/>
    <w:rsid w:val="00697310"/>
    <w:rsid w:val="00697441"/>
    <w:rsid w:val="006A01DE"/>
    <w:rsid w:val="006A024D"/>
    <w:rsid w:val="006A0927"/>
    <w:rsid w:val="006A0A0A"/>
    <w:rsid w:val="006A0C73"/>
    <w:rsid w:val="006A0D67"/>
    <w:rsid w:val="006A114D"/>
    <w:rsid w:val="006A153A"/>
    <w:rsid w:val="006A1831"/>
    <w:rsid w:val="006A1981"/>
    <w:rsid w:val="006A1C0D"/>
    <w:rsid w:val="006A1F34"/>
    <w:rsid w:val="006A2071"/>
    <w:rsid w:val="006A2238"/>
    <w:rsid w:val="006A22D0"/>
    <w:rsid w:val="006A2370"/>
    <w:rsid w:val="006A2479"/>
    <w:rsid w:val="006A25BC"/>
    <w:rsid w:val="006A264A"/>
    <w:rsid w:val="006A299A"/>
    <w:rsid w:val="006A2D94"/>
    <w:rsid w:val="006A300D"/>
    <w:rsid w:val="006A3278"/>
    <w:rsid w:val="006A327C"/>
    <w:rsid w:val="006A33EF"/>
    <w:rsid w:val="006A3415"/>
    <w:rsid w:val="006A34E2"/>
    <w:rsid w:val="006A3535"/>
    <w:rsid w:val="006A36F7"/>
    <w:rsid w:val="006A3804"/>
    <w:rsid w:val="006A3908"/>
    <w:rsid w:val="006A3964"/>
    <w:rsid w:val="006A3BF4"/>
    <w:rsid w:val="006A3CA5"/>
    <w:rsid w:val="006A3CB4"/>
    <w:rsid w:val="006A3E11"/>
    <w:rsid w:val="006A44FD"/>
    <w:rsid w:val="006A4694"/>
    <w:rsid w:val="006A4C45"/>
    <w:rsid w:val="006A4E79"/>
    <w:rsid w:val="006A4F27"/>
    <w:rsid w:val="006A4F64"/>
    <w:rsid w:val="006A5093"/>
    <w:rsid w:val="006A52D5"/>
    <w:rsid w:val="006A544E"/>
    <w:rsid w:val="006A5729"/>
    <w:rsid w:val="006A5A90"/>
    <w:rsid w:val="006A5BCC"/>
    <w:rsid w:val="006A5D48"/>
    <w:rsid w:val="006A5D76"/>
    <w:rsid w:val="006A5E27"/>
    <w:rsid w:val="006A5EA3"/>
    <w:rsid w:val="006A5F2A"/>
    <w:rsid w:val="006A63F1"/>
    <w:rsid w:val="006A64A4"/>
    <w:rsid w:val="006A677A"/>
    <w:rsid w:val="006A6BD0"/>
    <w:rsid w:val="006A6C22"/>
    <w:rsid w:val="006A6C6C"/>
    <w:rsid w:val="006A6D16"/>
    <w:rsid w:val="006A6E8C"/>
    <w:rsid w:val="006A70FE"/>
    <w:rsid w:val="006A7227"/>
    <w:rsid w:val="006A735B"/>
    <w:rsid w:val="006A7738"/>
    <w:rsid w:val="006A7DBE"/>
    <w:rsid w:val="006A7F52"/>
    <w:rsid w:val="006A7FF0"/>
    <w:rsid w:val="006B028F"/>
    <w:rsid w:val="006B0992"/>
    <w:rsid w:val="006B09D4"/>
    <w:rsid w:val="006B0C5B"/>
    <w:rsid w:val="006B0DB4"/>
    <w:rsid w:val="006B130E"/>
    <w:rsid w:val="006B1587"/>
    <w:rsid w:val="006B1766"/>
    <w:rsid w:val="006B1AD0"/>
    <w:rsid w:val="006B1ED2"/>
    <w:rsid w:val="006B21BB"/>
    <w:rsid w:val="006B2449"/>
    <w:rsid w:val="006B2734"/>
    <w:rsid w:val="006B2D56"/>
    <w:rsid w:val="006B2EA4"/>
    <w:rsid w:val="006B2F96"/>
    <w:rsid w:val="006B3151"/>
    <w:rsid w:val="006B31C4"/>
    <w:rsid w:val="006B320C"/>
    <w:rsid w:val="006B3462"/>
    <w:rsid w:val="006B36B3"/>
    <w:rsid w:val="006B3832"/>
    <w:rsid w:val="006B3891"/>
    <w:rsid w:val="006B3A2C"/>
    <w:rsid w:val="006B3AB6"/>
    <w:rsid w:val="006B3ADC"/>
    <w:rsid w:val="006B3CAB"/>
    <w:rsid w:val="006B3FAE"/>
    <w:rsid w:val="006B42AA"/>
    <w:rsid w:val="006B44CB"/>
    <w:rsid w:val="006B46BC"/>
    <w:rsid w:val="006B49B3"/>
    <w:rsid w:val="006B49D2"/>
    <w:rsid w:val="006B4CE5"/>
    <w:rsid w:val="006B570A"/>
    <w:rsid w:val="006B5715"/>
    <w:rsid w:val="006B5A61"/>
    <w:rsid w:val="006B60AC"/>
    <w:rsid w:val="006B648C"/>
    <w:rsid w:val="006B6546"/>
    <w:rsid w:val="006B65A0"/>
    <w:rsid w:val="006B6728"/>
    <w:rsid w:val="006B6CB7"/>
    <w:rsid w:val="006B6D0B"/>
    <w:rsid w:val="006B6ED5"/>
    <w:rsid w:val="006B6F1F"/>
    <w:rsid w:val="006B6F7D"/>
    <w:rsid w:val="006B7082"/>
    <w:rsid w:val="006B709A"/>
    <w:rsid w:val="006B7122"/>
    <w:rsid w:val="006B7254"/>
    <w:rsid w:val="006B7408"/>
    <w:rsid w:val="006B7501"/>
    <w:rsid w:val="006B7513"/>
    <w:rsid w:val="006B760E"/>
    <w:rsid w:val="006B7837"/>
    <w:rsid w:val="006B785A"/>
    <w:rsid w:val="006B7910"/>
    <w:rsid w:val="006B7A59"/>
    <w:rsid w:val="006B7D98"/>
    <w:rsid w:val="006C01C8"/>
    <w:rsid w:val="006C0253"/>
    <w:rsid w:val="006C03A4"/>
    <w:rsid w:val="006C0412"/>
    <w:rsid w:val="006C0632"/>
    <w:rsid w:val="006C067E"/>
    <w:rsid w:val="006C071F"/>
    <w:rsid w:val="006C0A54"/>
    <w:rsid w:val="006C0C90"/>
    <w:rsid w:val="006C0EE9"/>
    <w:rsid w:val="006C0FCD"/>
    <w:rsid w:val="006C1729"/>
    <w:rsid w:val="006C192D"/>
    <w:rsid w:val="006C1BB6"/>
    <w:rsid w:val="006C1C38"/>
    <w:rsid w:val="006C1CD1"/>
    <w:rsid w:val="006C2550"/>
    <w:rsid w:val="006C2678"/>
    <w:rsid w:val="006C29F9"/>
    <w:rsid w:val="006C2C38"/>
    <w:rsid w:val="006C2C45"/>
    <w:rsid w:val="006C2C8F"/>
    <w:rsid w:val="006C2E65"/>
    <w:rsid w:val="006C2E7F"/>
    <w:rsid w:val="006C2F33"/>
    <w:rsid w:val="006C2F83"/>
    <w:rsid w:val="006C3037"/>
    <w:rsid w:val="006C31A3"/>
    <w:rsid w:val="006C31F8"/>
    <w:rsid w:val="006C36B2"/>
    <w:rsid w:val="006C39EA"/>
    <w:rsid w:val="006C3C36"/>
    <w:rsid w:val="006C3DC2"/>
    <w:rsid w:val="006C3E46"/>
    <w:rsid w:val="006C402B"/>
    <w:rsid w:val="006C40E5"/>
    <w:rsid w:val="006C40F8"/>
    <w:rsid w:val="006C410E"/>
    <w:rsid w:val="006C42C4"/>
    <w:rsid w:val="006C4313"/>
    <w:rsid w:val="006C4338"/>
    <w:rsid w:val="006C440F"/>
    <w:rsid w:val="006C4623"/>
    <w:rsid w:val="006C4703"/>
    <w:rsid w:val="006C4EB7"/>
    <w:rsid w:val="006C52E8"/>
    <w:rsid w:val="006C5346"/>
    <w:rsid w:val="006C583D"/>
    <w:rsid w:val="006C589E"/>
    <w:rsid w:val="006C58E9"/>
    <w:rsid w:val="006C5B44"/>
    <w:rsid w:val="006C5F68"/>
    <w:rsid w:val="006C61F8"/>
    <w:rsid w:val="006C64D5"/>
    <w:rsid w:val="006C67DA"/>
    <w:rsid w:val="006C6D0C"/>
    <w:rsid w:val="006C6E6D"/>
    <w:rsid w:val="006C7242"/>
    <w:rsid w:val="006C74DD"/>
    <w:rsid w:val="006C79A8"/>
    <w:rsid w:val="006C7AE2"/>
    <w:rsid w:val="006C7CC7"/>
    <w:rsid w:val="006D077B"/>
    <w:rsid w:val="006D0974"/>
    <w:rsid w:val="006D09D2"/>
    <w:rsid w:val="006D0A72"/>
    <w:rsid w:val="006D0C8A"/>
    <w:rsid w:val="006D0D92"/>
    <w:rsid w:val="006D121E"/>
    <w:rsid w:val="006D13F9"/>
    <w:rsid w:val="006D176E"/>
    <w:rsid w:val="006D1BD4"/>
    <w:rsid w:val="006D1EE5"/>
    <w:rsid w:val="006D2145"/>
    <w:rsid w:val="006D2ED4"/>
    <w:rsid w:val="006D2FF8"/>
    <w:rsid w:val="006D302A"/>
    <w:rsid w:val="006D30B2"/>
    <w:rsid w:val="006D35FD"/>
    <w:rsid w:val="006D3811"/>
    <w:rsid w:val="006D3872"/>
    <w:rsid w:val="006D3F34"/>
    <w:rsid w:val="006D40E7"/>
    <w:rsid w:val="006D447B"/>
    <w:rsid w:val="006D4954"/>
    <w:rsid w:val="006D496A"/>
    <w:rsid w:val="006D49C4"/>
    <w:rsid w:val="006D4ACE"/>
    <w:rsid w:val="006D4BE1"/>
    <w:rsid w:val="006D4C73"/>
    <w:rsid w:val="006D4D3F"/>
    <w:rsid w:val="006D4F23"/>
    <w:rsid w:val="006D5154"/>
    <w:rsid w:val="006D517D"/>
    <w:rsid w:val="006D518F"/>
    <w:rsid w:val="006D5268"/>
    <w:rsid w:val="006D58DB"/>
    <w:rsid w:val="006D5C2B"/>
    <w:rsid w:val="006D5C96"/>
    <w:rsid w:val="006D6010"/>
    <w:rsid w:val="006D6080"/>
    <w:rsid w:val="006D656D"/>
    <w:rsid w:val="006D668D"/>
    <w:rsid w:val="006D68C5"/>
    <w:rsid w:val="006D6AD3"/>
    <w:rsid w:val="006D6B10"/>
    <w:rsid w:val="006D6B95"/>
    <w:rsid w:val="006D6C39"/>
    <w:rsid w:val="006D6E5E"/>
    <w:rsid w:val="006D6F77"/>
    <w:rsid w:val="006D7146"/>
    <w:rsid w:val="006D7309"/>
    <w:rsid w:val="006D74E0"/>
    <w:rsid w:val="006D7795"/>
    <w:rsid w:val="006D79BA"/>
    <w:rsid w:val="006E0258"/>
    <w:rsid w:val="006E06B3"/>
    <w:rsid w:val="006E09ED"/>
    <w:rsid w:val="006E0BB8"/>
    <w:rsid w:val="006E0D37"/>
    <w:rsid w:val="006E0FB9"/>
    <w:rsid w:val="006E14B3"/>
    <w:rsid w:val="006E175D"/>
    <w:rsid w:val="006E191C"/>
    <w:rsid w:val="006E1963"/>
    <w:rsid w:val="006E1EAC"/>
    <w:rsid w:val="006E1F52"/>
    <w:rsid w:val="006E22E1"/>
    <w:rsid w:val="006E2653"/>
    <w:rsid w:val="006E27DA"/>
    <w:rsid w:val="006E2875"/>
    <w:rsid w:val="006E2D3E"/>
    <w:rsid w:val="006E329A"/>
    <w:rsid w:val="006E3477"/>
    <w:rsid w:val="006E358D"/>
    <w:rsid w:val="006E3A90"/>
    <w:rsid w:val="006E3CC7"/>
    <w:rsid w:val="006E4585"/>
    <w:rsid w:val="006E4900"/>
    <w:rsid w:val="006E4923"/>
    <w:rsid w:val="006E4960"/>
    <w:rsid w:val="006E4B92"/>
    <w:rsid w:val="006E4C15"/>
    <w:rsid w:val="006E4DC4"/>
    <w:rsid w:val="006E4FEC"/>
    <w:rsid w:val="006E5332"/>
    <w:rsid w:val="006E533F"/>
    <w:rsid w:val="006E53A3"/>
    <w:rsid w:val="006E5696"/>
    <w:rsid w:val="006E5BBA"/>
    <w:rsid w:val="006E6338"/>
    <w:rsid w:val="006E66A7"/>
    <w:rsid w:val="006E68C1"/>
    <w:rsid w:val="006E6EAF"/>
    <w:rsid w:val="006E6F14"/>
    <w:rsid w:val="006E79B9"/>
    <w:rsid w:val="006F007E"/>
    <w:rsid w:val="006F02FD"/>
    <w:rsid w:val="006F0D91"/>
    <w:rsid w:val="006F0DA1"/>
    <w:rsid w:val="006F0E98"/>
    <w:rsid w:val="006F116E"/>
    <w:rsid w:val="006F14F2"/>
    <w:rsid w:val="006F18BB"/>
    <w:rsid w:val="006F1A95"/>
    <w:rsid w:val="006F1B02"/>
    <w:rsid w:val="006F1BCA"/>
    <w:rsid w:val="006F1CA0"/>
    <w:rsid w:val="006F1D16"/>
    <w:rsid w:val="006F1EFF"/>
    <w:rsid w:val="006F23EC"/>
    <w:rsid w:val="006F2578"/>
    <w:rsid w:val="006F264A"/>
    <w:rsid w:val="006F2F10"/>
    <w:rsid w:val="006F344B"/>
    <w:rsid w:val="006F3664"/>
    <w:rsid w:val="006F40BA"/>
    <w:rsid w:val="006F42AE"/>
    <w:rsid w:val="006F4507"/>
    <w:rsid w:val="006F5608"/>
    <w:rsid w:val="006F560B"/>
    <w:rsid w:val="006F604B"/>
    <w:rsid w:val="006F6337"/>
    <w:rsid w:val="006F6502"/>
    <w:rsid w:val="006F6847"/>
    <w:rsid w:val="006F6A32"/>
    <w:rsid w:val="006F7262"/>
    <w:rsid w:val="006F73B3"/>
    <w:rsid w:val="006F73B4"/>
    <w:rsid w:val="006F73FC"/>
    <w:rsid w:val="006F7524"/>
    <w:rsid w:val="006F7546"/>
    <w:rsid w:val="006F76C5"/>
    <w:rsid w:val="006F78B1"/>
    <w:rsid w:val="006F794B"/>
    <w:rsid w:val="006F7A24"/>
    <w:rsid w:val="006F7CA3"/>
    <w:rsid w:val="006F7E88"/>
    <w:rsid w:val="007003D9"/>
    <w:rsid w:val="0070089D"/>
    <w:rsid w:val="0070116F"/>
    <w:rsid w:val="00701369"/>
    <w:rsid w:val="007013B5"/>
    <w:rsid w:val="00701496"/>
    <w:rsid w:val="007016BC"/>
    <w:rsid w:val="00701705"/>
    <w:rsid w:val="0070170E"/>
    <w:rsid w:val="00701D18"/>
    <w:rsid w:val="00701F44"/>
    <w:rsid w:val="007027F8"/>
    <w:rsid w:val="00702AAC"/>
    <w:rsid w:val="00702C97"/>
    <w:rsid w:val="00702D7E"/>
    <w:rsid w:val="00702E1B"/>
    <w:rsid w:val="007030C7"/>
    <w:rsid w:val="0070343A"/>
    <w:rsid w:val="007035D6"/>
    <w:rsid w:val="007035E8"/>
    <w:rsid w:val="007039BA"/>
    <w:rsid w:val="00703AFB"/>
    <w:rsid w:val="00703EFD"/>
    <w:rsid w:val="00703F9F"/>
    <w:rsid w:val="007040E6"/>
    <w:rsid w:val="007044BB"/>
    <w:rsid w:val="00704F07"/>
    <w:rsid w:val="00704F73"/>
    <w:rsid w:val="00705306"/>
    <w:rsid w:val="007053A6"/>
    <w:rsid w:val="007054E5"/>
    <w:rsid w:val="00705812"/>
    <w:rsid w:val="00706076"/>
    <w:rsid w:val="007060FC"/>
    <w:rsid w:val="00706625"/>
    <w:rsid w:val="0070690C"/>
    <w:rsid w:val="00706952"/>
    <w:rsid w:val="00706B0E"/>
    <w:rsid w:val="00706B40"/>
    <w:rsid w:val="00706C63"/>
    <w:rsid w:val="00706FC4"/>
    <w:rsid w:val="007073B1"/>
    <w:rsid w:val="0070768C"/>
    <w:rsid w:val="007076E6"/>
    <w:rsid w:val="00707D18"/>
    <w:rsid w:val="00707F91"/>
    <w:rsid w:val="00710129"/>
    <w:rsid w:val="00710736"/>
    <w:rsid w:val="00710F1F"/>
    <w:rsid w:val="007112F8"/>
    <w:rsid w:val="0071194C"/>
    <w:rsid w:val="00711AB9"/>
    <w:rsid w:val="00711E02"/>
    <w:rsid w:val="0071226A"/>
    <w:rsid w:val="007122DA"/>
    <w:rsid w:val="00712475"/>
    <w:rsid w:val="0071247C"/>
    <w:rsid w:val="0071255A"/>
    <w:rsid w:val="00712622"/>
    <w:rsid w:val="007126B1"/>
    <w:rsid w:val="007127A2"/>
    <w:rsid w:val="007127A3"/>
    <w:rsid w:val="007129D9"/>
    <w:rsid w:val="00712C57"/>
    <w:rsid w:val="00712F2D"/>
    <w:rsid w:val="00713515"/>
    <w:rsid w:val="00713587"/>
    <w:rsid w:val="00713742"/>
    <w:rsid w:val="0071385C"/>
    <w:rsid w:val="007138DE"/>
    <w:rsid w:val="00713970"/>
    <w:rsid w:val="00714A31"/>
    <w:rsid w:val="00714A43"/>
    <w:rsid w:val="007150B0"/>
    <w:rsid w:val="007155A6"/>
    <w:rsid w:val="00715797"/>
    <w:rsid w:val="00715A9A"/>
    <w:rsid w:val="00715B97"/>
    <w:rsid w:val="007160DC"/>
    <w:rsid w:val="00716314"/>
    <w:rsid w:val="00716813"/>
    <w:rsid w:val="00716926"/>
    <w:rsid w:val="00716979"/>
    <w:rsid w:val="00716A08"/>
    <w:rsid w:val="00716B77"/>
    <w:rsid w:val="00716CF5"/>
    <w:rsid w:val="00717224"/>
    <w:rsid w:val="0071732C"/>
    <w:rsid w:val="00717392"/>
    <w:rsid w:val="007175CC"/>
    <w:rsid w:val="007177D8"/>
    <w:rsid w:val="007177D9"/>
    <w:rsid w:val="0071796A"/>
    <w:rsid w:val="00717D89"/>
    <w:rsid w:val="00717EA3"/>
    <w:rsid w:val="00720157"/>
    <w:rsid w:val="007201AB"/>
    <w:rsid w:val="007207F3"/>
    <w:rsid w:val="00720953"/>
    <w:rsid w:val="00720992"/>
    <w:rsid w:val="007209F3"/>
    <w:rsid w:val="00720B6F"/>
    <w:rsid w:val="00720BAA"/>
    <w:rsid w:val="00720BFD"/>
    <w:rsid w:val="00720D83"/>
    <w:rsid w:val="00721020"/>
    <w:rsid w:val="00721163"/>
    <w:rsid w:val="00721572"/>
    <w:rsid w:val="007217D3"/>
    <w:rsid w:val="007219BF"/>
    <w:rsid w:val="00721ACB"/>
    <w:rsid w:val="00721BAF"/>
    <w:rsid w:val="00721D1C"/>
    <w:rsid w:val="00721DC7"/>
    <w:rsid w:val="00721DDE"/>
    <w:rsid w:val="00721E02"/>
    <w:rsid w:val="00721F29"/>
    <w:rsid w:val="00722140"/>
    <w:rsid w:val="007222B1"/>
    <w:rsid w:val="007224BD"/>
    <w:rsid w:val="0072282B"/>
    <w:rsid w:val="0072283D"/>
    <w:rsid w:val="00722A36"/>
    <w:rsid w:val="00722D3C"/>
    <w:rsid w:val="00722F29"/>
    <w:rsid w:val="0072339E"/>
    <w:rsid w:val="007233C9"/>
    <w:rsid w:val="0072350A"/>
    <w:rsid w:val="00723619"/>
    <w:rsid w:val="00723859"/>
    <w:rsid w:val="00723D05"/>
    <w:rsid w:val="00723D0A"/>
    <w:rsid w:val="00723F44"/>
    <w:rsid w:val="00724316"/>
    <w:rsid w:val="007249C7"/>
    <w:rsid w:val="00724CC7"/>
    <w:rsid w:val="00724DE0"/>
    <w:rsid w:val="007250E5"/>
    <w:rsid w:val="00725157"/>
    <w:rsid w:val="00725267"/>
    <w:rsid w:val="007254F6"/>
    <w:rsid w:val="00725838"/>
    <w:rsid w:val="00725D0B"/>
    <w:rsid w:val="00725E6B"/>
    <w:rsid w:val="007262BD"/>
    <w:rsid w:val="00726414"/>
    <w:rsid w:val="007265FA"/>
    <w:rsid w:val="007266D5"/>
    <w:rsid w:val="00726997"/>
    <w:rsid w:val="007269D3"/>
    <w:rsid w:val="00726A2C"/>
    <w:rsid w:val="00726F50"/>
    <w:rsid w:val="00726FA4"/>
    <w:rsid w:val="007276BE"/>
    <w:rsid w:val="00727856"/>
    <w:rsid w:val="00727AD4"/>
    <w:rsid w:val="00727BD2"/>
    <w:rsid w:val="00730286"/>
    <w:rsid w:val="007306DC"/>
    <w:rsid w:val="007309B3"/>
    <w:rsid w:val="00730C79"/>
    <w:rsid w:val="007312CA"/>
    <w:rsid w:val="007317E5"/>
    <w:rsid w:val="0073183B"/>
    <w:rsid w:val="00731859"/>
    <w:rsid w:val="007318DD"/>
    <w:rsid w:val="00731D48"/>
    <w:rsid w:val="00731DB2"/>
    <w:rsid w:val="00732583"/>
    <w:rsid w:val="00732779"/>
    <w:rsid w:val="00732854"/>
    <w:rsid w:val="00732C89"/>
    <w:rsid w:val="00732C99"/>
    <w:rsid w:val="00732DFE"/>
    <w:rsid w:val="00732FCA"/>
    <w:rsid w:val="007330EB"/>
    <w:rsid w:val="007334CA"/>
    <w:rsid w:val="007334CC"/>
    <w:rsid w:val="007335B6"/>
    <w:rsid w:val="007336DE"/>
    <w:rsid w:val="0073402E"/>
    <w:rsid w:val="00734033"/>
    <w:rsid w:val="007344BB"/>
    <w:rsid w:val="007346F5"/>
    <w:rsid w:val="0073489F"/>
    <w:rsid w:val="007349EC"/>
    <w:rsid w:val="00734C92"/>
    <w:rsid w:val="00734ED8"/>
    <w:rsid w:val="007352FB"/>
    <w:rsid w:val="0073538B"/>
    <w:rsid w:val="00735467"/>
    <w:rsid w:val="007354B7"/>
    <w:rsid w:val="00735528"/>
    <w:rsid w:val="00735A18"/>
    <w:rsid w:val="00735BA3"/>
    <w:rsid w:val="00736037"/>
    <w:rsid w:val="0073605C"/>
    <w:rsid w:val="007364DE"/>
    <w:rsid w:val="007365B7"/>
    <w:rsid w:val="00736924"/>
    <w:rsid w:val="00736971"/>
    <w:rsid w:val="00736A21"/>
    <w:rsid w:val="007371C1"/>
    <w:rsid w:val="007371F5"/>
    <w:rsid w:val="007373D9"/>
    <w:rsid w:val="00737595"/>
    <w:rsid w:val="00737925"/>
    <w:rsid w:val="00737C55"/>
    <w:rsid w:val="00737D5E"/>
    <w:rsid w:val="0074002E"/>
    <w:rsid w:val="00740045"/>
    <w:rsid w:val="007401CE"/>
    <w:rsid w:val="00740260"/>
    <w:rsid w:val="0074028F"/>
    <w:rsid w:val="007402F4"/>
    <w:rsid w:val="00740B5A"/>
    <w:rsid w:val="0074107F"/>
    <w:rsid w:val="0074122F"/>
    <w:rsid w:val="00741684"/>
    <w:rsid w:val="00741714"/>
    <w:rsid w:val="007417A9"/>
    <w:rsid w:val="0074188B"/>
    <w:rsid w:val="007418E5"/>
    <w:rsid w:val="00741A20"/>
    <w:rsid w:val="00741B43"/>
    <w:rsid w:val="00741F41"/>
    <w:rsid w:val="00741FFB"/>
    <w:rsid w:val="00742016"/>
    <w:rsid w:val="00742242"/>
    <w:rsid w:val="00742245"/>
    <w:rsid w:val="007423BB"/>
    <w:rsid w:val="00742666"/>
    <w:rsid w:val="00742862"/>
    <w:rsid w:val="00742B32"/>
    <w:rsid w:val="00743169"/>
    <w:rsid w:val="00743310"/>
    <w:rsid w:val="0074338A"/>
    <w:rsid w:val="00743682"/>
    <w:rsid w:val="00743964"/>
    <w:rsid w:val="007439D0"/>
    <w:rsid w:val="00743A8A"/>
    <w:rsid w:val="00743B3A"/>
    <w:rsid w:val="00743EFB"/>
    <w:rsid w:val="00743FA6"/>
    <w:rsid w:val="00744A81"/>
    <w:rsid w:val="00744AF4"/>
    <w:rsid w:val="00744C07"/>
    <w:rsid w:val="00744EE4"/>
    <w:rsid w:val="007457BD"/>
    <w:rsid w:val="0074586F"/>
    <w:rsid w:val="007459BF"/>
    <w:rsid w:val="00745A65"/>
    <w:rsid w:val="00745CA3"/>
    <w:rsid w:val="00745D71"/>
    <w:rsid w:val="0074607B"/>
    <w:rsid w:val="007460AE"/>
    <w:rsid w:val="00746214"/>
    <w:rsid w:val="007463AA"/>
    <w:rsid w:val="00746512"/>
    <w:rsid w:val="007468D5"/>
    <w:rsid w:val="007469E9"/>
    <w:rsid w:val="00746F46"/>
    <w:rsid w:val="007471F8"/>
    <w:rsid w:val="00747516"/>
    <w:rsid w:val="0074755D"/>
    <w:rsid w:val="007476F0"/>
    <w:rsid w:val="00747949"/>
    <w:rsid w:val="00747BB2"/>
    <w:rsid w:val="00747D86"/>
    <w:rsid w:val="00747E51"/>
    <w:rsid w:val="00750897"/>
    <w:rsid w:val="00750981"/>
    <w:rsid w:val="00750C2F"/>
    <w:rsid w:val="00750D2E"/>
    <w:rsid w:val="00751098"/>
    <w:rsid w:val="0075111B"/>
    <w:rsid w:val="007513EE"/>
    <w:rsid w:val="00751B89"/>
    <w:rsid w:val="00751B8F"/>
    <w:rsid w:val="00751C7C"/>
    <w:rsid w:val="00751F34"/>
    <w:rsid w:val="0075295E"/>
    <w:rsid w:val="007529BE"/>
    <w:rsid w:val="00752ACF"/>
    <w:rsid w:val="00752E3A"/>
    <w:rsid w:val="00752E8D"/>
    <w:rsid w:val="00752E92"/>
    <w:rsid w:val="00752EC6"/>
    <w:rsid w:val="00752FB3"/>
    <w:rsid w:val="00752FD3"/>
    <w:rsid w:val="007532EE"/>
    <w:rsid w:val="007536E9"/>
    <w:rsid w:val="0075393B"/>
    <w:rsid w:val="00753A31"/>
    <w:rsid w:val="00754589"/>
    <w:rsid w:val="00754F4E"/>
    <w:rsid w:val="00754F9F"/>
    <w:rsid w:val="00755089"/>
    <w:rsid w:val="00755223"/>
    <w:rsid w:val="00755262"/>
    <w:rsid w:val="007555BA"/>
    <w:rsid w:val="007555DD"/>
    <w:rsid w:val="007555F5"/>
    <w:rsid w:val="00755851"/>
    <w:rsid w:val="00755F22"/>
    <w:rsid w:val="00755FD6"/>
    <w:rsid w:val="00755FF4"/>
    <w:rsid w:val="007560B5"/>
    <w:rsid w:val="00756393"/>
    <w:rsid w:val="00756B24"/>
    <w:rsid w:val="00756D40"/>
    <w:rsid w:val="00756D44"/>
    <w:rsid w:val="00756D82"/>
    <w:rsid w:val="00756E5D"/>
    <w:rsid w:val="00756FC0"/>
    <w:rsid w:val="007571F0"/>
    <w:rsid w:val="0075728D"/>
    <w:rsid w:val="00757377"/>
    <w:rsid w:val="007577C1"/>
    <w:rsid w:val="00757B34"/>
    <w:rsid w:val="00757ED3"/>
    <w:rsid w:val="00757EF0"/>
    <w:rsid w:val="00757FDF"/>
    <w:rsid w:val="00760136"/>
    <w:rsid w:val="0076014D"/>
    <w:rsid w:val="007602D0"/>
    <w:rsid w:val="007604D5"/>
    <w:rsid w:val="007604FB"/>
    <w:rsid w:val="007606EE"/>
    <w:rsid w:val="00760711"/>
    <w:rsid w:val="00760715"/>
    <w:rsid w:val="00760F11"/>
    <w:rsid w:val="0076101C"/>
    <w:rsid w:val="0076146C"/>
    <w:rsid w:val="00761660"/>
    <w:rsid w:val="00761894"/>
    <w:rsid w:val="00761949"/>
    <w:rsid w:val="00761B7E"/>
    <w:rsid w:val="00761CEB"/>
    <w:rsid w:val="00762031"/>
    <w:rsid w:val="007620CF"/>
    <w:rsid w:val="0076227B"/>
    <w:rsid w:val="00762364"/>
    <w:rsid w:val="0076237E"/>
    <w:rsid w:val="0076238A"/>
    <w:rsid w:val="007623B8"/>
    <w:rsid w:val="007629C0"/>
    <w:rsid w:val="00762A95"/>
    <w:rsid w:val="00762B54"/>
    <w:rsid w:val="00762D6F"/>
    <w:rsid w:val="00763648"/>
    <w:rsid w:val="007636BD"/>
    <w:rsid w:val="00763CB7"/>
    <w:rsid w:val="00763F2D"/>
    <w:rsid w:val="00764135"/>
    <w:rsid w:val="00764194"/>
    <w:rsid w:val="0076445A"/>
    <w:rsid w:val="0076446C"/>
    <w:rsid w:val="00764490"/>
    <w:rsid w:val="007646AC"/>
    <w:rsid w:val="00764A6D"/>
    <w:rsid w:val="00764C3D"/>
    <w:rsid w:val="00765A1B"/>
    <w:rsid w:val="00765A2E"/>
    <w:rsid w:val="00765C5D"/>
    <w:rsid w:val="00765ECF"/>
    <w:rsid w:val="00765FE6"/>
    <w:rsid w:val="0076612F"/>
    <w:rsid w:val="0076642C"/>
    <w:rsid w:val="0076647C"/>
    <w:rsid w:val="00766491"/>
    <w:rsid w:val="007664B8"/>
    <w:rsid w:val="00766609"/>
    <w:rsid w:val="0076685D"/>
    <w:rsid w:val="0076687C"/>
    <w:rsid w:val="00766F38"/>
    <w:rsid w:val="007675D8"/>
    <w:rsid w:val="0076768E"/>
    <w:rsid w:val="007676E5"/>
    <w:rsid w:val="00767700"/>
    <w:rsid w:val="0076771A"/>
    <w:rsid w:val="00767D35"/>
    <w:rsid w:val="00767E15"/>
    <w:rsid w:val="00767FD9"/>
    <w:rsid w:val="007700F8"/>
    <w:rsid w:val="007703E0"/>
    <w:rsid w:val="00770D59"/>
    <w:rsid w:val="00770D71"/>
    <w:rsid w:val="007713FB"/>
    <w:rsid w:val="00771AE2"/>
    <w:rsid w:val="00771BFA"/>
    <w:rsid w:val="00771C6C"/>
    <w:rsid w:val="00771D80"/>
    <w:rsid w:val="00771E2B"/>
    <w:rsid w:val="007721A7"/>
    <w:rsid w:val="007721DC"/>
    <w:rsid w:val="00772257"/>
    <w:rsid w:val="00772356"/>
    <w:rsid w:val="007725AF"/>
    <w:rsid w:val="007726A9"/>
    <w:rsid w:val="00772723"/>
    <w:rsid w:val="00772BB8"/>
    <w:rsid w:val="00772E41"/>
    <w:rsid w:val="00772FCF"/>
    <w:rsid w:val="0077313D"/>
    <w:rsid w:val="007735A3"/>
    <w:rsid w:val="007735FD"/>
    <w:rsid w:val="0077367E"/>
    <w:rsid w:val="007736A6"/>
    <w:rsid w:val="00773830"/>
    <w:rsid w:val="007738D3"/>
    <w:rsid w:val="00773FF9"/>
    <w:rsid w:val="00774581"/>
    <w:rsid w:val="00774779"/>
    <w:rsid w:val="00774A0D"/>
    <w:rsid w:val="00774AAA"/>
    <w:rsid w:val="00774FCC"/>
    <w:rsid w:val="0077510C"/>
    <w:rsid w:val="00775284"/>
    <w:rsid w:val="00775886"/>
    <w:rsid w:val="00775934"/>
    <w:rsid w:val="00775974"/>
    <w:rsid w:val="00775CBC"/>
    <w:rsid w:val="00775F0A"/>
    <w:rsid w:val="00776257"/>
    <w:rsid w:val="007762E2"/>
    <w:rsid w:val="00776B7F"/>
    <w:rsid w:val="00776DA5"/>
    <w:rsid w:val="0077711A"/>
    <w:rsid w:val="007773AE"/>
    <w:rsid w:val="00777789"/>
    <w:rsid w:val="0077778C"/>
    <w:rsid w:val="00777CD2"/>
    <w:rsid w:val="00777D1A"/>
    <w:rsid w:val="00777E6D"/>
    <w:rsid w:val="00777FA6"/>
    <w:rsid w:val="00777FCC"/>
    <w:rsid w:val="00780084"/>
    <w:rsid w:val="007802F9"/>
    <w:rsid w:val="00780541"/>
    <w:rsid w:val="00780617"/>
    <w:rsid w:val="007807F3"/>
    <w:rsid w:val="007809B8"/>
    <w:rsid w:val="007809E7"/>
    <w:rsid w:val="00780BB3"/>
    <w:rsid w:val="00780D9E"/>
    <w:rsid w:val="00780E5D"/>
    <w:rsid w:val="007813C1"/>
    <w:rsid w:val="007814AB"/>
    <w:rsid w:val="007814F2"/>
    <w:rsid w:val="0078189F"/>
    <w:rsid w:val="00781BEF"/>
    <w:rsid w:val="00781C13"/>
    <w:rsid w:val="00781C96"/>
    <w:rsid w:val="00781EA9"/>
    <w:rsid w:val="007820BF"/>
    <w:rsid w:val="00782305"/>
    <w:rsid w:val="00782599"/>
    <w:rsid w:val="0078262A"/>
    <w:rsid w:val="00782A7E"/>
    <w:rsid w:val="00782D4D"/>
    <w:rsid w:val="00782D7F"/>
    <w:rsid w:val="00782EE3"/>
    <w:rsid w:val="00783197"/>
    <w:rsid w:val="007834F3"/>
    <w:rsid w:val="00783A1E"/>
    <w:rsid w:val="00783B53"/>
    <w:rsid w:val="00784389"/>
    <w:rsid w:val="0078476D"/>
    <w:rsid w:val="007847CD"/>
    <w:rsid w:val="00784840"/>
    <w:rsid w:val="00784C02"/>
    <w:rsid w:val="00784C1B"/>
    <w:rsid w:val="00784D76"/>
    <w:rsid w:val="00784E22"/>
    <w:rsid w:val="00784FC2"/>
    <w:rsid w:val="00785562"/>
    <w:rsid w:val="00785884"/>
    <w:rsid w:val="00785A27"/>
    <w:rsid w:val="00785F6D"/>
    <w:rsid w:val="0078660B"/>
    <w:rsid w:val="00786A73"/>
    <w:rsid w:val="00786ACC"/>
    <w:rsid w:val="00786B12"/>
    <w:rsid w:val="00786CE9"/>
    <w:rsid w:val="00786D0E"/>
    <w:rsid w:val="00786D77"/>
    <w:rsid w:val="00787634"/>
    <w:rsid w:val="0078784E"/>
    <w:rsid w:val="00787999"/>
    <w:rsid w:val="0079035A"/>
    <w:rsid w:val="007906A1"/>
    <w:rsid w:val="007906F9"/>
    <w:rsid w:val="007907BA"/>
    <w:rsid w:val="00790A2F"/>
    <w:rsid w:val="00790E92"/>
    <w:rsid w:val="0079139D"/>
    <w:rsid w:val="00791536"/>
    <w:rsid w:val="007915C8"/>
    <w:rsid w:val="007915DD"/>
    <w:rsid w:val="00791AC8"/>
    <w:rsid w:val="0079224B"/>
    <w:rsid w:val="0079229A"/>
    <w:rsid w:val="0079230E"/>
    <w:rsid w:val="00792514"/>
    <w:rsid w:val="007925DE"/>
    <w:rsid w:val="00792683"/>
    <w:rsid w:val="007926C8"/>
    <w:rsid w:val="007926E9"/>
    <w:rsid w:val="00792813"/>
    <w:rsid w:val="00792AAC"/>
    <w:rsid w:val="00792D38"/>
    <w:rsid w:val="0079348E"/>
    <w:rsid w:val="007935C4"/>
    <w:rsid w:val="007936A6"/>
    <w:rsid w:val="007936F3"/>
    <w:rsid w:val="00793884"/>
    <w:rsid w:val="00794503"/>
    <w:rsid w:val="007946CE"/>
    <w:rsid w:val="00794740"/>
    <w:rsid w:val="007948B5"/>
    <w:rsid w:val="007949EC"/>
    <w:rsid w:val="00794BA7"/>
    <w:rsid w:val="00794F8E"/>
    <w:rsid w:val="00795330"/>
    <w:rsid w:val="007954DA"/>
    <w:rsid w:val="007959A9"/>
    <w:rsid w:val="007959D7"/>
    <w:rsid w:val="00795AC3"/>
    <w:rsid w:val="00795AD3"/>
    <w:rsid w:val="00795BEE"/>
    <w:rsid w:val="007962E0"/>
    <w:rsid w:val="00796386"/>
    <w:rsid w:val="007966B4"/>
    <w:rsid w:val="00796862"/>
    <w:rsid w:val="00796CFC"/>
    <w:rsid w:val="00796D4B"/>
    <w:rsid w:val="00797165"/>
    <w:rsid w:val="007974B1"/>
    <w:rsid w:val="00797545"/>
    <w:rsid w:val="007975F5"/>
    <w:rsid w:val="00797701"/>
    <w:rsid w:val="00797CF0"/>
    <w:rsid w:val="00797F43"/>
    <w:rsid w:val="007A055C"/>
    <w:rsid w:val="007A0767"/>
    <w:rsid w:val="007A0928"/>
    <w:rsid w:val="007A0C8F"/>
    <w:rsid w:val="007A0D76"/>
    <w:rsid w:val="007A111B"/>
    <w:rsid w:val="007A1381"/>
    <w:rsid w:val="007A16F4"/>
    <w:rsid w:val="007A194E"/>
    <w:rsid w:val="007A19B2"/>
    <w:rsid w:val="007A19E0"/>
    <w:rsid w:val="007A1D46"/>
    <w:rsid w:val="007A2072"/>
    <w:rsid w:val="007A2162"/>
    <w:rsid w:val="007A216C"/>
    <w:rsid w:val="007A242A"/>
    <w:rsid w:val="007A2553"/>
    <w:rsid w:val="007A2A37"/>
    <w:rsid w:val="007A2E2A"/>
    <w:rsid w:val="007A3364"/>
    <w:rsid w:val="007A3CC4"/>
    <w:rsid w:val="007A3D28"/>
    <w:rsid w:val="007A3FE3"/>
    <w:rsid w:val="007A4074"/>
    <w:rsid w:val="007A41F4"/>
    <w:rsid w:val="007A44F7"/>
    <w:rsid w:val="007A476B"/>
    <w:rsid w:val="007A483E"/>
    <w:rsid w:val="007A4DE6"/>
    <w:rsid w:val="007A4E7D"/>
    <w:rsid w:val="007A518E"/>
    <w:rsid w:val="007A51C1"/>
    <w:rsid w:val="007A55C4"/>
    <w:rsid w:val="007A55F4"/>
    <w:rsid w:val="007A5738"/>
    <w:rsid w:val="007A573A"/>
    <w:rsid w:val="007A58E0"/>
    <w:rsid w:val="007A5B85"/>
    <w:rsid w:val="007A5D89"/>
    <w:rsid w:val="007A5EEB"/>
    <w:rsid w:val="007A5F26"/>
    <w:rsid w:val="007A60E5"/>
    <w:rsid w:val="007A64CF"/>
    <w:rsid w:val="007A6708"/>
    <w:rsid w:val="007A685F"/>
    <w:rsid w:val="007A6ED6"/>
    <w:rsid w:val="007A71D7"/>
    <w:rsid w:val="007A7600"/>
    <w:rsid w:val="007A7960"/>
    <w:rsid w:val="007B0002"/>
    <w:rsid w:val="007B017D"/>
    <w:rsid w:val="007B01AF"/>
    <w:rsid w:val="007B075C"/>
    <w:rsid w:val="007B083D"/>
    <w:rsid w:val="007B09B4"/>
    <w:rsid w:val="007B09D1"/>
    <w:rsid w:val="007B1265"/>
    <w:rsid w:val="007B1A21"/>
    <w:rsid w:val="007B1ACD"/>
    <w:rsid w:val="007B1DF1"/>
    <w:rsid w:val="007B21B1"/>
    <w:rsid w:val="007B234D"/>
    <w:rsid w:val="007B2840"/>
    <w:rsid w:val="007B28B4"/>
    <w:rsid w:val="007B2980"/>
    <w:rsid w:val="007B2E41"/>
    <w:rsid w:val="007B2E6D"/>
    <w:rsid w:val="007B2E7A"/>
    <w:rsid w:val="007B2FDF"/>
    <w:rsid w:val="007B30EA"/>
    <w:rsid w:val="007B33D2"/>
    <w:rsid w:val="007B354B"/>
    <w:rsid w:val="007B3A86"/>
    <w:rsid w:val="007B3DE7"/>
    <w:rsid w:val="007B4246"/>
    <w:rsid w:val="007B43A1"/>
    <w:rsid w:val="007B4499"/>
    <w:rsid w:val="007B473D"/>
    <w:rsid w:val="007B4BFD"/>
    <w:rsid w:val="007B5366"/>
    <w:rsid w:val="007B5419"/>
    <w:rsid w:val="007B544B"/>
    <w:rsid w:val="007B55D0"/>
    <w:rsid w:val="007B58B3"/>
    <w:rsid w:val="007B5B06"/>
    <w:rsid w:val="007B5E6F"/>
    <w:rsid w:val="007B5F7A"/>
    <w:rsid w:val="007B6199"/>
    <w:rsid w:val="007B63AE"/>
    <w:rsid w:val="007B677E"/>
    <w:rsid w:val="007B690E"/>
    <w:rsid w:val="007B6AAE"/>
    <w:rsid w:val="007B6C4C"/>
    <w:rsid w:val="007B6F26"/>
    <w:rsid w:val="007B7279"/>
    <w:rsid w:val="007B7837"/>
    <w:rsid w:val="007B7A69"/>
    <w:rsid w:val="007B7DF3"/>
    <w:rsid w:val="007B7E46"/>
    <w:rsid w:val="007B7F1B"/>
    <w:rsid w:val="007C056D"/>
    <w:rsid w:val="007C05EB"/>
    <w:rsid w:val="007C0F4F"/>
    <w:rsid w:val="007C1743"/>
    <w:rsid w:val="007C1AA2"/>
    <w:rsid w:val="007C1F3A"/>
    <w:rsid w:val="007C2114"/>
    <w:rsid w:val="007C231D"/>
    <w:rsid w:val="007C23AE"/>
    <w:rsid w:val="007C261E"/>
    <w:rsid w:val="007C2806"/>
    <w:rsid w:val="007C2AEF"/>
    <w:rsid w:val="007C2DEB"/>
    <w:rsid w:val="007C34BA"/>
    <w:rsid w:val="007C3946"/>
    <w:rsid w:val="007C3A53"/>
    <w:rsid w:val="007C3A83"/>
    <w:rsid w:val="007C3C2C"/>
    <w:rsid w:val="007C4201"/>
    <w:rsid w:val="007C463C"/>
    <w:rsid w:val="007C46BA"/>
    <w:rsid w:val="007C4ABD"/>
    <w:rsid w:val="007C4B44"/>
    <w:rsid w:val="007C5273"/>
    <w:rsid w:val="007C59EB"/>
    <w:rsid w:val="007C5A14"/>
    <w:rsid w:val="007C5C83"/>
    <w:rsid w:val="007C5D8A"/>
    <w:rsid w:val="007C6321"/>
    <w:rsid w:val="007C662A"/>
    <w:rsid w:val="007C66AF"/>
    <w:rsid w:val="007C6958"/>
    <w:rsid w:val="007C6A21"/>
    <w:rsid w:val="007C6AAA"/>
    <w:rsid w:val="007C708A"/>
    <w:rsid w:val="007C70D1"/>
    <w:rsid w:val="007C7680"/>
    <w:rsid w:val="007C7D92"/>
    <w:rsid w:val="007D00FA"/>
    <w:rsid w:val="007D014E"/>
    <w:rsid w:val="007D022D"/>
    <w:rsid w:val="007D0527"/>
    <w:rsid w:val="007D0846"/>
    <w:rsid w:val="007D0C47"/>
    <w:rsid w:val="007D0D50"/>
    <w:rsid w:val="007D0DD4"/>
    <w:rsid w:val="007D0EF7"/>
    <w:rsid w:val="007D16FF"/>
    <w:rsid w:val="007D1A42"/>
    <w:rsid w:val="007D1A5A"/>
    <w:rsid w:val="007D1AFC"/>
    <w:rsid w:val="007D1DE9"/>
    <w:rsid w:val="007D221D"/>
    <w:rsid w:val="007D269C"/>
    <w:rsid w:val="007D26D0"/>
    <w:rsid w:val="007D2B58"/>
    <w:rsid w:val="007D2B94"/>
    <w:rsid w:val="007D2CAF"/>
    <w:rsid w:val="007D31A0"/>
    <w:rsid w:val="007D3406"/>
    <w:rsid w:val="007D34B9"/>
    <w:rsid w:val="007D35B2"/>
    <w:rsid w:val="007D3AEC"/>
    <w:rsid w:val="007D3FD8"/>
    <w:rsid w:val="007D4DC3"/>
    <w:rsid w:val="007D50FE"/>
    <w:rsid w:val="007D5181"/>
    <w:rsid w:val="007D5317"/>
    <w:rsid w:val="007D5450"/>
    <w:rsid w:val="007D573B"/>
    <w:rsid w:val="007D57F6"/>
    <w:rsid w:val="007D5967"/>
    <w:rsid w:val="007D5E26"/>
    <w:rsid w:val="007D5F56"/>
    <w:rsid w:val="007D602B"/>
    <w:rsid w:val="007D61E4"/>
    <w:rsid w:val="007D628A"/>
    <w:rsid w:val="007D62B4"/>
    <w:rsid w:val="007D64D8"/>
    <w:rsid w:val="007D67A4"/>
    <w:rsid w:val="007D69BC"/>
    <w:rsid w:val="007D6AFB"/>
    <w:rsid w:val="007D6BAA"/>
    <w:rsid w:val="007D6FC8"/>
    <w:rsid w:val="007D7175"/>
    <w:rsid w:val="007D73E1"/>
    <w:rsid w:val="007D769B"/>
    <w:rsid w:val="007D76AE"/>
    <w:rsid w:val="007D77C7"/>
    <w:rsid w:val="007D7CC8"/>
    <w:rsid w:val="007E0349"/>
    <w:rsid w:val="007E0432"/>
    <w:rsid w:val="007E0597"/>
    <w:rsid w:val="007E069D"/>
    <w:rsid w:val="007E0BC4"/>
    <w:rsid w:val="007E0F92"/>
    <w:rsid w:val="007E122B"/>
    <w:rsid w:val="007E1915"/>
    <w:rsid w:val="007E2202"/>
    <w:rsid w:val="007E249B"/>
    <w:rsid w:val="007E2590"/>
    <w:rsid w:val="007E2756"/>
    <w:rsid w:val="007E2770"/>
    <w:rsid w:val="007E288F"/>
    <w:rsid w:val="007E2A73"/>
    <w:rsid w:val="007E2E46"/>
    <w:rsid w:val="007E2F5A"/>
    <w:rsid w:val="007E320E"/>
    <w:rsid w:val="007E340D"/>
    <w:rsid w:val="007E3484"/>
    <w:rsid w:val="007E3982"/>
    <w:rsid w:val="007E4176"/>
    <w:rsid w:val="007E41A5"/>
    <w:rsid w:val="007E4298"/>
    <w:rsid w:val="007E4646"/>
    <w:rsid w:val="007E4795"/>
    <w:rsid w:val="007E48FD"/>
    <w:rsid w:val="007E4EB3"/>
    <w:rsid w:val="007E4EE6"/>
    <w:rsid w:val="007E5099"/>
    <w:rsid w:val="007E50C5"/>
    <w:rsid w:val="007E55BE"/>
    <w:rsid w:val="007E5A5A"/>
    <w:rsid w:val="007E5BC4"/>
    <w:rsid w:val="007E5CD4"/>
    <w:rsid w:val="007E5CE2"/>
    <w:rsid w:val="007E5D41"/>
    <w:rsid w:val="007E5E2C"/>
    <w:rsid w:val="007E5F27"/>
    <w:rsid w:val="007E6043"/>
    <w:rsid w:val="007E619E"/>
    <w:rsid w:val="007E6254"/>
    <w:rsid w:val="007E62B4"/>
    <w:rsid w:val="007E656D"/>
    <w:rsid w:val="007E65DD"/>
    <w:rsid w:val="007E66E2"/>
    <w:rsid w:val="007E67FB"/>
    <w:rsid w:val="007E6AAB"/>
    <w:rsid w:val="007E6FAA"/>
    <w:rsid w:val="007E7501"/>
    <w:rsid w:val="007E756C"/>
    <w:rsid w:val="007E7B9F"/>
    <w:rsid w:val="007E7D0D"/>
    <w:rsid w:val="007E7E1C"/>
    <w:rsid w:val="007F0776"/>
    <w:rsid w:val="007F07F4"/>
    <w:rsid w:val="007F07FD"/>
    <w:rsid w:val="007F0BF6"/>
    <w:rsid w:val="007F0CB8"/>
    <w:rsid w:val="007F0FD2"/>
    <w:rsid w:val="007F10FC"/>
    <w:rsid w:val="007F142B"/>
    <w:rsid w:val="007F172F"/>
    <w:rsid w:val="007F190C"/>
    <w:rsid w:val="007F1911"/>
    <w:rsid w:val="007F19AA"/>
    <w:rsid w:val="007F2272"/>
    <w:rsid w:val="007F2306"/>
    <w:rsid w:val="007F26DB"/>
    <w:rsid w:val="007F2C18"/>
    <w:rsid w:val="007F2DF4"/>
    <w:rsid w:val="007F2F43"/>
    <w:rsid w:val="007F2F4D"/>
    <w:rsid w:val="007F37AD"/>
    <w:rsid w:val="007F38D3"/>
    <w:rsid w:val="007F3C73"/>
    <w:rsid w:val="007F42CF"/>
    <w:rsid w:val="007F4331"/>
    <w:rsid w:val="007F48BB"/>
    <w:rsid w:val="007F48ED"/>
    <w:rsid w:val="007F4D56"/>
    <w:rsid w:val="007F4D74"/>
    <w:rsid w:val="007F4F16"/>
    <w:rsid w:val="007F53A9"/>
    <w:rsid w:val="007F55F1"/>
    <w:rsid w:val="007F5C43"/>
    <w:rsid w:val="007F5D52"/>
    <w:rsid w:val="007F5EAD"/>
    <w:rsid w:val="007F5F33"/>
    <w:rsid w:val="007F67A9"/>
    <w:rsid w:val="007F691E"/>
    <w:rsid w:val="007F6E0C"/>
    <w:rsid w:val="007F727C"/>
    <w:rsid w:val="007F73E2"/>
    <w:rsid w:val="007F748F"/>
    <w:rsid w:val="007F7624"/>
    <w:rsid w:val="007F76BB"/>
    <w:rsid w:val="007F7E2B"/>
    <w:rsid w:val="0080043A"/>
    <w:rsid w:val="00800555"/>
    <w:rsid w:val="008005CC"/>
    <w:rsid w:val="0080060F"/>
    <w:rsid w:val="00800797"/>
    <w:rsid w:val="00800C51"/>
    <w:rsid w:val="00800CA5"/>
    <w:rsid w:val="00800CAA"/>
    <w:rsid w:val="00800FC4"/>
    <w:rsid w:val="00801189"/>
    <w:rsid w:val="00801548"/>
    <w:rsid w:val="00801586"/>
    <w:rsid w:val="0080159E"/>
    <w:rsid w:val="008015D6"/>
    <w:rsid w:val="008019DF"/>
    <w:rsid w:val="00801A3A"/>
    <w:rsid w:val="00801E69"/>
    <w:rsid w:val="00802385"/>
    <w:rsid w:val="0080240A"/>
    <w:rsid w:val="008026E5"/>
    <w:rsid w:val="0080298A"/>
    <w:rsid w:val="0080298B"/>
    <w:rsid w:val="00802A07"/>
    <w:rsid w:val="00802C75"/>
    <w:rsid w:val="00802DA5"/>
    <w:rsid w:val="00803046"/>
    <w:rsid w:val="00803776"/>
    <w:rsid w:val="008037DB"/>
    <w:rsid w:val="008039AB"/>
    <w:rsid w:val="00803B4B"/>
    <w:rsid w:val="008040B3"/>
    <w:rsid w:val="008040BC"/>
    <w:rsid w:val="008040E8"/>
    <w:rsid w:val="00804470"/>
    <w:rsid w:val="008045AD"/>
    <w:rsid w:val="008048AD"/>
    <w:rsid w:val="00804913"/>
    <w:rsid w:val="00804ABA"/>
    <w:rsid w:val="00804E79"/>
    <w:rsid w:val="0080503F"/>
    <w:rsid w:val="00805262"/>
    <w:rsid w:val="00805269"/>
    <w:rsid w:val="0080543D"/>
    <w:rsid w:val="008055A7"/>
    <w:rsid w:val="008055EA"/>
    <w:rsid w:val="0080578D"/>
    <w:rsid w:val="008058F6"/>
    <w:rsid w:val="00805C7D"/>
    <w:rsid w:val="00805FB9"/>
    <w:rsid w:val="00806063"/>
    <w:rsid w:val="00806141"/>
    <w:rsid w:val="00806932"/>
    <w:rsid w:val="00806B10"/>
    <w:rsid w:val="00806BE8"/>
    <w:rsid w:val="00806BF8"/>
    <w:rsid w:val="00807252"/>
    <w:rsid w:val="00807383"/>
    <w:rsid w:val="00807419"/>
    <w:rsid w:val="008076A5"/>
    <w:rsid w:val="008077B2"/>
    <w:rsid w:val="0080780B"/>
    <w:rsid w:val="008078B7"/>
    <w:rsid w:val="00807CE2"/>
    <w:rsid w:val="00807CE5"/>
    <w:rsid w:val="00810E1D"/>
    <w:rsid w:val="008111F2"/>
    <w:rsid w:val="0081147E"/>
    <w:rsid w:val="00812128"/>
    <w:rsid w:val="00812176"/>
    <w:rsid w:val="00812AF2"/>
    <w:rsid w:val="00812D5C"/>
    <w:rsid w:val="00812E06"/>
    <w:rsid w:val="00813274"/>
    <w:rsid w:val="00813288"/>
    <w:rsid w:val="00813315"/>
    <w:rsid w:val="008133B2"/>
    <w:rsid w:val="008136B2"/>
    <w:rsid w:val="00813804"/>
    <w:rsid w:val="00813855"/>
    <w:rsid w:val="00813888"/>
    <w:rsid w:val="008141D2"/>
    <w:rsid w:val="0081445E"/>
    <w:rsid w:val="0081457A"/>
    <w:rsid w:val="008145BC"/>
    <w:rsid w:val="00814855"/>
    <w:rsid w:val="00814AC5"/>
    <w:rsid w:val="00814AF0"/>
    <w:rsid w:val="00814D42"/>
    <w:rsid w:val="00814F0E"/>
    <w:rsid w:val="00815556"/>
    <w:rsid w:val="00815A27"/>
    <w:rsid w:val="00816359"/>
    <w:rsid w:val="00816442"/>
    <w:rsid w:val="008164CF"/>
    <w:rsid w:val="0081656D"/>
    <w:rsid w:val="0081659C"/>
    <w:rsid w:val="00816884"/>
    <w:rsid w:val="00816F05"/>
    <w:rsid w:val="00817166"/>
    <w:rsid w:val="00817469"/>
    <w:rsid w:val="008174E0"/>
    <w:rsid w:val="008177C2"/>
    <w:rsid w:val="00817A33"/>
    <w:rsid w:val="00817C17"/>
    <w:rsid w:val="008200F6"/>
    <w:rsid w:val="0082043D"/>
    <w:rsid w:val="008204D5"/>
    <w:rsid w:val="008206A5"/>
    <w:rsid w:val="008208ED"/>
    <w:rsid w:val="00820AEC"/>
    <w:rsid w:val="00820B2F"/>
    <w:rsid w:val="00820CE9"/>
    <w:rsid w:val="00820D90"/>
    <w:rsid w:val="00820DC9"/>
    <w:rsid w:val="00820F3A"/>
    <w:rsid w:val="00820FC7"/>
    <w:rsid w:val="00821271"/>
    <w:rsid w:val="00821C68"/>
    <w:rsid w:val="00821C76"/>
    <w:rsid w:val="00821C8D"/>
    <w:rsid w:val="00821C8E"/>
    <w:rsid w:val="00821CA8"/>
    <w:rsid w:val="00822050"/>
    <w:rsid w:val="0082225E"/>
    <w:rsid w:val="00822425"/>
    <w:rsid w:val="0082242E"/>
    <w:rsid w:val="00822787"/>
    <w:rsid w:val="00822798"/>
    <w:rsid w:val="00822DF8"/>
    <w:rsid w:val="00822E12"/>
    <w:rsid w:val="00822F9D"/>
    <w:rsid w:val="00822FEE"/>
    <w:rsid w:val="0082313E"/>
    <w:rsid w:val="008232CC"/>
    <w:rsid w:val="0082343D"/>
    <w:rsid w:val="00823459"/>
    <w:rsid w:val="00823477"/>
    <w:rsid w:val="00823C26"/>
    <w:rsid w:val="00823EAE"/>
    <w:rsid w:val="00823F6F"/>
    <w:rsid w:val="00824055"/>
    <w:rsid w:val="0082405D"/>
    <w:rsid w:val="008242B4"/>
    <w:rsid w:val="00824671"/>
    <w:rsid w:val="008246B9"/>
    <w:rsid w:val="00824A4A"/>
    <w:rsid w:val="00824ACB"/>
    <w:rsid w:val="00824AF1"/>
    <w:rsid w:val="00824BE7"/>
    <w:rsid w:val="00824D37"/>
    <w:rsid w:val="00824D4D"/>
    <w:rsid w:val="00824E2F"/>
    <w:rsid w:val="00824E46"/>
    <w:rsid w:val="00825189"/>
    <w:rsid w:val="0082519E"/>
    <w:rsid w:val="008252D3"/>
    <w:rsid w:val="00825335"/>
    <w:rsid w:val="008253A1"/>
    <w:rsid w:val="008257AA"/>
    <w:rsid w:val="0082585C"/>
    <w:rsid w:val="008259D7"/>
    <w:rsid w:val="00825B33"/>
    <w:rsid w:val="00825C27"/>
    <w:rsid w:val="00825CBB"/>
    <w:rsid w:val="00825DFA"/>
    <w:rsid w:val="00825FA7"/>
    <w:rsid w:val="008263BD"/>
    <w:rsid w:val="008264D6"/>
    <w:rsid w:val="0082663A"/>
    <w:rsid w:val="008266F1"/>
    <w:rsid w:val="00826789"/>
    <w:rsid w:val="008268CA"/>
    <w:rsid w:val="00826994"/>
    <w:rsid w:val="008269A8"/>
    <w:rsid w:val="00826EB4"/>
    <w:rsid w:val="008270CD"/>
    <w:rsid w:val="008273FF"/>
    <w:rsid w:val="0082748B"/>
    <w:rsid w:val="008275F5"/>
    <w:rsid w:val="008276E7"/>
    <w:rsid w:val="00827733"/>
    <w:rsid w:val="0082779A"/>
    <w:rsid w:val="00827924"/>
    <w:rsid w:val="00827ACF"/>
    <w:rsid w:val="00827B16"/>
    <w:rsid w:val="00827F8D"/>
    <w:rsid w:val="00830030"/>
    <w:rsid w:val="008300C9"/>
    <w:rsid w:val="00830447"/>
    <w:rsid w:val="008306D8"/>
    <w:rsid w:val="00830920"/>
    <w:rsid w:val="00830AC8"/>
    <w:rsid w:val="00830C27"/>
    <w:rsid w:val="008313BB"/>
    <w:rsid w:val="00831943"/>
    <w:rsid w:val="00831B63"/>
    <w:rsid w:val="00831BD2"/>
    <w:rsid w:val="00831E69"/>
    <w:rsid w:val="00831EFF"/>
    <w:rsid w:val="00831F1E"/>
    <w:rsid w:val="0083219B"/>
    <w:rsid w:val="0083247A"/>
    <w:rsid w:val="00832DA5"/>
    <w:rsid w:val="008331E9"/>
    <w:rsid w:val="008332FE"/>
    <w:rsid w:val="00833474"/>
    <w:rsid w:val="00833663"/>
    <w:rsid w:val="008336D4"/>
    <w:rsid w:val="00833AF4"/>
    <w:rsid w:val="00833BA9"/>
    <w:rsid w:val="00833CCA"/>
    <w:rsid w:val="00833DDE"/>
    <w:rsid w:val="0083403D"/>
    <w:rsid w:val="00834301"/>
    <w:rsid w:val="0083440F"/>
    <w:rsid w:val="00834420"/>
    <w:rsid w:val="00834505"/>
    <w:rsid w:val="008345BF"/>
    <w:rsid w:val="00834876"/>
    <w:rsid w:val="008348F3"/>
    <w:rsid w:val="00834AAD"/>
    <w:rsid w:val="00834CE9"/>
    <w:rsid w:val="00835077"/>
    <w:rsid w:val="00835635"/>
    <w:rsid w:val="00835773"/>
    <w:rsid w:val="00835B17"/>
    <w:rsid w:val="00835CCC"/>
    <w:rsid w:val="00835FCE"/>
    <w:rsid w:val="0083602B"/>
    <w:rsid w:val="00836126"/>
    <w:rsid w:val="00836715"/>
    <w:rsid w:val="00836E03"/>
    <w:rsid w:val="00836F2C"/>
    <w:rsid w:val="00837848"/>
    <w:rsid w:val="008379C8"/>
    <w:rsid w:val="00837D08"/>
    <w:rsid w:val="0084038E"/>
    <w:rsid w:val="00840853"/>
    <w:rsid w:val="008408DE"/>
    <w:rsid w:val="0084097C"/>
    <w:rsid w:val="00840AAC"/>
    <w:rsid w:val="00840B80"/>
    <w:rsid w:val="00841076"/>
    <w:rsid w:val="00841429"/>
    <w:rsid w:val="008416C0"/>
    <w:rsid w:val="008416F2"/>
    <w:rsid w:val="008418B1"/>
    <w:rsid w:val="008418F3"/>
    <w:rsid w:val="008419C5"/>
    <w:rsid w:val="00841BFE"/>
    <w:rsid w:val="00841C7E"/>
    <w:rsid w:val="00841F59"/>
    <w:rsid w:val="00841F66"/>
    <w:rsid w:val="0084226A"/>
    <w:rsid w:val="00842BB3"/>
    <w:rsid w:val="00842F90"/>
    <w:rsid w:val="0084348B"/>
    <w:rsid w:val="00843591"/>
    <w:rsid w:val="00843761"/>
    <w:rsid w:val="008438B6"/>
    <w:rsid w:val="00843AA6"/>
    <w:rsid w:val="00843E2B"/>
    <w:rsid w:val="00843FFE"/>
    <w:rsid w:val="0084406B"/>
    <w:rsid w:val="008443BA"/>
    <w:rsid w:val="0084458D"/>
    <w:rsid w:val="00844606"/>
    <w:rsid w:val="008446F6"/>
    <w:rsid w:val="00844AA5"/>
    <w:rsid w:val="008458D1"/>
    <w:rsid w:val="00845939"/>
    <w:rsid w:val="00845AEA"/>
    <w:rsid w:val="00845C2E"/>
    <w:rsid w:val="00845D3D"/>
    <w:rsid w:val="00846069"/>
    <w:rsid w:val="008460AE"/>
    <w:rsid w:val="008462C7"/>
    <w:rsid w:val="0084644F"/>
    <w:rsid w:val="008464D2"/>
    <w:rsid w:val="008465E1"/>
    <w:rsid w:val="008465E6"/>
    <w:rsid w:val="00846905"/>
    <w:rsid w:val="00846A7E"/>
    <w:rsid w:val="00847223"/>
    <w:rsid w:val="00847379"/>
    <w:rsid w:val="00847536"/>
    <w:rsid w:val="008476AA"/>
    <w:rsid w:val="008477BD"/>
    <w:rsid w:val="0084781B"/>
    <w:rsid w:val="0084791B"/>
    <w:rsid w:val="0084796D"/>
    <w:rsid w:val="00847B3A"/>
    <w:rsid w:val="00847CB1"/>
    <w:rsid w:val="00847D3B"/>
    <w:rsid w:val="00847ED7"/>
    <w:rsid w:val="00847F2D"/>
    <w:rsid w:val="008500FA"/>
    <w:rsid w:val="00850396"/>
    <w:rsid w:val="008506D0"/>
    <w:rsid w:val="00850895"/>
    <w:rsid w:val="008509E2"/>
    <w:rsid w:val="00850CC6"/>
    <w:rsid w:val="00850DEB"/>
    <w:rsid w:val="008511B7"/>
    <w:rsid w:val="008512A6"/>
    <w:rsid w:val="008513C5"/>
    <w:rsid w:val="008513EA"/>
    <w:rsid w:val="008514DE"/>
    <w:rsid w:val="008514F5"/>
    <w:rsid w:val="008517C9"/>
    <w:rsid w:val="008517EE"/>
    <w:rsid w:val="00851A99"/>
    <w:rsid w:val="00851B1C"/>
    <w:rsid w:val="00851B27"/>
    <w:rsid w:val="00851C82"/>
    <w:rsid w:val="00851ED1"/>
    <w:rsid w:val="00851F36"/>
    <w:rsid w:val="00852052"/>
    <w:rsid w:val="00852113"/>
    <w:rsid w:val="00852141"/>
    <w:rsid w:val="0085294E"/>
    <w:rsid w:val="00852A01"/>
    <w:rsid w:val="00852BFE"/>
    <w:rsid w:val="00852F8B"/>
    <w:rsid w:val="00853100"/>
    <w:rsid w:val="0085396A"/>
    <w:rsid w:val="00853A2E"/>
    <w:rsid w:val="00853BC0"/>
    <w:rsid w:val="00853D05"/>
    <w:rsid w:val="00853D12"/>
    <w:rsid w:val="00853F0F"/>
    <w:rsid w:val="00853F97"/>
    <w:rsid w:val="008540EB"/>
    <w:rsid w:val="0085431B"/>
    <w:rsid w:val="0085444A"/>
    <w:rsid w:val="008544B5"/>
    <w:rsid w:val="00854566"/>
    <w:rsid w:val="00854AC2"/>
    <w:rsid w:val="00854BC0"/>
    <w:rsid w:val="00854C05"/>
    <w:rsid w:val="008558EF"/>
    <w:rsid w:val="008559A4"/>
    <w:rsid w:val="008559FD"/>
    <w:rsid w:val="00855C66"/>
    <w:rsid w:val="00855D46"/>
    <w:rsid w:val="008560CE"/>
    <w:rsid w:val="008561F9"/>
    <w:rsid w:val="00856992"/>
    <w:rsid w:val="00856A09"/>
    <w:rsid w:val="00856AA3"/>
    <w:rsid w:val="00857DEE"/>
    <w:rsid w:val="00857DF4"/>
    <w:rsid w:val="008607F2"/>
    <w:rsid w:val="00860AD4"/>
    <w:rsid w:val="00860C63"/>
    <w:rsid w:val="00860DB7"/>
    <w:rsid w:val="00860DD6"/>
    <w:rsid w:val="00860F8F"/>
    <w:rsid w:val="00860F9B"/>
    <w:rsid w:val="00861272"/>
    <w:rsid w:val="00861477"/>
    <w:rsid w:val="008614CA"/>
    <w:rsid w:val="0086179E"/>
    <w:rsid w:val="00862226"/>
    <w:rsid w:val="00862902"/>
    <w:rsid w:val="00862C4F"/>
    <w:rsid w:val="00862CD3"/>
    <w:rsid w:val="00862DAC"/>
    <w:rsid w:val="00862F25"/>
    <w:rsid w:val="00863378"/>
    <w:rsid w:val="008637E9"/>
    <w:rsid w:val="00863958"/>
    <w:rsid w:val="00863D7C"/>
    <w:rsid w:val="00863DF7"/>
    <w:rsid w:val="00863E37"/>
    <w:rsid w:val="00863E90"/>
    <w:rsid w:val="00863EF6"/>
    <w:rsid w:val="0086409B"/>
    <w:rsid w:val="00864660"/>
    <w:rsid w:val="00864B33"/>
    <w:rsid w:val="00864B88"/>
    <w:rsid w:val="0086511E"/>
    <w:rsid w:val="0086530E"/>
    <w:rsid w:val="008654CA"/>
    <w:rsid w:val="00865506"/>
    <w:rsid w:val="0086566F"/>
    <w:rsid w:val="008656F8"/>
    <w:rsid w:val="008658AA"/>
    <w:rsid w:val="00865D6C"/>
    <w:rsid w:val="00865DC7"/>
    <w:rsid w:val="00865FE9"/>
    <w:rsid w:val="00866341"/>
    <w:rsid w:val="00866B94"/>
    <w:rsid w:val="00866EB5"/>
    <w:rsid w:val="00866EEF"/>
    <w:rsid w:val="00867014"/>
    <w:rsid w:val="00867290"/>
    <w:rsid w:val="008672FE"/>
    <w:rsid w:val="00867459"/>
    <w:rsid w:val="00867703"/>
    <w:rsid w:val="00867833"/>
    <w:rsid w:val="00867B6F"/>
    <w:rsid w:val="00867CE1"/>
    <w:rsid w:val="00867DA2"/>
    <w:rsid w:val="00867E4D"/>
    <w:rsid w:val="00867F26"/>
    <w:rsid w:val="00867F43"/>
    <w:rsid w:val="0087007B"/>
    <w:rsid w:val="0087008C"/>
    <w:rsid w:val="008700CA"/>
    <w:rsid w:val="008701E7"/>
    <w:rsid w:val="008703C3"/>
    <w:rsid w:val="00870508"/>
    <w:rsid w:val="00870722"/>
    <w:rsid w:val="008709A1"/>
    <w:rsid w:val="00870B54"/>
    <w:rsid w:val="00870C6F"/>
    <w:rsid w:val="00870C8B"/>
    <w:rsid w:val="00870C99"/>
    <w:rsid w:val="00871095"/>
    <w:rsid w:val="008714E6"/>
    <w:rsid w:val="0087151E"/>
    <w:rsid w:val="00871A9E"/>
    <w:rsid w:val="00871AF3"/>
    <w:rsid w:val="00871B95"/>
    <w:rsid w:val="00872461"/>
    <w:rsid w:val="008724E3"/>
    <w:rsid w:val="0087271B"/>
    <w:rsid w:val="00872DB3"/>
    <w:rsid w:val="00873001"/>
    <w:rsid w:val="00873068"/>
    <w:rsid w:val="0087326F"/>
    <w:rsid w:val="00873530"/>
    <w:rsid w:val="008735DD"/>
    <w:rsid w:val="008737CC"/>
    <w:rsid w:val="00873986"/>
    <w:rsid w:val="00873CDB"/>
    <w:rsid w:val="00873E43"/>
    <w:rsid w:val="00873EF5"/>
    <w:rsid w:val="00874609"/>
    <w:rsid w:val="0087490F"/>
    <w:rsid w:val="00874991"/>
    <w:rsid w:val="00874AD4"/>
    <w:rsid w:val="00874B51"/>
    <w:rsid w:val="00874DD4"/>
    <w:rsid w:val="00874E18"/>
    <w:rsid w:val="008751E6"/>
    <w:rsid w:val="0087531F"/>
    <w:rsid w:val="00875B1F"/>
    <w:rsid w:val="00875D8A"/>
    <w:rsid w:val="00875FD1"/>
    <w:rsid w:val="00875FFE"/>
    <w:rsid w:val="00876321"/>
    <w:rsid w:val="0087659D"/>
    <w:rsid w:val="00876731"/>
    <w:rsid w:val="00876797"/>
    <w:rsid w:val="00876985"/>
    <w:rsid w:val="008769B5"/>
    <w:rsid w:val="00876B80"/>
    <w:rsid w:val="00876E8B"/>
    <w:rsid w:val="008774C0"/>
    <w:rsid w:val="00877BD5"/>
    <w:rsid w:val="00877DE5"/>
    <w:rsid w:val="00877F09"/>
    <w:rsid w:val="008802CA"/>
    <w:rsid w:val="00880355"/>
    <w:rsid w:val="0088051A"/>
    <w:rsid w:val="008807B4"/>
    <w:rsid w:val="00880834"/>
    <w:rsid w:val="00880CBB"/>
    <w:rsid w:val="00880FD7"/>
    <w:rsid w:val="0088127C"/>
    <w:rsid w:val="0088159C"/>
    <w:rsid w:val="00881887"/>
    <w:rsid w:val="008818E4"/>
    <w:rsid w:val="008819B2"/>
    <w:rsid w:val="00881D73"/>
    <w:rsid w:val="00881FA5"/>
    <w:rsid w:val="008822D5"/>
    <w:rsid w:val="00882364"/>
    <w:rsid w:val="008823A3"/>
    <w:rsid w:val="008824F9"/>
    <w:rsid w:val="008826DC"/>
    <w:rsid w:val="00882967"/>
    <w:rsid w:val="00882B36"/>
    <w:rsid w:val="00882BE0"/>
    <w:rsid w:val="00882C14"/>
    <w:rsid w:val="00882E4B"/>
    <w:rsid w:val="00883483"/>
    <w:rsid w:val="008839E4"/>
    <w:rsid w:val="00883CA2"/>
    <w:rsid w:val="00883D38"/>
    <w:rsid w:val="00883E17"/>
    <w:rsid w:val="00884163"/>
    <w:rsid w:val="008842DF"/>
    <w:rsid w:val="00884465"/>
    <w:rsid w:val="008845D0"/>
    <w:rsid w:val="0088477C"/>
    <w:rsid w:val="0088484D"/>
    <w:rsid w:val="00884CE8"/>
    <w:rsid w:val="00884EF2"/>
    <w:rsid w:val="008852AB"/>
    <w:rsid w:val="0088545A"/>
    <w:rsid w:val="00885671"/>
    <w:rsid w:val="00885D54"/>
    <w:rsid w:val="00885E17"/>
    <w:rsid w:val="008863A6"/>
    <w:rsid w:val="008865E3"/>
    <w:rsid w:val="008865F9"/>
    <w:rsid w:val="008866E0"/>
    <w:rsid w:val="00886F5E"/>
    <w:rsid w:val="008872C2"/>
    <w:rsid w:val="008872C6"/>
    <w:rsid w:val="00887CAB"/>
    <w:rsid w:val="0089021A"/>
    <w:rsid w:val="008902C1"/>
    <w:rsid w:val="00890481"/>
    <w:rsid w:val="00890B56"/>
    <w:rsid w:val="00890ED1"/>
    <w:rsid w:val="00891182"/>
    <w:rsid w:val="008911CD"/>
    <w:rsid w:val="00891206"/>
    <w:rsid w:val="00892250"/>
    <w:rsid w:val="008922AC"/>
    <w:rsid w:val="008922E2"/>
    <w:rsid w:val="0089248B"/>
    <w:rsid w:val="00892A3C"/>
    <w:rsid w:val="00892BFA"/>
    <w:rsid w:val="00893121"/>
    <w:rsid w:val="00893473"/>
    <w:rsid w:val="00893656"/>
    <w:rsid w:val="0089365A"/>
    <w:rsid w:val="0089396D"/>
    <w:rsid w:val="008939CF"/>
    <w:rsid w:val="00893B73"/>
    <w:rsid w:val="00893CEE"/>
    <w:rsid w:val="00893D96"/>
    <w:rsid w:val="0089400A"/>
    <w:rsid w:val="00894067"/>
    <w:rsid w:val="00894301"/>
    <w:rsid w:val="008944F0"/>
    <w:rsid w:val="00894772"/>
    <w:rsid w:val="008949E8"/>
    <w:rsid w:val="00894BCE"/>
    <w:rsid w:val="00894BFF"/>
    <w:rsid w:val="00894C3C"/>
    <w:rsid w:val="0089516D"/>
    <w:rsid w:val="00895193"/>
    <w:rsid w:val="008952F1"/>
    <w:rsid w:val="00895545"/>
    <w:rsid w:val="00895D58"/>
    <w:rsid w:val="00895E0F"/>
    <w:rsid w:val="00895F87"/>
    <w:rsid w:val="008961A7"/>
    <w:rsid w:val="008962CD"/>
    <w:rsid w:val="008963A5"/>
    <w:rsid w:val="00896575"/>
    <w:rsid w:val="00896612"/>
    <w:rsid w:val="008968D9"/>
    <w:rsid w:val="0089690E"/>
    <w:rsid w:val="00896A26"/>
    <w:rsid w:val="00896BC5"/>
    <w:rsid w:val="00896ED7"/>
    <w:rsid w:val="00897A0E"/>
    <w:rsid w:val="00897ED1"/>
    <w:rsid w:val="00897F20"/>
    <w:rsid w:val="008A0301"/>
    <w:rsid w:val="008A0453"/>
    <w:rsid w:val="008A061D"/>
    <w:rsid w:val="008A07CE"/>
    <w:rsid w:val="008A07F0"/>
    <w:rsid w:val="008A0C6F"/>
    <w:rsid w:val="008A15B1"/>
    <w:rsid w:val="008A1609"/>
    <w:rsid w:val="008A1BAA"/>
    <w:rsid w:val="008A1BC1"/>
    <w:rsid w:val="008A1E72"/>
    <w:rsid w:val="008A2413"/>
    <w:rsid w:val="008A25A6"/>
    <w:rsid w:val="008A2904"/>
    <w:rsid w:val="008A291F"/>
    <w:rsid w:val="008A29ED"/>
    <w:rsid w:val="008A2E0C"/>
    <w:rsid w:val="008A34E0"/>
    <w:rsid w:val="008A368E"/>
    <w:rsid w:val="008A36F0"/>
    <w:rsid w:val="008A37E5"/>
    <w:rsid w:val="008A401D"/>
    <w:rsid w:val="008A4256"/>
    <w:rsid w:val="008A451C"/>
    <w:rsid w:val="008A47DC"/>
    <w:rsid w:val="008A4824"/>
    <w:rsid w:val="008A49B1"/>
    <w:rsid w:val="008A4F1E"/>
    <w:rsid w:val="008A529E"/>
    <w:rsid w:val="008A56DC"/>
    <w:rsid w:val="008A5771"/>
    <w:rsid w:val="008A5E33"/>
    <w:rsid w:val="008A5ED4"/>
    <w:rsid w:val="008A63B0"/>
    <w:rsid w:val="008A65AB"/>
    <w:rsid w:val="008A6623"/>
    <w:rsid w:val="008A663D"/>
    <w:rsid w:val="008A680F"/>
    <w:rsid w:val="008A6A40"/>
    <w:rsid w:val="008A6B97"/>
    <w:rsid w:val="008A728F"/>
    <w:rsid w:val="008A73C1"/>
    <w:rsid w:val="008A74D2"/>
    <w:rsid w:val="008A76A5"/>
    <w:rsid w:val="008B007B"/>
    <w:rsid w:val="008B052D"/>
    <w:rsid w:val="008B0B57"/>
    <w:rsid w:val="008B0CB1"/>
    <w:rsid w:val="008B1089"/>
    <w:rsid w:val="008B1146"/>
    <w:rsid w:val="008B114F"/>
    <w:rsid w:val="008B1150"/>
    <w:rsid w:val="008B1161"/>
    <w:rsid w:val="008B1293"/>
    <w:rsid w:val="008B13DE"/>
    <w:rsid w:val="008B1813"/>
    <w:rsid w:val="008B1870"/>
    <w:rsid w:val="008B21B6"/>
    <w:rsid w:val="008B2236"/>
    <w:rsid w:val="008B226B"/>
    <w:rsid w:val="008B22DB"/>
    <w:rsid w:val="008B297A"/>
    <w:rsid w:val="008B2FAB"/>
    <w:rsid w:val="008B31D5"/>
    <w:rsid w:val="008B3498"/>
    <w:rsid w:val="008B3A18"/>
    <w:rsid w:val="008B3A4A"/>
    <w:rsid w:val="008B3D66"/>
    <w:rsid w:val="008B411F"/>
    <w:rsid w:val="008B4175"/>
    <w:rsid w:val="008B4397"/>
    <w:rsid w:val="008B444E"/>
    <w:rsid w:val="008B44D0"/>
    <w:rsid w:val="008B4626"/>
    <w:rsid w:val="008B47CA"/>
    <w:rsid w:val="008B48B7"/>
    <w:rsid w:val="008B4976"/>
    <w:rsid w:val="008B4FC7"/>
    <w:rsid w:val="008B5102"/>
    <w:rsid w:val="008B548D"/>
    <w:rsid w:val="008B58E7"/>
    <w:rsid w:val="008B5E20"/>
    <w:rsid w:val="008B615E"/>
    <w:rsid w:val="008B63D6"/>
    <w:rsid w:val="008B67BC"/>
    <w:rsid w:val="008B6E48"/>
    <w:rsid w:val="008B6FC0"/>
    <w:rsid w:val="008B7102"/>
    <w:rsid w:val="008B723D"/>
    <w:rsid w:val="008B76EE"/>
    <w:rsid w:val="008B7721"/>
    <w:rsid w:val="008B77E9"/>
    <w:rsid w:val="008B781A"/>
    <w:rsid w:val="008B7878"/>
    <w:rsid w:val="008B7CB2"/>
    <w:rsid w:val="008C0597"/>
    <w:rsid w:val="008C081E"/>
    <w:rsid w:val="008C0BCD"/>
    <w:rsid w:val="008C0E6B"/>
    <w:rsid w:val="008C1B54"/>
    <w:rsid w:val="008C1E62"/>
    <w:rsid w:val="008C23C8"/>
    <w:rsid w:val="008C23C9"/>
    <w:rsid w:val="008C24CB"/>
    <w:rsid w:val="008C2C78"/>
    <w:rsid w:val="008C2E28"/>
    <w:rsid w:val="008C2FA9"/>
    <w:rsid w:val="008C30E7"/>
    <w:rsid w:val="008C310E"/>
    <w:rsid w:val="008C32A9"/>
    <w:rsid w:val="008C33E6"/>
    <w:rsid w:val="008C363C"/>
    <w:rsid w:val="008C37DA"/>
    <w:rsid w:val="008C3A88"/>
    <w:rsid w:val="008C3B2E"/>
    <w:rsid w:val="008C4352"/>
    <w:rsid w:val="008C4456"/>
    <w:rsid w:val="008C47FA"/>
    <w:rsid w:val="008C497B"/>
    <w:rsid w:val="008C4C86"/>
    <w:rsid w:val="008C4CC1"/>
    <w:rsid w:val="008C4D55"/>
    <w:rsid w:val="008C4DF2"/>
    <w:rsid w:val="008C4F20"/>
    <w:rsid w:val="008C5008"/>
    <w:rsid w:val="008C525B"/>
    <w:rsid w:val="008C56FD"/>
    <w:rsid w:val="008C5B5B"/>
    <w:rsid w:val="008C5E64"/>
    <w:rsid w:val="008C65CC"/>
    <w:rsid w:val="008C6796"/>
    <w:rsid w:val="008C6D97"/>
    <w:rsid w:val="008C6FA4"/>
    <w:rsid w:val="008C7015"/>
    <w:rsid w:val="008C7160"/>
    <w:rsid w:val="008C73AC"/>
    <w:rsid w:val="008C7674"/>
    <w:rsid w:val="008C770D"/>
    <w:rsid w:val="008C781A"/>
    <w:rsid w:val="008C7858"/>
    <w:rsid w:val="008C7953"/>
    <w:rsid w:val="008C79B9"/>
    <w:rsid w:val="008C7B2E"/>
    <w:rsid w:val="008C7C58"/>
    <w:rsid w:val="008C7C7C"/>
    <w:rsid w:val="008C7D4F"/>
    <w:rsid w:val="008D052F"/>
    <w:rsid w:val="008D06AC"/>
    <w:rsid w:val="008D06CF"/>
    <w:rsid w:val="008D0782"/>
    <w:rsid w:val="008D0833"/>
    <w:rsid w:val="008D0D2A"/>
    <w:rsid w:val="008D0DAA"/>
    <w:rsid w:val="008D115B"/>
    <w:rsid w:val="008D122C"/>
    <w:rsid w:val="008D1351"/>
    <w:rsid w:val="008D1B09"/>
    <w:rsid w:val="008D1B67"/>
    <w:rsid w:val="008D1DA5"/>
    <w:rsid w:val="008D204F"/>
    <w:rsid w:val="008D20E2"/>
    <w:rsid w:val="008D2521"/>
    <w:rsid w:val="008D2C41"/>
    <w:rsid w:val="008D3301"/>
    <w:rsid w:val="008D3347"/>
    <w:rsid w:val="008D394B"/>
    <w:rsid w:val="008D3AC8"/>
    <w:rsid w:val="008D48E9"/>
    <w:rsid w:val="008D4E81"/>
    <w:rsid w:val="008D4F44"/>
    <w:rsid w:val="008D5053"/>
    <w:rsid w:val="008D51EC"/>
    <w:rsid w:val="008D5326"/>
    <w:rsid w:val="008D53DC"/>
    <w:rsid w:val="008D5517"/>
    <w:rsid w:val="008D5530"/>
    <w:rsid w:val="008D582A"/>
    <w:rsid w:val="008D593F"/>
    <w:rsid w:val="008D5960"/>
    <w:rsid w:val="008D5A82"/>
    <w:rsid w:val="008D5C2B"/>
    <w:rsid w:val="008D6132"/>
    <w:rsid w:val="008D6163"/>
    <w:rsid w:val="008D64F3"/>
    <w:rsid w:val="008D6627"/>
    <w:rsid w:val="008D67A2"/>
    <w:rsid w:val="008D684F"/>
    <w:rsid w:val="008D6B42"/>
    <w:rsid w:val="008D6B6B"/>
    <w:rsid w:val="008D6C57"/>
    <w:rsid w:val="008D6CA4"/>
    <w:rsid w:val="008D6CCB"/>
    <w:rsid w:val="008D6EF6"/>
    <w:rsid w:val="008D71C6"/>
    <w:rsid w:val="008D754B"/>
    <w:rsid w:val="008D7579"/>
    <w:rsid w:val="008D7731"/>
    <w:rsid w:val="008D77CB"/>
    <w:rsid w:val="008D7B61"/>
    <w:rsid w:val="008D7C1F"/>
    <w:rsid w:val="008D7FB4"/>
    <w:rsid w:val="008E05F9"/>
    <w:rsid w:val="008E0629"/>
    <w:rsid w:val="008E06C1"/>
    <w:rsid w:val="008E089A"/>
    <w:rsid w:val="008E0967"/>
    <w:rsid w:val="008E0AE2"/>
    <w:rsid w:val="008E0F86"/>
    <w:rsid w:val="008E116D"/>
    <w:rsid w:val="008E14A9"/>
    <w:rsid w:val="008E1615"/>
    <w:rsid w:val="008E171E"/>
    <w:rsid w:val="008E1816"/>
    <w:rsid w:val="008E1A26"/>
    <w:rsid w:val="008E1CA0"/>
    <w:rsid w:val="008E2A23"/>
    <w:rsid w:val="008E2ABF"/>
    <w:rsid w:val="008E2C87"/>
    <w:rsid w:val="008E37BC"/>
    <w:rsid w:val="008E3A51"/>
    <w:rsid w:val="008E3D95"/>
    <w:rsid w:val="008E3EDB"/>
    <w:rsid w:val="008E3FEB"/>
    <w:rsid w:val="008E4256"/>
    <w:rsid w:val="008E45AD"/>
    <w:rsid w:val="008E460F"/>
    <w:rsid w:val="008E48AD"/>
    <w:rsid w:val="008E48E8"/>
    <w:rsid w:val="008E4B6C"/>
    <w:rsid w:val="008E4F0C"/>
    <w:rsid w:val="008E503F"/>
    <w:rsid w:val="008E5070"/>
    <w:rsid w:val="008E53A2"/>
    <w:rsid w:val="008E5434"/>
    <w:rsid w:val="008E5B2F"/>
    <w:rsid w:val="008E5E6B"/>
    <w:rsid w:val="008E62A2"/>
    <w:rsid w:val="008E6841"/>
    <w:rsid w:val="008E694A"/>
    <w:rsid w:val="008E6BB6"/>
    <w:rsid w:val="008E6BBA"/>
    <w:rsid w:val="008E6E8C"/>
    <w:rsid w:val="008E6F38"/>
    <w:rsid w:val="008E7006"/>
    <w:rsid w:val="008E706E"/>
    <w:rsid w:val="008E7163"/>
    <w:rsid w:val="008E72F9"/>
    <w:rsid w:val="008E7B49"/>
    <w:rsid w:val="008E7B51"/>
    <w:rsid w:val="008E7CC6"/>
    <w:rsid w:val="008F0202"/>
    <w:rsid w:val="008F03B6"/>
    <w:rsid w:val="008F054C"/>
    <w:rsid w:val="008F0CE6"/>
    <w:rsid w:val="008F0D78"/>
    <w:rsid w:val="008F0FAA"/>
    <w:rsid w:val="008F122E"/>
    <w:rsid w:val="008F1286"/>
    <w:rsid w:val="008F1311"/>
    <w:rsid w:val="008F1584"/>
    <w:rsid w:val="008F1693"/>
    <w:rsid w:val="008F179B"/>
    <w:rsid w:val="008F18EC"/>
    <w:rsid w:val="008F1A55"/>
    <w:rsid w:val="008F1AF6"/>
    <w:rsid w:val="008F1F72"/>
    <w:rsid w:val="008F27AA"/>
    <w:rsid w:val="008F286D"/>
    <w:rsid w:val="008F2ACF"/>
    <w:rsid w:val="008F2BF5"/>
    <w:rsid w:val="008F2D5A"/>
    <w:rsid w:val="008F2E11"/>
    <w:rsid w:val="008F2E39"/>
    <w:rsid w:val="008F2EDB"/>
    <w:rsid w:val="008F313B"/>
    <w:rsid w:val="008F3270"/>
    <w:rsid w:val="008F3286"/>
    <w:rsid w:val="008F337D"/>
    <w:rsid w:val="008F3411"/>
    <w:rsid w:val="008F3484"/>
    <w:rsid w:val="008F389C"/>
    <w:rsid w:val="008F3F9C"/>
    <w:rsid w:val="008F4055"/>
    <w:rsid w:val="008F45B6"/>
    <w:rsid w:val="008F45F2"/>
    <w:rsid w:val="008F46DA"/>
    <w:rsid w:val="008F4920"/>
    <w:rsid w:val="008F4C85"/>
    <w:rsid w:val="008F4E07"/>
    <w:rsid w:val="008F4F30"/>
    <w:rsid w:val="008F4F8E"/>
    <w:rsid w:val="008F55E8"/>
    <w:rsid w:val="008F56EA"/>
    <w:rsid w:val="008F596E"/>
    <w:rsid w:val="008F5F8F"/>
    <w:rsid w:val="008F68DC"/>
    <w:rsid w:val="008F6AFF"/>
    <w:rsid w:val="008F7036"/>
    <w:rsid w:val="008F71E8"/>
    <w:rsid w:val="008F725B"/>
    <w:rsid w:val="008F726F"/>
    <w:rsid w:val="008F7C31"/>
    <w:rsid w:val="008F7CB3"/>
    <w:rsid w:val="008F7EA1"/>
    <w:rsid w:val="00900429"/>
    <w:rsid w:val="0090044B"/>
    <w:rsid w:val="009005A2"/>
    <w:rsid w:val="00900C94"/>
    <w:rsid w:val="009010AA"/>
    <w:rsid w:val="009011E8"/>
    <w:rsid w:val="009014A7"/>
    <w:rsid w:val="0090153F"/>
    <w:rsid w:val="00901EF1"/>
    <w:rsid w:val="009020C2"/>
    <w:rsid w:val="0090280E"/>
    <w:rsid w:val="0090287A"/>
    <w:rsid w:val="00902E36"/>
    <w:rsid w:val="00902E73"/>
    <w:rsid w:val="00902FFC"/>
    <w:rsid w:val="009030C4"/>
    <w:rsid w:val="00903532"/>
    <w:rsid w:val="00903906"/>
    <w:rsid w:val="00903914"/>
    <w:rsid w:val="00903B72"/>
    <w:rsid w:val="00903BF8"/>
    <w:rsid w:val="009040B5"/>
    <w:rsid w:val="009046B5"/>
    <w:rsid w:val="0090518C"/>
    <w:rsid w:val="00905201"/>
    <w:rsid w:val="00905396"/>
    <w:rsid w:val="009054A3"/>
    <w:rsid w:val="00905775"/>
    <w:rsid w:val="00905939"/>
    <w:rsid w:val="0090594B"/>
    <w:rsid w:val="009059C1"/>
    <w:rsid w:val="00905A22"/>
    <w:rsid w:val="00905DB4"/>
    <w:rsid w:val="00906310"/>
    <w:rsid w:val="009064A7"/>
    <w:rsid w:val="00906817"/>
    <w:rsid w:val="009069DA"/>
    <w:rsid w:val="00906C6F"/>
    <w:rsid w:val="009070A1"/>
    <w:rsid w:val="00907123"/>
    <w:rsid w:val="00907197"/>
    <w:rsid w:val="009073ED"/>
    <w:rsid w:val="00907604"/>
    <w:rsid w:val="00907AC2"/>
    <w:rsid w:val="00907B27"/>
    <w:rsid w:val="00907BBE"/>
    <w:rsid w:val="00907E9A"/>
    <w:rsid w:val="00910259"/>
    <w:rsid w:val="009103AC"/>
    <w:rsid w:val="00910422"/>
    <w:rsid w:val="00910455"/>
    <w:rsid w:val="009107F5"/>
    <w:rsid w:val="00910832"/>
    <w:rsid w:val="00910A32"/>
    <w:rsid w:val="00910CED"/>
    <w:rsid w:val="00910EE8"/>
    <w:rsid w:val="00910F83"/>
    <w:rsid w:val="00911278"/>
    <w:rsid w:val="009115BB"/>
    <w:rsid w:val="00911639"/>
    <w:rsid w:val="009117C6"/>
    <w:rsid w:val="00911A9D"/>
    <w:rsid w:val="00911BBF"/>
    <w:rsid w:val="0091259A"/>
    <w:rsid w:val="00912BDE"/>
    <w:rsid w:val="00912EEE"/>
    <w:rsid w:val="00912F51"/>
    <w:rsid w:val="00913107"/>
    <w:rsid w:val="009131EC"/>
    <w:rsid w:val="0091324D"/>
    <w:rsid w:val="00913445"/>
    <w:rsid w:val="009136B4"/>
    <w:rsid w:val="009136CA"/>
    <w:rsid w:val="00913DCF"/>
    <w:rsid w:val="009141B2"/>
    <w:rsid w:val="009142AD"/>
    <w:rsid w:val="0091432D"/>
    <w:rsid w:val="00914BD1"/>
    <w:rsid w:val="00914CD0"/>
    <w:rsid w:val="00914DC0"/>
    <w:rsid w:val="00914F65"/>
    <w:rsid w:val="0091541B"/>
    <w:rsid w:val="009154B0"/>
    <w:rsid w:val="009157B2"/>
    <w:rsid w:val="00915A63"/>
    <w:rsid w:val="00915EF3"/>
    <w:rsid w:val="00915FC6"/>
    <w:rsid w:val="009168D4"/>
    <w:rsid w:val="00916CF7"/>
    <w:rsid w:val="00916EB2"/>
    <w:rsid w:val="00917175"/>
    <w:rsid w:val="0091762D"/>
    <w:rsid w:val="009177D8"/>
    <w:rsid w:val="00917A4F"/>
    <w:rsid w:val="00917B90"/>
    <w:rsid w:val="0092005C"/>
    <w:rsid w:val="009201DB"/>
    <w:rsid w:val="00920209"/>
    <w:rsid w:val="0092033B"/>
    <w:rsid w:val="009204C4"/>
    <w:rsid w:val="009205C1"/>
    <w:rsid w:val="0092067F"/>
    <w:rsid w:val="00920923"/>
    <w:rsid w:val="00920ADB"/>
    <w:rsid w:val="00920BF1"/>
    <w:rsid w:val="00920C92"/>
    <w:rsid w:val="00920CBF"/>
    <w:rsid w:val="00920D77"/>
    <w:rsid w:val="009210F0"/>
    <w:rsid w:val="009211D1"/>
    <w:rsid w:val="009217D6"/>
    <w:rsid w:val="009217EE"/>
    <w:rsid w:val="00921846"/>
    <w:rsid w:val="0092184A"/>
    <w:rsid w:val="00921CAD"/>
    <w:rsid w:val="00922481"/>
    <w:rsid w:val="009226FB"/>
    <w:rsid w:val="00922ECF"/>
    <w:rsid w:val="00923092"/>
    <w:rsid w:val="009231BC"/>
    <w:rsid w:val="009231DC"/>
    <w:rsid w:val="0092330D"/>
    <w:rsid w:val="009234A1"/>
    <w:rsid w:val="00923881"/>
    <w:rsid w:val="00923A7F"/>
    <w:rsid w:val="00923B39"/>
    <w:rsid w:val="00923CAC"/>
    <w:rsid w:val="00923D1C"/>
    <w:rsid w:val="00924208"/>
    <w:rsid w:val="009246EF"/>
    <w:rsid w:val="00924761"/>
    <w:rsid w:val="0092498B"/>
    <w:rsid w:val="009249A3"/>
    <w:rsid w:val="00924B69"/>
    <w:rsid w:val="00924D43"/>
    <w:rsid w:val="00924F9A"/>
    <w:rsid w:val="0092510C"/>
    <w:rsid w:val="009251E1"/>
    <w:rsid w:val="009252F0"/>
    <w:rsid w:val="00925946"/>
    <w:rsid w:val="00925AD5"/>
    <w:rsid w:val="00925FBF"/>
    <w:rsid w:val="0092606F"/>
    <w:rsid w:val="009263BA"/>
    <w:rsid w:val="0092657E"/>
    <w:rsid w:val="00926837"/>
    <w:rsid w:val="00926A86"/>
    <w:rsid w:val="00927126"/>
    <w:rsid w:val="009276B5"/>
    <w:rsid w:val="00927913"/>
    <w:rsid w:val="00927987"/>
    <w:rsid w:val="00927B2F"/>
    <w:rsid w:val="00927C80"/>
    <w:rsid w:val="00927CBE"/>
    <w:rsid w:val="00927F58"/>
    <w:rsid w:val="00930063"/>
    <w:rsid w:val="009305F1"/>
    <w:rsid w:val="0093065A"/>
    <w:rsid w:val="00930D85"/>
    <w:rsid w:val="00930F3E"/>
    <w:rsid w:val="00931144"/>
    <w:rsid w:val="009312FC"/>
    <w:rsid w:val="009315BA"/>
    <w:rsid w:val="0093175F"/>
    <w:rsid w:val="00931AB8"/>
    <w:rsid w:val="00931BC2"/>
    <w:rsid w:val="00931DB3"/>
    <w:rsid w:val="00931E9E"/>
    <w:rsid w:val="00932106"/>
    <w:rsid w:val="009326FE"/>
    <w:rsid w:val="00932746"/>
    <w:rsid w:val="009328DF"/>
    <w:rsid w:val="00932CA3"/>
    <w:rsid w:val="0093322F"/>
    <w:rsid w:val="00933350"/>
    <w:rsid w:val="00933379"/>
    <w:rsid w:val="009337AC"/>
    <w:rsid w:val="00933813"/>
    <w:rsid w:val="009339B7"/>
    <w:rsid w:val="00933BCC"/>
    <w:rsid w:val="00933D05"/>
    <w:rsid w:val="00933E0F"/>
    <w:rsid w:val="009342D9"/>
    <w:rsid w:val="009342F2"/>
    <w:rsid w:val="00934309"/>
    <w:rsid w:val="0093463D"/>
    <w:rsid w:val="00934709"/>
    <w:rsid w:val="00934800"/>
    <w:rsid w:val="0093481E"/>
    <w:rsid w:val="0093485C"/>
    <w:rsid w:val="00934C2A"/>
    <w:rsid w:val="00934E49"/>
    <w:rsid w:val="00934F9A"/>
    <w:rsid w:val="009353B9"/>
    <w:rsid w:val="00935410"/>
    <w:rsid w:val="009355EC"/>
    <w:rsid w:val="009355F5"/>
    <w:rsid w:val="00935B2B"/>
    <w:rsid w:val="00935B74"/>
    <w:rsid w:val="00935F85"/>
    <w:rsid w:val="00936658"/>
    <w:rsid w:val="00936CCE"/>
    <w:rsid w:val="00936CF4"/>
    <w:rsid w:val="00936D6F"/>
    <w:rsid w:val="00936E80"/>
    <w:rsid w:val="009370A1"/>
    <w:rsid w:val="00937175"/>
    <w:rsid w:val="00937760"/>
    <w:rsid w:val="009377E4"/>
    <w:rsid w:val="00937BB5"/>
    <w:rsid w:val="0094008E"/>
    <w:rsid w:val="00940266"/>
    <w:rsid w:val="00940537"/>
    <w:rsid w:val="009406DE"/>
    <w:rsid w:val="009407CC"/>
    <w:rsid w:val="00940CDC"/>
    <w:rsid w:val="00940EBC"/>
    <w:rsid w:val="00940F49"/>
    <w:rsid w:val="0094112C"/>
    <w:rsid w:val="009412BE"/>
    <w:rsid w:val="009413F8"/>
    <w:rsid w:val="00941920"/>
    <w:rsid w:val="009419EE"/>
    <w:rsid w:val="00941D68"/>
    <w:rsid w:val="00941FAC"/>
    <w:rsid w:val="00942270"/>
    <w:rsid w:val="009427AB"/>
    <w:rsid w:val="009429B6"/>
    <w:rsid w:val="0094321B"/>
    <w:rsid w:val="00943A3D"/>
    <w:rsid w:val="00943DCF"/>
    <w:rsid w:val="00943DE2"/>
    <w:rsid w:val="00943E9A"/>
    <w:rsid w:val="009441E4"/>
    <w:rsid w:val="009441F5"/>
    <w:rsid w:val="009442FA"/>
    <w:rsid w:val="00944375"/>
    <w:rsid w:val="00944845"/>
    <w:rsid w:val="00944B9C"/>
    <w:rsid w:val="00944E0B"/>
    <w:rsid w:val="00944E96"/>
    <w:rsid w:val="009451C8"/>
    <w:rsid w:val="0094538B"/>
    <w:rsid w:val="009455B1"/>
    <w:rsid w:val="00945742"/>
    <w:rsid w:val="00945824"/>
    <w:rsid w:val="00945988"/>
    <w:rsid w:val="00945A6B"/>
    <w:rsid w:val="00945D77"/>
    <w:rsid w:val="00945F9F"/>
    <w:rsid w:val="00946198"/>
    <w:rsid w:val="0094624D"/>
    <w:rsid w:val="009463BF"/>
    <w:rsid w:val="0094667B"/>
    <w:rsid w:val="00946746"/>
    <w:rsid w:val="00946C09"/>
    <w:rsid w:val="00946EE4"/>
    <w:rsid w:val="00947339"/>
    <w:rsid w:val="009473AB"/>
    <w:rsid w:val="00947511"/>
    <w:rsid w:val="009475D0"/>
    <w:rsid w:val="00947611"/>
    <w:rsid w:val="00947D9F"/>
    <w:rsid w:val="00947E10"/>
    <w:rsid w:val="00947FE4"/>
    <w:rsid w:val="00950292"/>
    <w:rsid w:val="0095032F"/>
    <w:rsid w:val="00950499"/>
    <w:rsid w:val="00950937"/>
    <w:rsid w:val="00950AD0"/>
    <w:rsid w:val="00950AEF"/>
    <w:rsid w:val="009510C4"/>
    <w:rsid w:val="0095114E"/>
    <w:rsid w:val="0095147A"/>
    <w:rsid w:val="009516C4"/>
    <w:rsid w:val="009519AD"/>
    <w:rsid w:val="009519DA"/>
    <w:rsid w:val="00951B64"/>
    <w:rsid w:val="00951CE5"/>
    <w:rsid w:val="00952202"/>
    <w:rsid w:val="009525CB"/>
    <w:rsid w:val="009529F3"/>
    <w:rsid w:val="00952A1B"/>
    <w:rsid w:val="00952E5F"/>
    <w:rsid w:val="00952F3A"/>
    <w:rsid w:val="0095313A"/>
    <w:rsid w:val="009532AC"/>
    <w:rsid w:val="00953322"/>
    <w:rsid w:val="009537A7"/>
    <w:rsid w:val="00953A4C"/>
    <w:rsid w:val="00953A7E"/>
    <w:rsid w:val="00953CF4"/>
    <w:rsid w:val="00953F73"/>
    <w:rsid w:val="00953FA1"/>
    <w:rsid w:val="009541AC"/>
    <w:rsid w:val="00954263"/>
    <w:rsid w:val="00954286"/>
    <w:rsid w:val="009542A8"/>
    <w:rsid w:val="00954501"/>
    <w:rsid w:val="00954892"/>
    <w:rsid w:val="009549F9"/>
    <w:rsid w:val="00954ADB"/>
    <w:rsid w:val="00954BF0"/>
    <w:rsid w:val="009552EA"/>
    <w:rsid w:val="0095582B"/>
    <w:rsid w:val="009559B6"/>
    <w:rsid w:val="00955A86"/>
    <w:rsid w:val="00955DDE"/>
    <w:rsid w:val="00956793"/>
    <w:rsid w:val="00956827"/>
    <w:rsid w:val="009568F4"/>
    <w:rsid w:val="00956A48"/>
    <w:rsid w:val="00956C96"/>
    <w:rsid w:val="00956E87"/>
    <w:rsid w:val="00956FD3"/>
    <w:rsid w:val="009571A6"/>
    <w:rsid w:val="00957C78"/>
    <w:rsid w:val="00957CEF"/>
    <w:rsid w:val="00957E04"/>
    <w:rsid w:val="0096018A"/>
    <w:rsid w:val="0096034D"/>
    <w:rsid w:val="009603BD"/>
    <w:rsid w:val="00960559"/>
    <w:rsid w:val="009606F6"/>
    <w:rsid w:val="00960972"/>
    <w:rsid w:val="00960A6A"/>
    <w:rsid w:val="00960C62"/>
    <w:rsid w:val="00960C9C"/>
    <w:rsid w:val="00960FEE"/>
    <w:rsid w:val="009616EC"/>
    <w:rsid w:val="0096174B"/>
    <w:rsid w:val="00961909"/>
    <w:rsid w:val="00961B9A"/>
    <w:rsid w:val="00961D17"/>
    <w:rsid w:val="00961EA3"/>
    <w:rsid w:val="00961F76"/>
    <w:rsid w:val="00961FCD"/>
    <w:rsid w:val="0096203B"/>
    <w:rsid w:val="0096203D"/>
    <w:rsid w:val="00962117"/>
    <w:rsid w:val="0096215D"/>
    <w:rsid w:val="009621C5"/>
    <w:rsid w:val="00962243"/>
    <w:rsid w:val="00962362"/>
    <w:rsid w:val="00962A49"/>
    <w:rsid w:val="00962AF0"/>
    <w:rsid w:val="00962CC0"/>
    <w:rsid w:val="00962DA1"/>
    <w:rsid w:val="00962F80"/>
    <w:rsid w:val="00963025"/>
    <w:rsid w:val="00963187"/>
    <w:rsid w:val="009635A6"/>
    <w:rsid w:val="00963885"/>
    <w:rsid w:val="00963AC8"/>
    <w:rsid w:val="00963EC6"/>
    <w:rsid w:val="0096417C"/>
    <w:rsid w:val="009645D2"/>
    <w:rsid w:val="00964834"/>
    <w:rsid w:val="00964EA4"/>
    <w:rsid w:val="00964F50"/>
    <w:rsid w:val="009653A7"/>
    <w:rsid w:val="009658C6"/>
    <w:rsid w:val="00965AD4"/>
    <w:rsid w:val="00965C8E"/>
    <w:rsid w:val="00965CB9"/>
    <w:rsid w:val="00965DF9"/>
    <w:rsid w:val="00965FD4"/>
    <w:rsid w:val="00965FE7"/>
    <w:rsid w:val="009660AB"/>
    <w:rsid w:val="009661AC"/>
    <w:rsid w:val="00966389"/>
    <w:rsid w:val="009663F1"/>
    <w:rsid w:val="00966488"/>
    <w:rsid w:val="009665B9"/>
    <w:rsid w:val="009665DA"/>
    <w:rsid w:val="0096669B"/>
    <w:rsid w:val="009669BE"/>
    <w:rsid w:val="00966B4A"/>
    <w:rsid w:val="00967021"/>
    <w:rsid w:val="009674AC"/>
    <w:rsid w:val="00967660"/>
    <w:rsid w:val="009676C2"/>
    <w:rsid w:val="00967754"/>
    <w:rsid w:val="0096777C"/>
    <w:rsid w:val="009678A2"/>
    <w:rsid w:val="00967B58"/>
    <w:rsid w:val="00967EF5"/>
    <w:rsid w:val="00970039"/>
    <w:rsid w:val="009702C1"/>
    <w:rsid w:val="00970389"/>
    <w:rsid w:val="0097041A"/>
    <w:rsid w:val="00970687"/>
    <w:rsid w:val="00970793"/>
    <w:rsid w:val="0097083A"/>
    <w:rsid w:val="00970CD4"/>
    <w:rsid w:val="00970F19"/>
    <w:rsid w:val="00971146"/>
    <w:rsid w:val="009711A9"/>
    <w:rsid w:val="009711CD"/>
    <w:rsid w:val="0097195B"/>
    <w:rsid w:val="00971E6E"/>
    <w:rsid w:val="00971FDE"/>
    <w:rsid w:val="009722A4"/>
    <w:rsid w:val="00972316"/>
    <w:rsid w:val="0097242F"/>
    <w:rsid w:val="00972E0C"/>
    <w:rsid w:val="00972F5B"/>
    <w:rsid w:val="009733B4"/>
    <w:rsid w:val="009733D4"/>
    <w:rsid w:val="009734B2"/>
    <w:rsid w:val="00973604"/>
    <w:rsid w:val="00973607"/>
    <w:rsid w:val="009739F4"/>
    <w:rsid w:val="00973BDF"/>
    <w:rsid w:val="00973FF9"/>
    <w:rsid w:val="009740EE"/>
    <w:rsid w:val="00974552"/>
    <w:rsid w:val="009745C3"/>
    <w:rsid w:val="009745F4"/>
    <w:rsid w:val="00974688"/>
    <w:rsid w:val="00974B6E"/>
    <w:rsid w:val="00974CD8"/>
    <w:rsid w:val="00974E5C"/>
    <w:rsid w:val="00975097"/>
    <w:rsid w:val="009753D0"/>
    <w:rsid w:val="00975444"/>
    <w:rsid w:val="00975594"/>
    <w:rsid w:val="0097578E"/>
    <w:rsid w:val="00975933"/>
    <w:rsid w:val="00975965"/>
    <w:rsid w:val="00975977"/>
    <w:rsid w:val="00975DB5"/>
    <w:rsid w:val="00976045"/>
    <w:rsid w:val="00976088"/>
    <w:rsid w:val="0097626D"/>
    <w:rsid w:val="00976338"/>
    <w:rsid w:val="00976442"/>
    <w:rsid w:val="00976A05"/>
    <w:rsid w:val="00976A8A"/>
    <w:rsid w:val="009772A5"/>
    <w:rsid w:val="00977342"/>
    <w:rsid w:val="00977354"/>
    <w:rsid w:val="009777C2"/>
    <w:rsid w:val="00977866"/>
    <w:rsid w:val="00977E3C"/>
    <w:rsid w:val="00980064"/>
    <w:rsid w:val="0098013A"/>
    <w:rsid w:val="00980301"/>
    <w:rsid w:val="009804B5"/>
    <w:rsid w:val="0098050D"/>
    <w:rsid w:val="0098083F"/>
    <w:rsid w:val="00980865"/>
    <w:rsid w:val="00980B01"/>
    <w:rsid w:val="00980B57"/>
    <w:rsid w:val="00980E28"/>
    <w:rsid w:val="00980E63"/>
    <w:rsid w:val="009815EC"/>
    <w:rsid w:val="009818A8"/>
    <w:rsid w:val="00981C16"/>
    <w:rsid w:val="00981D00"/>
    <w:rsid w:val="00981D20"/>
    <w:rsid w:val="00981E6F"/>
    <w:rsid w:val="00982465"/>
    <w:rsid w:val="009824A2"/>
    <w:rsid w:val="009824D5"/>
    <w:rsid w:val="00982534"/>
    <w:rsid w:val="00982B80"/>
    <w:rsid w:val="00982CBB"/>
    <w:rsid w:val="00982E2B"/>
    <w:rsid w:val="00982E47"/>
    <w:rsid w:val="009830E6"/>
    <w:rsid w:val="0098325C"/>
    <w:rsid w:val="00983580"/>
    <w:rsid w:val="00983B10"/>
    <w:rsid w:val="00983DC3"/>
    <w:rsid w:val="0098408A"/>
    <w:rsid w:val="00984240"/>
    <w:rsid w:val="00984369"/>
    <w:rsid w:val="0098449E"/>
    <w:rsid w:val="00984533"/>
    <w:rsid w:val="0098464F"/>
    <w:rsid w:val="0098480B"/>
    <w:rsid w:val="00985149"/>
    <w:rsid w:val="00985488"/>
    <w:rsid w:val="009854FA"/>
    <w:rsid w:val="00985C21"/>
    <w:rsid w:val="00985C48"/>
    <w:rsid w:val="00985E24"/>
    <w:rsid w:val="0098673A"/>
    <w:rsid w:val="00986DA8"/>
    <w:rsid w:val="00986E12"/>
    <w:rsid w:val="009875AA"/>
    <w:rsid w:val="009877AD"/>
    <w:rsid w:val="009877BF"/>
    <w:rsid w:val="00990461"/>
    <w:rsid w:val="00990535"/>
    <w:rsid w:val="00990698"/>
    <w:rsid w:val="00990790"/>
    <w:rsid w:val="0099095D"/>
    <w:rsid w:val="00990A5D"/>
    <w:rsid w:val="00990BE4"/>
    <w:rsid w:val="00990C54"/>
    <w:rsid w:val="0099135D"/>
    <w:rsid w:val="009914CC"/>
    <w:rsid w:val="0099168F"/>
    <w:rsid w:val="009918EC"/>
    <w:rsid w:val="00991D3C"/>
    <w:rsid w:val="00991D93"/>
    <w:rsid w:val="0099234E"/>
    <w:rsid w:val="00992394"/>
    <w:rsid w:val="0099264F"/>
    <w:rsid w:val="00992B2B"/>
    <w:rsid w:val="00992B68"/>
    <w:rsid w:val="00992D80"/>
    <w:rsid w:val="00993183"/>
    <w:rsid w:val="009932C9"/>
    <w:rsid w:val="00993329"/>
    <w:rsid w:val="0099366C"/>
    <w:rsid w:val="00993A2A"/>
    <w:rsid w:val="00993B08"/>
    <w:rsid w:val="00993B7C"/>
    <w:rsid w:val="00993CC2"/>
    <w:rsid w:val="00993DF8"/>
    <w:rsid w:val="0099414F"/>
    <w:rsid w:val="00994284"/>
    <w:rsid w:val="009945D8"/>
    <w:rsid w:val="0099470F"/>
    <w:rsid w:val="00994959"/>
    <w:rsid w:val="00994B76"/>
    <w:rsid w:val="00995104"/>
    <w:rsid w:val="009951D8"/>
    <w:rsid w:val="00995295"/>
    <w:rsid w:val="00995AC7"/>
    <w:rsid w:val="00995D14"/>
    <w:rsid w:val="00995D18"/>
    <w:rsid w:val="00995E52"/>
    <w:rsid w:val="00995E56"/>
    <w:rsid w:val="009960AC"/>
    <w:rsid w:val="009965FE"/>
    <w:rsid w:val="009966ED"/>
    <w:rsid w:val="00996960"/>
    <w:rsid w:val="00996ABB"/>
    <w:rsid w:val="00996F81"/>
    <w:rsid w:val="00996FA9"/>
    <w:rsid w:val="0099721B"/>
    <w:rsid w:val="00997369"/>
    <w:rsid w:val="0099745B"/>
    <w:rsid w:val="0099757A"/>
    <w:rsid w:val="0099773F"/>
    <w:rsid w:val="00997E3B"/>
    <w:rsid w:val="00997E9D"/>
    <w:rsid w:val="009A0087"/>
    <w:rsid w:val="009A0452"/>
    <w:rsid w:val="009A0582"/>
    <w:rsid w:val="009A05E5"/>
    <w:rsid w:val="009A0696"/>
    <w:rsid w:val="009A07BE"/>
    <w:rsid w:val="009A07FB"/>
    <w:rsid w:val="009A0922"/>
    <w:rsid w:val="009A0CE2"/>
    <w:rsid w:val="009A0D05"/>
    <w:rsid w:val="009A0DD2"/>
    <w:rsid w:val="009A0E0E"/>
    <w:rsid w:val="009A11FA"/>
    <w:rsid w:val="009A133C"/>
    <w:rsid w:val="009A15CF"/>
    <w:rsid w:val="009A174C"/>
    <w:rsid w:val="009A1896"/>
    <w:rsid w:val="009A1CB7"/>
    <w:rsid w:val="009A1F37"/>
    <w:rsid w:val="009A2048"/>
    <w:rsid w:val="009A207E"/>
    <w:rsid w:val="009A2518"/>
    <w:rsid w:val="009A26C8"/>
    <w:rsid w:val="009A26FF"/>
    <w:rsid w:val="009A27AE"/>
    <w:rsid w:val="009A2BEA"/>
    <w:rsid w:val="009A2C73"/>
    <w:rsid w:val="009A2EA3"/>
    <w:rsid w:val="009A302F"/>
    <w:rsid w:val="009A3191"/>
    <w:rsid w:val="009A39B2"/>
    <w:rsid w:val="009A3DA0"/>
    <w:rsid w:val="009A402B"/>
    <w:rsid w:val="009A41F0"/>
    <w:rsid w:val="009A4321"/>
    <w:rsid w:val="009A46B9"/>
    <w:rsid w:val="009A4A04"/>
    <w:rsid w:val="009A4A94"/>
    <w:rsid w:val="009A4CD7"/>
    <w:rsid w:val="009A4D3E"/>
    <w:rsid w:val="009A4F66"/>
    <w:rsid w:val="009A50A4"/>
    <w:rsid w:val="009A597B"/>
    <w:rsid w:val="009A60B8"/>
    <w:rsid w:val="009A6382"/>
    <w:rsid w:val="009A6A1A"/>
    <w:rsid w:val="009A6B3E"/>
    <w:rsid w:val="009A6BC5"/>
    <w:rsid w:val="009A6CA4"/>
    <w:rsid w:val="009A6EA0"/>
    <w:rsid w:val="009A6FD9"/>
    <w:rsid w:val="009A6FF6"/>
    <w:rsid w:val="009A70AF"/>
    <w:rsid w:val="009A724D"/>
    <w:rsid w:val="009A727F"/>
    <w:rsid w:val="009A742A"/>
    <w:rsid w:val="009A7692"/>
    <w:rsid w:val="009A772C"/>
    <w:rsid w:val="009A794E"/>
    <w:rsid w:val="009A7C10"/>
    <w:rsid w:val="009B000F"/>
    <w:rsid w:val="009B010F"/>
    <w:rsid w:val="009B018C"/>
    <w:rsid w:val="009B094D"/>
    <w:rsid w:val="009B09D9"/>
    <w:rsid w:val="009B0A3C"/>
    <w:rsid w:val="009B0CA1"/>
    <w:rsid w:val="009B0F4B"/>
    <w:rsid w:val="009B106D"/>
    <w:rsid w:val="009B1547"/>
    <w:rsid w:val="009B1561"/>
    <w:rsid w:val="009B15F1"/>
    <w:rsid w:val="009B172E"/>
    <w:rsid w:val="009B1742"/>
    <w:rsid w:val="009B1BCA"/>
    <w:rsid w:val="009B1CD1"/>
    <w:rsid w:val="009B1E2D"/>
    <w:rsid w:val="009B296B"/>
    <w:rsid w:val="009B2B38"/>
    <w:rsid w:val="009B33C7"/>
    <w:rsid w:val="009B3615"/>
    <w:rsid w:val="009B3766"/>
    <w:rsid w:val="009B3B3A"/>
    <w:rsid w:val="009B4268"/>
    <w:rsid w:val="009B433D"/>
    <w:rsid w:val="009B46AF"/>
    <w:rsid w:val="009B4797"/>
    <w:rsid w:val="009B47BE"/>
    <w:rsid w:val="009B4CFD"/>
    <w:rsid w:val="009B4D72"/>
    <w:rsid w:val="009B4E72"/>
    <w:rsid w:val="009B504B"/>
    <w:rsid w:val="009B52CB"/>
    <w:rsid w:val="009B53BD"/>
    <w:rsid w:val="009B57EC"/>
    <w:rsid w:val="009B5BA4"/>
    <w:rsid w:val="009B5E8D"/>
    <w:rsid w:val="009B5F42"/>
    <w:rsid w:val="009B5FC2"/>
    <w:rsid w:val="009B61B8"/>
    <w:rsid w:val="009B6596"/>
    <w:rsid w:val="009B65AD"/>
    <w:rsid w:val="009B6752"/>
    <w:rsid w:val="009B6B3D"/>
    <w:rsid w:val="009B6DA1"/>
    <w:rsid w:val="009B6F81"/>
    <w:rsid w:val="009B7003"/>
    <w:rsid w:val="009B730E"/>
    <w:rsid w:val="009B76F6"/>
    <w:rsid w:val="009B782C"/>
    <w:rsid w:val="009B7BD4"/>
    <w:rsid w:val="009B7E72"/>
    <w:rsid w:val="009B7EC9"/>
    <w:rsid w:val="009C056C"/>
    <w:rsid w:val="009C0732"/>
    <w:rsid w:val="009C0A90"/>
    <w:rsid w:val="009C0BE8"/>
    <w:rsid w:val="009C11F9"/>
    <w:rsid w:val="009C1250"/>
    <w:rsid w:val="009C1251"/>
    <w:rsid w:val="009C1551"/>
    <w:rsid w:val="009C1694"/>
    <w:rsid w:val="009C181E"/>
    <w:rsid w:val="009C18C4"/>
    <w:rsid w:val="009C1A28"/>
    <w:rsid w:val="009C1CDC"/>
    <w:rsid w:val="009C1D89"/>
    <w:rsid w:val="009C1E4E"/>
    <w:rsid w:val="009C20FD"/>
    <w:rsid w:val="009C22B2"/>
    <w:rsid w:val="009C22E7"/>
    <w:rsid w:val="009C235B"/>
    <w:rsid w:val="009C28FD"/>
    <w:rsid w:val="009C2E33"/>
    <w:rsid w:val="009C2F12"/>
    <w:rsid w:val="009C3222"/>
    <w:rsid w:val="009C33D9"/>
    <w:rsid w:val="009C34D0"/>
    <w:rsid w:val="009C3526"/>
    <w:rsid w:val="009C3623"/>
    <w:rsid w:val="009C3A20"/>
    <w:rsid w:val="009C3CD6"/>
    <w:rsid w:val="009C3E2F"/>
    <w:rsid w:val="009C3E4E"/>
    <w:rsid w:val="009C3E87"/>
    <w:rsid w:val="009C40AA"/>
    <w:rsid w:val="009C40EF"/>
    <w:rsid w:val="009C46AC"/>
    <w:rsid w:val="009C4B49"/>
    <w:rsid w:val="009C4BBB"/>
    <w:rsid w:val="009C4C6C"/>
    <w:rsid w:val="009C5039"/>
    <w:rsid w:val="009C5067"/>
    <w:rsid w:val="009C50A7"/>
    <w:rsid w:val="009C55B8"/>
    <w:rsid w:val="009C5634"/>
    <w:rsid w:val="009C565D"/>
    <w:rsid w:val="009C56E0"/>
    <w:rsid w:val="009C57B3"/>
    <w:rsid w:val="009C5864"/>
    <w:rsid w:val="009C5D3E"/>
    <w:rsid w:val="009C5F69"/>
    <w:rsid w:val="009C5FD2"/>
    <w:rsid w:val="009C6193"/>
    <w:rsid w:val="009C6265"/>
    <w:rsid w:val="009C626B"/>
    <w:rsid w:val="009C6BDC"/>
    <w:rsid w:val="009C6F03"/>
    <w:rsid w:val="009C7016"/>
    <w:rsid w:val="009C704D"/>
    <w:rsid w:val="009C7070"/>
    <w:rsid w:val="009C7289"/>
    <w:rsid w:val="009C72D9"/>
    <w:rsid w:val="009C7315"/>
    <w:rsid w:val="009C7770"/>
    <w:rsid w:val="009C7C5D"/>
    <w:rsid w:val="009C7D03"/>
    <w:rsid w:val="009D011E"/>
    <w:rsid w:val="009D0161"/>
    <w:rsid w:val="009D019B"/>
    <w:rsid w:val="009D05BF"/>
    <w:rsid w:val="009D08F6"/>
    <w:rsid w:val="009D09B5"/>
    <w:rsid w:val="009D0DF0"/>
    <w:rsid w:val="009D0EFA"/>
    <w:rsid w:val="009D15AE"/>
    <w:rsid w:val="009D17EA"/>
    <w:rsid w:val="009D17FA"/>
    <w:rsid w:val="009D18AC"/>
    <w:rsid w:val="009D1A01"/>
    <w:rsid w:val="009D1F0C"/>
    <w:rsid w:val="009D1F29"/>
    <w:rsid w:val="009D203F"/>
    <w:rsid w:val="009D268F"/>
    <w:rsid w:val="009D2740"/>
    <w:rsid w:val="009D2B9C"/>
    <w:rsid w:val="009D2BD0"/>
    <w:rsid w:val="009D2DE3"/>
    <w:rsid w:val="009D38C0"/>
    <w:rsid w:val="009D3A3D"/>
    <w:rsid w:val="009D3B39"/>
    <w:rsid w:val="009D3C12"/>
    <w:rsid w:val="009D3D89"/>
    <w:rsid w:val="009D4016"/>
    <w:rsid w:val="009D4291"/>
    <w:rsid w:val="009D4778"/>
    <w:rsid w:val="009D4F4E"/>
    <w:rsid w:val="009D51AA"/>
    <w:rsid w:val="009D52AF"/>
    <w:rsid w:val="009D5417"/>
    <w:rsid w:val="009D569C"/>
    <w:rsid w:val="009D579A"/>
    <w:rsid w:val="009D58F8"/>
    <w:rsid w:val="009D5941"/>
    <w:rsid w:val="009D5C71"/>
    <w:rsid w:val="009D5E2A"/>
    <w:rsid w:val="009D6277"/>
    <w:rsid w:val="009D676E"/>
    <w:rsid w:val="009D691F"/>
    <w:rsid w:val="009D69AC"/>
    <w:rsid w:val="009D6A99"/>
    <w:rsid w:val="009D6DDE"/>
    <w:rsid w:val="009D704A"/>
    <w:rsid w:val="009D7112"/>
    <w:rsid w:val="009D72DF"/>
    <w:rsid w:val="009D755F"/>
    <w:rsid w:val="009D7797"/>
    <w:rsid w:val="009D7B15"/>
    <w:rsid w:val="009D7E7F"/>
    <w:rsid w:val="009E0625"/>
    <w:rsid w:val="009E0768"/>
    <w:rsid w:val="009E07CF"/>
    <w:rsid w:val="009E0978"/>
    <w:rsid w:val="009E0AD2"/>
    <w:rsid w:val="009E0B18"/>
    <w:rsid w:val="009E1439"/>
    <w:rsid w:val="009E149D"/>
    <w:rsid w:val="009E175C"/>
    <w:rsid w:val="009E175E"/>
    <w:rsid w:val="009E187B"/>
    <w:rsid w:val="009E19FF"/>
    <w:rsid w:val="009E1CA3"/>
    <w:rsid w:val="009E1CA8"/>
    <w:rsid w:val="009E1CCE"/>
    <w:rsid w:val="009E1D65"/>
    <w:rsid w:val="009E1DD1"/>
    <w:rsid w:val="009E1E6F"/>
    <w:rsid w:val="009E216E"/>
    <w:rsid w:val="009E2245"/>
    <w:rsid w:val="009E22DA"/>
    <w:rsid w:val="009E276A"/>
    <w:rsid w:val="009E27E3"/>
    <w:rsid w:val="009E29A1"/>
    <w:rsid w:val="009E2BAE"/>
    <w:rsid w:val="009E2D74"/>
    <w:rsid w:val="009E2FE1"/>
    <w:rsid w:val="009E2FF2"/>
    <w:rsid w:val="009E3297"/>
    <w:rsid w:val="009E3DA1"/>
    <w:rsid w:val="009E3E52"/>
    <w:rsid w:val="009E3EBA"/>
    <w:rsid w:val="009E430F"/>
    <w:rsid w:val="009E449A"/>
    <w:rsid w:val="009E44BB"/>
    <w:rsid w:val="009E4A53"/>
    <w:rsid w:val="009E4CA1"/>
    <w:rsid w:val="009E4CC5"/>
    <w:rsid w:val="009E4F89"/>
    <w:rsid w:val="009E5394"/>
    <w:rsid w:val="009E5549"/>
    <w:rsid w:val="009E55D5"/>
    <w:rsid w:val="009E560C"/>
    <w:rsid w:val="009E57AD"/>
    <w:rsid w:val="009E592A"/>
    <w:rsid w:val="009E59B4"/>
    <w:rsid w:val="009E5B20"/>
    <w:rsid w:val="009E5B4D"/>
    <w:rsid w:val="009E5B90"/>
    <w:rsid w:val="009E5BF9"/>
    <w:rsid w:val="009E5DCF"/>
    <w:rsid w:val="009E5F36"/>
    <w:rsid w:val="009E5F3B"/>
    <w:rsid w:val="009E610E"/>
    <w:rsid w:val="009E634F"/>
    <w:rsid w:val="009E6426"/>
    <w:rsid w:val="009E6B48"/>
    <w:rsid w:val="009E6BAF"/>
    <w:rsid w:val="009E6CDE"/>
    <w:rsid w:val="009E72D8"/>
    <w:rsid w:val="009E734D"/>
    <w:rsid w:val="009E7364"/>
    <w:rsid w:val="009E74F7"/>
    <w:rsid w:val="009E760F"/>
    <w:rsid w:val="009E76F9"/>
    <w:rsid w:val="009E77FC"/>
    <w:rsid w:val="009E7C1D"/>
    <w:rsid w:val="009F0014"/>
    <w:rsid w:val="009F028D"/>
    <w:rsid w:val="009F09D7"/>
    <w:rsid w:val="009F0A1D"/>
    <w:rsid w:val="009F0BB9"/>
    <w:rsid w:val="009F0DCC"/>
    <w:rsid w:val="009F0E1A"/>
    <w:rsid w:val="009F122A"/>
    <w:rsid w:val="009F13D3"/>
    <w:rsid w:val="009F1C9B"/>
    <w:rsid w:val="009F1D06"/>
    <w:rsid w:val="009F2269"/>
    <w:rsid w:val="009F27B5"/>
    <w:rsid w:val="009F28B5"/>
    <w:rsid w:val="009F2E5F"/>
    <w:rsid w:val="009F2F2C"/>
    <w:rsid w:val="009F3077"/>
    <w:rsid w:val="009F30A9"/>
    <w:rsid w:val="009F3581"/>
    <w:rsid w:val="009F3A71"/>
    <w:rsid w:val="009F3DD0"/>
    <w:rsid w:val="009F3DE5"/>
    <w:rsid w:val="009F3FB2"/>
    <w:rsid w:val="009F400A"/>
    <w:rsid w:val="009F410E"/>
    <w:rsid w:val="009F4261"/>
    <w:rsid w:val="009F4450"/>
    <w:rsid w:val="009F48C0"/>
    <w:rsid w:val="009F4955"/>
    <w:rsid w:val="009F4E2E"/>
    <w:rsid w:val="009F4E3D"/>
    <w:rsid w:val="009F50A4"/>
    <w:rsid w:val="009F52C4"/>
    <w:rsid w:val="009F5447"/>
    <w:rsid w:val="009F557B"/>
    <w:rsid w:val="009F568B"/>
    <w:rsid w:val="009F5828"/>
    <w:rsid w:val="009F5A25"/>
    <w:rsid w:val="009F5A79"/>
    <w:rsid w:val="009F5E73"/>
    <w:rsid w:val="009F6177"/>
    <w:rsid w:val="009F662B"/>
    <w:rsid w:val="009F68E2"/>
    <w:rsid w:val="009F6B62"/>
    <w:rsid w:val="009F6E3A"/>
    <w:rsid w:val="009F72B0"/>
    <w:rsid w:val="009F7403"/>
    <w:rsid w:val="009F741C"/>
    <w:rsid w:val="009F7500"/>
    <w:rsid w:val="009F758F"/>
    <w:rsid w:val="009F7626"/>
    <w:rsid w:val="009F768E"/>
    <w:rsid w:val="009F76E7"/>
    <w:rsid w:val="009F76F9"/>
    <w:rsid w:val="009F7A94"/>
    <w:rsid w:val="009F7D59"/>
    <w:rsid w:val="009F7D5D"/>
    <w:rsid w:val="00A0080B"/>
    <w:rsid w:val="00A010DC"/>
    <w:rsid w:val="00A012C7"/>
    <w:rsid w:val="00A01677"/>
    <w:rsid w:val="00A01B12"/>
    <w:rsid w:val="00A01E2A"/>
    <w:rsid w:val="00A01E81"/>
    <w:rsid w:val="00A022D4"/>
    <w:rsid w:val="00A023B0"/>
    <w:rsid w:val="00A029F2"/>
    <w:rsid w:val="00A02A02"/>
    <w:rsid w:val="00A02D43"/>
    <w:rsid w:val="00A02D4C"/>
    <w:rsid w:val="00A038E0"/>
    <w:rsid w:val="00A03ADC"/>
    <w:rsid w:val="00A03AE3"/>
    <w:rsid w:val="00A03CB8"/>
    <w:rsid w:val="00A042BE"/>
    <w:rsid w:val="00A0454F"/>
    <w:rsid w:val="00A0458F"/>
    <w:rsid w:val="00A04690"/>
    <w:rsid w:val="00A046FB"/>
    <w:rsid w:val="00A04765"/>
    <w:rsid w:val="00A0492A"/>
    <w:rsid w:val="00A04B93"/>
    <w:rsid w:val="00A0512C"/>
    <w:rsid w:val="00A051CB"/>
    <w:rsid w:val="00A052DE"/>
    <w:rsid w:val="00A05977"/>
    <w:rsid w:val="00A05ABE"/>
    <w:rsid w:val="00A05CC5"/>
    <w:rsid w:val="00A05ED2"/>
    <w:rsid w:val="00A05F04"/>
    <w:rsid w:val="00A06019"/>
    <w:rsid w:val="00A0611F"/>
    <w:rsid w:val="00A06168"/>
    <w:rsid w:val="00A06186"/>
    <w:rsid w:val="00A06372"/>
    <w:rsid w:val="00A06598"/>
    <w:rsid w:val="00A06D7F"/>
    <w:rsid w:val="00A073CF"/>
    <w:rsid w:val="00A0752A"/>
    <w:rsid w:val="00A078F4"/>
    <w:rsid w:val="00A07980"/>
    <w:rsid w:val="00A07D10"/>
    <w:rsid w:val="00A07E36"/>
    <w:rsid w:val="00A102E4"/>
    <w:rsid w:val="00A10649"/>
    <w:rsid w:val="00A10808"/>
    <w:rsid w:val="00A10CC6"/>
    <w:rsid w:val="00A10D11"/>
    <w:rsid w:val="00A10F29"/>
    <w:rsid w:val="00A110CE"/>
    <w:rsid w:val="00A11444"/>
    <w:rsid w:val="00A116E5"/>
    <w:rsid w:val="00A11800"/>
    <w:rsid w:val="00A11A9A"/>
    <w:rsid w:val="00A11AB8"/>
    <w:rsid w:val="00A11C0C"/>
    <w:rsid w:val="00A11D59"/>
    <w:rsid w:val="00A11D5C"/>
    <w:rsid w:val="00A121E6"/>
    <w:rsid w:val="00A12403"/>
    <w:rsid w:val="00A12750"/>
    <w:rsid w:val="00A12B27"/>
    <w:rsid w:val="00A12B2A"/>
    <w:rsid w:val="00A12CA3"/>
    <w:rsid w:val="00A12CB4"/>
    <w:rsid w:val="00A12D69"/>
    <w:rsid w:val="00A12D9D"/>
    <w:rsid w:val="00A12E2D"/>
    <w:rsid w:val="00A135A8"/>
    <w:rsid w:val="00A13725"/>
    <w:rsid w:val="00A1386E"/>
    <w:rsid w:val="00A138EF"/>
    <w:rsid w:val="00A13C1F"/>
    <w:rsid w:val="00A141BA"/>
    <w:rsid w:val="00A14210"/>
    <w:rsid w:val="00A142AE"/>
    <w:rsid w:val="00A148BF"/>
    <w:rsid w:val="00A14A24"/>
    <w:rsid w:val="00A15108"/>
    <w:rsid w:val="00A1521B"/>
    <w:rsid w:val="00A15C50"/>
    <w:rsid w:val="00A15CF5"/>
    <w:rsid w:val="00A15F89"/>
    <w:rsid w:val="00A1649C"/>
    <w:rsid w:val="00A165CF"/>
    <w:rsid w:val="00A1660F"/>
    <w:rsid w:val="00A16616"/>
    <w:rsid w:val="00A16B1D"/>
    <w:rsid w:val="00A16C9D"/>
    <w:rsid w:val="00A16EBB"/>
    <w:rsid w:val="00A1735A"/>
    <w:rsid w:val="00A174E3"/>
    <w:rsid w:val="00A1785B"/>
    <w:rsid w:val="00A178CF"/>
    <w:rsid w:val="00A17926"/>
    <w:rsid w:val="00A17D9B"/>
    <w:rsid w:val="00A17DAE"/>
    <w:rsid w:val="00A203C1"/>
    <w:rsid w:val="00A203E2"/>
    <w:rsid w:val="00A20603"/>
    <w:rsid w:val="00A20A4E"/>
    <w:rsid w:val="00A20C1B"/>
    <w:rsid w:val="00A21277"/>
    <w:rsid w:val="00A212EF"/>
    <w:rsid w:val="00A21569"/>
    <w:rsid w:val="00A217EC"/>
    <w:rsid w:val="00A21900"/>
    <w:rsid w:val="00A21AE9"/>
    <w:rsid w:val="00A21B58"/>
    <w:rsid w:val="00A2222A"/>
    <w:rsid w:val="00A224EB"/>
    <w:rsid w:val="00A225CB"/>
    <w:rsid w:val="00A22951"/>
    <w:rsid w:val="00A22B7E"/>
    <w:rsid w:val="00A23113"/>
    <w:rsid w:val="00A231F2"/>
    <w:rsid w:val="00A236CB"/>
    <w:rsid w:val="00A237E3"/>
    <w:rsid w:val="00A23968"/>
    <w:rsid w:val="00A23B78"/>
    <w:rsid w:val="00A23C2D"/>
    <w:rsid w:val="00A23D71"/>
    <w:rsid w:val="00A23D7F"/>
    <w:rsid w:val="00A243EF"/>
    <w:rsid w:val="00A24401"/>
    <w:rsid w:val="00A244A8"/>
    <w:rsid w:val="00A24CB3"/>
    <w:rsid w:val="00A253A6"/>
    <w:rsid w:val="00A25A78"/>
    <w:rsid w:val="00A25ACB"/>
    <w:rsid w:val="00A25B9E"/>
    <w:rsid w:val="00A2642F"/>
    <w:rsid w:val="00A26B77"/>
    <w:rsid w:val="00A26D0B"/>
    <w:rsid w:val="00A26E28"/>
    <w:rsid w:val="00A26E31"/>
    <w:rsid w:val="00A272CE"/>
    <w:rsid w:val="00A2750B"/>
    <w:rsid w:val="00A275C3"/>
    <w:rsid w:val="00A276B9"/>
    <w:rsid w:val="00A2774B"/>
    <w:rsid w:val="00A27A5F"/>
    <w:rsid w:val="00A27B69"/>
    <w:rsid w:val="00A27D4B"/>
    <w:rsid w:val="00A27EB5"/>
    <w:rsid w:val="00A3002C"/>
    <w:rsid w:val="00A3022B"/>
    <w:rsid w:val="00A30338"/>
    <w:rsid w:val="00A303BB"/>
    <w:rsid w:val="00A30A01"/>
    <w:rsid w:val="00A30B08"/>
    <w:rsid w:val="00A30D9E"/>
    <w:rsid w:val="00A30E58"/>
    <w:rsid w:val="00A30E6F"/>
    <w:rsid w:val="00A3128B"/>
    <w:rsid w:val="00A312CC"/>
    <w:rsid w:val="00A3147A"/>
    <w:rsid w:val="00A314F4"/>
    <w:rsid w:val="00A31775"/>
    <w:rsid w:val="00A3183D"/>
    <w:rsid w:val="00A31B3F"/>
    <w:rsid w:val="00A31C0F"/>
    <w:rsid w:val="00A31C6D"/>
    <w:rsid w:val="00A31D17"/>
    <w:rsid w:val="00A31F64"/>
    <w:rsid w:val="00A32226"/>
    <w:rsid w:val="00A32378"/>
    <w:rsid w:val="00A32386"/>
    <w:rsid w:val="00A323A2"/>
    <w:rsid w:val="00A323B0"/>
    <w:rsid w:val="00A323BD"/>
    <w:rsid w:val="00A32885"/>
    <w:rsid w:val="00A328C5"/>
    <w:rsid w:val="00A32B8B"/>
    <w:rsid w:val="00A32E4F"/>
    <w:rsid w:val="00A3320F"/>
    <w:rsid w:val="00A33220"/>
    <w:rsid w:val="00A33432"/>
    <w:rsid w:val="00A335A9"/>
    <w:rsid w:val="00A3360C"/>
    <w:rsid w:val="00A33618"/>
    <w:rsid w:val="00A336C5"/>
    <w:rsid w:val="00A3376A"/>
    <w:rsid w:val="00A33939"/>
    <w:rsid w:val="00A33BCC"/>
    <w:rsid w:val="00A342D4"/>
    <w:rsid w:val="00A3445C"/>
    <w:rsid w:val="00A345AC"/>
    <w:rsid w:val="00A34854"/>
    <w:rsid w:val="00A3496B"/>
    <w:rsid w:val="00A34BA0"/>
    <w:rsid w:val="00A34CED"/>
    <w:rsid w:val="00A34DD6"/>
    <w:rsid w:val="00A34E1F"/>
    <w:rsid w:val="00A34EAA"/>
    <w:rsid w:val="00A3517E"/>
    <w:rsid w:val="00A35286"/>
    <w:rsid w:val="00A352E1"/>
    <w:rsid w:val="00A35378"/>
    <w:rsid w:val="00A354DC"/>
    <w:rsid w:val="00A35576"/>
    <w:rsid w:val="00A35843"/>
    <w:rsid w:val="00A35CB2"/>
    <w:rsid w:val="00A36075"/>
    <w:rsid w:val="00A360CA"/>
    <w:rsid w:val="00A36298"/>
    <w:rsid w:val="00A367FD"/>
    <w:rsid w:val="00A36A97"/>
    <w:rsid w:val="00A36CE8"/>
    <w:rsid w:val="00A36D90"/>
    <w:rsid w:val="00A36F02"/>
    <w:rsid w:val="00A36F6A"/>
    <w:rsid w:val="00A37069"/>
    <w:rsid w:val="00A37327"/>
    <w:rsid w:val="00A37465"/>
    <w:rsid w:val="00A374A2"/>
    <w:rsid w:val="00A37603"/>
    <w:rsid w:val="00A376DE"/>
    <w:rsid w:val="00A376E4"/>
    <w:rsid w:val="00A37EE1"/>
    <w:rsid w:val="00A403D4"/>
    <w:rsid w:val="00A4047C"/>
    <w:rsid w:val="00A40516"/>
    <w:rsid w:val="00A408FA"/>
    <w:rsid w:val="00A40962"/>
    <w:rsid w:val="00A40B01"/>
    <w:rsid w:val="00A40CB8"/>
    <w:rsid w:val="00A40D3E"/>
    <w:rsid w:val="00A40D9A"/>
    <w:rsid w:val="00A41102"/>
    <w:rsid w:val="00A41371"/>
    <w:rsid w:val="00A41400"/>
    <w:rsid w:val="00A41797"/>
    <w:rsid w:val="00A41DD3"/>
    <w:rsid w:val="00A41F51"/>
    <w:rsid w:val="00A42067"/>
    <w:rsid w:val="00A42165"/>
    <w:rsid w:val="00A42213"/>
    <w:rsid w:val="00A42463"/>
    <w:rsid w:val="00A427B3"/>
    <w:rsid w:val="00A429F6"/>
    <w:rsid w:val="00A42AC6"/>
    <w:rsid w:val="00A42B71"/>
    <w:rsid w:val="00A42B99"/>
    <w:rsid w:val="00A43042"/>
    <w:rsid w:val="00A4317B"/>
    <w:rsid w:val="00A4353D"/>
    <w:rsid w:val="00A43806"/>
    <w:rsid w:val="00A438A2"/>
    <w:rsid w:val="00A43CC0"/>
    <w:rsid w:val="00A43E9C"/>
    <w:rsid w:val="00A43EA3"/>
    <w:rsid w:val="00A44006"/>
    <w:rsid w:val="00A443EC"/>
    <w:rsid w:val="00A447DD"/>
    <w:rsid w:val="00A44806"/>
    <w:rsid w:val="00A449DF"/>
    <w:rsid w:val="00A44AA7"/>
    <w:rsid w:val="00A44BF3"/>
    <w:rsid w:val="00A44C6A"/>
    <w:rsid w:val="00A44C83"/>
    <w:rsid w:val="00A44C96"/>
    <w:rsid w:val="00A44F67"/>
    <w:rsid w:val="00A45218"/>
    <w:rsid w:val="00A454CE"/>
    <w:rsid w:val="00A45893"/>
    <w:rsid w:val="00A45CF3"/>
    <w:rsid w:val="00A45D05"/>
    <w:rsid w:val="00A45D78"/>
    <w:rsid w:val="00A45E1D"/>
    <w:rsid w:val="00A46189"/>
    <w:rsid w:val="00A46772"/>
    <w:rsid w:val="00A467B3"/>
    <w:rsid w:val="00A46FB6"/>
    <w:rsid w:val="00A4708A"/>
    <w:rsid w:val="00A4723A"/>
    <w:rsid w:val="00A47B6C"/>
    <w:rsid w:val="00A47CB5"/>
    <w:rsid w:val="00A47E64"/>
    <w:rsid w:val="00A50335"/>
    <w:rsid w:val="00A511D6"/>
    <w:rsid w:val="00A516D5"/>
    <w:rsid w:val="00A5191C"/>
    <w:rsid w:val="00A51C53"/>
    <w:rsid w:val="00A520B6"/>
    <w:rsid w:val="00A5217E"/>
    <w:rsid w:val="00A522FF"/>
    <w:rsid w:val="00A523E0"/>
    <w:rsid w:val="00A52402"/>
    <w:rsid w:val="00A52580"/>
    <w:rsid w:val="00A525D8"/>
    <w:rsid w:val="00A528BA"/>
    <w:rsid w:val="00A52A26"/>
    <w:rsid w:val="00A52D50"/>
    <w:rsid w:val="00A52F74"/>
    <w:rsid w:val="00A530E3"/>
    <w:rsid w:val="00A534E0"/>
    <w:rsid w:val="00A535C9"/>
    <w:rsid w:val="00A53715"/>
    <w:rsid w:val="00A53735"/>
    <w:rsid w:val="00A5387E"/>
    <w:rsid w:val="00A53898"/>
    <w:rsid w:val="00A53936"/>
    <w:rsid w:val="00A53971"/>
    <w:rsid w:val="00A53B3D"/>
    <w:rsid w:val="00A53D4B"/>
    <w:rsid w:val="00A53DA8"/>
    <w:rsid w:val="00A54099"/>
    <w:rsid w:val="00A54184"/>
    <w:rsid w:val="00A5418D"/>
    <w:rsid w:val="00A54403"/>
    <w:rsid w:val="00A544E6"/>
    <w:rsid w:val="00A54925"/>
    <w:rsid w:val="00A54A3E"/>
    <w:rsid w:val="00A54C1D"/>
    <w:rsid w:val="00A54E4D"/>
    <w:rsid w:val="00A54FC0"/>
    <w:rsid w:val="00A55157"/>
    <w:rsid w:val="00A554D2"/>
    <w:rsid w:val="00A55722"/>
    <w:rsid w:val="00A55779"/>
    <w:rsid w:val="00A55A7B"/>
    <w:rsid w:val="00A55ECB"/>
    <w:rsid w:val="00A55FD9"/>
    <w:rsid w:val="00A5668D"/>
    <w:rsid w:val="00A56B05"/>
    <w:rsid w:val="00A56B33"/>
    <w:rsid w:val="00A57103"/>
    <w:rsid w:val="00A5715D"/>
    <w:rsid w:val="00A57162"/>
    <w:rsid w:val="00A571C1"/>
    <w:rsid w:val="00A57935"/>
    <w:rsid w:val="00A57B78"/>
    <w:rsid w:val="00A57CF9"/>
    <w:rsid w:val="00A602AD"/>
    <w:rsid w:val="00A60708"/>
    <w:rsid w:val="00A60BFE"/>
    <w:rsid w:val="00A60DF7"/>
    <w:rsid w:val="00A60EEA"/>
    <w:rsid w:val="00A61159"/>
    <w:rsid w:val="00A612B7"/>
    <w:rsid w:val="00A61D48"/>
    <w:rsid w:val="00A62533"/>
    <w:rsid w:val="00A62579"/>
    <w:rsid w:val="00A626A0"/>
    <w:rsid w:val="00A62A13"/>
    <w:rsid w:val="00A62B74"/>
    <w:rsid w:val="00A62C13"/>
    <w:rsid w:val="00A62C24"/>
    <w:rsid w:val="00A62C59"/>
    <w:rsid w:val="00A62C74"/>
    <w:rsid w:val="00A62C7B"/>
    <w:rsid w:val="00A62CB7"/>
    <w:rsid w:val="00A62DFF"/>
    <w:rsid w:val="00A62E6A"/>
    <w:rsid w:val="00A62FA7"/>
    <w:rsid w:val="00A631E9"/>
    <w:rsid w:val="00A63518"/>
    <w:rsid w:val="00A63587"/>
    <w:rsid w:val="00A635B2"/>
    <w:rsid w:val="00A63DD5"/>
    <w:rsid w:val="00A63FA6"/>
    <w:rsid w:val="00A6400E"/>
    <w:rsid w:val="00A6433D"/>
    <w:rsid w:val="00A64370"/>
    <w:rsid w:val="00A64432"/>
    <w:rsid w:val="00A64892"/>
    <w:rsid w:val="00A648EF"/>
    <w:rsid w:val="00A64A2F"/>
    <w:rsid w:val="00A64A63"/>
    <w:rsid w:val="00A64D7C"/>
    <w:rsid w:val="00A64FEF"/>
    <w:rsid w:val="00A65018"/>
    <w:rsid w:val="00A6514D"/>
    <w:rsid w:val="00A65683"/>
    <w:rsid w:val="00A65B8A"/>
    <w:rsid w:val="00A65BE7"/>
    <w:rsid w:val="00A65D68"/>
    <w:rsid w:val="00A66005"/>
    <w:rsid w:val="00A6607F"/>
    <w:rsid w:val="00A6632C"/>
    <w:rsid w:val="00A6636C"/>
    <w:rsid w:val="00A66431"/>
    <w:rsid w:val="00A664E3"/>
    <w:rsid w:val="00A6659E"/>
    <w:rsid w:val="00A668DD"/>
    <w:rsid w:val="00A66C3D"/>
    <w:rsid w:val="00A66C8C"/>
    <w:rsid w:val="00A671FA"/>
    <w:rsid w:val="00A67383"/>
    <w:rsid w:val="00A67710"/>
    <w:rsid w:val="00A70023"/>
    <w:rsid w:val="00A70394"/>
    <w:rsid w:val="00A703A0"/>
    <w:rsid w:val="00A704B9"/>
    <w:rsid w:val="00A7054C"/>
    <w:rsid w:val="00A7057A"/>
    <w:rsid w:val="00A7097F"/>
    <w:rsid w:val="00A70A7D"/>
    <w:rsid w:val="00A70C6A"/>
    <w:rsid w:val="00A70C81"/>
    <w:rsid w:val="00A71042"/>
    <w:rsid w:val="00A710EA"/>
    <w:rsid w:val="00A71343"/>
    <w:rsid w:val="00A714A4"/>
    <w:rsid w:val="00A71875"/>
    <w:rsid w:val="00A71AFA"/>
    <w:rsid w:val="00A71C84"/>
    <w:rsid w:val="00A71DB5"/>
    <w:rsid w:val="00A71E21"/>
    <w:rsid w:val="00A71E6D"/>
    <w:rsid w:val="00A7208A"/>
    <w:rsid w:val="00A721AB"/>
    <w:rsid w:val="00A72517"/>
    <w:rsid w:val="00A728E1"/>
    <w:rsid w:val="00A72C65"/>
    <w:rsid w:val="00A730ED"/>
    <w:rsid w:val="00A73139"/>
    <w:rsid w:val="00A731F9"/>
    <w:rsid w:val="00A7327E"/>
    <w:rsid w:val="00A7340E"/>
    <w:rsid w:val="00A73621"/>
    <w:rsid w:val="00A73811"/>
    <w:rsid w:val="00A73D03"/>
    <w:rsid w:val="00A73F50"/>
    <w:rsid w:val="00A7428C"/>
    <w:rsid w:val="00A74790"/>
    <w:rsid w:val="00A74887"/>
    <w:rsid w:val="00A749D2"/>
    <w:rsid w:val="00A74DB9"/>
    <w:rsid w:val="00A751EF"/>
    <w:rsid w:val="00A752D8"/>
    <w:rsid w:val="00A75423"/>
    <w:rsid w:val="00A75C6B"/>
    <w:rsid w:val="00A75E8D"/>
    <w:rsid w:val="00A75F81"/>
    <w:rsid w:val="00A762AA"/>
    <w:rsid w:val="00A766FF"/>
    <w:rsid w:val="00A76B4A"/>
    <w:rsid w:val="00A76E00"/>
    <w:rsid w:val="00A76EE9"/>
    <w:rsid w:val="00A7700E"/>
    <w:rsid w:val="00A77131"/>
    <w:rsid w:val="00A7746B"/>
    <w:rsid w:val="00A77620"/>
    <w:rsid w:val="00A77845"/>
    <w:rsid w:val="00A77B53"/>
    <w:rsid w:val="00A77C7B"/>
    <w:rsid w:val="00A77D15"/>
    <w:rsid w:val="00A77D45"/>
    <w:rsid w:val="00A77E99"/>
    <w:rsid w:val="00A8050B"/>
    <w:rsid w:val="00A80624"/>
    <w:rsid w:val="00A8094A"/>
    <w:rsid w:val="00A80A31"/>
    <w:rsid w:val="00A80C47"/>
    <w:rsid w:val="00A80FCE"/>
    <w:rsid w:val="00A81089"/>
    <w:rsid w:val="00A8111C"/>
    <w:rsid w:val="00A813B1"/>
    <w:rsid w:val="00A81D11"/>
    <w:rsid w:val="00A81EFB"/>
    <w:rsid w:val="00A8210E"/>
    <w:rsid w:val="00A8212E"/>
    <w:rsid w:val="00A8236D"/>
    <w:rsid w:val="00A823E1"/>
    <w:rsid w:val="00A824B4"/>
    <w:rsid w:val="00A82730"/>
    <w:rsid w:val="00A82770"/>
    <w:rsid w:val="00A82D76"/>
    <w:rsid w:val="00A82E0C"/>
    <w:rsid w:val="00A831ED"/>
    <w:rsid w:val="00A83369"/>
    <w:rsid w:val="00A83525"/>
    <w:rsid w:val="00A836CD"/>
    <w:rsid w:val="00A83851"/>
    <w:rsid w:val="00A839AA"/>
    <w:rsid w:val="00A83BF4"/>
    <w:rsid w:val="00A83C2C"/>
    <w:rsid w:val="00A8409F"/>
    <w:rsid w:val="00A841B8"/>
    <w:rsid w:val="00A8489D"/>
    <w:rsid w:val="00A84967"/>
    <w:rsid w:val="00A849AF"/>
    <w:rsid w:val="00A849D1"/>
    <w:rsid w:val="00A84A59"/>
    <w:rsid w:val="00A84B62"/>
    <w:rsid w:val="00A84B65"/>
    <w:rsid w:val="00A84C30"/>
    <w:rsid w:val="00A84C41"/>
    <w:rsid w:val="00A85115"/>
    <w:rsid w:val="00A8546E"/>
    <w:rsid w:val="00A855C1"/>
    <w:rsid w:val="00A8597C"/>
    <w:rsid w:val="00A859E5"/>
    <w:rsid w:val="00A85C13"/>
    <w:rsid w:val="00A85C6A"/>
    <w:rsid w:val="00A862C5"/>
    <w:rsid w:val="00A86418"/>
    <w:rsid w:val="00A86617"/>
    <w:rsid w:val="00A86E24"/>
    <w:rsid w:val="00A86F95"/>
    <w:rsid w:val="00A870D1"/>
    <w:rsid w:val="00A87180"/>
    <w:rsid w:val="00A87261"/>
    <w:rsid w:val="00A87648"/>
    <w:rsid w:val="00A878D1"/>
    <w:rsid w:val="00A87CC9"/>
    <w:rsid w:val="00A90272"/>
    <w:rsid w:val="00A90657"/>
    <w:rsid w:val="00A906FA"/>
    <w:rsid w:val="00A90944"/>
    <w:rsid w:val="00A90A7F"/>
    <w:rsid w:val="00A90AAD"/>
    <w:rsid w:val="00A90B82"/>
    <w:rsid w:val="00A91051"/>
    <w:rsid w:val="00A91215"/>
    <w:rsid w:val="00A9132A"/>
    <w:rsid w:val="00A9134F"/>
    <w:rsid w:val="00A91BCE"/>
    <w:rsid w:val="00A91E60"/>
    <w:rsid w:val="00A9216C"/>
    <w:rsid w:val="00A92480"/>
    <w:rsid w:val="00A928CC"/>
    <w:rsid w:val="00A92B1E"/>
    <w:rsid w:val="00A92DBF"/>
    <w:rsid w:val="00A9343B"/>
    <w:rsid w:val="00A93BD2"/>
    <w:rsid w:val="00A945D4"/>
    <w:rsid w:val="00A94765"/>
    <w:rsid w:val="00A947DF"/>
    <w:rsid w:val="00A94ACE"/>
    <w:rsid w:val="00A94BF2"/>
    <w:rsid w:val="00A94FB6"/>
    <w:rsid w:val="00A9520D"/>
    <w:rsid w:val="00A952BB"/>
    <w:rsid w:val="00A95486"/>
    <w:rsid w:val="00A95715"/>
    <w:rsid w:val="00A957ED"/>
    <w:rsid w:val="00A958CB"/>
    <w:rsid w:val="00A9593F"/>
    <w:rsid w:val="00A959E2"/>
    <w:rsid w:val="00A95EAD"/>
    <w:rsid w:val="00A96099"/>
    <w:rsid w:val="00A9622F"/>
    <w:rsid w:val="00A96293"/>
    <w:rsid w:val="00A9692E"/>
    <w:rsid w:val="00A969CA"/>
    <w:rsid w:val="00A96A1F"/>
    <w:rsid w:val="00A96AAF"/>
    <w:rsid w:val="00A97011"/>
    <w:rsid w:val="00A970D3"/>
    <w:rsid w:val="00A973E2"/>
    <w:rsid w:val="00A976F1"/>
    <w:rsid w:val="00A9775F"/>
    <w:rsid w:val="00A97A08"/>
    <w:rsid w:val="00A97CE6"/>
    <w:rsid w:val="00AA02CB"/>
    <w:rsid w:val="00AA05DF"/>
    <w:rsid w:val="00AA0AC1"/>
    <w:rsid w:val="00AA0B79"/>
    <w:rsid w:val="00AA0FDB"/>
    <w:rsid w:val="00AA1092"/>
    <w:rsid w:val="00AA13DA"/>
    <w:rsid w:val="00AA1532"/>
    <w:rsid w:val="00AA181B"/>
    <w:rsid w:val="00AA1907"/>
    <w:rsid w:val="00AA1B55"/>
    <w:rsid w:val="00AA2221"/>
    <w:rsid w:val="00AA2801"/>
    <w:rsid w:val="00AA29BD"/>
    <w:rsid w:val="00AA2BE2"/>
    <w:rsid w:val="00AA32B9"/>
    <w:rsid w:val="00AA3671"/>
    <w:rsid w:val="00AA3A33"/>
    <w:rsid w:val="00AA3AFC"/>
    <w:rsid w:val="00AA3CC0"/>
    <w:rsid w:val="00AA3EF2"/>
    <w:rsid w:val="00AA42AC"/>
    <w:rsid w:val="00AA450F"/>
    <w:rsid w:val="00AA467D"/>
    <w:rsid w:val="00AA47BA"/>
    <w:rsid w:val="00AA4802"/>
    <w:rsid w:val="00AA4BF2"/>
    <w:rsid w:val="00AA4C11"/>
    <w:rsid w:val="00AA4C22"/>
    <w:rsid w:val="00AA4D65"/>
    <w:rsid w:val="00AA4DF6"/>
    <w:rsid w:val="00AA5118"/>
    <w:rsid w:val="00AA51EC"/>
    <w:rsid w:val="00AA54C6"/>
    <w:rsid w:val="00AA56B0"/>
    <w:rsid w:val="00AA575C"/>
    <w:rsid w:val="00AA5A3C"/>
    <w:rsid w:val="00AA5BC6"/>
    <w:rsid w:val="00AA5D47"/>
    <w:rsid w:val="00AA6163"/>
    <w:rsid w:val="00AA61F2"/>
    <w:rsid w:val="00AA6616"/>
    <w:rsid w:val="00AA667E"/>
    <w:rsid w:val="00AA68D2"/>
    <w:rsid w:val="00AA6AC1"/>
    <w:rsid w:val="00AA6AE7"/>
    <w:rsid w:val="00AA6B65"/>
    <w:rsid w:val="00AA6DD4"/>
    <w:rsid w:val="00AA7090"/>
    <w:rsid w:val="00AA73FF"/>
    <w:rsid w:val="00AA7751"/>
    <w:rsid w:val="00AA77EF"/>
    <w:rsid w:val="00AA7D2E"/>
    <w:rsid w:val="00AB01F2"/>
    <w:rsid w:val="00AB0274"/>
    <w:rsid w:val="00AB036B"/>
    <w:rsid w:val="00AB039D"/>
    <w:rsid w:val="00AB03F7"/>
    <w:rsid w:val="00AB0436"/>
    <w:rsid w:val="00AB0D3A"/>
    <w:rsid w:val="00AB1196"/>
    <w:rsid w:val="00AB11AB"/>
    <w:rsid w:val="00AB14CC"/>
    <w:rsid w:val="00AB1738"/>
    <w:rsid w:val="00AB173C"/>
    <w:rsid w:val="00AB1950"/>
    <w:rsid w:val="00AB1AD7"/>
    <w:rsid w:val="00AB1D8F"/>
    <w:rsid w:val="00AB1DC2"/>
    <w:rsid w:val="00AB1EF6"/>
    <w:rsid w:val="00AB221A"/>
    <w:rsid w:val="00AB2456"/>
    <w:rsid w:val="00AB2569"/>
    <w:rsid w:val="00AB261F"/>
    <w:rsid w:val="00AB289F"/>
    <w:rsid w:val="00AB2DC1"/>
    <w:rsid w:val="00AB2EC2"/>
    <w:rsid w:val="00AB2EEB"/>
    <w:rsid w:val="00AB2F7D"/>
    <w:rsid w:val="00AB3292"/>
    <w:rsid w:val="00AB33E3"/>
    <w:rsid w:val="00AB361A"/>
    <w:rsid w:val="00AB3657"/>
    <w:rsid w:val="00AB38C6"/>
    <w:rsid w:val="00AB39B3"/>
    <w:rsid w:val="00AB3A69"/>
    <w:rsid w:val="00AB3B56"/>
    <w:rsid w:val="00AB3E86"/>
    <w:rsid w:val="00AB4299"/>
    <w:rsid w:val="00AB44AC"/>
    <w:rsid w:val="00AB4865"/>
    <w:rsid w:val="00AB4D93"/>
    <w:rsid w:val="00AB4DA2"/>
    <w:rsid w:val="00AB52DD"/>
    <w:rsid w:val="00AB56A2"/>
    <w:rsid w:val="00AB58D2"/>
    <w:rsid w:val="00AB5DE5"/>
    <w:rsid w:val="00AB5E40"/>
    <w:rsid w:val="00AB5F98"/>
    <w:rsid w:val="00AB608D"/>
    <w:rsid w:val="00AB61FB"/>
    <w:rsid w:val="00AB63A6"/>
    <w:rsid w:val="00AB650D"/>
    <w:rsid w:val="00AB688C"/>
    <w:rsid w:val="00AB6D49"/>
    <w:rsid w:val="00AB6F6C"/>
    <w:rsid w:val="00AB70BE"/>
    <w:rsid w:val="00AB7255"/>
    <w:rsid w:val="00AB7787"/>
    <w:rsid w:val="00AB77E5"/>
    <w:rsid w:val="00AB78D9"/>
    <w:rsid w:val="00AB7DC2"/>
    <w:rsid w:val="00AB7E74"/>
    <w:rsid w:val="00AB7FD0"/>
    <w:rsid w:val="00AC00F3"/>
    <w:rsid w:val="00AC0222"/>
    <w:rsid w:val="00AC04C8"/>
    <w:rsid w:val="00AC0AB1"/>
    <w:rsid w:val="00AC1217"/>
    <w:rsid w:val="00AC1346"/>
    <w:rsid w:val="00AC18D9"/>
    <w:rsid w:val="00AC2487"/>
    <w:rsid w:val="00AC27FF"/>
    <w:rsid w:val="00AC2A2F"/>
    <w:rsid w:val="00AC2C04"/>
    <w:rsid w:val="00AC2C70"/>
    <w:rsid w:val="00AC31EC"/>
    <w:rsid w:val="00AC31FD"/>
    <w:rsid w:val="00AC3293"/>
    <w:rsid w:val="00AC3624"/>
    <w:rsid w:val="00AC39FE"/>
    <w:rsid w:val="00AC3B0B"/>
    <w:rsid w:val="00AC3B27"/>
    <w:rsid w:val="00AC410C"/>
    <w:rsid w:val="00AC429F"/>
    <w:rsid w:val="00AC4321"/>
    <w:rsid w:val="00AC4557"/>
    <w:rsid w:val="00AC49CF"/>
    <w:rsid w:val="00AC4B2B"/>
    <w:rsid w:val="00AC527B"/>
    <w:rsid w:val="00AC53F6"/>
    <w:rsid w:val="00AC542C"/>
    <w:rsid w:val="00AC59A7"/>
    <w:rsid w:val="00AC5B6C"/>
    <w:rsid w:val="00AC5BE8"/>
    <w:rsid w:val="00AC5C06"/>
    <w:rsid w:val="00AC5E20"/>
    <w:rsid w:val="00AC5EFE"/>
    <w:rsid w:val="00AC68C8"/>
    <w:rsid w:val="00AC6955"/>
    <w:rsid w:val="00AC6AFA"/>
    <w:rsid w:val="00AC6F35"/>
    <w:rsid w:val="00AC717A"/>
    <w:rsid w:val="00AC77CB"/>
    <w:rsid w:val="00AC782D"/>
    <w:rsid w:val="00AC79A0"/>
    <w:rsid w:val="00AC7A16"/>
    <w:rsid w:val="00AC7B50"/>
    <w:rsid w:val="00AC7C5A"/>
    <w:rsid w:val="00AC7E54"/>
    <w:rsid w:val="00AD0009"/>
    <w:rsid w:val="00AD012E"/>
    <w:rsid w:val="00AD067D"/>
    <w:rsid w:val="00AD069D"/>
    <w:rsid w:val="00AD081B"/>
    <w:rsid w:val="00AD084B"/>
    <w:rsid w:val="00AD0A55"/>
    <w:rsid w:val="00AD101C"/>
    <w:rsid w:val="00AD1295"/>
    <w:rsid w:val="00AD14C1"/>
    <w:rsid w:val="00AD16FC"/>
    <w:rsid w:val="00AD1A5C"/>
    <w:rsid w:val="00AD1A5D"/>
    <w:rsid w:val="00AD1C9D"/>
    <w:rsid w:val="00AD1E58"/>
    <w:rsid w:val="00AD1F54"/>
    <w:rsid w:val="00AD2058"/>
    <w:rsid w:val="00AD2113"/>
    <w:rsid w:val="00AD212F"/>
    <w:rsid w:val="00AD22EF"/>
    <w:rsid w:val="00AD2DAC"/>
    <w:rsid w:val="00AD2E1C"/>
    <w:rsid w:val="00AD2E79"/>
    <w:rsid w:val="00AD2EC5"/>
    <w:rsid w:val="00AD323C"/>
    <w:rsid w:val="00AD36E0"/>
    <w:rsid w:val="00AD38A2"/>
    <w:rsid w:val="00AD38EF"/>
    <w:rsid w:val="00AD3A52"/>
    <w:rsid w:val="00AD3A59"/>
    <w:rsid w:val="00AD3F62"/>
    <w:rsid w:val="00AD4035"/>
    <w:rsid w:val="00AD44DE"/>
    <w:rsid w:val="00AD4872"/>
    <w:rsid w:val="00AD4DB2"/>
    <w:rsid w:val="00AD4F41"/>
    <w:rsid w:val="00AD500B"/>
    <w:rsid w:val="00AD5154"/>
    <w:rsid w:val="00AD51AB"/>
    <w:rsid w:val="00AD5205"/>
    <w:rsid w:val="00AD5708"/>
    <w:rsid w:val="00AD5852"/>
    <w:rsid w:val="00AD598B"/>
    <w:rsid w:val="00AD5E0C"/>
    <w:rsid w:val="00AD6123"/>
    <w:rsid w:val="00AD6845"/>
    <w:rsid w:val="00AD68C1"/>
    <w:rsid w:val="00AD6C00"/>
    <w:rsid w:val="00AD6C74"/>
    <w:rsid w:val="00AD7053"/>
    <w:rsid w:val="00AD748B"/>
    <w:rsid w:val="00AD7659"/>
    <w:rsid w:val="00AD7895"/>
    <w:rsid w:val="00AD79F1"/>
    <w:rsid w:val="00AD79F4"/>
    <w:rsid w:val="00AD7B8E"/>
    <w:rsid w:val="00AE00E2"/>
    <w:rsid w:val="00AE01CF"/>
    <w:rsid w:val="00AE01E4"/>
    <w:rsid w:val="00AE0677"/>
    <w:rsid w:val="00AE0A3A"/>
    <w:rsid w:val="00AE0C87"/>
    <w:rsid w:val="00AE0DCC"/>
    <w:rsid w:val="00AE1315"/>
    <w:rsid w:val="00AE1842"/>
    <w:rsid w:val="00AE1C39"/>
    <w:rsid w:val="00AE2025"/>
    <w:rsid w:val="00AE23EE"/>
    <w:rsid w:val="00AE2421"/>
    <w:rsid w:val="00AE26DD"/>
    <w:rsid w:val="00AE2A19"/>
    <w:rsid w:val="00AE2E4E"/>
    <w:rsid w:val="00AE2EA0"/>
    <w:rsid w:val="00AE368F"/>
    <w:rsid w:val="00AE386E"/>
    <w:rsid w:val="00AE41B1"/>
    <w:rsid w:val="00AE4240"/>
    <w:rsid w:val="00AE43E9"/>
    <w:rsid w:val="00AE45D5"/>
    <w:rsid w:val="00AE46C8"/>
    <w:rsid w:val="00AE4955"/>
    <w:rsid w:val="00AE4C04"/>
    <w:rsid w:val="00AE4E68"/>
    <w:rsid w:val="00AE4E9D"/>
    <w:rsid w:val="00AE527A"/>
    <w:rsid w:val="00AE5404"/>
    <w:rsid w:val="00AE5422"/>
    <w:rsid w:val="00AE5791"/>
    <w:rsid w:val="00AE579B"/>
    <w:rsid w:val="00AE57BB"/>
    <w:rsid w:val="00AE59A6"/>
    <w:rsid w:val="00AE6AAA"/>
    <w:rsid w:val="00AE6BE3"/>
    <w:rsid w:val="00AE6F13"/>
    <w:rsid w:val="00AE7068"/>
    <w:rsid w:val="00AE7321"/>
    <w:rsid w:val="00AE73D7"/>
    <w:rsid w:val="00AE75C1"/>
    <w:rsid w:val="00AE76FD"/>
    <w:rsid w:val="00AE7841"/>
    <w:rsid w:val="00AE7B30"/>
    <w:rsid w:val="00AE7C82"/>
    <w:rsid w:val="00AE7D10"/>
    <w:rsid w:val="00AF025C"/>
    <w:rsid w:val="00AF043A"/>
    <w:rsid w:val="00AF05B0"/>
    <w:rsid w:val="00AF0E17"/>
    <w:rsid w:val="00AF10B2"/>
    <w:rsid w:val="00AF112A"/>
    <w:rsid w:val="00AF11C4"/>
    <w:rsid w:val="00AF12A8"/>
    <w:rsid w:val="00AF18E7"/>
    <w:rsid w:val="00AF1BE6"/>
    <w:rsid w:val="00AF1C90"/>
    <w:rsid w:val="00AF1D41"/>
    <w:rsid w:val="00AF1F1A"/>
    <w:rsid w:val="00AF2181"/>
    <w:rsid w:val="00AF24DF"/>
    <w:rsid w:val="00AF263B"/>
    <w:rsid w:val="00AF29F6"/>
    <w:rsid w:val="00AF2A7B"/>
    <w:rsid w:val="00AF2C75"/>
    <w:rsid w:val="00AF2CCD"/>
    <w:rsid w:val="00AF3260"/>
    <w:rsid w:val="00AF34A0"/>
    <w:rsid w:val="00AF3903"/>
    <w:rsid w:val="00AF3B34"/>
    <w:rsid w:val="00AF3B3A"/>
    <w:rsid w:val="00AF3C5C"/>
    <w:rsid w:val="00AF3D83"/>
    <w:rsid w:val="00AF3DCD"/>
    <w:rsid w:val="00AF427C"/>
    <w:rsid w:val="00AF4419"/>
    <w:rsid w:val="00AF45D7"/>
    <w:rsid w:val="00AF47D4"/>
    <w:rsid w:val="00AF48C4"/>
    <w:rsid w:val="00AF495B"/>
    <w:rsid w:val="00AF49DD"/>
    <w:rsid w:val="00AF4F9C"/>
    <w:rsid w:val="00AF52BC"/>
    <w:rsid w:val="00AF5327"/>
    <w:rsid w:val="00AF5337"/>
    <w:rsid w:val="00AF540E"/>
    <w:rsid w:val="00AF57F7"/>
    <w:rsid w:val="00AF5C5D"/>
    <w:rsid w:val="00AF64B6"/>
    <w:rsid w:val="00AF64C5"/>
    <w:rsid w:val="00AF659E"/>
    <w:rsid w:val="00AF6681"/>
    <w:rsid w:val="00AF66A9"/>
    <w:rsid w:val="00AF6760"/>
    <w:rsid w:val="00AF67DD"/>
    <w:rsid w:val="00AF692A"/>
    <w:rsid w:val="00AF6CF2"/>
    <w:rsid w:val="00AF744E"/>
    <w:rsid w:val="00AF74C2"/>
    <w:rsid w:val="00AF79E5"/>
    <w:rsid w:val="00AF7A9B"/>
    <w:rsid w:val="00AF7E92"/>
    <w:rsid w:val="00B00018"/>
    <w:rsid w:val="00B000BE"/>
    <w:rsid w:val="00B0030E"/>
    <w:rsid w:val="00B00879"/>
    <w:rsid w:val="00B00938"/>
    <w:rsid w:val="00B00C29"/>
    <w:rsid w:val="00B00D80"/>
    <w:rsid w:val="00B012CA"/>
    <w:rsid w:val="00B01369"/>
    <w:rsid w:val="00B01D56"/>
    <w:rsid w:val="00B01D7A"/>
    <w:rsid w:val="00B01E3F"/>
    <w:rsid w:val="00B023FD"/>
    <w:rsid w:val="00B0249F"/>
    <w:rsid w:val="00B02584"/>
    <w:rsid w:val="00B02C47"/>
    <w:rsid w:val="00B035D9"/>
    <w:rsid w:val="00B03AAB"/>
    <w:rsid w:val="00B03AC1"/>
    <w:rsid w:val="00B03BF2"/>
    <w:rsid w:val="00B04024"/>
    <w:rsid w:val="00B042BF"/>
    <w:rsid w:val="00B04410"/>
    <w:rsid w:val="00B044CA"/>
    <w:rsid w:val="00B044E2"/>
    <w:rsid w:val="00B0470A"/>
    <w:rsid w:val="00B04734"/>
    <w:rsid w:val="00B0479B"/>
    <w:rsid w:val="00B048F0"/>
    <w:rsid w:val="00B04D56"/>
    <w:rsid w:val="00B04EA7"/>
    <w:rsid w:val="00B0510E"/>
    <w:rsid w:val="00B05139"/>
    <w:rsid w:val="00B052F6"/>
    <w:rsid w:val="00B05423"/>
    <w:rsid w:val="00B05D68"/>
    <w:rsid w:val="00B05FEC"/>
    <w:rsid w:val="00B06248"/>
    <w:rsid w:val="00B0627F"/>
    <w:rsid w:val="00B062B1"/>
    <w:rsid w:val="00B064DB"/>
    <w:rsid w:val="00B066D5"/>
    <w:rsid w:val="00B066FD"/>
    <w:rsid w:val="00B06898"/>
    <w:rsid w:val="00B0726C"/>
    <w:rsid w:val="00B073B7"/>
    <w:rsid w:val="00B073DD"/>
    <w:rsid w:val="00B07491"/>
    <w:rsid w:val="00B07527"/>
    <w:rsid w:val="00B07569"/>
    <w:rsid w:val="00B07601"/>
    <w:rsid w:val="00B076A4"/>
    <w:rsid w:val="00B079BF"/>
    <w:rsid w:val="00B07AC0"/>
    <w:rsid w:val="00B07BA0"/>
    <w:rsid w:val="00B07C18"/>
    <w:rsid w:val="00B07CA3"/>
    <w:rsid w:val="00B07D12"/>
    <w:rsid w:val="00B07F3D"/>
    <w:rsid w:val="00B1019C"/>
    <w:rsid w:val="00B101CD"/>
    <w:rsid w:val="00B10463"/>
    <w:rsid w:val="00B105C4"/>
    <w:rsid w:val="00B1068B"/>
    <w:rsid w:val="00B10790"/>
    <w:rsid w:val="00B10A48"/>
    <w:rsid w:val="00B10B4E"/>
    <w:rsid w:val="00B10CD5"/>
    <w:rsid w:val="00B110CA"/>
    <w:rsid w:val="00B110F5"/>
    <w:rsid w:val="00B1119D"/>
    <w:rsid w:val="00B11322"/>
    <w:rsid w:val="00B11430"/>
    <w:rsid w:val="00B118D1"/>
    <w:rsid w:val="00B11B5F"/>
    <w:rsid w:val="00B11BD3"/>
    <w:rsid w:val="00B11F81"/>
    <w:rsid w:val="00B121CA"/>
    <w:rsid w:val="00B12319"/>
    <w:rsid w:val="00B1265F"/>
    <w:rsid w:val="00B127A9"/>
    <w:rsid w:val="00B12B3E"/>
    <w:rsid w:val="00B12F0E"/>
    <w:rsid w:val="00B12F3B"/>
    <w:rsid w:val="00B13015"/>
    <w:rsid w:val="00B13206"/>
    <w:rsid w:val="00B13405"/>
    <w:rsid w:val="00B136FB"/>
    <w:rsid w:val="00B13794"/>
    <w:rsid w:val="00B1382F"/>
    <w:rsid w:val="00B13921"/>
    <w:rsid w:val="00B13A33"/>
    <w:rsid w:val="00B13A9F"/>
    <w:rsid w:val="00B13B99"/>
    <w:rsid w:val="00B13CD1"/>
    <w:rsid w:val="00B1412C"/>
    <w:rsid w:val="00B144A8"/>
    <w:rsid w:val="00B14578"/>
    <w:rsid w:val="00B14A35"/>
    <w:rsid w:val="00B14F54"/>
    <w:rsid w:val="00B15302"/>
    <w:rsid w:val="00B1535C"/>
    <w:rsid w:val="00B1536C"/>
    <w:rsid w:val="00B15397"/>
    <w:rsid w:val="00B15428"/>
    <w:rsid w:val="00B15581"/>
    <w:rsid w:val="00B155AE"/>
    <w:rsid w:val="00B15A59"/>
    <w:rsid w:val="00B161E9"/>
    <w:rsid w:val="00B16354"/>
    <w:rsid w:val="00B164F0"/>
    <w:rsid w:val="00B16548"/>
    <w:rsid w:val="00B169DB"/>
    <w:rsid w:val="00B169F0"/>
    <w:rsid w:val="00B16AEC"/>
    <w:rsid w:val="00B16C7D"/>
    <w:rsid w:val="00B16EFC"/>
    <w:rsid w:val="00B17232"/>
    <w:rsid w:val="00B17491"/>
    <w:rsid w:val="00B17AFB"/>
    <w:rsid w:val="00B17F37"/>
    <w:rsid w:val="00B17F6C"/>
    <w:rsid w:val="00B20090"/>
    <w:rsid w:val="00B202D4"/>
    <w:rsid w:val="00B20515"/>
    <w:rsid w:val="00B20E42"/>
    <w:rsid w:val="00B20E6A"/>
    <w:rsid w:val="00B20E83"/>
    <w:rsid w:val="00B21057"/>
    <w:rsid w:val="00B2112B"/>
    <w:rsid w:val="00B216EC"/>
    <w:rsid w:val="00B2177C"/>
    <w:rsid w:val="00B21868"/>
    <w:rsid w:val="00B21A36"/>
    <w:rsid w:val="00B21A6C"/>
    <w:rsid w:val="00B21B7A"/>
    <w:rsid w:val="00B21CBC"/>
    <w:rsid w:val="00B21CF3"/>
    <w:rsid w:val="00B21D69"/>
    <w:rsid w:val="00B21F61"/>
    <w:rsid w:val="00B21F71"/>
    <w:rsid w:val="00B220CC"/>
    <w:rsid w:val="00B2217D"/>
    <w:rsid w:val="00B22760"/>
    <w:rsid w:val="00B2295C"/>
    <w:rsid w:val="00B22A4E"/>
    <w:rsid w:val="00B22AC9"/>
    <w:rsid w:val="00B22CEE"/>
    <w:rsid w:val="00B22D74"/>
    <w:rsid w:val="00B22E39"/>
    <w:rsid w:val="00B2319A"/>
    <w:rsid w:val="00B234C3"/>
    <w:rsid w:val="00B235E1"/>
    <w:rsid w:val="00B2377F"/>
    <w:rsid w:val="00B237DE"/>
    <w:rsid w:val="00B23887"/>
    <w:rsid w:val="00B23950"/>
    <w:rsid w:val="00B23DBD"/>
    <w:rsid w:val="00B24082"/>
    <w:rsid w:val="00B241F9"/>
    <w:rsid w:val="00B24238"/>
    <w:rsid w:val="00B24CD7"/>
    <w:rsid w:val="00B24F22"/>
    <w:rsid w:val="00B24F96"/>
    <w:rsid w:val="00B25579"/>
    <w:rsid w:val="00B25994"/>
    <w:rsid w:val="00B259BD"/>
    <w:rsid w:val="00B259CD"/>
    <w:rsid w:val="00B25F06"/>
    <w:rsid w:val="00B25F50"/>
    <w:rsid w:val="00B25F52"/>
    <w:rsid w:val="00B261AA"/>
    <w:rsid w:val="00B261DE"/>
    <w:rsid w:val="00B2621B"/>
    <w:rsid w:val="00B2623A"/>
    <w:rsid w:val="00B263D0"/>
    <w:rsid w:val="00B266A0"/>
    <w:rsid w:val="00B266C8"/>
    <w:rsid w:val="00B26A1F"/>
    <w:rsid w:val="00B26A5D"/>
    <w:rsid w:val="00B26B55"/>
    <w:rsid w:val="00B27104"/>
    <w:rsid w:val="00B2748A"/>
    <w:rsid w:val="00B27560"/>
    <w:rsid w:val="00B275FA"/>
    <w:rsid w:val="00B276E7"/>
    <w:rsid w:val="00B2779E"/>
    <w:rsid w:val="00B27937"/>
    <w:rsid w:val="00B27B06"/>
    <w:rsid w:val="00B27BC2"/>
    <w:rsid w:val="00B27BD5"/>
    <w:rsid w:val="00B27D92"/>
    <w:rsid w:val="00B27EAF"/>
    <w:rsid w:val="00B302ED"/>
    <w:rsid w:val="00B305A8"/>
    <w:rsid w:val="00B3087F"/>
    <w:rsid w:val="00B30929"/>
    <w:rsid w:val="00B3114C"/>
    <w:rsid w:val="00B31308"/>
    <w:rsid w:val="00B31441"/>
    <w:rsid w:val="00B31560"/>
    <w:rsid w:val="00B31669"/>
    <w:rsid w:val="00B317FA"/>
    <w:rsid w:val="00B3191D"/>
    <w:rsid w:val="00B32343"/>
    <w:rsid w:val="00B3274B"/>
    <w:rsid w:val="00B32D73"/>
    <w:rsid w:val="00B32F05"/>
    <w:rsid w:val="00B32FAD"/>
    <w:rsid w:val="00B330EE"/>
    <w:rsid w:val="00B331E1"/>
    <w:rsid w:val="00B332CB"/>
    <w:rsid w:val="00B33494"/>
    <w:rsid w:val="00B336BF"/>
    <w:rsid w:val="00B33C54"/>
    <w:rsid w:val="00B33E67"/>
    <w:rsid w:val="00B33F8B"/>
    <w:rsid w:val="00B3400C"/>
    <w:rsid w:val="00B34194"/>
    <w:rsid w:val="00B3452F"/>
    <w:rsid w:val="00B34564"/>
    <w:rsid w:val="00B34AF9"/>
    <w:rsid w:val="00B34F0D"/>
    <w:rsid w:val="00B34F20"/>
    <w:rsid w:val="00B352C0"/>
    <w:rsid w:val="00B3533D"/>
    <w:rsid w:val="00B35523"/>
    <w:rsid w:val="00B35BF4"/>
    <w:rsid w:val="00B35E70"/>
    <w:rsid w:val="00B3614B"/>
    <w:rsid w:val="00B36749"/>
    <w:rsid w:val="00B36803"/>
    <w:rsid w:val="00B36921"/>
    <w:rsid w:val="00B36DE3"/>
    <w:rsid w:val="00B37757"/>
    <w:rsid w:val="00B37DE1"/>
    <w:rsid w:val="00B37DFC"/>
    <w:rsid w:val="00B37EA2"/>
    <w:rsid w:val="00B37EF4"/>
    <w:rsid w:val="00B40760"/>
    <w:rsid w:val="00B409C0"/>
    <w:rsid w:val="00B409F4"/>
    <w:rsid w:val="00B40CD0"/>
    <w:rsid w:val="00B40E39"/>
    <w:rsid w:val="00B4135A"/>
    <w:rsid w:val="00B4141A"/>
    <w:rsid w:val="00B41471"/>
    <w:rsid w:val="00B414BD"/>
    <w:rsid w:val="00B4159C"/>
    <w:rsid w:val="00B41749"/>
    <w:rsid w:val="00B417DF"/>
    <w:rsid w:val="00B4197F"/>
    <w:rsid w:val="00B41AD3"/>
    <w:rsid w:val="00B42146"/>
    <w:rsid w:val="00B42270"/>
    <w:rsid w:val="00B426F8"/>
    <w:rsid w:val="00B42D23"/>
    <w:rsid w:val="00B42FC1"/>
    <w:rsid w:val="00B432AA"/>
    <w:rsid w:val="00B4361C"/>
    <w:rsid w:val="00B4387A"/>
    <w:rsid w:val="00B43A66"/>
    <w:rsid w:val="00B43B10"/>
    <w:rsid w:val="00B43D20"/>
    <w:rsid w:val="00B43D9C"/>
    <w:rsid w:val="00B441DB"/>
    <w:rsid w:val="00B443C1"/>
    <w:rsid w:val="00B44422"/>
    <w:rsid w:val="00B44674"/>
    <w:rsid w:val="00B44915"/>
    <w:rsid w:val="00B44C24"/>
    <w:rsid w:val="00B45079"/>
    <w:rsid w:val="00B4556A"/>
    <w:rsid w:val="00B45626"/>
    <w:rsid w:val="00B45AF9"/>
    <w:rsid w:val="00B45B79"/>
    <w:rsid w:val="00B45B7A"/>
    <w:rsid w:val="00B46B64"/>
    <w:rsid w:val="00B46BDD"/>
    <w:rsid w:val="00B46CC1"/>
    <w:rsid w:val="00B46DBE"/>
    <w:rsid w:val="00B470EA"/>
    <w:rsid w:val="00B47394"/>
    <w:rsid w:val="00B475A9"/>
    <w:rsid w:val="00B4799D"/>
    <w:rsid w:val="00B47A89"/>
    <w:rsid w:val="00B47D66"/>
    <w:rsid w:val="00B47E4F"/>
    <w:rsid w:val="00B47F0C"/>
    <w:rsid w:val="00B50331"/>
    <w:rsid w:val="00B50334"/>
    <w:rsid w:val="00B50C5A"/>
    <w:rsid w:val="00B50D1D"/>
    <w:rsid w:val="00B50DBD"/>
    <w:rsid w:val="00B50EB7"/>
    <w:rsid w:val="00B50EBE"/>
    <w:rsid w:val="00B5135D"/>
    <w:rsid w:val="00B5160C"/>
    <w:rsid w:val="00B51A16"/>
    <w:rsid w:val="00B51BFA"/>
    <w:rsid w:val="00B51E10"/>
    <w:rsid w:val="00B51E46"/>
    <w:rsid w:val="00B51EB4"/>
    <w:rsid w:val="00B52323"/>
    <w:rsid w:val="00B5274E"/>
    <w:rsid w:val="00B52B71"/>
    <w:rsid w:val="00B52B80"/>
    <w:rsid w:val="00B52CCA"/>
    <w:rsid w:val="00B52D3E"/>
    <w:rsid w:val="00B52DCB"/>
    <w:rsid w:val="00B52E0E"/>
    <w:rsid w:val="00B530DC"/>
    <w:rsid w:val="00B5313E"/>
    <w:rsid w:val="00B53267"/>
    <w:rsid w:val="00B53387"/>
    <w:rsid w:val="00B534F0"/>
    <w:rsid w:val="00B53AEF"/>
    <w:rsid w:val="00B53BC9"/>
    <w:rsid w:val="00B53D03"/>
    <w:rsid w:val="00B53E86"/>
    <w:rsid w:val="00B5417C"/>
    <w:rsid w:val="00B546E2"/>
    <w:rsid w:val="00B5548E"/>
    <w:rsid w:val="00B55AC6"/>
    <w:rsid w:val="00B55D56"/>
    <w:rsid w:val="00B55F9E"/>
    <w:rsid w:val="00B55FBA"/>
    <w:rsid w:val="00B560F0"/>
    <w:rsid w:val="00B56134"/>
    <w:rsid w:val="00B566BA"/>
    <w:rsid w:val="00B569A4"/>
    <w:rsid w:val="00B569B8"/>
    <w:rsid w:val="00B570F1"/>
    <w:rsid w:val="00B57DA0"/>
    <w:rsid w:val="00B57DC9"/>
    <w:rsid w:val="00B57E2F"/>
    <w:rsid w:val="00B601AA"/>
    <w:rsid w:val="00B6050E"/>
    <w:rsid w:val="00B60670"/>
    <w:rsid w:val="00B60689"/>
    <w:rsid w:val="00B60950"/>
    <w:rsid w:val="00B609BB"/>
    <w:rsid w:val="00B60D86"/>
    <w:rsid w:val="00B60DEB"/>
    <w:rsid w:val="00B6106D"/>
    <w:rsid w:val="00B6114D"/>
    <w:rsid w:val="00B6132E"/>
    <w:rsid w:val="00B613EC"/>
    <w:rsid w:val="00B615D3"/>
    <w:rsid w:val="00B61650"/>
    <w:rsid w:val="00B61EB6"/>
    <w:rsid w:val="00B62148"/>
    <w:rsid w:val="00B62226"/>
    <w:rsid w:val="00B626A3"/>
    <w:rsid w:val="00B62746"/>
    <w:rsid w:val="00B62954"/>
    <w:rsid w:val="00B62DAF"/>
    <w:rsid w:val="00B62E1E"/>
    <w:rsid w:val="00B62FE1"/>
    <w:rsid w:val="00B6392E"/>
    <w:rsid w:val="00B63BA9"/>
    <w:rsid w:val="00B63C03"/>
    <w:rsid w:val="00B64103"/>
    <w:rsid w:val="00B641A2"/>
    <w:rsid w:val="00B6429C"/>
    <w:rsid w:val="00B64AB2"/>
    <w:rsid w:val="00B651B0"/>
    <w:rsid w:val="00B651FC"/>
    <w:rsid w:val="00B65207"/>
    <w:rsid w:val="00B6522F"/>
    <w:rsid w:val="00B65343"/>
    <w:rsid w:val="00B654FC"/>
    <w:rsid w:val="00B65BE6"/>
    <w:rsid w:val="00B65C8F"/>
    <w:rsid w:val="00B65EDD"/>
    <w:rsid w:val="00B65FEF"/>
    <w:rsid w:val="00B6648B"/>
    <w:rsid w:val="00B665B6"/>
    <w:rsid w:val="00B66615"/>
    <w:rsid w:val="00B667B3"/>
    <w:rsid w:val="00B66D07"/>
    <w:rsid w:val="00B66D23"/>
    <w:rsid w:val="00B66E04"/>
    <w:rsid w:val="00B67104"/>
    <w:rsid w:val="00B672A1"/>
    <w:rsid w:val="00B67333"/>
    <w:rsid w:val="00B673C4"/>
    <w:rsid w:val="00B67518"/>
    <w:rsid w:val="00B678D5"/>
    <w:rsid w:val="00B678D9"/>
    <w:rsid w:val="00B67CB0"/>
    <w:rsid w:val="00B67DB4"/>
    <w:rsid w:val="00B67DB7"/>
    <w:rsid w:val="00B67DC3"/>
    <w:rsid w:val="00B67E5F"/>
    <w:rsid w:val="00B70554"/>
    <w:rsid w:val="00B706D1"/>
    <w:rsid w:val="00B71015"/>
    <w:rsid w:val="00B71248"/>
    <w:rsid w:val="00B7127C"/>
    <w:rsid w:val="00B71B61"/>
    <w:rsid w:val="00B72018"/>
    <w:rsid w:val="00B7202A"/>
    <w:rsid w:val="00B72633"/>
    <w:rsid w:val="00B72965"/>
    <w:rsid w:val="00B72A38"/>
    <w:rsid w:val="00B72A3E"/>
    <w:rsid w:val="00B72DF7"/>
    <w:rsid w:val="00B72E6C"/>
    <w:rsid w:val="00B72F50"/>
    <w:rsid w:val="00B731DE"/>
    <w:rsid w:val="00B731EC"/>
    <w:rsid w:val="00B732C5"/>
    <w:rsid w:val="00B7354A"/>
    <w:rsid w:val="00B739B0"/>
    <w:rsid w:val="00B73A00"/>
    <w:rsid w:val="00B73AAF"/>
    <w:rsid w:val="00B73D41"/>
    <w:rsid w:val="00B73DE6"/>
    <w:rsid w:val="00B73DF3"/>
    <w:rsid w:val="00B73F25"/>
    <w:rsid w:val="00B741AF"/>
    <w:rsid w:val="00B7439A"/>
    <w:rsid w:val="00B74454"/>
    <w:rsid w:val="00B7465C"/>
    <w:rsid w:val="00B748CC"/>
    <w:rsid w:val="00B74A97"/>
    <w:rsid w:val="00B74B49"/>
    <w:rsid w:val="00B74B4A"/>
    <w:rsid w:val="00B74B7D"/>
    <w:rsid w:val="00B74FAA"/>
    <w:rsid w:val="00B75285"/>
    <w:rsid w:val="00B75485"/>
    <w:rsid w:val="00B75488"/>
    <w:rsid w:val="00B7555F"/>
    <w:rsid w:val="00B75714"/>
    <w:rsid w:val="00B757AA"/>
    <w:rsid w:val="00B758A5"/>
    <w:rsid w:val="00B75A8C"/>
    <w:rsid w:val="00B75AAA"/>
    <w:rsid w:val="00B75E18"/>
    <w:rsid w:val="00B76067"/>
    <w:rsid w:val="00B76260"/>
    <w:rsid w:val="00B76399"/>
    <w:rsid w:val="00B76706"/>
    <w:rsid w:val="00B76E0E"/>
    <w:rsid w:val="00B76EBD"/>
    <w:rsid w:val="00B76ECE"/>
    <w:rsid w:val="00B77545"/>
    <w:rsid w:val="00B775BE"/>
    <w:rsid w:val="00B776CD"/>
    <w:rsid w:val="00B77801"/>
    <w:rsid w:val="00B80197"/>
    <w:rsid w:val="00B801A8"/>
    <w:rsid w:val="00B80214"/>
    <w:rsid w:val="00B80476"/>
    <w:rsid w:val="00B804E8"/>
    <w:rsid w:val="00B8064C"/>
    <w:rsid w:val="00B806CB"/>
    <w:rsid w:val="00B808E4"/>
    <w:rsid w:val="00B80A92"/>
    <w:rsid w:val="00B80C40"/>
    <w:rsid w:val="00B80E47"/>
    <w:rsid w:val="00B81052"/>
    <w:rsid w:val="00B81156"/>
    <w:rsid w:val="00B812BD"/>
    <w:rsid w:val="00B815B0"/>
    <w:rsid w:val="00B81879"/>
    <w:rsid w:val="00B81A78"/>
    <w:rsid w:val="00B81B6B"/>
    <w:rsid w:val="00B81C89"/>
    <w:rsid w:val="00B81E3E"/>
    <w:rsid w:val="00B82082"/>
    <w:rsid w:val="00B82321"/>
    <w:rsid w:val="00B8255F"/>
    <w:rsid w:val="00B825B0"/>
    <w:rsid w:val="00B82A7D"/>
    <w:rsid w:val="00B82C01"/>
    <w:rsid w:val="00B82C1F"/>
    <w:rsid w:val="00B82E52"/>
    <w:rsid w:val="00B8304C"/>
    <w:rsid w:val="00B83381"/>
    <w:rsid w:val="00B835A3"/>
    <w:rsid w:val="00B83E46"/>
    <w:rsid w:val="00B843B6"/>
    <w:rsid w:val="00B84689"/>
    <w:rsid w:val="00B849C9"/>
    <w:rsid w:val="00B84A62"/>
    <w:rsid w:val="00B84ED3"/>
    <w:rsid w:val="00B84F34"/>
    <w:rsid w:val="00B84F7F"/>
    <w:rsid w:val="00B853C7"/>
    <w:rsid w:val="00B85414"/>
    <w:rsid w:val="00B85465"/>
    <w:rsid w:val="00B85747"/>
    <w:rsid w:val="00B85D09"/>
    <w:rsid w:val="00B8645C"/>
    <w:rsid w:val="00B86801"/>
    <w:rsid w:val="00B86933"/>
    <w:rsid w:val="00B86BB1"/>
    <w:rsid w:val="00B86C48"/>
    <w:rsid w:val="00B87258"/>
    <w:rsid w:val="00B87688"/>
    <w:rsid w:val="00B8777E"/>
    <w:rsid w:val="00B87B6F"/>
    <w:rsid w:val="00B87D7A"/>
    <w:rsid w:val="00B908F8"/>
    <w:rsid w:val="00B90B26"/>
    <w:rsid w:val="00B90D71"/>
    <w:rsid w:val="00B90DBE"/>
    <w:rsid w:val="00B90DC1"/>
    <w:rsid w:val="00B9101E"/>
    <w:rsid w:val="00B91027"/>
    <w:rsid w:val="00B9111B"/>
    <w:rsid w:val="00B911E7"/>
    <w:rsid w:val="00B91223"/>
    <w:rsid w:val="00B9141B"/>
    <w:rsid w:val="00B91487"/>
    <w:rsid w:val="00B917C1"/>
    <w:rsid w:val="00B91D5A"/>
    <w:rsid w:val="00B91F97"/>
    <w:rsid w:val="00B921B0"/>
    <w:rsid w:val="00B9259E"/>
    <w:rsid w:val="00B927CB"/>
    <w:rsid w:val="00B92CB2"/>
    <w:rsid w:val="00B92DCC"/>
    <w:rsid w:val="00B92FE6"/>
    <w:rsid w:val="00B93044"/>
    <w:rsid w:val="00B935F8"/>
    <w:rsid w:val="00B93D0B"/>
    <w:rsid w:val="00B93D3B"/>
    <w:rsid w:val="00B93E98"/>
    <w:rsid w:val="00B943FB"/>
    <w:rsid w:val="00B94914"/>
    <w:rsid w:val="00B94A79"/>
    <w:rsid w:val="00B94ADD"/>
    <w:rsid w:val="00B94C87"/>
    <w:rsid w:val="00B94D17"/>
    <w:rsid w:val="00B950CA"/>
    <w:rsid w:val="00B952F6"/>
    <w:rsid w:val="00B953B9"/>
    <w:rsid w:val="00B95491"/>
    <w:rsid w:val="00B95568"/>
    <w:rsid w:val="00B9557F"/>
    <w:rsid w:val="00B95AB2"/>
    <w:rsid w:val="00B95D4B"/>
    <w:rsid w:val="00B95D73"/>
    <w:rsid w:val="00B96316"/>
    <w:rsid w:val="00B963DB"/>
    <w:rsid w:val="00B964E1"/>
    <w:rsid w:val="00B9652D"/>
    <w:rsid w:val="00B965FD"/>
    <w:rsid w:val="00B96766"/>
    <w:rsid w:val="00B96C7F"/>
    <w:rsid w:val="00B96E51"/>
    <w:rsid w:val="00B970A0"/>
    <w:rsid w:val="00B97189"/>
    <w:rsid w:val="00B972E1"/>
    <w:rsid w:val="00B972F6"/>
    <w:rsid w:val="00B973EA"/>
    <w:rsid w:val="00B97429"/>
    <w:rsid w:val="00B977E4"/>
    <w:rsid w:val="00B97A18"/>
    <w:rsid w:val="00B97B3D"/>
    <w:rsid w:val="00BA015D"/>
    <w:rsid w:val="00BA0229"/>
    <w:rsid w:val="00BA0860"/>
    <w:rsid w:val="00BA0A8E"/>
    <w:rsid w:val="00BA0ECC"/>
    <w:rsid w:val="00BA139E"/>
    <w:rsid w:val="00BA17E4"/>
    <w:rsid w:val="00BA1A10"/>
    <w:rsid w:val="00BA1B35"/>
    <w:rsid w:val="00BA1B99"/>
    <w:rsid w:val="00BA1C72"/>
    <w:rsid w:val="00BA2652"/>
    <w:rsid w:val="00BA2914"/>
    <w:rsid w:val="00BA2B6F"/>
    <w:rsid w:val="00BA2DD7"/>
    <w:rsid w:val="00BA3072"/>
    <w:rsid w:val="00BA30C7"/>
    <w:rsid w:val="00BA35C5"/>
    <w:rsid w:val="00BA3857"/>
    <w:rsid w:val="00BA3A00"/>
    <w:rsid w:val="00BA3CB8"/>
    <w:rsid w:val="00BA3CFD"/>
    <w:rsid w:val="00BA3D55"/>
    <w:rsid w:val="00BA4183"/>
    <w:rsid w:val="00BA422F"/>
    <w:rsid w:val="00BA449D"/>
    <w:rsid w:val="00BA45D8"/>
    <w:rsid w:val="00BA52B6"/>
    <w:rsid w:val="00BA5320"/>
    <w:rsid w:val="00BA532E"/>
    <w:rsid w:val="00BA5982"/>
    <w:rsid w:val="00BA5B32"/>
    <w:rsid w:val="00BA5B52"/>
    <w:rsid w:val="00BA5B9A"/>
    <w:rsid w:val="00BA5E53"/>
    <w:rsid w:val="00BA5ED7"/>
    <w:rsid w:val="00BA613A"/>
    <w:rsid w:val="00BA6226"/>
    <w:rsid w:val="00BA6510"/>
    <w:rsid w:val="00BA65AB"/>
    <w:rsid w:val="00BA688B"/>
    <w:rsid w:val="00BA6C06"/>
    <w:rsid w:val="00BA6DF7"/>
    <w:rsid w:val="00BA6F40"/>
    <w:rsid w:val="00BA7246"/>
    <w:rsid w:val="00BA7262"/>
    <w:rsid w:val="00BA7269"/>
    <w:rsid w:val="00BA757B"/>
    <w:rsid w:val="00BA7A42"/>
    <w:rsid w:val="00BA7AAD"/>
    <w:rsid w:val="00BA7AB6"/>
    <w:rsid w:val="00BA7B74"/>
    <w:rsid w:val="00BA7B97"/>
    <w:rsid w:val="00BA7D3A"/>
    <w:rsid w:val="00BB0E11"/>
    <w:rsid w:val="00BB0F25"/>
    <w:rsid w:val="00BB0F4D"/>
    <w:rsid w:val="00BB1628"/>
    <w:rsid w:val="00BB1803"/>
    <w:rsid w:val="00BB1837"/>
    <w:rsid w:val="00BB1857"/>
    <w:rsid w:val="00BB18BB"/>
    <w:rsid w:val="00BB18C4"/>
    <w:rsid w:val="00BB1C14"/>
    <w:rsid w:val="00BB1CBA"/>
    <w:rsid w:val="00BB25A9"/>
    <w:rsid w:val="00BB27DE"/>
    <w:rsid w:val="00BB298C"/>
    <w:rsid w:val="00BB29AF"/>
    <w:rsid w:val="00BB2ABC"/>
    <w:rsid w:val="00BB2D92"/>
    <w:rsid w:val="00BB3461"/>
    <w:rsid w:val="00BB3619"/>
    <w:rsid w:val="00BB36B1"/>
    <w:rsid w:val="00BB372A"/>
    <w:rsid w:val="00BB3895"/>
    <w:rsid w:val="00BB3990"/>
    <w:rsid w:val="00BB3F05"/>
    <w:rsid w:val="00BB4035"/>
    <w:rsid w:val="00BB434B"/>
    <w:rsid w:val="00BB4485"/>
    <w:rsid w:val="00BB4AEA"/>
    <w:rsid w:val="00BB4B7E"/>
    <w:rsid w:val="00BB4F35"/>
    <w:rsid w:val="00BB5673"/>
    <w:rsid w:val="00BB5AAA"/>
    <w:rsid w:val="00BB5B80"/>
    <w:rsid w:val="00BB5EEC"/>
    <w:rsid w:val="00BB617F"/>
    <w:rsid w:val="00BB67F4"/>
    <w:rsid w:val="00BB68FD"/>
    <w:rsid w:val="00BB6C69"/>
    <w:rsid w:val="00BB70C8"/>
    <w:rsid w:val="00BB7218"/>
    <w:rsid w:val="00BB7227"/>
    <w:rsid w:val="00BB7410"/>
    <w:rsid w:val="00BB761A"/>
    <w:rsid w:val="00BB788E"/>
    <w:rsid w:val="00BB78D1"/>
    <w:rsid w:val="00BC0455"/>
    <w:rsid w:val="00BC0974"/>
    <w:rsid w:val="00BC0C75"/>
    <w:rsid w:val="00BC0E32"/>
    <w:rsid w:val="00BC0E33"/>
    <w:rsid w:val="00BC0F7E"/>
    <w:rsid w:val="00BC126B"/>
    <w:rsid w:val="00BC130F"/>
    <w:rsid w:val="00BC1806"/>
    <w:rsid w:val="00BC18C9"/>
    <w:rsid w:val="00BC1918"/>
    <w:rsid w:val="00BC1A76"/>
    <w:rsid w:val="00BC1AB4"/>
    <w:rsid w:val="00BC1B77"/>
    <w:rsid w:val="00BC1FFB"/>
    <w:rsid w:val="00BC2122"/>
    <w:rsid w:val="00BC23A5"/>
    <w:rsid w:val="00BC265E"/>
    <w:rsid w:val="00BC269F"/>
    <w:rsid w:val="00BC29C7"/>
    <w:rsid w:val="00BC2BC9"/>
    <w:rsid w:val="00BC2BE0"/>
    <w:rsid w:val="00BC2D2B"/>
    <w:rsid w:val="00BC2DB1"/>
    <w:rsid w:val="00BC2DD0"/>
    <w:rsid w:val="00BC33CF"/>
    <w:rsid w:val="00BC35A6"/>
    <w:rsid w:val="00BC38CE"/>
    <w:rsid w:val="00BC3991"/>
    <w:rsid w:val="00BC3FD0"/>
    <w:rsid w:val="00BC44BD"/>
    <w:rsid w:val="00BC4609"/>
    <w:rsid w:val="00BC473C"/>
    <w:rsid w:val="00BC4B45"/>
    <w:rsid w:val="00BC4B70"/>
    <w:rsid w:val="00BC555E"/>
    <w:rsid w:val="00BC575C"/>
    <w:rsid w:val="00BC5923"/>
    <w:rsid w:val="00BC5A95"/>
    <w:rsid w:val="00BC5AD6"/>
    <w:rsid w:val="00BC61C4"/>
    <w:rsid w:val="00BC65D9"/>
    <w:rsid w:val="00BC683D"/>
    <w:rsid w:val="00BC69AA"/>
    <w:rsid w:val="00BC6B48"/>
    <w:rsid w:val="00BC6CC5"/>
    <w:rsid w:val="00BC6D68"/>
    <w:rsid w:val="00BC6DC4"/>
    <w:rsid w:val="00BC7240"/>
    <w:rsid w:val="00BC74D6"/>
    <w:rsid w:val="00BC76EA"/>
    <w:rsid w:val="00BC77EF"/>
    <w:rsid w:val="00BC79A6"/>
    <w:rsid w:val="00BC79B3"/>
    <w:rsid w:val="00BC7C7C"/>
    <w:rsid w:val="00BD0322"/>
    <w:rsid w:val="00BD05D8"/>
    <w:rsid w:val="00BD06E7"/>
    <w:rsid w:val="00BD0A2B"/>
    <w:rsid w:val="00BD0C7F"/>
    <w:rsid w:val="00BD0CAD"/>
    <w:rsid w:val="00BD1838"/>
    <w:rsid w:val="00BD1BAB"/>
    <w:rsid w:val="00BD1CFD"/>
    <w:rsid w:val="00BD20C3"/>
    <w:rsid w:val="00BD216D"/>
    <w:rsid w:val="00BD2C72"/>
    <w:rsid w:val="00BD2CF3"/>
    <w:rsid w:val="00BD3003"/>
    <w:rsid w:val="00BD30D1"/>
    <w:rsid w:val="00BD33D9"/>
    <w:rsid w:val="00BD36DF"/>
    <w:rsid w:val="00BD3886"/>
    <w:rsid w:val="00BD3A20"/>
    <w:rsid w:val="00BD3C13"/>
    <w:rsid w:val="00BD3D49"/>
    <w:rsid w:val="00BD3E51"/>
    <w:rsid w:val="00BD3E6C"/>
    <w:rsid w:val="00BD3EC7"/>
    <w:rsid w:val="00BD3F08"/>
    <w:rsid w:val="00BD3F85"/>
    <w:rsid w:val="00BD4202"/>
    <w:rsid w:val="00BD4222"/>
    <w:rsid w:val="00BD446A"/>
    <w:rsid w:val="00BD460A"/>
    <w:rsid w:val="00BD47E4"/>
    <w:rsid w:val="00BD4D9A"/>
    <w:rsid w:val="00BD4FEC"/>
    <w:rsid w:val="00BD503E"/>
    <w:rsid w:val="00BD5550"/>
    <w:rsid w:val="00BD559C"/>
    <w:rsid w:val="00BD56B8"/>
    <w:rsid w:val="00BD5802"/>
    <w:rsid w:val="00BD618C"/>
    <w:rsid w:val="00BD6441"/>
    <w:rsid w:val="00BD64BE"/>
    <w:rsid w:val="00BD6593"/>
    <w:rsid w:val="00BD6630"/>
    <w:rsid w:val="00BD6C37"/>
    <w:rsid w:val="00BD6DFD"/>
    <w:rsid w:val="00BD6FDD"/>
    <w:rsid w:val="00BD7460"/>
    <w:rsid w:val="00BD74BF"/>
    <w:rsid w:val="00BE0156"/>
    <w:rsid w:val="00BE05B9"/>
    <w:rsid w:val="00BE0AC6"/>
    <w:rsid w:val="00BE0F8B"/>
    <w:rsid w:val="00BE0F99"/>
    <w:rsid w:val="00BE101D"/>
    <w:rsid w:val="00BE1176"/>
    <w:rsid w:val="00BE12C9"/>
    <w:rsid w:val="00BE140E"/>
    <w:rsid w:val="00BE1529"/>
    <w:rsid w:val="00BE16AB"/>
    <w:rsid w:val="00BE1CB8"/>
    <w:rsid w:val="00BE1EB7"/>
    <w:rsid w:val="00BE2334"/>
    <w:rsid w:val="00BE2550"/>
    <w:rsid w:val="00BE2748"/>
    <w:rsid w:val="00BE2A26"/>
    <w:rsid w:val="00BE2A83"/>
    <w:rsid w:val="00BE2A90"/>
    <w:rsid w:val="00BE2B6A"/>
    <w:rsid w:val="00BE2C59"/>
    <w:rsid w:val="00BE3137"/>
    <w:rsid w:val="00BE3459"/>
    <w:rsid w:val="00BE3651"/>
    <w:rsid w:val="00BE37FF"/>
    <w:rsid w:val="00BE39B4"/>
    <w:rsid w:val="00BE39DE"/>
    <w:rsid w:val="00BE3AD1"/>
    <w:rsid w:val="00BE3D57"/>
    <w:rsid w:val="00BE3DBE"/>
    <w:rsid w:val="00BE3E6B"/>
    <w:rsid w:val="00BE410A"/>
    <w:rsid w:val="00BE47DD"/>
    <w:rsid w:val="00BE48E6"/>
    <w:rsid w:val="00BE4DC7"/>
    <w:rsid w:val="00BE4DFE"/>
    <w:rsid w:val="00BE5116"/>
    <w:rsid w:val="00BE534A"/>
    <w:rsid w:val="00BE5ACB"/>
    <w:rsid w:val="00BE5B67"/>
    <w:rsid w:val="00BE5DD0"/>
    <w:rsid w:val="00BE5E4E"/>
    <w:rsid w:val="00BE5FB1"/>
    <w:rsid w:val="00BE6458"/>
    <w:rsid w:val="00BE6628"/>
    <w:rsid w:val="00BE6C18"/>
    <w:rsid w:val="00BE6CE4"/>
    <w:rsid w:val="00BE74FD"/>
    <w:rsid w:val="00BE7598"/>
    <w:rsid w:val="00BE78AF"/>
    <w:rsid w:val="00BE7912"/>
    <w:rsid w:val="00BE7CF2"/>
    <w:rsid w:val="00BE7DC5"/>
    <w:rsid w:val="00BF000B"/>
    <w:rsid w:val="00BF0046"/>
    <w:rsid w:val="00BF0052"/>
    <w:rsid w:val="00BF026E"/>
    <w:rsid w:val="00BF044C"/>
    <w:rsid w:val="00BF0757"/>
    <w:rsid w:val="00BF079E"/>
    <w:rsid w:val="00BF0A16"/>
    <w:rsid w:val="00BF0BA0"/>
    <w:rsid w:val="00BF0E35"/>
    <w:rsid w:val="00BF0F33"/>
    <w:rsid w:val="00BF132A"/>
    <w:rsid w:val="00BF16CF"/>
    <w:rsid w:val="00BF198A"/>
    <w:rsid w:val="00BF19BB"/>
    <w:rsid w:val="00BF1AF8"/>
    <w:rsid w:val="00BF24D5"/>
    <w:rsid w:val="00BF2509"/>
    <w:rsid w:val="00BF260B"/>
    <w:rsid w:val="00BF2632"/>
    <w:rsid w:val="00BF27F2"/>
    <w:rsid w:val="00BF2B0D"/>
    <w:rsid w:val="00BF2C55"/>
    <w:rsid w:val="00BF3073"/>
    <w:rsid w:val="00BF322D"/>
    <w:rsid w:val="00BF325C"/>
    <w:rsid w:val="00BF32B7"/>
    <w:rsid w:val="00BF330A"/>
    <w:rsid w:val="00BF3715"/>
    <w:rsid w:val="00BF38CD"/>
    <w:rsid w:val="00BF3B82"/>
    <w:rsid w:val="00BF3E3F"/>
    <w:rsid w:val="00BF4775"/>
    <w:rsid w:val="00BF4860"/>
    <w:rsid w:val="00BF48E2"/>
    <w:rsid w:val="00BF4BF3"/>
    <w:rsid w:val="00BF4EBB"/>
    <w:rsid w:val="00BF4ED5"/>
    <w:rsid w:val="00BF4EE4"/>
    <w:rsid w:val="00BF4F5D"/>
    <w:rsid w:val="00BF5122"/>
    <w:rsid w:val="00BF5455"/>
    <w:rsid w:val="00BF5B8E"/>
    <w:rsid w:val="00BF62E6"/>
    <w:rsid w:val="00BF63B6"/>
    <w:rsid w:val="00BF653F"/>
    <w:rsid w:val="00BF65A5"/>
    <w:rsid w:val="00BF676E"/>
    <w:rsid w:val="00BF6A44"/>
    <w:rsid w:val="00BF6B2D"/>
    <w:rsid w:val="00BF6E21"/>
    <w:rsid w:val="00BF6FD1"/>
    <w:rsid w:val="00BF73DC"/>
    <w:rsid w:val="00BF7598"/>
    <w:rsid w:val="00BF7886"/>
    <w:rsid w:val="00C000A3"/>
    <w:rsid w:val="00C0042E"/>
    <w:rsid w:val="00C006A0"/>
    <w:rsid w:val="00C008E5"/>
    <w:rsid w:val="00C00E0A"/>
    <w:rsid w:val="00C00EDF"/>
    <w:rsid w:val="00C01169"/>
    <w:rsid w:val="00C012AF"/>
    <w:rsid w:val="00C01844"/>
    <w:rsid w:val="00C01876"/>
    <w:rsid w:val="00C018AE"/>
    <w:rsid w:val="00C01B16"/>
    <w:rsid w:val="00C024A0"/>
    <w:rsid w:val="00C02555"/>
    <w:rsid w:val="00C0297F"/>
    <w:rsid w:val="00C029D7"/>
    <w:rsid w:val="00C02BD0"/>
    <w:rsid w:val="00C02D1E"/>
    <w:rsid w:val="00C030FE"/>
    <w:rsid w:val="00C03530"/>
    <w:rsid w:val="00C036B9"/>
    <w:rsid w:val="00C0370B"/>
    <w:rsid w:val="00C03C18"/>
    <w:rsid w:val="00C03F43"/>
    <w:rsid w:val="00C03F48"/>
    <w:rsid w:val="00C03FD8"/>
    <w:rsid w:val="00C04513"/>
    <w:rsid w:val="00C04557"/>
    <w:rsid w:val="00C04DD1"/>
    <w:rsid w:val="00C0502A"/>
    <w:rsid w:val="00C05121"/>
    <w:rsid w:val="00C05248"/>
    <w:rsid w:val="00C056C9"/>
    <w:rsid w:val="00C057EB"/>
    <w:rsid w:val="00C05900"/>
    <w:rsid w:val="00C05AE7"/>
    <w:rsid w:val="00C05EFF"/>
    <w:rsid w:val="00C05FFB"/>
    <w:rsid w:val="00C06179"/>
    <w:rsid w:val="00C06186"/>
    <w:rsid w:val="00C0645D"/>
    <w:rsid w:val="00C0691E"/>
    <w:rsid w:val="00C069F1"/>
    <w:rsid w:val="00C06BCE"/>
    <w:rsid w:val="00C06DB4"/>
    <w:rsid w:val="00C06F28"/>
    <w:rsid w:val="00C06FD0"/>
    <w:rsid w:val="00C0707C"/>
    <w:rsid w:val="00C07267"/>
    <w:rsid w:val="00C0747B"/>
    <w:rsid w:val="00C075E3"/>
    <w:rsid w:val="00C076C2"/>
    <w:rsid w:val="00C07972"/>
    <w:rsid w:val="00C07E81"/>
    <w:rsid w:val="00C07ED2"/>
    <w:rsid w:val="00C10448"/>
    <w:rsid w:val="00C105C2"/>
    <w:rsid w:val="00C109CB"/>
    <w:rsid w:val="00C10BAA"/>
    <w:rsid w:val="00C10C9B"/>
    <w:rsid w:val="00C10CC1"/>
    <w:rsid w:val="00C10F6E"/>
    <w:rsid w:val="00C10F78"/>
    <w:rsid w:val="00C11561"/>
    <w:rsid w:val="00C117BA"/>
    <w:rsid w:val="00C1200C"/>
    <w:rsid w:val="00C1249E"/>
    <w:rsid w:val="00C124C9"/>
    <w:rsid w:val="00C12554"/>
    <w:rsid w:val="00C1256A"/>
    <w:rsid w:val="00C127B6"/>
    <w:rsid w:val="00C12A64"/>
    <w:rsid w:val="00C12DD6"/>
    <w:rsid w:val="00C138AF"/>
    <w:rsid w:val="00C13C42"/>
    <w:rsid w:val="00C147BE"/>
    <w:rsid w:val="00C14C63"/>
    <w:rsid w:val="00C14F48"/>
    <w:rsid w:val="00C151E3"/>
    <w:rsid w:val="00C152E3"/>
    <w:rsid w:val="00C154CD"/>
    <w:rsid w:val="00C15507"/>
    <w:rsid w:val="00C15671"/>
    <w:rsid w:val="00C158D3"/>
    <w:rsid w:val="00C158DA"/>
    <w:rsid w:val="00C160CD"/>
    <w:rsid w:val="00C165B2"/>
    <w:rsid w:val="00C16703"/>
    <w:rsid w:val="00C16AB2"/>
    <w:rsid w:val="00C16C05"/>
    <w:rsid w:val="00C17036"/>
    <w:rsid w:val="00C17215"/>
    <w:rsid w:val="00C173AD"/>
    <w:rsid w:val="00C1758F"/>
    <w:rsid w:val="00C176CB"/>
    <w:rsid w:val="00C17B66"/>
    <w:rsid w:val="00C17DE5"/>
    <w:rsid w:val="00C17E68"/>
    <w:rsid w:val="00C17F3E"/>
    <w:rsid w:val="00C208D5"/>
    <w:rsid w:val="00C20B43"/>
    <w:rsid w:val="00C20CAB"/>
    <w:rsid w:val="00C20F7A"/>
    <w:rsid w:val="00C21163"/>
    <w:rsid w:val="00C2128A"/>
    <w:rsid w:val="00C214C5"/>
    <w:rsid w:val="00C214E6"/>
    <w:rsid w:val="00C2151A"/>
    <w:rsid w:val="00C219FD"/>
    <w:rsid w:val="00C21A38"/>
    <w:rsid w:val="00C21EAB"/>
    <w:rsid w:val="00C21F8F"/>
    <w:rsid w:val="00C220D3"/>
    <w:rsid w:val="00C224F6"/>
    <w:rsid w:val="00C2251E"/>
    <w:rsid w:val="00C225D6"/>
    <w:rsid w:val="00C22D7F"/>
    <w:rsid w:val="00C22EDF"/>
    <w:rsid w:val="00C23005"/>
    <w:rsid w:val="00C230B7"/>
    <w:rsid w:val="00C2346D"/>
    <w:rsid w:val="00C236F1"/>
    <w:rsid w:val="00C2374B"/>
    <w:rsid w:val="00C23C8C"/>
    <w:rsid w:val="00C23EC1"/>
    <w:rsid w:val="00C240BF"/>
    <w:rsid w:val="00C24245"/>
    <w:rsid w:val="00C2479D"/>
    <w:rsid w:val="00C247BF"/>
    <w:rsid w:val="00C24BE2"/>
    <w:rsid w:val="00C24ED1"/>
    <w:rsid w:val="00C24F1D"/>
    <w:rsid w:val="00C24F6C"/>
    <w:rsid w:val="00C25159"/>
    <w:rsid w:val="00C253E2"/>
    <w:rsid w:val="00C25D5F"/>
    <w:rsid w:val="00C26040"/>
    <w:rsid w:val="00C2662E"/>
    <w:rsid w:val="00C267C6"/>
    <w:rsid w:val="00C26CC7"/>
    <w:rsid w:val="00C27030"/>
    <w:rsid w:val="00C271E2"/>
    <w:rsid w:val="00C27518"/>
    <w:rsid w:val="00C2784F"/>
    <w:rsid w:val="00C27D1D"/>
    <w:rsid w:val="00C27F24"/>
    <w:rsid w:val="00C301B8"/>
    <w:rsid w:val="00C3023F"/>
    <w:rsid w:val="00C30438"/>
    <w:rsid w:val="00C304C5"/>
    <w:rsid w:val="00C30873"/>
    <w:rsid w:val="00C30902"/>
    <w:rsid w:val="00C30E82"/>
    <w:rsid w:val="00C3105A"/>
    <w:rsid w:val="00C31313"/>
    <w:rsid w:val="00C313F4"/>
    <w:rsid w:val="00C3143C"/>
    <w:rsid w:val="00C31610"/>
    <w:rsid w:val="00C31810"/>
    <w:rsid w:val="00C3184B"/>
    <w:rsid w:val="00C318E5"/>
    <w:rsid w:val="00C31D95"/>
    <w:rsid w:val="00C31DE4"/>
    <w:rsid w:val="00C31FBA"/>
    <w:rsid w:val="00C323D1"/>
    <w:rsid w:val="00C32576"/>
    <w:rsid w:val="00C325F9"/>
    <w:rsid w:val="00C32AFA"/>
    <w:rsid w:val="00C32C12"/>
    <w:rsid w:val="00C32C39"/>
    <w:rsid w:val="00C32E32"/>
    <w:rsid w:val="00C33DAD"/>
    <w:rsid w:val="00C348C9"/>
    <w:rsid w:val="00C34A49"/>
    <w:rsid w:val="00C34BAA"/>
    <w:rsid w:val="00C34F1C"/>
    <w:rsid w:val="00C35415"/>
    <w:rsid w:val="00C354E3"/>
    <w:rsid w:val="00C355EB"/>
    <w:rsid w:val="00C35967"/>
    <w:rsid w:val="00C359A9"/>
    <w:rsid w:val="00C35D6A"/>
    <w:rsid w:val="00C35E06"/>
    <w:rsid w:val="00C35FB5"/>
    <w:rsid w:val="00C36132"/>
    <w:rsid w:val="00C36168"/>
    <w:rsid w:val="00C362BB"/>
    <w:rsid w:val="00C36535"/>
    <w:rsid w:val="00C365C2"/>
    <w:rsid w:val="00C3665A"/>
    <w:rsid w:val="00C367B2"/>
    <w:rsid w:val="00C36B06"/>
    <w:rsid w:val="00C36C89"/>
    <w:rsid w:val="00C36FA9"/>
    <w:rsid w:val="00C3708F"/>
    <w:rsid w:val="00C3728B"/>
    <w:rsid w:val="00C373CB"/>
    <w:rsid w:val="00C378EA"/>
    <w:rsid w:val="00C37BC1"/>
    <w:rsid w:val="00C37C88"/>
    <w:rsid w:val="00C37DE9"/>
    <w:rsid w:val="00C37FB8"/>
    <w:rsid w:val="00C401D1"/>
    <w:rsid w:val="00C40483"/>
    <w:rsid w:val="00C407AB"/>
    <w:rsid w:val="00C40AAF"/>
    <w:rsid w:val="00C40C50"/>
    <w:rsid w:val="00C40CDB"/>
    <w:rsid w:val="00C40F89"/>
    <w:rsid w:val="00C41695"/>
    <w:rsid w:val="00C41B04"/>
    <w:rsid w:val="00C41D69"/>
    <w:rsid w:val="00C41F7A"/>
    <w:rsid w:val="00C42042"/>
    <w:rsid w:val="00C423DB"/>
    <w:rsid w:val="00C4265D"/>
    <w:rsid w:val="00C42674"/>
    <w:rsid w:val="00C428A6"/>
    <w:rsid w:val="00C42D3F"/>
    <w:rsid w:val="00C43908"/>
    <w:rsid w:val="00C43B4A"/>
    <w:rsid w:val="00C43C91"/>
    <w:rsid w:val="00C44069"/>
    <w:rsid w:val="00C443DF"/>
    <w:rsid w:val="00C44476"/>
    <w:rsid w:val="00C4500C"/>
    <w:rsid w:val="00C4504E"/>
    <w:rsid w:val="00C45414"/>
    <w:rsid w:val="00C4545E"/>
    <w:rsid w:val="00C4574A"/>
    <w:rsid w:val="00C458FE"/>
    <w:rsid w:val="00C45A54"/>
    <w:rsid w:val="00C45C73"/>
    <w:rsid w:val="00C4629F"/>
    <w:rsid w:val="00C463D5"/>
    <w:rsid w:val="00C4644A"/>
    <w:rsid w:val="00C464FE"/>
    <w:rsid w:val="00C465E1"/>
    <w:rsid w:val="00C467FD"/>
    <w:rsid w:val="00C46812"/>
    <w:rsid w:val="00C46AA1"/>
    <w:rsid w:val="00C472B8"/>
    <w:rsid w:val="00C472DF"/>
    <w:rsid w:val="00C4730A"/>
    <w:rsid w:val="00C4751E"/>
    <w:rsid w:val="00C4751F"/>
    <w:rsid w:val="00C47594"/>
    <w:rsid w:val="00C47A2C"/>
    <w:rsid w:val="00C47AA1"/>
    <w:rsid w:val="00C47C2D"/>
    <w:rsid w:val="00C50676"/>
    <w:rsid w:val="00C50A03"/>
    <w:rsid w:val="00C5100D"/>
    <w:rsid w:val="00C51307"/>
    <w:rsid w:val="00C51415"/>
    <w:rsid w:val="00C5156D"/>
    <w:rsid w:val="00C517CA"/>
    <w:rsid w:val="00C51864"/>
    <w:rsid w:val="00C51878"/>
    <w:rsid w:val="00C51A6C"/>
    <w:rsid w:val="00C523B3"/>
    <w:rsid w:val="00C524BE"/>
    <w:rsid w:val="00C5277B"/>
    <w:rsid w:val="00C52BF3"/>
    <w:rsid w:val="00C52DED"/>
    <w:rsid w:val="00C52F8C"/>
    <w:rsid w:val="00C531B8"/>
    <w:rsid w:val="00C53708"/>
    <w:rsid w:val="00C53728"/>
    <w:rsid w:val="00C53955"/>
    <w:rsid w:val="00C53A76"/>
    <w:rsid w:val="00C53BAC"/>
    <w:rsid w:val="00C53ED9"/>
    <w:rsid w:val="00C53F6B"/>
    <w:rsid w:val="00C540EA"/>
    <w:rsid w:val="00C54667"/>
    <w:rsid w:val="00C54668"/>
    <w:rsid w:val="00C546C6"/>
    <w:rsid w:val="00C5472E"/>
    <w:rsid w:val="00C548E5"/>
    <w:rsid w:val="00C54BD9"/>
    <w:rsid w:val="00C54C19"/>
    <w:rsid w:val="00C54DFB"/>
    <w:rsid w:val="00C55124"/>
    <w:rsid w:val="00C552C8"/>
    <w:rsid w:val="00C5537A"/>
    <w:rsid w:val="00C55395"/>
    <w:rsid w:val="00C55402"/>
    <w:rsid w:val="00C5552B"/>
    <w:rsid w:val="00C5579F"/>
    <w:rsid w:val="00C5599F"/>
    <w:rsid w:val="00C55A42"/>
    <w:rsid w:val="00C55BED"/>
    <w:rsid w:val="00C55D4D"/>
    <w:rsid w:val="00C567EE"/>
    <w:rsid w:val="00C56A0D"/>
    <w:rsid w:val="00C56E99"/>
    <w:rsid w:val="00C56F2E"/>
    <w:rsid w:val="00C5700F"/>
    <w:rsid w:val="00C5723C"/>
    <w:rsid w:val="00C576C3"/>
    <w:rsid w:val="00C576E5"/>
    <w:rsid w:val="00C57ADB"/>
    <w:rsid w:val="00C57B31"/>
    <w:rsid w:val="00C57BC4"/>
    <w:rsid w:val="00C57C19"/>
    <w:rsid w:val="00C60337"/>
    <w:rsid w:val="00C60372"/>
    <w:rsid w:val="00C6054F"/>
    <w:rsid w:val="00C60659"/>
    <w:rsid w:val="00C6066C"/>
    <w:rsid w:val="00C606D0"/>
    <w:rsid w:val="00C606E8"/>
    <w:rsid w:val="00C607C3"/>
    <w:rsid w:val="00C60C67"/>
    <w:rsid w:val="00C60C90"/>
    <w:rsid w:val="00C612E0"/>
    <w:rsid w:val="00C61516"/>
    <w:rsid w:val="00C61646"/>
    <w:rsid w:val="00C616E3"/>
    <w:rsid w:val="00C61856"/>
    <w:rsid w:val="00C618C3"/>
    <w:rsid w:val="00C61916"/>
    <w:rsid w:val="00C619ED"/>
    <w:rsid w:val="00C61E6A"/>
    <w:rsid w:val="00C62091"/>
    <w:rsid w:val="00C62171"/>
    <w:rsid w:val="00C62699"/>
    <w:rsid w:val="00C626A2"/>
    <w:rsid w:val="00C62853"/>
    <w:rsid w:val="00C62975"/>
    <w:rsid w:val="00C629C6"/>
    <w:rsid w:val="00C62E15"/>
    <w:rsid w:val="00C62E42"/>
    <w:rsid w:val="00C62F90"/>
    <w:rsid w:val="00C63051"/>
    <w:rsid w:val="00C630A4"/>
    <w:rsid w:val="00C632C3"/>
    <w:rsid w:val="00C636CC"/>
    <w:rsid w:val="00C6371E"/>
    <w:rsid w:val="00C6376F"/>
    <w:rsid w:val="00C6386F"/>
    <w:rsid w:val="00C63F0A"/>
    <w:rsid w:val="00C641E9"/>
    <w:rsid w:val="00C646E0"/>
    <w:rsid w:val="00C646F0"/>
    <w:rsid w:val="00C647CC"/>
    <w:rsid w:val="00C6492D"/>
    <w:rsid w:val="00C64AF1"/>
    <w:rsid w:val="00C64B75"/>
    <w:rsid w:val="00C64CA8"/>
    <w:rsid w:val="00C64E07"/>
    <w:rsid w:val="00C652DA"/>
    <w:rsid w:val="00C65572"/>
    <w:rsid w:val="00C65655"/>
    <w:rsid w:val="00C657DD"/>
    <w:rsid w:val="00C65A5E"/>
    <w:rsid w:val="00C65A69"/>
    <w:rsid w:val="00C65A6A"/>
    <w:rsid w:val="00C65D4F"/>
    <w:rsid w:val="00C6607F"/>
    <w:rsid w:val="00C66083"/>
    <w:rsid w:val="00C66225"/>
    <w:rsid w:val="00C662B0"/>
    <w:rsid w:val="00C663FE"/>
    <w:rsid w:val="00C6645A"/>
    <w:rsid w:val="00C66482"/>
    <w:rsid w:val="00C66878"/>
    <w:rsid w:val="00C66ABC"/>
    <w:rsid w:val="00C66B3A"/>
    <w:rsid w:val="00C66C0D"/>
    <w:rsid w:val="00C66F28"/>
    <w:rsid w:val="00C67001"/>
    <w:rsid w:val="00C67495"/>
    <w:rsid w:val="00C67507"/>
    <w:rsid w:val="00C6787B"/>
    <w:rsid w:val="00C70017"/>
    <w:rsid w:val="00C7026C"/>
    <w:rsid w:val="00C7031D"/>
    <w:rsid w:val="00C704C0"/>
    <w:rsid w:val="00C704C9"/>
    <w:rsid w:val="00C70720"/>
    <w:rsid w:val="00C70A1C"/>
    <w:rsid w:val="00C70BC1"/>
    <w:rsid w:val="00C70ED2"/>
    <w:rsid w:val="00C71189"/>
    <w:rsid w:val="00C71824"/>
    <w:rsid w:val="00C71889"/>
    <w:rsid w:val="00C7198A"/>
    <w:rsid w:val="00C72074"/>
    <w:rsid w:val="00C7217C"/>
    <w:rsid w:val="00C7233C"/>
    <w:rsid w:val="00C72406"/>
    <w:rsid w:val="00C7288A"/>
    <w:rsid w:val="00C72BA9"/>
    <w:rsid w:val="00C72C42"/>
    <w:rsid w:val="00C732CF"/>
    <w:rsid w:val="00C7335E"/>
    <w:rsid w:val="00C737F5"/>
    <w:rsid w:val="00C73805"/>
    <w:rsid w:val="00C738CF"/>
    <w:rsid w:val="00C73A42"/>
    <w:rsid w:val="00C73DD4"/>
    <w:rsid w:val="00C74147"/>
    <w:rsid w:val="00C74327"/>
    <w:rsid w:val="00C75517"/>
    <w:rsid w:val="00C75619"/>
    <w:rsid w:val="00C75861"/>
    <w:rsid w:val="00C75A74"/>
    <w:rsid w:val="00C75C38"/>
    <w:rsid w:val="00C75FB2"/>
    <w:rsid w:val="00C76077"/>
    <w:rsid w:val="00C76228"/>
    <w:rsid w:val="00C764E4"/>
    <w:rsid w:val="00C76BB9"/>
    <w:rsid w:val="00C76C31"/>
    <w:rsid w:val="00C76E57"/>
    <w:rsid w:val="00C770CE"/>
    <w:rsid w:val="00C7724F"/>
    <w:rsid w:val="00C77281"/>
    <w:rsid w:val="00C772C5"/>
    <w:rsid w:val="00C777A7"/>
    <w:rsid w:val="00C777E9"/>
    <w:rsid w:val="00C77804"/>
    <w:rsid w:val="00C805D9"/>
    <w:rsid w:val="00C80A72"/>
    <w:rsid w:val="00C80AA3"/>
    <w:rsid w:val="00C80AF3"/>
    <w:rsid w:val="00C8110D"/>
    <w:rsid w:val="00C81331"/>
    <w:rsid w:val="00C81975"/>
    <w:rsid w:val="00C81BF0"/>
    <w:rsid w:val="00C82166"/>
    <w:rsid w:val="00C82540"/>
    <w:rsid w:val="00C82624"/>
    <w:rsid w:val="00C82EBF"/>
    <w:rsid w:val="00C82ED3"/>
    <w:rsid w:val="00C82FB5"/>
    <w:rsid w:val="00C83405"/>
    <w:rsid w:val="00C83613"/>
    <w:rsid w:val="00C83958"/>
    <w:rsid w:val="00C83F9A"/>
    <w:rsid w:val="00C83FEA"/>
    <w:rsid w:val="00C84324"/>
    <w:rsid w:val="00C8434D"/>
    <w:rsid w:val="00C84898"/>
    <w:rsid w:val="00C848A0"/>
    <w:rsid w:val="00C84A98"/>
    <w:rsid w:val="00C84AE5"/>
    <w:rsid w:val="00C84D61"/>
    <w:rsid w:val="00C850F8"/>
    <w:rsid w:val="00C85145"/>
    <w:rsid w:val="00C85608"/>
    <w:rsid w:val="00C859B5"/>
    <w:rsid w:val="00C85B6F"/>
    <w:rsid w:val="00C86183"/>
    <w:rsid w:val="00C86245"/>
    <w:rsid w:val="00C86370"/>
    <w:rsid w:val="00C867AE"/>
    <w:rsid w:val="00C867E1"/>
    <w:rsid w:val="00C86D7B"/>
    <w:rsid w:val="00C86EEC"/>
    <w:rsid w:val="00C87318"/>
    <w:rsid w:val="00C875F0"/>
    <w:rsid w:val="00C8771A"/>
    <w:rsid w:val="00C904A8"/>
    <w:rsid w:val="00C90603"/>
    <w:rsid w:val="00C90DA1"/>
    <w:rsid w:val="00C90F11"/>
    <w:rsid w:val="00C9131E"/>
    <w:rsid w:val="00C915A0"/>
    <w:rsid w:val="00C9185A"/>
    <w:rsid w:val="00C919DA"/>
    <w:rsid w:val="00C91A1D"/>
    <w:rsid w:val="00C91AB0"/>
    <w:rsid w:val="00C91BE3"/>
    <w:rsid w:val="00C91E07"/>
    <w:rsid w:val="00C91E8F"/>
    <w:rsid w:val="00C91F7A"/>
    <w:rsid w:val="00C9215C"/>
    <w:rsid w:val="00C92222"/>
    <w:rsid w:val="00C9268B"/>
    <w:rsid w:val="00C9268D"/>
    <w:rsid w:val="00C92957"/>
    <w:rsid w:val="00C92C0C"/>
    <w:rsid w:val="00C92CFA"/>
    <w:rsid w:val="00C92F0A"/>
    <w:rsid w:val="00C92F77"/>
    <w:rsid w:val="00C93291"/>
    <w:rsid w:val="00C93579"/>
    <w:rsid w:val="00C937E9"/>
    <w:rsid w:val="00C93A91"/>
    <w:rsid w:val="00C93CB0"/>
    <w:rsid w:val="00C941E2"/>
    <w:rsid w:val="00C942CD"/>
    <w:rsid w:val="00C945E1"/>
    <w:rsid w:val="00C94ABC"/>
    <w:rsid w:val="00C95083"/>
    <w:rsid w:val="00C953CB"/>
    <w:rsid w:val="00C95639"/>
    <w:rsid w:val="00C95761"/>
    <w:rsid w:val="00C95ED5"/>
    <w:rsid w:val="00C9653E"/>
    <w:rsid w:val="00C966AC"/>
    <w:rsid w:val="00C969DE"/>
    <w:rsid w:val="00C96B91"/>
    <w:rsid w:val="00C96FEF"/>
    <w:rsid w:val="00C97969"/>
    <w:rsid w:val="00C97AB4"/>
    <w:rsid w:val="00C97ADC"/>
    <w:rsid w:val="00C97BE8"/>
    <w:rsid w:val="00C97D4F"/>
    <w:rsid w:val="00C97E64"/>
    <w:rsid w:val="00CA0104"/>
    <w:rsid w:val="00CA0188"/>
    <w:rsid w:val="00CA03B4"/>
    <w:rsid w:val="00CA0416"/>
    <w:rsid w:val="00CA04BA"/>
    <w:rsid w:val="00CA0576"/>
    <w:rsid w:val="00CA05D1"/>
    <w:rsid w:val="00CA0719"/>
    <w:rsid w:val="00CA07B2"/>
    <w:rsid w:val="00CA09D3"/>
    <w:rsid w:val="00CA0C34"/>
    <w:rsid w:val="00CA0D7E"/>
    <w:rsid w:val="00CA0E1E"/>
    <w:rsid w:val="00CA0FA1"/>
    <w:rsid w:val="00CA114E"/>
    <w:rsid w:val="00CA19B2"/>
    <w:rsid w:val="00CA1B6B"/>
    <w:rsid w:val="00CA1C6C"/>
    <w:rsid w:val="00CA1C94"/>
    <w:rsid w:val="00CA23ED"/>
    <w:rsid w:val="00CA24D9"/>
    <w:rsid w:val="00CA2EE2"/>
    <w:rsid w:val="00CA326D"/>
    <w:rsid w:val="00CA3AD1"/>
    <w:rsid w:val="00CA3CDD"/>
    <w:rsid w:val="00CA3DCC"/>
    <w:rsid w:val="00CA404F"/>
    <w:rsid w:val="00CA463C"/>
    <w:rsid w:val="00CA474B"/>
    <w:rsid w:val="00CA4760"/>
    <w:rsid w:val="00CA4863"/>
    <w:rsid w:val="00CA4C2D"/>
    <w:rsid w:val="00CA4C6A"/>
    <w:rsid w:val="00CA4CC4"/>
    <w:rsid w:val="00CA4D13"/>
    <w:rsid w:val="00CA51C3"/>
    <w:rsid w:val="00CA5B28"/>
    <w:rsid w:val="00CA5CEA"/>
    <w:rsid w:val="00CA5D19"/>
    <w:rsid w:val="00CA633D"/>
    <w:rsid w:val="00CA63D9"/>
    <w:rsid w:val="00CA6759"/>
    <w:rsid w:val="00CA6C4C"/>
    <w:rsid w:val="00CA6CB0"/>
    <w:rsid w:val="00CA76F9"/>
    <w:rsid w:val="00CA7700"/>
    <w:rsid w:val="00CA7755"/>
    <w:rsid w:val="00CA776B"/>
    <w:rsid w:val="00CA7A40"/>
    <w:rsid w:val="00CA7AA0"/>
    <w:rsid w:val="00CA7BAC"/>
    <w:rsid w:val="00CB0237"/>
    <w:rsid w:val="00CB0447"/>
    <w:rsid w:val="00CB053B"/>
    <w:rsid w:val="00CB0729"/>
    <w:rsid w:val="00CB074A"/>
    <w:rsid w:val="00CB07D9"/>
    <w:rsid w:val="00CB08CA"/>
    <w:rsid w:val="00CB09B7"/>
    <w:rsid w:val="00CB0F1F"/>
    <w:rsid w:val="00CB0F7E"/>
    <w:rsid w:val="00CB102A"/>
    <w:rsid w:val="00CB1792"/>
    <w:rsid w:val="00CB184E"/>
    <w:rsid w:val="00CB202F"/>
    <w:rsid w:val="00CB224B"/>
    <w:rsid w:val="00CB23F7"/>
    <w:rsid w:val="00CB257A"/>
    <w:rsid w:val="00CB2643"/>
    <w:rsid w:val="00CB2775"/>
    <w:rsid w:val="00CB2EB3"/>
    <w:rsid w:val="00CB346D"/>
    <w:rsid w:val="00CB34E4"/>
    <w:rsid w:val="00CB3621"/>
    <w:rsid w:val="00CB373A"/>
    <w:rsid w:val="00CB38DE"/>
    <w:rsid w:val="00CB400B"/>
    <w:rsid w:val="00CB4184"/>
    <w:rsid w:val="00CB41DB"/>
    <w:rsid w:val="00CB421E"/>
    <w:rsid w:val="00CB469E"/>
    <w:rsid w:val="00CB486E"/>
    <w:rsid w:val="00CB494A"/>
    <w:rsid w:val="00CB4995"/>
    <w:rsid w:val="00CB4D0B"/>
    <w:rsid w:val="00CB50D9"/>
    <w:rsid w:val="00CB52FD"/>
    <w:rsid w:val="00CB5470"/>
    <w:rsid w:val="00CB56EC"/>
    <w:rsid w:val="00CB56F2"/>
    <w:rsid w:val="00CB5A25"/>
    <w:rsid w:val="00CB5B93"/>
    <w:rsid w:val="00CB5E6C"/>
    <w:rsid w:val="00CB5F55"/>
    <w:rsid w:val="00CB623C"/>
    <w:rsid w:val="00CB6733"/>
    <w:rsid w:val="00CB6737"/>
    <w:rsid w:val="00CB6A01"/>
    <w:rsid w:val="00CB6FA6"/>
    <w:rsid w:val="00CB7274"/>
    <w:rsid w:val="00CB72C9"/>
    <w:rsid w:val="00CB740D"/>
    <w:rsid w:val="00CB7483"/>
    <w:rsid w:val="00CB78B6"/>
    <w:rsid w:val="00CB7B22"/>
    <w:rsid w:val="00CB7C5C"/>
    <w:rsid w:val="00CB7DE0"/>
    <w:rsid w:val="00CC0543"/>
    <w:rsid w:val="00CC05D3"/>
    <w:rsid w:val="00CC0609"/>
    <w:rsid w:val="00CC071E"/>
    <w:rsid w:val="00CC083E"/>
    <w:rsid w:val="00CC08FE"/>
    <w:rsid w:val="00CC0C7B"/>
    <w:rsid w:val="00CC1463"/>
    <w:rsid w:val="00CC158D"/>
    <w:rsid w:val="00CC168E"/>
    <w:rsid w:val="00CC1C59"/>
    <w:rsid w:val="00CC1D4B"/>
    <w:rsid w:val="00CC1E96"/>
    <w:rsid w:val="00CC20BF"/>
    <w:rsid w:val="00CC2255"/>
    <w:rsid w:val="00CC2372"/>
    <w:rsid w:val="00CC237C"/>
    <w:rsid w:val="00CC246F"/>
    <w:rsid w:val="00CC25A8"/>
    <w:rsid w:val="00CC263C"/>
    <w:rsid w:val="00CC2E07"/>
    <w:rsid w:val="00CC31E7"/>
    <w:rsid w:val="00CC3491"/>
    <w:rsid w:val="00CC3A21"/>
    <w:rsid w:val="00CC3A34"/>
    <w:rsid w:val="00CC3CEC"/>
    <w:rsid w:val="00CC3DC2"/>
    <w:rsid w:val="00CC40EB"/>
    <w:rsid w:val="00CC4179"/>
    <w:rsid w:val="00CC4314"/>
    <w:rsid w:val="00CC4522"/>
    <w:rsid w:val="00CC474D"/>
    <w:rsid w:val="00CC4818"/>
    <w:rsid w:val="00CC49F5"/>
    <w:rsid w:val="00CC4B9D"/>
    <w:rsid w:val="00CC4C90"/>
    <w:rsid w:val="00CC4FFC"/>
    <w:rsid w:val="00CC50F1"/>
    <w:rsid w:val="00CC5105"/>
    <w:rsid w:val="00CC5180"/>
    <w:rsid w:val="00CC51D6"/>
    <w:rsid w:val="00CC5280"/>
    <w:rsid w:val="00CC52A6"/>
    <w:rsid w:val="00CC554A"/>
    <w:rsid w:val="00CC5C70"/>
    <w:rsid w:val="00CC5DBC"/>
    <w:rsid w:val="00CC6139"/>
    <w:rsid w:val="00CC6282"/>
    <w:rsid w:val="00CC67AF"/>
    <w:rsid w:val="00CC6897"/>
    <w:rsid w:val="00CC68DC"/>
    <w:rsid w:val="00CC6A7E"/>
    <w:rsid w:val="00CC6F8F"/>
    <w:rsid w:val="00CC745A"/>
    <w:rsid w:val="00CC7832"/>
    <w:rsid w:val="00CC783C"/>
    <w:rsid w:val="00CC7E1E"/>
    <w:rsid w:val="00CC7E5C"/>
    <w:rsid w:val="00CC7FD7"/>
    <w:rsid w:val="00CD0113"/>
    <w:rsid w:val="00CD0127"/>
    <w:rsid w:val="00CD028A"/>
    <w:rsid w:val="00CD052F"/>
    <w:rsid w:val="00CD05A1"/>
    <w:rsid w:val="00CD0667"/>
    <w:rsid w:val="00CD06E4"/>
    <w:rsid w:val="00CD076C"/>
    <w:rsid w:val="00CD07A1"/>
    <w:rsid w:val="00CD087F"/>
    <w:rsid w:val="00CD0AD1"/>
    <w:rsid w:val="00CD0E95"/>
    <w:rsid w:val="00CD13A4"/>
    <w:rsid w:val="00CD18D9"/>
    <w:rsid w:val="00CD19EB"/>
    <w:rsid w:val="00CD1B28"/>
    <w:rsid w:val="00CD1B29"/>
    <w:rsid w:val="00CD1C40"/>
    <w:rsid w:val="00CD1E87"/>
    <w:rsid w:val="00CD2013"/>
    <w:rsid w:val="00CD208C"/>
    <w:rsid w:val="00CD2242"/>
    <w:rsid w:val="00CD22BE"/>
    <w:rsid w:val="00CD249B"/>
    <w:rsid w:val="00CD2523"/>
    <w:rsid w:val="00CD2912"/>
    <w:rsid w:val="00CD291D"/>
    <w:rsid w:val="00CD2E1F"/>
    <w:rsid w:val="00CD2EB3"/>
    <w:rsid w:val="00CD30ED"/>
    <w:rsid w:val="00CD3197"/>
    <w:rsid w:val="00CD34DD"/>
    <w:rsid w:val="00CD34FA"/>
    <w:rsid w:val="00CD3544"/>
    <w:rsid w:val="00CD3E8B"/>
    <w:rsid w:val="00CD41DD"/>
    <w:rsid w:val="00CD47F2"/>
    <w:rsid w:val="00CD4E1C"/>
    <w:rsid w:val="00CD4EBB"/>
    <w:rsid w:val="00CD5571"/>
    <w:rsid w:val="00CD5991"/>
    <w:rsid w:val="00CD5AC0"/>
    <w:rsid w:val="00CD5DA8"/>
    <w:rsid w:val="00CD5DAA"/>
    <w:rsid w:val="00CD5F0A"/>
    <w:rsid w:val="00CD5F4D"/>
    <w:rsid w:val="00CD6331"/>
    <w:rsid w:val="00CD64C9"/>
    <w:rsid w:val="00CD6540"/>
    <w:rsid w:val="00CD6703"/>
    <w:rsid w:val="00CD6A12"/>
    <w:rsid w:val="00CD6DD4"/>
    <w:rsid w:val="00CD730B"/>
    <w:rsid w:val="00CD7314"/>
    <w:rsid w:val="00CD7479"/>
    <w:rsid w:val="00CD756A"/>
    <w:rsid w:val="00CD768E"/>
    <w:rsid w:val="00CD7AB0"/>
    <w:rsid w:val="00CD7C05"/>
    <w:rsid w:val="00CD7C10"/>
    <w:rsid w:val="00CD7D8D"/>
    <w:rsid w:val="00CD7EA8"/>
    <w:rsid w:val="00CE00CD"/>
    <w:rsid w:val="00CE014C"/>
    <w:rsid w:val="00CE0627"/>
    <w:rsid w:val="00CE091F"/>
    <w:rsid w:val="00CE09C2"/>
    <w:rsid w:val="00CE0A3E"/>
    <w:rsid w:val="00CE0BE4"/>
    <w:rsid w:val="00CE1128"/>
    <w:rsid w:val="00CE1253"/>
    <w:rsid w:val="00CE1636"/>
    <w:rsid w:val="00CE185B"/>
    <w:rsid w:val="00CE19D8"/>
    <w:rsid w:val="00CE1A6A"/>
    <w:rsid w:val="00CE1BFB"/>
    <w:rsid w:val="00CE1EF2"/>
    <w:rsid w:val="00CE1FA2"/>
    <w:rsid w:val="00CE1FBD"/>
    <w:rsid w:val="00CE2001"/>
    <w:rsid w:val="00CE20D4"/>
    <w:rsid w:val="00CE2C4C"/>
    <w:rsid w:val="00CE2FEC"/>
    <w:rsid w:val="00CE3343"/>
    <w:rsid w:val="00CE3589"/>
    <w:rsid w:val="00CE3C8A"/>
    <w:rsid w:val="00CE3D2A"/>
    <w:rsid w:val="00CE41D7"/>
    <w:rsid w:val="00CE436D"/>
    <w:rsid w:val="00CE44A8"/>
    <w:rsid w:val="00CE48FA"/>
    <w:rsid w:val="00CE495C"/>
    <w:rsid w:val="00CE5216"/>
    <w:rsid w:val="00CE52E3"/>
    <w:rsid w:val="00CE5986"/>
    <w:rsid w:val="00CE5D88"/>
    <w:rsid w:val="00CE5DD1"/>
    <w:rsid w:val="00CE5E30"/>
    <w:rsid w:val="00CE5E85"/>
    <w:rsid w:val="00CE5FAA"/>
    <w:rsid w:val="00CE63FA"/>
    <w:rsid w:val="00CE6EC3"/>
    <w:rsid w:val="00CE6EEE"/>
    <w:rsid w:val="00CE7412"/>
    <w:rsid w:val="00CE7572"/>
    <w:rsid w:val="00CE76EE"/>
    <w:rsid w:val="00CE7B52"/>
    <w:rsid w:val="00CE7E70"/>
    <w:rsid w:val="00CF0243"/>
    <w:rsid w:val="00CF02A7"/>
    <w:rsid w:val="00CF02FB"/>
    <w:rsid w:val="00CF0607"/>
    <w:rsid w:val="00CF0E85"/>
    <w:rsid w:val="00CF0FAC"/>
    <w:rsid w:val="00CF0FFE"/>
    <w:rsid w:val="00CF101F"/>
    <w:rsid w:val="00CF132F"/>
    <w:rsid w:val="00CF1390"/>
    <w:rsid w:val="00CF1558"/>
    <w:rsid w:val="00CF1565"/>
    <w:rsid w:val="00CF162A"/>
    <w:rsid w:val="00CF177B"/>
    <w:rsid w:val="00CF192F"/>
    <w:rsid w:val="00CF1A06"/>
    <w:rsid w:val="00CF1B11"/>
    <w:rsid w:val="00CF1DF8"/>
    <w:rsid w:val="00CF1F60"/>
    <w:rsid w:val="00CF1FD6"/>
    <w:rsid w:val="00CF203C"/>
    <w:rsid w:val="00CF2145"/>
    <w:rsid w:val="00CF2348"/>
    <w:rsid w:val="00CF2501"/>
    <w:rsid w:val="00CF255C"/>
    <w:rsid w:val="00CF2631"/>
    <w:rsid w:val="00CF27A9"/>
    <w:rsid w:val="00CF27DB"/>
    <w:rsid w:val="00CF29EB"/>
    <w:rsid w:val="00CF2D06"/>
    <w:rsid w:val="00CF2FD1"/>
    <w:rsid w:val="00CF3014"/>
    <w:rsid w:val="00CF34C5"/>
    <w:rsid w:val="00CF36BD"/>
    <w:rsid w:val="00CF3769"/>
    <w:rsid w:val="00CF3C30"/>
    <w:rsid w:val="00CF5003"/>
    <w:rsid w:val="00CF547E"/>
    <w:rsid w:val="00CF5895"/>
    <w:rsid w:val="00CF5954"/>
    <w:rsid w:val="00CF5A41"/>
    <w:rsid w:val="00CF5B65"/>
    <w:rsid w:val="00CF5BD9"/>
    <w:rsid w:val="00CF5D8A"/>
    <w:rsid w:val="00CF5D99"/>
    <w:rsid w:val="00CF5F23"/>
    <w:rsid w:val="00CF6013"/>
    <w:rsid w:val="00CF62EA"/>
    <w:rsid w:val="00CF64BB"/>
    <w:rsid w:val="00CF650A"/>
    <w:rsid w:val="00CF6BE8"/>
    <w:rsid w:val="00CF6D16"/>
    <w:rsid w:val="00CF6DBF"/>
    <w:rsid w:val="00CF6E1E"/>
    <w:rsid w:val="00CF6F7C"/>
    <w:rsid w:val="00CF6FF5"/>
    <w:rsid w:val="00CF703E"/>
    <w:rsid w:val="00CF7345"/>
    <w:rsid w:val="00CF741D"/>
    <w:rsid w:val="00CF7BFD"/>
    <w:rsid w:val="00CF7D09"/>
    <w:rsid w:val="00CF7E82"/>
    <w:rsid w:val="00D00051"/>
    <w:rsid w:val="00D00195"/>
    <w:rsid w:val="00D00243"/>
    <w:rsid w:val="00D0064D"/>
    <w:rsid w:val="00D00664"/>
    <w:rsid w:val="00D0075D"/>
    <w:rsid w:val="00D007E4"/>
    <w:rsid w:val="00D008E3"/>
    <w:rsid w:val="00D00993"/>
    <w:rsid w:val="00D0099E"/>
    <w:rsid w:val="00D009AA"/>
    <w:rsid w:val="00D009BA"/>
    <w:rsid w:val="00D00C3D"/>
    <w:rsid w:val="00D00CA9"/>
    <w:rsid w:val="00D00DC1"/>
    <w:rsid w:val="00D0114A"/>
    <w:rsid w:val="00D015EF"/>
    <w:rsid w:val="00D01688"/>
    <w:rsid w:val="00D016DD"/>
    <w:rsid w:val="00D01865"/>
    <w:rsid w:val="00D01AD7"/>
    <w:rsid w:val="00D01DEF"/>
    <w:rsid w:val="00D01E2C"/>
    <w:rsid w:val="00D01E95"/>
    <w:rsid w:val="00D01F9A"/>
    <w:rsid w:val="00D02198"/>
    <w:rsid w:val="00D0238E"/>
    <w:rsid w:val="00D0239F"/>
    <w:rsid w:val="00D0325B"/>
    <w:rsid w:val="00D03C56"/>
    <w:rsid w:val="00D03E40"/>
    <w:rsid w:val="00D04064"/>
    <w:rsid w:val="00D04154"/>
    <w:rsid w:val="00D04509"/>
    <w:rsid w:val="00D04ABA"/>
    <w:rsid w:val="00D04AEC"/>
    <w:rsid w:val="00D05038"/>
    <w:rsid w:val="00D050ED"/>
    <w:rsid w:val="00D05236"/>
    <w:rsid w:val="00D05591"/>
    <w:rsid w:val="00D055E1"/>
    <w:rsid w:val="00D0579D"/>
    <w:rsid w:val="00D057AE"/>
    <w:rsid w:val="00D05F13"/>
    <w:rsid w:val="00D05F34"/>
    <w:rsid w:val="00D062BC"/>
    <w:rsid w:val="00D0659A"/>
    <w:rsid w:val="00D065A0"/>
    <w:rsid w:val="00D0712F"/>
    <w:rsid w:val="00D07276"/>
    <w:rsid w:val="00D0742A"/>
    <w:rsid w:val="00D07497"/>
    <w:rsid w:val="00D07682"/>
    <w:rsid w:val="00D0779C"/>
    <w:rsid w:val="00D077B3"/>
    <w:rsid w:val="00D07841"/>
    <w:rsid w:val="00D07984"/>
    <w:rsid w:val="00D07D37"/>
    <w:rsid w:val="00D07D5C"/>
    <w:rsid w:val="00D07F1F"/>
    <w:rsid w:val="00D10049"/>
    <w:rsid w:val="00D1010F"/>
    <w:rsid w:val="00D102D3"/>
    <w:rsid w:val="00D102E3"/>
    <w:rsid w:val="00D1065D"/>
    <w:rsid w:val="00D1082E"/>
    <w:rsid w:val="00D10D79"/>
    <w:rsid w:val="00D10E13"/>
    <w:rsid w:val="00D110A2"/>
    <w:rsid w:val="00D1136C"/>
    <w:rsid w:val="00D11753"/>
    <w:rsid w:val="00D118DD"/>
    <w:rsid w:val="00D11A1C"/>
    <w:rsid w:val="00D11BF4"/>
    <w:rsid w:val="00D11F64"/>
    <w:rsid w:val="00D12070"/>
    <w:rsid w:val="00D120B1"/>
    <w:rsid w:val="00D1221A"/>
    <w:rsid w:val="00D1221D"/>
    <w:rsid w:val="00D123A9"/>
    <w:rsid w:val="00D123EC"/>
    <w:rsid w:val="00D12697"/>
    <w:rsid w:val="00D127AE"/>
    <w:rsid w:val="00D12B64"/>
    <w:rsid w:val="00D12B78"/>
    <w:rsid w:val="00D13416"/>
    <w:rsid w:val="00D13654"/>
    <w:rsid w:val="00D1366E"/>
    <w:rsid w:val="00D13839"/>
    <w:rsid w:val="00D13B8E"/>
    <w:rsid w:val="00D13CA8"/>
    <w:rsid w:val="00D13D6E"/>
    <w:rsid w:val="00D13FA5"/>
    <w:rsid w:val="00D14003"/>
    <w:rsid w:val="00D14040"/>
    <w:rsid w:val="00D14131"/>
    <w:rsid w:val="00D1414C"/>
    <w:rsid w:val="00D142FA"/>
    <w:rsid w:val="00D148DD"/>
    <w:rsid w:val="00D14E4A"/>
    <w:rsid w:val="00D1520E"/>
    <w:rsid w:val="00D154B4"/>
    <w:rsid w:val="00D15578"/>
    <w:rsid w:val="00D158A2"/>
    <w:rsid w:val="00D15E75"/>
    <w:rsid w:val="00D160C6"/>
    <w:rsid w:val="00D161E6"/>
    <w:rsid w:val="00D16440"/>
    <w:rsid w:val="00D166A4"/>
    <w:rsid w:val="00D16B2F"/>
    <w:rsid w:val="00D16C40"/>
    <w:rsid w:val="00D16E07"/>
    <w:rsid w:val="00D17555"/>
    <w:rsid w:val="00D1788B"/>
    <w:rsid w:val="00D178EB"/>
    <w:rsid w:val="00D17923"/>
    <w:rsid w:val="00D179CA"/>
    <w:rsid w:val="00D17DB7"/>
    <w:rsid w:val="00D202EB"/>
    <w:rsid w:val="00D20878"/>
    <w:rsid w:val="00D2089A"/>
    <w:rsid w:val="00D208BA"/>
    <w:rsid w:val="00D20933"/>
    <w:rsid w:val="00D209FF"/>
    <w:rsid w:val="00D20C9E"/>
    <w:rsid w:val="00D21913"/>
    <w:rsid w:val="00D2193A"/>
    <w:rsid w:val="00D2196A"/>
    <w:rsid w:val="00D21B70"/>
    <w:rsid w:val="00D21C40"/>
    <w:rsid w:val="00D21C72"/>
    <w:rsid w:val="00D21F3F"/>
    <w:rsid w:val="00D220C7"/>
    <w:rsid w:val="00D221FA"/>
    <w:rsid w:val="00D225E7"/>
    <w:rsid w:val="00D229C9"/>
    <w:rsid w:val="00D22D1B"/>
    <w:rsid w:val="00D22DEE"/>
    <w:rsid w:val="00D22E7A"/>
    <w:rsid w:val="00D22FAE"/>
    <w:rsid w:val="00D23458"/>
    <w:rsid w:val="00D234CA"/>
    <w:rsid w:val="00D23750"/>
    <w:rsid w:val="00D23769"/>
    <w:rsid w:val="00D2381F"/>
    <w:rsid w:val="00D23A25"/>
    <w:rsid w:val="00D241EF"/>
    <w:rsid w:val="00D24287"/>
    <w:rsid w:val="00D2434F"/>
    <w:rsid w:val="00D24364"/>
    <w:rsid w:val="00D244FC"/>
    <w:rsid w:val="00D24586"/>
    <w:rsid w:val="00D2475A"/>
    <w:rsid w:val="00D24874"/>
    <w:rsid w:val="00D24920"/>
    <w:rsid w:val="00D24D69"/>
    <w:rsid w:val="00D24F74"/>
    <w:rsid w:val="00D25094"/>
    <w:rsid w:val="00D250D2"/>
    <w:rsid w:val="00D250E9"/>
    <w:rsid w:val="00D250EF"/>
    <w:rsid w:val="00D25168"/>
    <w:rsid w:val="00D251BF"/>
    <w:rsid w:val="00D256E6"/>
    <w:rsid w:val="00D25773"/>
    <w:rsid w:val="00D257D5"/>
    <w:rsid w:val="00D25CBB"/>
    <w:rsid w:val="00D25CCA"/>
    <w:rsid w:val="00D26150"/>
    <w:rsid w:val="00D265C6"/>
    <w:rsid w:val="00D268BE"/>
    <w:rsid w:val="00D2691A"/>
    <w:rsid w:val="00D26925"/>
    <w:rsid w:val="00D26C51"/>
    <w:rsid w:val="00D271AC"/>
    <w:rsid w:val="00D27609"/>
    <w:rsid w:val="00D27950"/>
    <w:rsid w:val="00D279BB"/>
    <w:rsid w:val="00D27AAA"/>
    <w:rsid w:val="00D27BFA"/>
    <w:rsid w:val="00D27C35"/>
    <w:rsid w:val="00D300DA"/>
    <w:rsid w:val="00D30132"/>
    <w:rsid w:val="00D303EE"/>
    <w:rsid w:val="00D306B6"/>
    <w:rsid w:val="00D307D9"/>
    <w:rsid w:val="00D30DEE"/>
    <w:rsid w:val="00D30E78"/>
    <w:rsid w:val="00D31170"/>
    <w:rsid w:val="00D311E7"/>
    <w:rsid w:val="00D31348"/>
    <w:rsid w:val="00D314AD"/>
    <w:rsid w:val="00D31582"/>
    <w:rsid w:val="00D3161A"/>
    <w:rsid w:val="00D31BDD"/>
    <w:rsid w:val="00D32151"/>
    <w:rsid w:val="00D324FC"/>
    <w:rsid w:val="00D32558"/>
    <w:rsid w:val="00D32912"/>
    <w:rsid w:val="00D32A27"/>
    <w:rsid w:val="00D32BBE"/>
    <w:rsid w:val="00D32F54"/>
    <w:rsid w:val="00D3320F"/>
    <w:rsid w:val="00D3343E"/>
    <w:rsid w:val="00D334D5"/>
    <w:rsid w:val="00D33919"/>
    <w:rsid w:val="00D33AAD"/>
    <w:rsid w:val="00D33B8B"/>
    <w:rsid w:val="00D34189"/>
    <w:rsid w:val="00D343D7"/>
    <w:rsid w:val="00D34589"/>
    <w:rsid w:val="00D34757"/>
    <w:rsid w:val="00D349D7"/>
    <w:rsid w:val="00D34CAB"/>
    <w:rsid w:val="00D34FE4"/>
    <w:rsid w:val="00D35223"/>
    <w:rsid w:val="00D3540D"/>
    <w:rsid w:val="00D3552E"/>
    <w:rsid w:val="00D3553D"/>
    <w:rsid w:val="00D3576B"/>
    <w:rsid w:val="00D35B03"/>
    <w:rsid w:val="00D35C4C"/>
    <w:rsid w:val="00D35FD5"/>
    <w:rsid w:val="00D361A7"/>
    <w:rsid w:val="00D36577"/>
    <w:rsid w:val="00D36A01"/>
    <w:rsid w:val="00D36A0C"/>
    <w:rsid w:val="00D36ADA"/>
    <w:rsid w:val="00D36E44"/>
    <w:rsid w:val="00D36F14"/>
    <w:rsid w:val="00D3736D"/>
    <w:rsid w:val="00D37550"/>
    <w:rsid w:val="00D376ED"/>
    <w:rsid w:val="00D37715"/>
    <w:rsid w:val="00D37B46"/>
    <w:rsid w:val="00D37C77"/>
    <w:rsid w:val="00D400B0"/>
    <w:rsid w:val="00D403C0"/>
    <w:rsid w:val="00D4075C"/>
    <w:rsid w:val="00D40CD6"/>
    <w:rsid w:val="00D40CE6"/>
    <w:rsid w:val="00D40E31"/>
    <w:rsid w:val="00D40F7B"/>
    <w:rsid w:val="00D412B0"/>
    <w:rsid w:val="00D417F7"/>
    <w:rsid w:val="00D41A0D"/>
    <w:rsid w:val="00D41BC7"/>
    <w:rsid w:val="00D41BE4"/>
    <w:rsid w:val="00D41C06"/>
    <w:rsid w:val="00D41C33"/>
    <w:rsid w:val="00D41D0D"/>
    <w:rsid w:val="00D41FF4"/>
    <w:rsid w:val="00D42531"/>
    <w:rsid w:val="00D42928"/>
    <w:rsid w:val="00D42AB7"/>
    <w:rsid w:val="00D42D74"/>
    <w:rsid w:val="00D42FF7"/>
    <w:rsid w:val="00D43376"/>
    <w:rsid w:val="00D43385"/>
    <w:rsid w:val="00D4340D"/>
    <w:rsid w:val="00D435F9"/>
    <w:rsid w:val="00D43693"/>
    <w:rsid w:val="00D43856"/>
    <w:rsid w:val="00D438FB"/>
    <w:rsid w:val="00D43EFA"/>
    <w:rsid w:val="00D44230"/>
    <w:rsid w:val="00D442C7"/>
    <w:rsid w:val="00D446BC"/>
    <w:rsid w:val="00D44B15"/>
    <w:rsid w:val="00D44B2B"/>
    <w:rsid w:val="00D44B5D"/>
    <w:rsid w:val="00D4517E"/>
    <w:rsid w:val="00D4543F"/>
    <w:rsid w:val="00D45502"/>
    <w:rsid w:val="00D45508"/>
    <w:rsid w:val="00D4589B"/>
    <w:rsid w:val="00D45EFB"/>
    <w:rsid w:val="00D460EB"/>
    <w:rsid w:val="00D463E2"/>
    <w:rsid w:val="00D4659C"/>
    <w:rsid w:val="00D46635"/>
    <w:rsid w:val="00D468D0"/>
    <w:rsid w:val="00D46AE2"/>
    <w:rsid w:val="00D46C8F"/>
    <w:rsid w:val="00D47073"/>
    <w:rsid w:val="00D479E4"/>
    <w:rsid w:val="00D47AEB"/>
    <w:rsid w:val="00D47CBD"/>
    <w:rsid w:val="00D47FFE"/>
    <w:rsid w:val="00D502A6"/>
    <w:rsid w:val="00D502C1"/>
    <w:rsid w:val="00D502DD"/>
    <w:rsid w:val="00D503A9"/>
    <w:rsid w:val="00D503FC"/>
    <w:rsid w:val="00D50674"/>
    <w:rsid w:val="00D506D1"/>
    <w:rsid w:val="00D506F5"/>
    <w:rsid w:val="00D50B35"/>
    <w:rsid w:val="00D50CCE"/>
    <w:rsid w:val="00D50F49"/>
    <w:rsid w:val="00D50FEC"/>
    <w:rsid w:val="00D51AB2"/>
    <w:rsid w:val="00D51D3E"/>
    <w:rsid w:val="00D51D9F"/>
    <w:rsid w:val="00D51ED2"/>
    <w:rsid w:val="00D51F0A"/>
    <w:rsid w:val="00D5200B"/>
    <w:rsid w:val="00D52478"/>
    <w:rsid w:val="00D524BE"/>
    <w:rsid w:val="00D52956"/>
    <w:rsid w:val="00D52BBC"/>
    <w:rsid w:val="00D52C38"/>
    <w:rsid w:val="00D52CE1"/>
    <w:rsid w:val="00D52CE3"/>
    <w:rsid w:val="00D53235"/>
    <w:rsid w:val="00D536A4"/>
    <w:rsid w:val="00D5392B"/>
    <w:rsid w:val="00D53980"/>
    <w:rsid w:val="00D53989"/>
    <w:rsid w:val="00D5399E"/>
    <w:rsid w:val="00D539DD"/>
    <w:rsid w:val="00D53E5D"/>
    <w:rsid w:val="00D53FF4"/>
    <w:rsid w:val="00D5468E"/>
    <w:rsid w:val="00D5468F"/>
    <w:rsid w:val="00D54BF9"/>
    <w:rsid w:val="00D54E5B"/>
    <w:rsid w:val="00D5500B"/>
    <w:rsid w:val="00D5547D"/>
    <w:rsid w:val="00D55572"/>
    <w:rsid w:val="00D5560D"/>
    <w:rsid w:val="00D557C6"/>
    <w:rsid w:val="00D557EE"/>
    <w:rsid w:val="00D5583B"/>
    <w:rsid w:val="00D55AA4"/>
    <w:rsid w:val="00D55AB3"/>
    <w:rsid w:val="00D5640B"/>
    <w:rsid w:val="00D56C12"/>
    <w:rsid w:val="00D57040"/>
    <w:rsid w:val="00D57446"/>
    <w:rsid w:val="00D57696"/>
    <w:rsid w:val="00D576BC"/>
    <w:rsid w:val="00D579A6"/>
    <w:rsid w:val="00D579CC"/>
    <w:rsid w:val="00D57A73"/>
    <w:rsid w:val="00D57D22"/>
    <w:rsid w:val="00D60235"/>
    <w:rsid w:val="00D60339"/>
    <w:rsid w:val="00D6035A"/>
    <w:rsid w:val="00D6053E"/>
    <w:rsid w:val="00D60564"/>
    <w:rsid w:val="00D6083C"/>
    <w:rsid w:val="00D60870"/>
    <w:rsid w:val="00D6088B"/>
    <w:rsid w:val="00D60C5B"/>
    <w:rsid w:val="00D60EED"/>
    <w:rsid w:val="00D60F21"/>
    <w:rsid w:val="00D615AD"/>
    <w:rsid w:val="00D617CC"/>
    <w:rsid w:val="00D6183D"/>
    <w:rsid w:val="00D61A02"/>
    <w:rsid w:val="00D62208"/>
    <w:rsid w:val="00D625F2"/>
    <w:rsid w:val="00D62AAF"/>
    <w:rsid w:val="00D62B8A"/>
    <w:rsid w:val="00D634A7"/>
    <w:rsid w:val="00D634E9"/>
    <w:rsid w:val="00D636AA"/>
    <w:rsid w:val="00D63CDA"/>
    <w:rsid w:val="00D643C5"/>
    <w:rsid w:val="00D6471A"/>
    <w:rsid w:val="00D64791"/>
    <w:rsid w:val="00D64A26"/>
    <w:rsid w:val="00D64A46"/>
    <w:rsid w:val="00D64B5A"/>
    <w:rsid w:val="00D64CE8"/>
    <w:rsid w:val="00D64F53"/>
    <w:rsid w:val="00D65064"/>
    <w:rsid w:val="00D6563A"/>
    <w:rsid w:val="00D656B9"/>
    <w:rsid w:val="00D65AE7"/>
    <w:rsid w:val="00D65BA6"/>
    <w:rsid w:val="00D65E4D"/>
    <w:rsid w:val="00D66132"/>
    <w:rsid w:val="00D66287"/>
    <w:rsid w:val="00D662C9"/>
    <w:rsid w:val="00D665A3"/>
    <w:rsid w:val="00D66C87"/>
    <w:rsid w:val="00D66CDA"/>
    <w:rsid w:val="00D66CDB"/>
    <w:rsid w:val="00D66EFF"/>
    <w:rsid w:val="00D66F39"/>
    <w:rsid w:val="00D67710"/>
    <w:rsid w:val="00D677CA"/>
    <w:rsid w:val="00D67C18"/>
    <w:rsid w:val="00D70039"/>
    <w:rsid w:val="00D70174"/>
    <w:rsid w:val="00D70318"/>
    <w:rsid w:val="00D70604"/>
    <w:rsid w:val="00D70631"/>
    <w:rsid w:val="00D708BC"/>
    <w:rsid w:val="00D709D6"/>
    <w:rsid w:val="00D70B9C"/>
    <w:rsid w:val="00D70C68"/>
    <w:rsid w:val="00D70C6E"/>
    <w:rsid w:val="00D70E1F"/>
    <w:rsid w:val="00D70EFA"/>
    <w:rsid w:val="00D711FF"/>
    <w:rsid w:val="00D714AE"/>
    <w:rsid w:val="00D7165F"/>
    <w:rsid w:val="00D717C5"/>
    <w:rsid w:val="00D724E2"/>
    <w:rsid w:val="00D72500"/>
    <w:rsid w:val="00D72826"/>
    <w:rsid w:val="00D728E2"/>
    <w:rsid w:val="00D729DC"/>
    <w:rsid w:val="00D72B1F"/>
    <w:rsid w:val="00D72D1D"/>
    <w:rsid w:val="00D73108"/>
    <w:rsid w:val="00D731EB"/>
    <w:rsid w:val="00D7358E"/>
    <w:rsid w:val="00D7392E"/>
    <w:rsid w:val="00D740D6"/>
    <w:rsid w:val="00D740DB"/>
    <w:rsid w:val="00D7476D"/>
    <w:rsid w:val="00D74933"/>
    <w:rsid w:val="00D749DD"/>
    <w:rsid w:val="00D74A63"/>
    <w:rsid w:val="00D74AF0"/>
    <w:rsid w:val="00D74BDE"/>
    <w:rsid w:val="00D74D0C"/>
    <w:rsid w:val="00D750BA"/>
    <w:rsid w:val="00D75160"/>
    <w:rsid w:val="00D755E7"/>
    <w:rsid w:val="00D756AA"/>
    <w:rsid w:val="00D757BD"/>
    <w:rsid w:val="00D75843"/>
    <w:rsid w:val="00D75DE5"/>
    <w:rsid w:val="00D75F25"/>
    <w:rsid w:val="00D75FA2"/>
    <w:rsid w:val="00D76097"/>
    <w:rsid w:val="00D764A8"/>
    <w:rsid w:val="00D765A0"/>
    <w:rsid w:val="00D765D0"/>
    <w:rsid w:val="00D76709"/>
    <w:rsid w:val="00D767A0"/>
    <w:rsid w:val="00D7682A"/>
    <w:rsid w:val="00D76E51"/>
    <w:rsid w:val="00D7703D"/>
    <w:rsid w:val="00D7768A"/>
    <w:rsid w:val="00D776D4"/>
    <w:rsid w:val="00D77800"/>
    <w:rsid w:val="00D77857"/>
    <w:rsid w:val="00D779F9"/>
    <w:rsid w:val="00D77BBF"/>
    <w:rsid w:val="00D8040B"/>
    <w:rsid w:val="00D80567"/>
    <w:rsid w:val="00D80889"/>
    <w:rsid w:val="00D80912"/>
    <w:rsid w:val="00D809AE"/>
    <w:rsid w:val="00D80AF6"/>
    <w:rsid w:val="00D80C3D"/>
    <w:rsid w:val="00D80FB0"/>
    <w:rsid w:val="00D812B7"/>
    <w:rsid w:val="00D81550"/>
    <w:rsid w:val="00D817BE"/>
    <w:rsid w:val="00D818DD"/>
    <w:rsid w:val="00D81DF1"/>
    <w:rsid w:val="00D820EF"/>
    <w:rsid w:val="00D8231D"/>
    <w:rsid w:val="00D82569"/>
    <w:rsid w:val="00D825DD"/>
    <w:rsid w:val="00D82658"/>
    <w:rsid w:val="00D8297C"/>
    <w:rsid w:val="00D82A80"/>
    <w:rsid w:val="00D831DD"/>
    <w:rsid w:val="00D832A1"/>
    <w:rsid w:val="00D832D6"/>
    <w:rsid w:val="00D83420"/>
    <w:rsid w:val="00D834ED"/>
    <w:rsid w:val="00D83753"/>
    <w:rsid w:val="00D83866"/>
    <w:rsid w:val="00D83BC6"/>
    <w:rsid w:val="00D84463"/>
    <w:rsid w:val="00D8455B"/>
    <w:rsid w:val="00D845B3"/>
    <w:rsid w:val="00D849DC"/>
    <w:rsid w:val="00D84A7E"/>
    <w:rsid w:val="00D84C1F"/>
    <w:rsid w:val="00D84E7E"/>
    <w:rsid w:val="00D850FE"/>
    <w:rsid w:val="00D85500"/>
    <w:rsid w:val="00D8562E"/>
    <w:rsid w:val="00D85B61"/>
    <w:rsid w:val="00D85FDD"/>
    <w:rsid w:val="00D862D7"/>
    <w:rsid w:val="00D866CC"/>
    <w:rsid w:val="00D86929"/>
    <w:rsid w:val="00D869CB"/>
    <w:rsid w:val="00D86AF6"/>
    <w:rsid w:val="00D86CDC"/>
    <w:rsid w:val="00D86D0A"/>
    <w:rsid w:val="00D870FF"/>
    <w:rsid w:val="00D874B9"/>
    <w:rsid w:val="00D879F1"/>
    <w:rsid w:val="00D87A6E"/>
    <w:rsid w:val="00D87EAA"/>
    <w:rsid w:val="00D900EF"/>
    <w:rsid w:val="00D90555"/>
    <w:rsid w:val="00D907B3"/>
    <w:rsid w:val="00D9089A"/>
    <w:rsid w:val="00D90932"/>
    <w:rsid w:val="00D90C91"/>
    <w:rsid w:val="00D90CD2"/>
    <w:rsid w:val="00D912E6"/>
    <w:rsid w:val="00D913F5"/>
    <w:rsid w:val="00D915EE"/>
    <w:rsid w:val="00D91D74"/>
    <w:rsid w:val="00D91DDB"/>
    <w:rsid w:val="00D91E68"/>
    <w:rsid w:val="00D9201D"/>
    <w:rsid w:val="00D925AB"/>
    <w:rsid w:val="00D92877"/>
    <w:rsid w:val="00D9294C"/>
    <w:rsid w:val="00D92A24"/>
    <w:rsid w:val="00D92AB6"/>
    <w:rsid w:val="00D92BFF"/>
    <w:rsid w:val="00D92DE5"/>
    <w:rsid w:val="00D92F09"/>
    <w:rsid w:val="00D930B9"/>
    <w:rsid w:val="00D93630"/>
    <w:rsid w:val="00D937F1"/>
    <w:rsid w:val="00D93FD0"/>
    <w:rsid w:val="00D940D6"/>
    <w:rsid w:val="00D941A4"/>
    <w:rsid w:val="00D942BE"/>
    <w:rsid w:val="00D944F1"/>
    <w:rsid w:val="00D9471D"/>
    <w:rsid w:val="00D94A2A"/>
    <w:rsid w:val="00D94A4A"/>
    <w:rsid w:val="00D94A8C"/>
    <w:rsid w:val="00D94BA6"/>
    <w:rsid w:val="00D94C8A"/>
    <w:rsid w:val="00D94E8F"/>
    <w:rsid w:val="00D94F9F"/>
    <w:rsid w:val="00D95051"/>
    <w:rsid w:val="00D9508E"/>
    <w:rsid w:val="00D95460"/>
    <w:rsid w:val="00D95963"/>
    <w:rsid w:val="00D95B84"/>
    <w:rsid w:val="00D95CB4"/>
    <w:rsid w:val="00D95E94"/>
    <w:rsid w:val="00D95F9E"/>
    <w:rsid w:val="00D96231"/>
    <w:rsid w:val="00D96714"/>
    <w:rsid w:val="00D969F4"/>
    <w:rsid w:val="00D96AFE"/>
    <w:rsid w:val="00D96EA9"/>
    <w:rsid w:val="00D97320"/>
    <w:rsid w:val="00D9784A"/>
    <w:rsid w:val="00D978E5"/>
    <w:rsid w:val="00D97D00"/>
    <w:rsid w:val="00D97EFE"/>
    <w:rsid w:val="00DA008F"/>
    <w:rsid w:val="00DA01BF"/>
    <w:rsid w:val="00DA0815"/>
    <w:rsid w:val="00DA08BB"/>
    <w:rsid w:val="00DA09AF"/>
    <w:rsid w:val="00DA09D2"/>
    <w:rsid w:val="00DA0B44"/>
    <w:rsid w:val="00DA10CD"/>
    <w:rsid w:val="00DA14F6"/>
    <w:rsid w:val="00DA1801"/>
    <w:rsid w:val="00DA1803"/>
    <w:rsid w:val="00DA1F2D"/>
    <w:rsid w:val="00DA1F83"/>
    <w:rsid w:val="00DA2176"/>
    <w:rsid w:val="00DA2223"/>
    <w:rsid w:val="00DA22ED"/>
    <w:rsid w:val="00DA26FA"/>
    <w:rsid w:val="00DA2720"/>
    <w:rsid w:val="00DA2838"/>
    <w:rsid w:val="00DA2885"/>
    <w:rsid w:val="00DA3167"/>
    <w:rsid w:val="00DA31B5"/>
    <w:rsid w:val="00DA3497"/>
    <w:rsid w:val="00DA3767"/>
    <w:rsid w:val="00DA385D"/>
    <w:rsid w:val="00DA39FF"/>
    <w:rsid w:val="00DA3A17"/>
    <w:rsid w:val="00DA3D62"/>
    <w:rsid w:val="00DA3DE7"/>
    <w:rsid w:val="00DA4049"/>
    <w:rsid w:val="00DA43F1"/>
    <w:rsid w:val="00DA4549"/>
    <w:rsid w:val="00DA455E"/>
    <w:rsid w:val="00DA48EF"/>
    <w:rsid w:val="00DA49CA"/>
    <w:rsid w:val="00DA49CF"/>
    <w:rsid w:val="00DA5446"/>
    <w:rsid w:val="00DA5E4B"/>
    <w:rsid w:val="00DA6189"/>
    <w:rsid w:val="00DA6A3D"/>
    <w:rsid w:val="00DA7613"/>
    <w:rsid w:val="00DA7622"/>
    <w:rsid w:val="00DA7637"/>
    <w:rsid w:val="00DA77EB"/>
    <w:rsid w:val="00DA7BE9"/>
    <w:rsid w:val="00DA7C43"/>
    <w:rsid w:val="00DA7C6D"/>
    <w:rsid w:val="00DA7D70"/>
    <w:rsid w:val="00DA7E37"/>
    <w:rsid w:val="00DA7FD7"/>
    <w:rsid w:val="00DB0259"/>
    <w:rsid w:val="00DB072F"/>
    <w:rsid w:val="00DB0B99"/>
    <w:rsid w:val="00DB0CC9"/>
    <w:rsid w:val="00DB0D3F"/>
    <w:rsid w:val="00DB0DAC"/>
    <w:rsid w:val="00DB124D"/>
    <w:rsid w:val="00DB1730"/>
    <w:rsid w:val="00DB17CA"/>
    <w:rsid w:val="00DB18D5"/>
    <w:rsid w:val="00DB18EE"/>
    <w:rsid w:val="00DB1A21"/>
    <w:rsid w:val="00DB1A4C"/>
    <w:rsid w:val="00DB1C33"/>
    <w:rsid w:val="00DB1D3E"/>
    <w:rsid w:val="00DB1EF5"/>
    <w:rsid w:val="00DB1F51"/>
    <w:rsid w:val="00DB1FE2"/>
    <w:rsid w:val="00DB2327"/>
    <w:rsid w:val="00DB24BC"/>
    <w:rsid w:val="00DB256C"/>
    <w:rsid w:val="00DB27C6"/>
    <w:rsid w:val="00DB28E3"/>
    <w:rsid w:val="00DB3507"/>
    <w:rsid w:val="00DB37CD"/>
    <w:rsid w:val="00DB39D1"/>
    <w:rsid w:val="00DB3F0A"/>
    <w:rsid w:val="00DB41CC"/>
    <w:rsid w:val="00DB4665"/>
    <w:rsid w:val="00DB46B9"/>
    <w:rsid w:val="00DB49E5"/>
    <w:rsid w:val="00DB4AFF"/>
    <w:rsid w:val="00DB4B12"/>
    <w:rsid w:val="00DB4B7C"/>
    <w:rsid w:val="00DB4C97"/>
    <w:rsid w:val="00DB52BA"/>
    <w:rsid w:val="00DB53FD"/>
    <w:rsid w:val="00DB54EB"/>
    <w:rsid w:val="00DB5A4C"/>
    <w:rsid w:val="00DB5AA2"/>
    <w:rsid w:val="00DB5B85"/>
    <w:rsid w:val="00DB5E56"/>
    <w:rsid w:val="00DB6066"/>
    <w:rsid w:val="00DB6115"/>
    <w:rsid w:val="00DB61F1"/>
    <w:rsid w:val="00DB68DD"/>
    <w:rsid w:val="00DB6958"/>
    <w:rsid w:val="00DB6B9B"/>
    <w:rsid w:val="00DB6BDA"/>
    <w:rsid w:val="00DB6E0A"/>
    <w:rsid w:val="00DB6F45"/>
    <w:rsid w:val="00DB7168"/>
    <w:rsid w:val="00DB76E4"/>
    <w:rsid w:val="00DB7A6D"/>
    <w:rsid w:val="00DB7C25"/>
    <w:rsid w:val="00DB7FA0"/>
    <w:rsid w:val="00DB7FF4"/>
    <w:rsid w:val="00DC00FF"/>
    <w:rsid w:val="00DC0129"/>
    <w:rsid w:val="00DC0191"/>
    <w:rsid w:val="00DC02B3"/>
    <w:rsid w:val="00DC0646"/>
    <w:rsid w:val="00DC07AC"/>
    <w:rsid w:val="00DC07F1"/>
    <w:rsid w:val="00DC0A11"/>
    <w:rsid w:val="00DC0AA5"/>
    <w:rsid w:val="00DC0F1F"/>
    <w:rsid w:val="00DC12EB"/>
    <w:rsid w:val="00DC16EC"/>
    <w:rsid w:val="00DC1B38"/>
    <w:rsid w:val="00DC1BA2"/>
    <w:rsid w:val="00DC1BD3"/>
    <w:rsid w:val="00DC1C8D"/>
    <w:rsid w:val="00DC21FC"/>
    <w:rsid w:val="00DC22B0"/>
    <w:rsid w:val="00DC22CF"/>
    <w:rsid w:val="00DC2492"/>
    <w:rsid w:val="00DC252C"/>
    <w:rsid w:val="00DC25B5"/>
    <w:rsid w:val="00DC26F6"/>
    <w:rsid w:val="00DC27BC"/>
    <w:rsid w:val="00DC2904"/>
    <w:rsid w:val="00DC2926"/>
    <w:rsid w:val="00DC2DC7"/>
    <w:rsid w:val="00DC2E42"/>
    <w:rsid w:val="00DC31C7"/>
    <w:rsid w:val="00DC3405"/>
    <w:rsid w:val="00DC35AC"/>
    <w:rsid w:val="00DC39F8"/>
    <w:rsid w:val="00DC3A72"/>
    <w:rsid w:val="00DC3C0D"/>
    <w:rsid w:val="00DC3C85"/>
    <w:rsid w:val="00DC3CEC"/>
    <w:rsid w:val="00DC3E91"/>
    <w:rsid w:val="00DC4063"/>
    <w:rsid w:val="00DC409B"/>
    <w:rsid w:val="00DC4401"/>
    <w:rsid w:val="00DC4502"/>
    <w:rsid w:val="00DC479B"/>
    <w:rsid w:val="00DC4BFC"/>
    <w:rsid w:val="00DC4C60"/>
    <w:rsid w:val="00DC511F"/>
    <w:rsid w:val="00DC551C"/>
    <w:rsid w:val="00DC58BD"/>
    <w:rsid w:val="00DC5931"/>
    <w:rsid w:val="00DC5A0D"/>
    <w:rsid w:val="00DC5C6C"/>
    <w:rsid w:val="00DC5E12"/>
    <w:rsid w:val="00DC5F93"/>
    <w:rsid w:val="00DC6203"/>
    <w:rsid w:val="00DC6387"/>
    <w:rsid w:val="00DC6685"/>
    <w:rsid w:val="00DC6868"/>
    <w:rsid w:val="00DC6B52"/>
    <w:rsid w:val="00DC6DCC"/>
    <w:rsid w:val="00DC6F0E"/>
    <w:rsid w:val="00DC7000"/>
    <w:rsid w:val="00DC742E"/>
    <w:rsid w:val="00DC78B7"/>
    <w:rsid w:val="00DC7FD6"/>
    <w:rsid w:val="00DD0135"/>
    <w:rsid w:val="00DD0249"/>
    <w:rsid w:val="00DD042F"/>
    <w:rsid w:val="00DD05DC"/>
    <w:rsid w:val="00DD061A"/>
    <w:rsid w:val="00DD0948"/>
    <w:rsid w:val="00DD0A7A"/>
    <w:rsid w:val="00DD0B37"/>
    <w:rsid w:val="00DD0BCA"/>
    <w:rsid w:val="00DD1017"/>
    <w:rsid w:val="00DD1042"/>
    <w:rsid w:val="00DD1105"/>
    <w:rsid w:val="00DD1213"/>
    <w:rsid w:val="00DD12B1"/>
    <w:rsid w:val="00DD14EB"/>
    <w:rsid w:val="00DD1511"/>
    <w:rsid w:val="00DD168F"/>
    <w:rsid w:val="00DD16DB"/>
    <w:rsid w:val="00DD17AC"/>
    <w:rsid w:val="00DD1B07"/>
    <w:rsid w:val="00DD1CDB"/>
    <w:rsid w:val="00DD247B"/>
    <w:rsid w:val="00DD24E1"/>
    <w:rsid w:val="00DD255F"/>
    <w:rsid w:val="00DD270C"/>
    <w:rsid w:val="00DD274B"/>
    <w:rsid w:val="00DD277A"/>
    <w:rsid w:val="00DD2A72"/>
    <w:rsid w:val="00DD2AAB"/>
    <w:rsid w:val="00DD2F61"/>
    <w:rsid w:val="00DD30B6"/>
    <w:rsid w:val="00DD3386"/>
    <w:rsid w:val="00DD3534"/>
    <w:rsid w:val="00DD38C7"/>
    <w:rsid w:val="00DD3AB4"/>
    <w:rsid w:val="00DD3AEB"/>
    <w:rsid w:val="00DD3C15"/>
    <w:rsid w:val="00DD3C23"/>
    <w:rsid w:val="00DD4022"/>
    <w:rsid w:val="00DD419B"/>
    <w:rsid w:val="00DD42BA"/>
    <w:rsid w:val="00DD453D"/>
    <w:rsid w:val="00DD4556"/>
    <w:rsid w:val="00DD473F"/>
    <w:rsid w:val="00DD478F"/>
    <w:rsid w:val="00DD4901"/>
    <w:rsid w:val="00DD49C0"/>
    <w:rsid w:val="00DD49E2"/>
    <w:rsid w:val="00DD4BE6"/>
    <w:rsid w:val="00DD513E"/>
    <w:rsid w:val="00DD5458"/>
    <w:rsid w:val="00DD55DE"/>
    <w:rsid w:val="00DD577E"/>
    <w:rsid w:val="00DD5812"/>
    <w:rsid w:val="00DD58DE"/>
    <w:rsid w:val="00DD59C0"/>
    <w:rsid w:val="00DD5ABC"/>
    <w:rsid w:val="00DD60CD"/>
    <w:rsid w:val="00DD6C24"/>
    <w:rsid w:val="00DD70F4"/>
    <w:rsid w:val="00DD786C"/>
    <w:rsid w:val="00DE0556"/>
    <w:rsid w:val="00DE074F"/>
    <w:rsid w:val="00DE0B91"/>
    <w:rsid w:val="00DE0CD8"/>
    <w:rsid w:val="00DE0EA8"/>
    <w:rsid w:val="00DE110E"/>
    <w:rsid w:val="00DE12F3"/>
    <w:rsid w:val="00DE1911"/>
    <w:rsid w:val="00DE1B4F"/>
    <w:rsid w:val="00DE1D2D"/>
    <w:rsid w:val="00DE1D7C"/>
    <w:rsid w:val="00DE2066"/>
    <w:rsid w:val="00DE28F2"/>
    <w:rsid w:val="00DE291A"/>
    <w:rsid w:val="00DE2C38"/>
    <w:rsid w:val="00DE305A"/>
    <w:rsid w:val="00DE30C2"/>
    <w:rsid w:val="00DE33E1"/>
    <w:rsid w:val="00DE352E"/>
    <w:rsid w:val="00DE354E"/>
    <w:rsid w:val="00DE35B6"/>
    <w:rsid w:val="00DE3600"/>
    <w:rsid w:val="00DE3658"/>
    <w:rsid w:val="00DE3660"/>
    <w:rsid w:val="00DE3740"/>
    <w:rsid w:val="00DE3825"/>
    <w:rsid w:val="00DE3D65"/>
    <w:rsid w:val="00DE4462"/>
    <w:rsid w:val="00DE4561"/>
    <w:rsid w:val="00DE4976"/>
    <w:rsid w:val="00DE4C64"/>
    <w:rsid w:val="00DE4ED8"/>
    <w:rsid w:val="00DE5337"/>
    <w:rsid w:val="00DE534B"/>
    <w:rsid w:val="00DE5DAE"/>
    <w:rsid w:val="00DE5F9A"/>
    <w:rsid w:val="00DE6364"/>
    <w:rsid w:val="00DE63B4"/>
    <w:rsid w:val="00DE6412"/>
    <w:rsid w:val="00DE6922"/>
    <w:rsid w:val="00DE6CE1"/>
    <w:rsid w:val="00DE72D8"/>
    <w:rsid w:val="00DE72E1"/>
    <w:rsid w:val="00DE740C"/>
    <w:rsid w:val="00DE7586"/>
    <w:rsid w:val="00DE75B9"/>
    <w:rsid w:val="00DE76BC"/>
    <w:rsid w:val="00DE7729"/>
    <w:rsid w:val="00DE7F68"/>
    <w:rsid w:val="00DF0007"/>
    <w:rsid w:val="00DF0008"/>
    <w:rsid w:val="00DF00A2"/>
    <w:rsid w:val="00DF0387"/>
    <w:rsid w:val="00DF06D1"/>
    <w:rsid w:val="00DF08F5"/>
    <w:rsid w:val="00DF09BB"/>
    <w:rsid w:val="00DF0AC7"/>
    <w:rsid w:val="00DF0BC6"/>
    <w:rsid w:val="00DF0D75"/>
    <w:rsid w:val="00DF1197"/>
    <w:rsid w:val="00DF1548"/>
    <w:rsid w:val="00DF16FA"/>
    <w:rsid w:val="00DF17C5"/>
    <w:rsid w:val="00DF1B32"/>
    <w:rsid w:val="00DF1D3D"/>
    <w:rsid w:val="00DF1F3B"/>
    <w:rsid w:val="00DF2199"/>
    <w:rsid w:val="00DF24D4"/>
    <w:rsid w:val="00DF24D5"/>
    <w:rsid w:val="00DF2741"/>
    <w:rsid w:val="00DF28C3"/>
    <w:rsid w:val="00DF28CB"/>
    <w:rsid w:val="00DF2983"/>
    <w:rsid w:val="00DF2E58"/>
    <w:rsid w:val="00DF3087"/>
    <w:rsid w:val="00DF35EF"/>
    <w:rsid w:val="00DF3705"/>
    <w:rsid w:val="00DF3D7C"/>
    <w:rsid w:val="00DF3FB0"/>
    <w:rsid w:val="00DF40BD"/>
    <w:rsid w:val="00DF4758"/>
    <w:rsid w:val="00DF48F5"/>
    <w:rsid w:val="00DF4927"/>
    <w:rsid w:val="00DF4F79"/>
    <w:rsid w:val="00DF507F"/>
    <w:rsid w:val="00DF554D"/>
    <w:rsid w:val="00DF576F"/>
    <w:rsid w:val="00DF58BC"/>
    <w:rsid w:val="00DF5BE3"/>
    <w:rsid w:val="00DF5D06"/>
    <w:rsid w:val="00DF5F70"/>
    <w:rsid w:val="00DF6122"/>
    <w:rsid w:val="00DF62DB"/>
    <w:rsid w:val="00DF6667"/>
    <w:rsid w:val="00DF66B7"/>
    <w:rsid w:val="00DF68C4"/>
    <w:rsid w:val="00DF6C35"/>
    <w:rsid w:val="00DF6DD9"/>
    <w:rsid w:val="00DF7124"/>
    <w:rsid w:val="00DF7320"/>
    <w:rsid w:val="00DF7433"/>
    <w:rsid w:val="00DF7465"/>
    <w:rsid w:val="00DF7560"/>
    <w:rsid w:val="00DF7682"/>
    <w:rsid w:val="00DF78DE"/>
    <w:rsid w:val="00DF7CA7"/>
    <w:rsid w:val="00DF7D59"/>
    <w:rsid w:val="00DF7F6D"/>
    <w:rsid w:val="00DF7F9B"/>
    <w:rsid w:val="00E003DE"/>
    <w:rsid w:val="00E00427"/>
    <w:rsid w:val="00E005AA"/>
    <w:rsid w:val="00E0095A"/>
    <w:rsid w:val="00E00A7F"/>
    <w:rsid w:val="00E00BAB"/>
    <w:rsid w:val="00E00CA8"/>
    <w:rsid w:val="00E01174"/>
    <w:rsid w:val="00E01404"/>
    <w:rsid w:val="00E017F5"/>
    <w:rsid w:val="00E019FC"/>
    <w:rsid w:val="00E01A90"/>
    <w:rsid w:val="00E0209A"/>
    <w:rsid w:val="00E02147"/>
    <w:rsid w:val="00E02795"/>
    <w:rsid w:val="00E02815"/>
    <w:rsid w:val="00E0316F"/>
    <w:rsid w:val="00E03549"/>
    <w:rsid w:val="00E03709"/>
    <w:rsid w:val="00E0370A"/>
    <w:rsid w:val="00E03898"/>
    <w:rsid w:val="00E038F6"/>
    <w:rsid w:val="00E03AC2"/>
    <w:rsid w:val="00E04144"/>
    <w:rsid w:val="00E044A6"/>
    <w:rsid w:val="00E0470E"/>
    <w:rsid w:val="00E04B9E"/>
    <w:rsid w:val="00E04B9F"/>
    <w:rsid w:val="00E04E00"/>
    <w:rsid w:val="00E04FAA"/>
    <w:rsid w:val="00E05046"/>
    <w:rsid w:val="00E05097"/>
    <w:rsid w:val="00E05165"/>
    <w:rsid w:val="00E051C8"/>
    <w:rsid w:val="00E051EE"/>
    <w:rsid w:val="00E05317"/>
    <w:rsid w:val="00E0534C"/>
    <w:rsid w:val="00E05402"/>
    <w:rsid w:val="00E05443"/>
    <w:rsid w:val="00E05514"/>
    <w:rsid w:val="00E05751"/>
    <w:rsid w:val="00E057C1"/>
    <w:rsid w:val="00E05968"/>
    <w:rsid w:val="00E05B55"/>
    <w:rsid w:val="00E05B8F"/>
    <w:rsid w:val="00E05F66"/>
    <w:rsid w:val="00E063E2"/>
    <w:rsid w:val="00E06454"/>
    <w:rsid w:val="00E06D84"/>
    <w:rsid w:val="00E06E26"/>
    <w:rsid w:val="00E0712A"/>
    <w:rsid w:val="00E07179"/>
    <w:rsid w:val="00E07511"/>
    <w:rsid w:val="00E07955"/>
    <w:rsid w:val="00E07B62"/>
    <w:rsid w:val="00E07C2D"/>
    <w:rsid w:val="00E07DD8"/>
    <w:rsid w:val="00E07E9C"/>
    <w:rsid w:val="00E07EB8"/>
    <w:rsid w:val="00E07F78"/>
    <w:rsid w:val="00E1015B"/>
    <w:rsid w:val="00E10385"/>
    <w:rsid w:val="00E103F8"/>
    <w:rsid w:val="00E10C0F"/>
    <w:rsid w:val="00E10DDF"/>
    <w:rsid w:val="00E114E8"/>
    <w:rsid w:val="00E11A5E"/>
    <w:rsid w:val="00E11A99"/>
    <w:rsid w:val="00E11B19"/>
    <w:rsid w:val="00E11BAF"/>
    <w:rsid w:val="00E11BE3"/>
    <w:rsid w:val="00E11E7E"/>
    <w:rsid w:val="00E12054"/>
    <w:rsid w:val="00E12088"/>
    <w:rsid w:val="00E120CF"/>
    <w:rsid w:val="00E121DE"/>
    <w:rsid w:val="00E122A5"/>
    <w:rsid w:val="00E1247E"/>
    <w:rsid w:val="00E125FB"/>
    <w:rsid w:val="00E129D0"/>
    <w:rsid w:val="00E12A19"/>
    <w:rsid w:val="00E12B44"/>
    <w:rsid w:val="00E12D6F"/>
    <w:rsid w:val="00E12FDB"/>
    <w:rsid w:val="00E13074"/>
    <w:rsid w:val="00E13076"/>
    <w:rsid w:val="00E130F9"/>
    <w:rsid w:val="00E13188"/>
    <w:rsid w:val="00E131C3"/>
    <w:rsid w:val="00E1320F"/>
    <w:rsid w:val="00E13319"/>
    <w:rsid w:val="00E133C5"/>
    <w:rsid w:val="00E13455"/>
    <w:rsid w:val="00E1360C"/>
    <w:rsid w:val="00E136BE"/>
    <w:rsid w:val="00E139C9"/>
    <w:rsid w:val="00E13D6C"/>
    <w:rsid w:val="00E13EF6"/>
    <w:rsid w:val="00E14731"/>
    <w:rsid w:val="00E14759"/>
    <w:rsid w:val="00E148D1"/>
    <w:rsid w:val="00E149FB"/>
    <w:rsid w:val="00E14A5F"/>
    <w:rsid w:val="00E14E2B"/>
    <w:rsid w:val="00E1524E"/>
    <w:rsid w:val="00E152EE"/>
    <w:rsid w:val="00E15474"/>
    <w:rsid w:val="00E15572"/>
    <w:rsid w:val="00E159CE"/>
    <w:rsid w:val="00E15A95"/>
    <w:rsid w:val="00E15B88"/>
    <w:rsid w:val="00E15E01"/>
    <w:rsid w:val="00E15FE0"/>
    <w:rsid w:val="00E163A6"/>
    <w:rsid w:val="00E16E02"/>
    <w:rsid w:val="00E16F85"/>
    <w:rsid w:val="00E172CA"/>
    <w:rsid w:val="00E1738E"/>
    <w:rsid w:val="00E174D6"/>
    <w:rsid w:val="00E17545"/>
    <w:rsid w:val="00E17A6E"/>
    <w:rsid w:val="00E20190"/>
    <w:rsid w:val="00E2034C"/>
    <w:rsid w:val="00E20392"/>
    <w:rsid w:val="00E204FE"/>
    <w:rsid w:val="00E206C3"/>
    <w:rsid w:val="00E20AA7"/>
    <w:rsid w:val="00E20B39"/>
    <w:rsid w:val="00E20DF1"/>
    <w:rsid w:val="00E20E9D"/>
    <w:rsid w:val="00E20FCC"/>
    <w:rsid w:val="00E211C5"/>
    <w:rsid w:val="00E21364"/>
    <w:rsid w:val="00E21697"/>
    <w:rsid w:val="00E21823"/>
    <w:rsid w:val="00E21A01"/>
    <w:rsid w:val="00E21BC5"/>
    <w:rsid w:val="00E21E37"/>
    <w:rsid w:val="00E21E5E"/>
    <w:rsid w:val="00E22096"/>
    <w:rsid w:val="00E221B9"/>
    <w:rsid w:val="00E22335"/>
    <w:rsid w:val="00E2251F"/>
    <w:rsid w:val="00E228E5"/>
    <w:rsid w:val="00E22B6E"/>
    <w:rsid w:val="00E22C48"/>
    <w:rsid w:val="00E22C52"/>
    <w:rsid w:val="00E22D99"/>
    <w:rsid w:val="00E22FC1"/>
    <w:rsid w:val="00E23159"/>
    <w:rsid w:val="00E23263"/>
    <w:rsid w:val="00E2329C"/>
    <w:rsid w:val="00E23366"/>
    <w:rsid w:val="00E236C6"/>
    <w:rsid w:val="00E23885"/>
    <w:rsid w:val="00E238B8"/>
    <w:rsid w:val="00E239C3"/>
    <w:rsid w:val="00E23ABC"/>
    <w:rsid w:val="00E23AE2"/>
    <w:rsid w:val="00E23B6E"/>
    <w:rsid w:val="00E23B9A"/>
    <w:rsid w:val="00E23E77"/>
    <w:rsid w:val="00E24102"/>
    <w:rsid w:val="00E24196"/>
    <w:rsid w:val="00E243FC"/>
    <w:rsid w:val="00E24559"/>
    <w:rsid w:val="00E24633"/>
    <w:rsid w:val="00E247A6"/>
    <w:rsid w:val="00E24BC9"/>
    <w:rsid w:val="00E24DE0"/>
    <w:rsid w:val="00E24ED2"/>
    <w:rsid w:val="00E2555D"/>
    <w:rsid w:val="00E25A72"/>
    <w:rsid w:val="00E25B4C"/>
    <w:rsid w:val="00E25CCF"/>
    <w:rsid w:val="00E25D73"/>
    <w:rsid w:val="00E25F74"/>
    <w:rsid w:val="00E25FD4"/>
    <w:rsid w:val="00E26300"/>
    <w:rsid w:val="00E263D8"/>
    <w:rsid w:val="00E26692"/>
    <w:rsid w:val="00E26852"/>
    <w:rsid w:val="00E268CE"/>
    <w:rsid w:val="00E269D7"/>
    <w:rsid w:val="00E26D53"/>
    <w:rsid w:val="00E26E81"/>
    <w:rsid w:val="00E2716E"/>
    <w:rsid w:val="00E27435"/>
    <w:rsid w:val="00E27553"/>
    <w:rsid w:val="00E2767F"/>
    <w:rsid w:val="00E276DE"/>
    <w:rsid w:val="00E27A53"/>
    <w:rsid w:val="00E27C79"/>
    <w:rsid w:val="00E27D41"/>
    <w:rsid w:val="00E300BD"/>
    <w:rsid w:val="00E3083D"/>
    <w:rsid w:val="00E30897"/>
    <w:rsid w:val="00E309D2"/>
    <w:rsid w:val="00E30ACA"/>
    <w:rsid w:val="00E30DFF"/>
    <w:rsid w:val="00E30E94"/>
    <w:rsid w:val="00E31064"/>
    <w:rsid w:val="00E311E3"/>
    <w:rsid w:val="00E317EA"/>
    <w:rsid w:val="00E318E0"/>
    <w:rsid w:val="00E31E9C"/>
    <w:rsid w:val="00E31EC3"/>
    <w:rsid w:val="00E32127"/>
    <w:rsid w:val="00E322B5"/>
    <w:rsid w:val="00E3250E"/>
    <w:rsid w:val="00E326B6"/>
    <w:rsid w:val="00E327D4"/>
    <w:rsid w:val="00E3296B"/>
    <w:rsid w:val="00E32985"/>
    <w:rsid w:val="00E32CE4"/>
    <w:rsid w:val="00E32EF3"/>
    <w:rsid w:val="00E32F68"/>
    <w:rsid w:val="00E3334E"/>
    <w:rsid w:val="00E33491"/>
    <w:rsid w:val="00E335D5"/>
    <w:rsid w:val="00E3365E"/>
    <w:rsid w:val="00E33A4C"/>
    <w:rsid w:val="00E33A50"/>
    <w:rsid w:val="00E33BD0"/>
    <w:rsid w:val="00E33C5E"/>
    <w:rsid w:val="00E33CEC"/>
    <w:rsid w:val="00E33DE9"/>
    <w:rsid w:val="00E33E62"/>
    <w:rsid w:val="00E33F98"/>
    <w:rsid w:val="00E34156"/>
    <w:rsid w:val="00E3507E"/>
    <w:rsid w:val="00E350FC"/>
    <w:rsid w:val="00E351A5"/>
    <w:rsid w:val="00E351F9"/>
    <w:rsid w:val="00E35384"/>
    <w:rsid w:val="00E35390"/>
    <w:rsid w:val="00E3556F"/>
    <w:rsid w:val="00E3564F"/>
    <w:rsid w:val="00E35871"/>
    <w:rsid w:val="00E35AA6"/>
    <w:rsid w:val="00E35AC5"/>
    <w:rsid w:val="00E36196"/>
    <w:rsid w:val="00E36483"/>
    <w:rsid w:val="00E364E8"/>
    <w:rsid w:val="00E36D4D"/>
    <w:rsid w:val="00E36EE5"/>
    <w:rsid w:val="00E36FD9"/>
    <w:rsid w:val="00E3769A"/>
    <w:rsid w:val="00E378C4"/>
    <w:rsid w:val="00E378EC"/>
    <w:rsid w:val="00E379F2"/>
    <w:rsid w:val="00E37B9B"/>
    <w:rsid w:val="00E37BA8"/>
    <w:rsid w:val="00E37F75"/>
    <w:rsid w:val="00E37FD7"/>
    <w:rsid w:val="00E4019B"/>
    <w:rsid w:val="00E4081E"/>
    <w:rsid w:val="00E40AEB"/>
    <w:rsid w:val="00E40F6D"/>
    <w:rsid w:val="00E410A5"/>
    <w:rsid w:val="00E413E9"/>
    <w:rsid w:val="00E41728"/>
    <w:rsid w:val="00E418F5"/>
    <w:rsid w:val="00E4198A"/>
    <w:rsid w:val="00E42218"/>
    <w:rsid w:val="00E422FC"/>
    <w:rsid w:val="00E42357"/>
    <w:rsid w:val="00E424A4"/>
    <w:rsid w:val="00E42525"/>
    <w:rsid w:val="00E4269E"/>
    <w:rsid w:val="00E426F9"/>
    <w:rsid w:val="00E427CE"/>
    <w:rsid w:val="00E429DB"/>
    <w:rsid w:val="00E42D92"/>
    <w:rsid w:val="00E42D96"/>
    <w:rsid w:val="00E431E9"/>
    <w:rsid w:val="00E43322"/>
    <w:rsid w:val="00E43453"/>
    <w:rsid w:val="00E4361F"/>
    <w:rsid w:val="00E438F9"/>
    <w:rsid w:val="00E4420B"/>
    <w:rsid w:val="00E44235"/>
    <w:rsid w:val="00E44521"/>
    <w:rsid w:val="00E445A4"/>
    <w:rsid w:val="00E44813"/>
    <w:rsid w:val="00E44907"/>
    <w:rsid w:val="00E45159"/>
    <w:rsid w:val="00E4522F"/>
    <w:rsid w:val="00E4531F"/>
    <w:rsid w:val="00E453D5"/>
    <w:rsid w:val="00E455C8"/>
    <w:rsid w:val="00E456B8"/>
    <w:rsid w:val="00E456D5"/>
    <w:rsid w:val="00E45D0B"/>
    <w:rsid w:val="00E45DD3"/>
    <w:rsid w:val="00E45E50"/>
    <w:rsid w:val="00E460D5"/>
    <w:rsid w:val="00E46116"/>
    <w:rsid w:val="00E46235"/>
    <w:rsid w:val="00E4656D"/>
    <w:rsid w:val="00E46676"/>
    <w:rsid w:val="00E46989"/>
    <w:rsid w:val="00E46CB0"/>
    <w:rsid w:val="00E46D65"/>
    <w:rsid w:val="00E4702F"/>
    <w:rsid w:val="00E47530"/>
    <w:rsid w:val="00E47550"/>
    <w:rsid w:val="00E477B9"/>
    <w:rsid w:val="00E47A00"/>
    <w:rsid w:val="00E47B48"/>
    <w:rsid w:val="00E47F05"/>
    <w:rsid w:val="00E500A1"/>
    <w:rsid w:val="00E5019D"/>
    <w:rsid w:val="00E501CA"/>
    <w:rsid w:val="00E502F0"/>
    <w:rsid w:val="00E50475"/>
    <w:rsid w:val="00E508AD"/>
    <w:rsid w:val="00E509AB"/>
    <w:rsid w:val="00E509DF"/>
    <w:rsid w:val="00E50CEC"/>
    <w:rsid w:val="00E50EF3"/>
    <w:rsid w:val="00E5199E"/>
    <w:rsid w:val="00E51B67"/>
    <w:rsid w:val="00E51E55"/>
    <w:rsid w:val="00E52544"/>
    <w:rsid w:val="00E52569"/>
    <w:rsid w:val="00E53101"/>
    <w:rsid w:val="00E53182"/>
    <w:rsid w:val="00E533B0"/>
    <w:rsid w:val="00E53404"/>
    <w:rsid w:val="00E53541"/>
    <w:rsid w:val="00E53810"/>
    <w:rsid w:val="00E539B9"/>
    <w:rsid w:val="00E53C2E"/>
    <w:rsid w:val="00E53F1E"/>
    <w:rsid w:val="00E53F43"/>
    <w:rsid w:val="00E53F79"/>
    <w:rsid w:val="00E541D6"/>
    <w:rsid w:val="00E54255"/>
    <w:rsid w:val="00E542BD"/>
    <w:rsid w:val="00E5433A"/>
    <w:rsid w:val="00E54342"/>
    <w:rsid w:val="00E545E0"/>
    <w:rsid w:val="00E5465D"/>
    <w:rsid w:val="00E5483A"/>
    <w:rsid w:val="00E54B60"/>
    <w:rsid w:val="00E54D11"/>
    <w:rsid w:val="00E550BE"/>
    <w:rsid w:val="00E55275"/>
    <w:rsid w:val="00E552C2"/>
    <w:rsid w:val="00E553FE"/>
    <w:rsid w:val="00E555C5"/>
    <w:rsid w:val="00E55679"/>
    <w:rsid w:val="00E55F2E"/>
    <w:rsid w:val="00E561B5"/>
    <w:rsid w:val="00E5640A"/>
    <w:rsid w:val="00E56599"/>
    <w:rsid w:val="00E568A7"/>
    <w:rsid w:val="00E56C87"/>
    <w:rsid w:val="00E56F06"/>
    <w:rsid w:val="00E56FB9"/>
    <w:rsid w:val="00E57AE6"/>
    <w:rsid w:val="00E57B97"/>
    <w:rsid w:val="00E57CA4"/>
    <w:rsid w:val="00E57CB5"/>
    <w:rsid w:val="00E57EEF"/>
    <w:rsid w:val="00E60523"/>
    <w:rsid w:val="00E60648"/>
    <w:rsid w:val="00E608B4"/>
    <w:rsid w:val="00E608D3"/>
    <w:rsid w:val="00E60C56"/>
    <w:rsid w:val="00E60FA3"/>
    <w:rsid w:val="00E613AB"/>
    <w:rsid w:val="00E6148E"/>
    <w:rsid w:val="00E6178E"/>
    <w:rsid w:val="00E61919"/>
    <w:rsid w:val="00E61B0B"/>
    <w:rsid w:val="00E61C4A"/>
    <w:rsid w:val="00E61F89"/>
    <w:rsid w:val="00E61FA1"/>
    <w:rsid w:val="00E61FC7"/>
    <w:rsid w:val="00E61FE8"/>
    <w:rsid w:val="00E624A7"/>
    <w:rsid w:val="00E627F5"/>
    <w:rsid w:val="00E62827"/>
    <w:rsid w:val="00E628DA"/>
    <w:rsid w:val="00E62A3B"/>
    <w:rsid w:val="00E62D01"/>
    <w:rsid w:val="00E62F23"/>
    <w:rsid w:val="00E630DE"/>
    <w:rsid w:val="00E635A3"/>
    <w:rsid w:val="00E6372E"/>
    <w:rsid w:val="00E637E2"/>
    <w:rsid w:val="00E63EE0"/>
    <w:rsid w:val="00E63FEC"/>
    <w:rsid w:val="00E64107"/>
    <w:rsid w:val="00E6462F"/>
    <w:rsid w:val="00E64C05"/>
    <w:rsid w:val="00E64EF3"/>
    <w:rsid w:val="00E64F2A"/>
    <w:rsid w:val="00E65083"/>
    <w:rsid w:val="00E653A1"/>
    <w:rsid w:val="00E65564"/>
    <w:rsid w:val="00E6599E"/>
    <w:rsid w:val="00E65A14"/>
    <w:rsid w:val="00E65A52"/>
    <w:rsid w:val="00E65A67"/>
    <w:rsid w:val="00E65B5E"/>
    <w:rsid w:val="00E65B73"/>
    <w:rsid w:val="00E65D02"/>
    <w:rsid w:val="00E65E44"/>
    <w:rsid w:val="00E65EE9"/>
    <w:rsid w:val="00E65F8A"/>
    <w:rsid w:val="00E65FFC"/>
    <w:rsid w:val="00E661E3"/>
    <w:rsid w:val="00E665A5"/>
    <w:rsid w:val="00E665F0"/>
    <w:rsid w:val="00E66621"/>
    <w:rsid w:val="00E666EC"/>
    <w:rsid w:val="00E66729"/>
    <w:rsid w:val="00E667C1"/>
    <w:rsid w:val="00E66824"/>
    <w:rsid w:val="00E66858"/>
    <w:rsid w:val="00E668BA"/>
    <w:rsid w:val="00E66F28"/>
    <w:rsid w:val="00E6721B"/>
    <w:rsid w:val="00E67357"/>
    <w:rsid w:val="00E674BF"/>
    <w:rsid w:val="00E678AD"/>
    <w:rsid w:val="00E67998"/>
    <w:rsid w:val="00E67BA0"/>
    <w:rsid w:val="00E67E01"/>
    <w:rsid w:val="00E67F71"/>
    <w:rsid w:val="00E70014"/>
    <w:rsid w:val="00E701EB"/>
    <w:rsid w:val="00E7034D"/>
    <w:rsid w:val="00E706C4"/>
    <w:rsid w:val="00E70797"/>
    <w:rsid w:val="00E70895"/>
    <w:rsid w:val="00E709A0"/>
    <w:rsid w:val="00E70A49"/>
    <w:rsid w:val="00E70CDE"/>
    <w:rsid w:val="00E70CEB"/>
    <w:rsid w:val="00E71027"/>
    <w:rsid w:val="00E711AB"/>
    <w:rsid w:val="00E7124E"/>
    <w:rsid w:val="00E713B3"/>
    <w:rsid w:val="00E71504"/>
    <w:rsid w:val="00E71567"/>
    <w:rsid w:val="00E716F6"/>
    <w:rsid w:val="00E71914"/>
    <w:rsid w:val="00E71A2A"/>
    <w:rsid w:val="00E71A57"/>
    <w:rsid w:val="00E71ACB"/>
    <w:rsid w:val="00E71AFB"/>
    <w:rsid w:val="00E71CB7"/>
    <w:rsid w:val="00E71D9B"/>
    <w:rsid w:val="00E71DA5"/>
    <w:rsid w:val="00E7206D"/>
    <w:rsid w:val="00E720FB"/>
    <w:rsid w:val="00E72697"/>
    <w:rsid w:val="00E72926"/>
    <w:rsid w:val="00E72C50"/>
    <w:rsid w:val="00E72ECE"/>
    <w:rsid w:val="00E72F7C"/>
    <w:rsid w:val="00E73082"/>
    <w:rsid w:val="00E7337C"/>
    <w:rsid w:val="00E73745"/>
    <w:rsid w:val="00E73865"/>
    <w:rsid w:val="00E73A7D"/>
    <w:rsid w:val="00E73BF9"/>
    <w:rsid w:val="00E74064"/>
    <w:rsid w:val="00E740BA"/>
    <w:rsid w:val="00E74148"/>
    <w:rsid w:val="00E74228"/>
    <w:rsid w:val="00E74BA6"/>
    <w:rsid w:val="00E74ED0"/>
    <w:rsid w:val="00E750C5"/>
    <w:rsid w:val="00E75156"/>
    <w:rsid w:val="00E75422"/>
    <w:rsid w:val="00E75467"/>
    <w:rsid w:val="00E75947"/>
    <w:rsid w:val="00E7596A"/>
    <w:rsid w:val="00E759B2"/>
    <w:rsid w:val="00E75B45"/>
    <w:rsid w:val="00E75FC2"/>
    <w:rsid w:val="00E76202"/>
    <w:rsid w:val="00E762C5"/>
    <w:rsid w:val="00E763A2"/>
    <w:rsid w:val="00E7641C"/>
    <w:rsid w:val="00E7642C"/>
    <w:rsid w:val="00E764AC"/>
    <w:rsid w:val="00E765E8"/>
    <w:rsid w:val="00E77057"/>
    <w:rsid w:val="00E7732E"/>
    <w:rsid w:val="00E773E4"/>
    <w:rsid w:val="00E7740C"/>
    <w:rsid w:val="00E77432"/>
    <w:rsid w:val="00E776BB"/>
    <w:rsid w:val="00E777E4"/>
    <w:rsid w:val="00E77B4C"/>
    <w:rsid w:val="00E77CAD"/>
    <w:rsid w:val="00E77FA8"/>
    <w:rsid w:val="00E80015"/>
    <w:rsid w:val="00E8026D"/>
    <w:rsid w:val="00E8030A"/>
    <w:rsid w:val="00E80500"/>
    <w:rsid w:val="00E8094F"/>
    <w:rsid w:val="00E80A2B"/>
    <w:rsid w:val="00E80C42"/>
    <w:rsid w:val="00E813C0"/>
    <w:rsid w:val="00E81459"/>
    <w:rsid w:val="00E82093"/>
    <w:rsid w:val="00E821F0"/>
    <w:rsid w:val="00E82324"/>
    <w:rsid w:val="00E82471"/>
    <w:rsid w:val="00E8265B"/>
    <w:rsid w:val="00E826FB"/>
    <w:rsid w:val="00E8271A"/>
    <w:rsid w:val="00E8286F"/>
    <w:rsid w:val="00E8293D"/>
    <w:rsid w:val="00E82AE3"/>
    <w:rsid w:val="00E82FD4"/>
    <w:rsid w:val="00E8303D"/>
    <w:rsid w:val="00E8324C"/>
    <w:rsid w:val="00E835C1"/>
    <w:rsid w:val="00E83F5F"/>
    <w:rsid w:val="00E83F95"/>
    <w:rsid w:val="00E840FB"/>
    <w:rsid w:val="00E84258"/>
    <w:rsid w:val="00E84526"/>
    <w:rsid w:val="00E846A9"/>
    <w:rsid w:val="00E84719"/>
    <w:rsid w:val="00E848C4"/>
    <w:rsid w:val="00E84A60"/>
    <w:rsid w:val="00E84F79"/>
    <w:rsid w:val="00E8511A"/>
    <w:rsid w:val="00E853C8"/>
    <w:rsid w:val="00E853F5"/>
    <w:rsid w:val="00E85449"/>
    <w:rsid w:val="00E859F1"/>
    <w:rsid w:val="00E85A91"/>
    <w:rsid w:val="00E85B5F"/>
    <w:rsid w:val="00E85BE3"/>
    <w:rsid w:val="00E85C82"/>
    <w:rsid w:val="00E85F3D"/>
    <w:rsid w:val="00E8639A"/>
    <w:rsid w:val="00E86577"/>
    <w:rsid w:val="00E86799"/>
    <w:rsid w:val="00E86D66"/>
    <w:rsid w:val="00E87307"/>
    <w:rsid w:val="00E87313"/>
    <w:rsid w:val="00E87333"/>
    <w:rsid w:val="00E87362"/>
    <w:rsid w:val="00E8748C"/>
    <w:rsid w:val="00E87722"/>
    <w:rsid w:val="00E87744"/>
    <w:rsid w:val="00E87A47"/>
    <w:rsid w:val="00E87D94"/>
    <w:rsid w:val="00E87F55"/>
    <w:rsid w:val="00E87FC4"/>
    <w:rsid w:val="00E90A1C"/>
    <w:rsid w:val="00E91109"/>
    <w:rsid w:val="00E9155C"/>
    <w:rsid w:val="00E9161A"/>
    <w:rsid w:val="00E918A6"/>
    <w:rsid w:val="00E91BB1"/>
    <w:rsid w:val="00E91BB4"/>
    <w:rsid w:val="00E91C63"/>
    <w:rsid w:val="00E91CD1"/>
    <w:rsid w:val="00E91E00"/>
    <w:rsid w:val="00E922BF"/>
    <w:rsid w:val="00E9259F"/>
    <w:rsid w:val="00E926C9"/>
    <w:rsid w:val="00E92755"/>
    <w:rsid w:val="00E92762"/>
    <w:rsid w:val="00E92AEE"/>
    <w:rsid w:val="00E93126"/>
    <w:rsid w:val="00E93279"/>
    <w:rsid w:val="00E93799"/>
    <w:rsid w:val="00E93D4E"/>
    <w:rsid w:val="00E93FE0"/>
    <w:rsid w:val="00E940B2"/>
    <w:rsid w:val="00E946BB"/>
    <w:rsid w:val="00E9543D"/>
    <w:rsid w:val="00E95626"/>
    <w:rsid w:val="00E95723"/>
    <w:rsid w:val="00E95859"/>
    <w:rsid w:val="00E95AE1"/>
    <w:rsid w:val="00E95B16"/>
    <w:rsid w:val="00E95BFB"/>
    <w:rsid w:val="00E95C9A"/>
    <w:rsid w:val="00E95CBA"/>
    <w:rsid w:val="00E95D68"/>
    <w:rsid w:val="00E95E51"/>
    <w:rsid w:val="00E95EC2"/>
    <w:rsid w:val="00E95F2C"/>
    <w:rsid w:val="00E95FB8"/>
    <w:rsid w:val="00E96035"/>
    <w:rsid w:val="00E9629C"/>
    <w:rsid w:val="00E962BC"/>
    <w:rsid w:val="00E96DD1"/>
    <w:rsid w:val="00E96E58"/>
    <w:rsid w:val="00E96E77"/>
    <w:rsid w:val="00E96F2D"/>
    <w:rsid w:val="00E972C9"/>
    <w:rsid w:val="00E97485"/>
    <w:rsid w:val="00E97584"/>
    <w:rsid w:val="00E9772C"/>
    <w:rsid w:val="00E97795"/>
    <w:rsid w:val="00E977AA"/>
    <w:rsid w:val="00E977DB"/>
    <w:rsid w:val="00E97864"/>
    <w:rsid w:val="00E97D5E"/>
    <w:rsid w:val="00E97E68"/>
    <w:rsid w:val="00EA0241"/>
    <w:rsid w:val="00EA045F"/>
    <w:rsid w:val="00EA04DA"/>
    <w:rsid w:val="00EA0616"/>
    <w:rsid w:val="00EA0667"/>
    <w:rsid w:val="00EA0B1E"/>
    <w:rsid w:val="00EA0B68"/>
    <w:rsid w:val="00EA0D59"/>
    <w:rsid w:val="00EA0E76"/>
    <w:rsid w:val="00EA10C4"/>
    <w:rsid w:val="00EA135B"/>
    <w:rsid w:val="00EA1460"/>
    <w:rsid w:val="00EA16CF"/>
    <w:rsid w:val="00EA196E"/>
    <w:rsid w:val="00EA1A07"/>
    <w:rsid w:val="00EA1A27"/>
    <w:rsid w:val="00EA1B8C"/>
    <w:rsid w:val="00EA2194"/>
    <w:rsid w:val="00EA2267"/>
    <w:rsid w:val="00EA2441"/>
    <w:rsid w:val="00EA2903"/>
    <w:rsid w:val="00EA298F"/>
    <w:rsid w:val="00EA2B7A"/>
    <w:rsid w:val="00EA2F75"/>
    <w:rsid w:val="00EA3018"/>
    <w:rsid w:val="00EA3324"/>
    <w:rsid w:val="00EA33A6"/>
    <w:rsid w:val="00EA3E2B"/>
    <w:rsid w:val="00EA4020"/>
    <w:rsid w:val="00EA4240"/>
    <w:rsid w:val="00EA428B"/>
    <w:rsid w:val="00EA42F1"/>
    <w:rsid w:val="00EA4682"/>
    <w:rsid w:val="00EA4794"/>
    <w:rsid w:val="00EA487F"/>
    <w:rsid w:val="00EA49CD"/>
    <w:rsid w:val="00EA4A6D"/>
    <w:rsid w:val="00EA4EA4"/>
    <w:rsid w:val="00EA4EA8"/>
    <w:rsid w:val="00EA50D8"/>
    <w:rsid w:val="00EA522B"/>
    <w:rsid w:val="00EA5832"/>
    <w:rsid w:val="00EA5A22"/>
    <w:rsid w:val="00EA5A4F"/>
    <w:rsid w:val="00EA5AFA"/>
    <w:rsid w:val="00EA5B6F"/>
    <w:rsid w:val="00EA6602"/>
    <w:rsid w:val="00EA6ECA"/>
    <w:rsid w:val="00EA7007"/>
    <w:rsid w:val="00EA73A2"/>
    <w:rsid w:val="00EA75DC"/>
    <w:rsid w:val="00EA7828"/>
    <w:rsid w:val="00EA7A72"/>
    <w:rsid w:val="00EA7C4C"/>
    <w:rsid w:val="00EA7DEB"/>
    <w:rsid w:val="00EB0340"/>
    <w:rsid w:val="00EB077B"/>
    <w:rsid w:val="00EB0B6C"/>
    <w:rsid w:val="00EB0EB9"/>
    <w:rsid w:val="00EB0EEC"/>
    <w:rsid w:val="00EB190B"/>
    <w:rsid w:val="00EB1CD5"/>
    <w:rsid w:val="00EB1CE6"/>
    <w:rsid w:val="00EB1DAC"/>
    <w:rsid w:val="00EB1E29"/>
    <w:rsid w:val="00EB2769"/>
    <w:rsid w:val="00EB2874"/>
    <w:rsid w:val="00EB28DB"/>
    <w:rsid w:val="00EB29DD"/>
    <w:rsid w:val="00EB2A0D"/>
    <w:rsid w:val="00EB2F87"/>
    <w:rsid w:val="00EB2FD2"/>
    <w:rsid w:val="00EB2FDD"/>
    <w:rsid w:val="00EB3011"/>
    <w:rsid w:val="00EB303B"/>
    <w:rsid w:val="00EB31B9"/>
    <w:rsid w:val="00EB3664"/>
    <w:rsid w:val="00EB3DA5"/>
    <w:rsid w:val="00EB3F1C"/>
    <w:rsid w:val="00EB416E"/>
    <w:rsid w:val="00EB4313"/>
    <w:rsid w:val="00EB4A71"/>
    <w:rsid w:val="00EB4D0F"/>
    <w:rsid w:val="00EB534E"/>
    <w:rsid w:val="00EB5353"/>
    <w:rsid w:val="00EB5940"/>
    <w:rsid w:val="00EB59CA"/>
    <w:rsid w:val="00EB5B9D"/>
    <w:rsid w:val="00EB6798"/>
    <w:rsid w:val="00EB68EF"/>
    <w:rsid w:val="00EB6B54"/>
    <w:rsid w:val="00EB6BB7"/>
    <w:rsid w:val="00EB6BF9"/>
    <w:rsid w:val="00EB7333"/>
    <w:rsid w:val="00EB749E"/>
    <w:rsid w:val="00EB74A6"/>
    <w:rsid w:val="00EB76E7"/>
    <w:rsid w:val="00EB7788"/>
    <w:rsid w:val="00EB797E"/>
    <w:rsid w:val="00EB7AE0"/>
    <w:rsid w:val="00EB7EDD"/>
    <w:rsid w:val="00EB7EF5"/>
    <w:rsid w:val="00EB7F52"/>
    <w:rsid w:val="00EB7FF5"/>
    <w:rsid w:val="00EC01B0"/>
    <w:rsid w:val="00EC02E9"/>
    <w:rsid w:val="00EC0667"/>
    <w:rsid w:val="00EC0743"/>
    <w:rsid w:val="00EC094E"/>
    <w:rsid w:val="00EC0A27"/>
    <w:rsid w:val="00EC0B35"/>
    <w:rsid w:val="00EC0EB6"/>
    <w:rsid w:val="00EC0ED6"/>
    <w:rsid w:val="00EC13C2"/>
    <w:rsid w:val="00EC16BB"/>
    <w:rsid w:val="00EC1834"/>
    <w:rsid w:val="00EC1861"/>
    <w:rsid w:val="00EC19EA"/>
    <w:rsid w:val="00EC19F4"/>
    <w:rsid w:val="00EC1A4F"/>
    <w:rsid w:val="00EC1B80"/>
    <w:rsid w:val="00EC1DEF"/>
    <w:rsid w:val="00EC269B"/>
    <w:rsid w:val="00EC26D3"/>
    <w:rsid w:val="00EC2918"/>
    <w:rsid w:val="00EC2C0C"/>
    <w:rsid w:val="00EC2CA9"/>
    <w:rsid w:val="00EC3557"/>
    <w:rsid w:val="00EC37A8"/>
    <w:rsid w:val="00EC38B5"/>
    <w:rsid w:val="00EC39C6"/>
    <w:rsid w:val="00EC3A6B"/>
    <w:rsid w:val="00EC3D09"/>
    <w:rsid w:val="00EC3F3C"/>
    <w:rsid w:val="00EC4B5E"/>
    <w:rsid w:val="00EC4F5E"/>
    <w:rsid w:val="00EC4F76"/>
    <w:rsid w:val="00EC4F80"/>
    <w:rsid w:val="00EC4FF8"/>
    <w:rsid w:val="00EC52EE"/>
    <w:rsid w:val="00EC58D5"/>
    <w:rsid w:val="00EC58D8"/>
    <w:rsid w:val="00EC6183"/>
    <w:rsid w:val="00EC65D4"/>
    <w:rsid w:val="00EC67F6"/>
    <w:rsid w:val="00EC682B"/>
    <w:rsid w:val="00EC6D3D"/>
    <w:rsid w:val="00EC6FDA"/>
    <w:rsid w:val="00EC72C7"/>
    <w:rsid w:val="00EC7372"/>
    <w:rsid w:val="00EC73F8"/>
    <w:rsid w:val="00EC7590"/>
    <w:rsid w:val="00EC75A7"/>
    <w:rsid w:val="00EC76AA"/>
    <w:rsid w:val="00EC7851"/>
    <w:rsid w:val="00EC788C"/>
    <w:rsid w:val="00EC7F71"/>
    <w:rsid w:val="00ED0155"/>
    <w:rsid w:val="00ED01A6"/>
    <w:rsid w:val="00ED04F3"/>
    <w:rsid w:val="00ED0550"/>
    <w:rsid w:val="00ED067C"/>
    <w:rsid w:val="00ED0CB4"/>
    <w:rsid w:val="00ED1353"/>
    <w:rsid w:val="00ED1686"/>
    <w:rsid w:val="00ED1CD0"/>
    <w:rsid w:val="00ED20C8"/>
    <w:rsid w:val="00ED21AB"/>
    <w:rsid w:val="00ED2824"/>
    <w:rsid w:val="00ED2C72"/>
    <w:rsid w:val="00ED3995"/>
    <w:rsid w:val="00ED3B96"/>
    <w:rsid w:val="00ED4495"/>
    <w:rsid w:val="00ED44D6"/>
    <w:rsid w:val="00ED465C"/>
    <w:rsid w:val="00ED4867"/>
    <w:rsid w:val="00ED4E07"/>
    <w:rsid w:val="00ED542F"/>
    <w:rsid w:val="00ED5905"/>
    <w:rsid w:val="00ED59D0"/>
    <w:rsid w:val="00ED5C0F"/>
    <w:rsid w:val="00ED602B"/>
    <w:rsid w:val="00ED6042"/>
    <w:rsid w:val="00ED61AC"/>
    <w:rsid w:val="00ED63A3"/>
    <w:rsid w:val="00ED6AD4"/>
    <w:rsid w:val="00ED6B96"/>
    <w:rsid w:val="00ED6D5D"/>
    <w:rsid w:val="00ED71E1"/>
    <w:rsid w:val="00ED71EE"/>
    <w:rsid w:val="00ED7309"/>
    <w:rsid w:val="00ED732B"/>
    <w:rsid w:val="00ED78C3"/>
    <w:rsid w:val="00ED7A53"/>
    <w:rsid w:val="00ED7AE2"/>
    <w:rsid w:val="00ED7B5E"/>
    <w:rsid w:val="00ED7F43"/>
    <w:rsid w:val="00EE035C"/>
    <w:rsid w:val="00EE05F4"/>
    <w:rsid w:val="00EE0926"/>
    <w:rsid w:val="00EE0932"/>
    <w:rsid w:val="00EE0A27"/>
    <w:rsid w:val="00EE0D82"/>
    <w:rsid w:val="00EE0DA7"/>
    <w:rsid w:val="00EE0ED5"/>
    <w:rsid w:val="00EE1019"/>
    <w:rsid w:val="00EE10D5"/>
    <w:rsid w:val="00EE161B"/>
    <w:rsid w:val="00EE1622"/>
    <w:rsid w:val="00EE1951"/>
    <w:rsid w:val="00EE1B3E"/>
    <w:rsid w:val="00EE1BB6"/>
    <w:rsid w:val="00EE1E5C"/>
    <w:rsid w:val="00EE204E"/>
    <w:rsid w:val="00EE21AE"/>
    <w:rsid w:val="00EE272B"/>
    <w:rsid w:val="00EE27E9"/>
    <w:rsid w:val="00EE281B"/>
    <w:rsid w:val="00EE29B5"/>
    <w:rsid w:val="00EE2AAE"/>
    <w:rsid w:val="00EE2D67"/>
    <w:rsid w:val="00EE2DB3"/>
    <w:rsid w:val="00EE3073"/>
    <w:rsid w:val="00EE3153"/>
    <w:rsid w:val="00EE3257"/>
    <w:rsid w:val="00EE3916"/>
    <w:rsid w:val="00EE3964"/>
    <w:rsid w:val="00EE3B00"/>
    <w:rsid w:val="00EE442F"/>
    <w:rsid w:val="00EE4465"/>
    <w:rsid w:val="00EE45B8"/>
    <w:rsid w:val="00EE4A2C"/>
    <w:rsid w:val="00EE4AA2"/>
    <w:rsid w:val="00EE4BBF"/>
    <w:rsid w:val="00EE4EC1"/>
    <w:rsid w:val="00EE5154"/>
    <w:rsid w:val="00EE56C9"/>
    <w:rsid w:val="00EE5ADD"/>
    <w:rsid w:val="00EE5D24"/>
    <w:rsid w:val="00EE5F0D"/>
    <w:rsid w:val="00EE623A"/>
    <w:rsid w:val="00EE664D"/>
    <w:rsid w:val="00EE67DD"/>
    <w:rsid w:val="00EE6C68"/>
    <w:rsid w:val="00EE6F30"/>
    <w:rsid w:val="00EE72D1"/>
    <w:rsid w:val="00EE72E4"/>
    <w:rsid w:val="00EE7551"/>
    <w:rsid w:val="00EE7572"/>
    <w:rsid w:val="00EE75D7"/>
    <w:rsid w:val="00EE77A2"/>
    <w:rsid w:val="00EF004A"/>
    <w:rsid w:val="00EF03FF"/>
    <w:rsid w:val="00EF04B5"/>
    <w:rsid w:val="00EF0973"/>
    <w:rsid w:val="00EF0F78"/>
    <w:rsid w:val="00EF1002"/>
    <w:rsid w:val="00EF1305"/>
    <w:rsid w:val="00EF14EB"/>
    <w:rsid w:val="00EF1613"/>
    <w:rsid w:val="00EF1786"/>
    <w:rsid w:val="00EF18CA"/>
    <w:rsid w:val="00EF199A"/>
    <w:rsid w:val="00EF1CA6"/>
    <w:rsid w:val="00EF22CA"/>
    <w:rsid w:val="00EF24BE"/>
    <w:rsid w:val="00EF25F1"/>
    <w:rsid w:val="00EF273C"/>
    <w:rsid w:val="00EF2AC5"/>
    <w:rsid w:val="00EF2AFF"/>
    <w:rsid w:val="00EF2E62"/>
    <w:rsid w:val="00EF3023"/>
    <w:rsid w:val="00EF3111"/>
    <w:rsid w:val="00EF3252"/>
    <w:rsid w:val="00EF34C5"/>
    <w:rsid w:val="00EF353B"/>
    <w:rsid w:val="00EF3593"/>
    <w:rsid w:val="00EF365C"/>
    <w:rsid w:val="00EF398C"/>
    <w:rsid w:val="00EF3BA0"/>
    <w:rsid w:val="00EF3D6D"/>
    <w:rsid w:val="00EF3DFF"/>
    <w:rsid w:val="00EF42D1"/>
    <w:rsid w:val="00EF4699"/>
    <w:rsid w:val="00EF46A9"/>
    <w:rsid w:val="00EF46CC"/>
    <w:rsid w:val="00EF4C3A"/>
    <w:rsid w:val="00EF4C8D"/>
    <w:rsid w:val="00EF4DCA"/>
    <w:rsid w:val="00EF526B"/>
    <w:rsid w:val="00EF55BF"/>
    <w:rsid w:val="00EF5C68"/>
    <w:rsid w:val="00EF60FE"/>
    <w:rsid w:val="00EF6281"/>
    <w:rsid w:val="00EF6321"/>
    <w:rsid w:val="00EF6489"/>
    <w:rsid w:val="00EF661D"/>
    <w:rsid w:val="00EF66FF"/>
    <w:rsid w:val="00EF695C"/>
    <w:rsid w:val="00EF6DD2"/>
    <w:rsid w:val="00EF6EF5"/>
    <w:rsid w:val="00EF7072"/>
    <w:rsid w:val="00EF7523"/>
    <w:rsid w:val="00EF7658"/>
    <w:rsid w:val="00EF76ED"/>
    <w:rsid w:val="00EF7798"/>
    <w:rsid w:val="00EF784C"/>
    <w:rsid w:val="00EF7989"/>
    <w:rsid w:val="00EF79D3"/>
    <w:rsid w:val="00EF7A3F"/>
    <w:rsid w:val="00EF7E61"/>
    <w:rsid w:val="00F009AF"/>
    <w:rsid w:val="00F00A8E"/>
    <w:rsid w:val="00F00ABB"/>
    <w:rsid w:val="00F00AD5"/>
    <w:rsid w:val="00F00B17"/>
    <w:rsid w:val="00F012B2"/>
    <w:rsid w:val="00F0135A"/>
    <w:rsid w:val="00F01A65"/>
    <w:rsid w:val="00F02197"/>
    <w:rsid w:val="00F0219B"/>
    <w:rsid w:val="00F023D8"/>
    <w:rsid w:val="00F02440"/>
    <w:rsid w:val="00F02465"/>
    <w:rsid w:val="00F02500"/>
    <w:rsid w:val="00F027C0"/>
    <w:rsid w:val="00F02862"/>
    <w:rsid w:val="00F02901"/>
    <w:rsid w:val="00F037F9"/>
    <w:rsid w:val="00F03837"/>
    <w:rsid w:val="00F03934"/>
    <w:rsid w:val="00F03A90"/>
    <w:rsid w:val="00F03B2B"/>
    <w:rsid w:val="00F03B5F"/>
    <w:rsid w:val="00F03DB0"/>
    <w:rsid w:val="00F045F1"/>
    <w:rsid w:val="00F0480B"/>
    <w:rsid w:val="00F0481A"/>
    <w:rsid w:val="00F049E6"/>
    <w:rsid w:val="00F049E8"/>
    <w:rsid w:val="00F04F72"/>
    <w:rsid w:val="00F050D8"/>
    <w:rsid w:val="00F0544C"/>
    <w:rsid w:val="00F054F5"/>
    <w:rsid w:val="00F05602"/>
    <w:rsid w:val="00F059C8"/>
    <w:rsid w:val="00F05A7F"/>
    <w:rsid w:val="00F05A8D"/>
    <w:rsid w:val="00F05AF1"/>
    <w:rsid w:val="00F05C9A"/>
    <w:rsid w:val="00F05D80"/>
    <w:rsid w:val="00F06830"/>
    <w:rsid w:val="00F06A6B"/>
    <w:rsid w:val="00F06D2A"/>
    <w:rsid w:val="00F06E36"/>
    <w:rsid w:val="00F07501"/>
    <w:rsid w:val="00F07789"/>
    <w:rsid w:val="00F102C5"/>
    <w:rsid w:val="00F104E1"/>
    <w:rsid w:val="00F10541"/>
    <w:rsid w:val="00F109AA"/>
    <w:rsid w:val="00F10DA5"/>
    <w:rsid w:val="00F110EE"/>
    <w:rsid w:val="00F11159"/>
    <w:rsid w:val="00F11195"/>
    <w:rsid w:val="00F11230"/>
    <w:rsid w:val="00F11A18"/>
    <w:rsid w:val="00F11C38"/>
    <w:rsid w:val="00F11F62"/>
    <w:rsid w:val="00F12941"/>
    <w:rsid w:val="00F12BFC"/>
    <w:rsid w:val="00F13051"/>
    <w:rsid w:val="00F13119"/>
    <w:rsid w:val="00F133E9"/>
    <w:rsid w:val="00F133F2"/>
    <w:rsid w:val="00F1362E"/>
    <w:rsid w:val="00F13AF6"/>
    <w:rsid w:val="00F13B38"/>
    <w:rsid w:val="00F13CEE"/>
    <w:rsid w:val="00F13EA3"/>
    <w:rsid w:val="00F13ECB"/>
    <w:rsid w:val="00F13F15"/>
    <w:rsid w:val="00F13FAE"/>
    <w:rsid w:val="00F142C4"/>
    <w:rsid w:val="00F142CF"/>
    <w:rsid w:val="00F145D6"/>
    <w:rsid w:val="00F14823"/>
    <w:rsid w:val="00F14A4D"/>
    <w:rsid w:val="00F14E67"/>
    <w:rsid w:val="00F14FC2"/>
    <w:rsid w:val="00F150F8"/>
    <w:rsid w:val="00F152BC"/>
    <w:rsid w:val="00F15614"/>
    <w:rsid w:val="00F15A67"/>
    <w:rsid w:val="00F15A89"/>
    <w:rsid w:val="00F15D1D"/>
    <w:rsid w:val="00F15ED3"/>
    <w:rsid w:val="00F16074"/>
    <w:rsid w:val="00F1680A"/>
    <w:rsid w:val="00F16886"/>
    <w:rsid w:val="00F16C62"/>
    <w:rsid w:val="00F173E4"/>
    <w:rsid w:val="00F17590"/>
    <w:rsid w:val="00F17716"/>
    <w:rsid w:val="00F177F5"/>
    <w:rsid w:val="00F17953"/>
    <w:rsid w:val="00F17C03"/>
    <w:rsid w:val="00F17F15"/>
    <w:rsid w:val="00F17F43"/>
    <w:rsid w:val="00F2014C"/>
    <w:rsid w:val="00F203AB"/>
    <w:rsid w:val="00F2063F"/>
    <w:rsid w:val="00F20857"/>
    <w:rsid w:val="00F208E2"/>
    <w:rsid w:val="00F20A76"/>
    <w:rsid w:val="00F20C58"/>
    <w:rsid w:val="00F20F07"/>
    <w:rsid w:val="00F20F16"/>
    <w:rsid w:val="00F20F96"/>
    <w:rsid w:val="00F21120"/>
    <w:rsid w:val="00F213C7"/>
    <w:rsid w:val="00F213C8"/>
    <w:rsid w:val="00F21550"/>
    <w:rsid w:val="00F21821"/>
    <w:rsid w:val="00F21D0B"/>
    <w:rsid w:val="00F21DA8"/>
    <w:rsid w:val="00F21DD4"/>
    <w:rsid w:val="00F229BD"/>
    <w:rsid w:val="00F22B34"/>
    <w:rsid w:val="00F22B5D"/>
    <w:rsid w:val="00F22B63"/>
    <w:rsid w:val="00F22C32"/>
    <w:rsid w:val="00F22C8C"/>
    <w:rsid w:val="00F22D71"/>
    <w:rsid w:val="00F2357D"/>
    <w:rsid w:val="00F23605"/>
    <w:rsid w:val="00F23DB4"/>
    <w:rsid w:val="00F23DC8"/>
    <w:rsid w:val="00F23F9F"/>
    <w:rsid w:val="00F2424F"/>
    <w:rsid w:val="00F2443F"/>
    <w:rsid w:val="00F24564"/>
    <w:rsid w:val="00F24580"/>
    <w:rsid w:val="00F24607"/>
    <w:rsid w:val="00F247D4"/>
    <w:rsid w:val="00F24A48"/>
    <w:rsid w:val="00F24A59"/>
    <w:rsid w:val="00F25012"/>
    <w:rsid w:val="00F25485"/>
    <w:rsid w:val="00F25E1A"/>
    <w:rsid w:val="00F26131"/>
    <w:rsid w:val="00F262FC"/>
    <w:rsid w:val="00F26331"/>
    <w:rsid w:val="00F2658D"/>
    <w:rsid w:val="00F26666"/>
    <w:rsid w:val="00F26E9E"/>
    <w:rsid w:val="00F26F51"/>
    <w:rsid w:val="00F26F8E"/>
    <w:rsid w:val="00F2708E"/>
    <w:rsid w:val="00F270A8"/>
    <w:rsid w:val="00F271CD"/>
    <w:rsid w:val="00F276C5"/>
    <w:rsid w:val="00F277CB"/>
    <w:rsid w:val="00F279D3"/>
    <w:rsid w:val="00F27AAF"/>
    <w:rsid w:val="00F27AC7"/>
    <w:rsid w:val="00F27B03"/>
    <w:rsid w:val="00F27F89"/>
    <w:rsid w:val="00F30122"/>
    <w:rsid w:val="00F30976"/>
    <w:rsid w:val="00F30A24"/>
    <w:rsid w:val="00F30A9C"/>
    <w:rsid w:val="00F30EF5"/>
    <w:rsid w:val="00F31569"/>
    <w:rsid w:val="00F3162D"/>
    <w:rsid w:val="00F31911"/>
    <w:rsid w:val="00F31B14"/>
    <w:rsid w:val="00F320E2"/>
    <w:rsid w:val="00F322A0"/>
    <w:rsid w:val="00F32681"/>
    <w:rsid w:val="00F3269A"/>
    <w:rsid w:val="00F3281E"/>
    <w:rsid w:val="00F3296B"/>
    <w:rsid w:val="00F32E03"/>
    <w:rsid w:val="00F32E28"/>
    <w:rsid w:val="00F32F0D"/>
    <w:rsid w:val="00F32FA0"/>
    <w:rsid w:val="00F32FBD"/>
    <w:rsid w:val="00F33122"/>
    <w:rsid w:val="00F331EE"/>
    <w:rsid w:val="00F3329B"/>
    <w:rsid w:val="00F3336A"/>
    <w:rsid w:val="00F3348C"/>
    <w:rsid w:val="00F33789"/>
    <w:rsid w:val="00F33841"/>
    <w:rsid w:val="00F338BB"/>
    <w:rsid w:val="00F33AA9"/>
    <w:rsid w:val="00F33B7B"/>
    <w:rsid w:val="00F33BD4"/>
    <w:rsid w:val="00F34561"/>
    <w:rsid w:val="00F34AA8"/>
    <w:rsid w:val="00F34ADB"/>
    <w:rsid w:val="00F35160"/>
    <w:rsid w:val="00F351CA"/>
    <w:rsid w:val="00F35587"/>
    <w:rsid w:val="00F35A7F"/>
    <w:rsid w:val="00F35FE0"/>
    <w:rsid w:val="00F36149"/>
    <w:rsid w:val="00F3623A"/>
    <w:rsid w:val="00F36674"/>
    <w:rsid w:val="00F3716D"/>
    <w:rsid w:val="00F37280"/>
    <w:rsid w:val="00F37762"/>
    <w:rsid w:val="00F377AF"/>
    <w:rsid w:val="00F37864"/>
    <w:rsid w:val="00F37875"/>
    <w:rsid w:val="00F3793F"/>
    <w:rsid w:val="00F37EB0"/>
    <w:rsid w:val="00F4010B"/>
    <w:rsid w:val="00F40286"/>
    <w:rsid w:val="00F4089B"/>
    <w:rsid w:val="00F40ABB"/>
    <w:rsid w:val="00F40ADA"/>
    <w:rsid w:val="00F40AED"/>
    <w:rsid w:val="00F40B8A"/>
    <w:rsid w:val="00F40F7E"/>
    <w:rsid w:val="00F4126D"/>
    <w:rsid w:val="00F412CE"/>
    <w:rsid w:val="00F41608"/>
    <w:rsid w:val="00F41658"/>
    <w:rsid w:val="00F416BA"/>
    <w:rsid w:val="00F41724"/>
    <w:rsid w:val="00F41895"/>
    <w:rsid w:val="00F418EC"/>
    <w:rsid w:val="00F41971"/>
    <w:rsid w:val="00F419A1"/>
    <w:rsid w:val="00F419BB"/>
    <w:rsid w:val="00F41A96"/>
    <w:rsid w:val="00F41C8E"/>
    <w:rsid w:val="00F42490"/>
    <w:rsid w:val="00F426B7"/>
    <w:rsid w:val="00F42C82"/>
    <w:rsid w:val="00F43066"/>
    <w:rsid w:val="00F4309B"/>
    <w:rsid w:val="00F430BF"/>
    <w:rsid w:val="00F4339C"/>
    <w:rsid w:val="00F436A4"/>
    <w:rsid w:val="00F43ABF"/>
    <w:rsid w:val="00F43C91"/>
    <w:rsid w:val="00F43E2F"/>
    <w:rsid w:val="00F43EB1"/>
    <w:rsid w:val="00F44238"/>
    <w:rsid w:val="00F44506"/>
    <w:rsid w:val="00F445B7"/>
    <w:rsid w:val="00F44ABA"/>
    <w:rsid w:val="00F45818"/>
    <w:rsid w:val="00F4587C"/>
    <w:rsid w:val="00F45B75"/>
    <w:rsid w:val="00F45C13"/>
    <w:rsid w:val="00F45EAC"/>
    <w:rsid w:val="00F4621E"/>
    <w:rsid w:val="00F46254"/>
    <w:rsid w:val="00F4657D"/>
    <w:rsid w:val="00F465AF"/>
    <w:rsid w:val="00F46677"/>
    <w:rsid w:val="00F4670F"/>
    <w:rsid w:val="00F46842"/>
    <w:rsid w:val="00F468C6"/>
    <w:rsid w:val="00F46B73"/>
    <w:rsid w:val="00F46C10"/>
    <w:rsid w:val="00F46D24"/>
    <w:rsid w:val="00F46D29"/>
    <w:rsid w:val="00F46F1D"/>
    <w:rsid w:val="00F46FCC"/>
    <w:rsid w:val="00F47291"/>
    <w:rsid w:val="00F47518"/>
    <w:rsid w:val="00F47762"/>
    <w:rsid w:val="00F47793"/>
    <w:rsid w:val="00F479B4"/>
    <w:rsid w:val="00F47A07"/>
    <w:rsid w:val="00F47B73"/>
    <w:rsid w:val="00F47DD1"/>
    <w:rsid w:val="00F47DF7"/>
    <w:rsid w:val="00F47F9F"/>
    <w:rsid w:val="00F50051"/>
    <w:rsid w:val="00F506CE"/>
    <w:rsid w:val="00F50DDB"/>
    <w:rsid w:val="00F50E6C"/>
    <w:rsid w:val="00F512B8"/>
    <w:rsid w:val="00F51513"/>
    <w:rsid w:val="00F516B8"/>
    <w:rsid w:val="00F517FF"/>
    <w:rsid w:val="00F51838"/>
    <w:rsid w:val="00F51AA0"/>
    <w:rsid w:val="00F51AC4"/>
    <w:rsid w:val="00F51B82"/>
    <w:rsid w:val="00F51D19"/>
    <w:rsid w:val="00F51F71"/>
    <w:rsid w:val="00F520FD"/>
    <w:rsid w:val="00F52641"/>
    <w:rsid w:val="00F526B3"/>
    <w:rsid w:val="00F526F2"/>
    <w:rsid w:val="00F52808"/>
    <w:rsid w:val="00F5297C"/>
    <w:rsid w:val="00F52AFE"/>
    <w:rsid w:val="00F52D02"/>
    <w:rsid w:val="00F52D1C"/>
    <w:rsid w:val="00F52D5B"/>
    <w:rsid w:val="00F53502"/>
    <w:rsid w:val="00F535E0"/>
    <w:rsid w:val="00F535EC"/>
    <w:rsid w:val="00F536E1"/>
    <w:rsid w:val="00F5375B"/>
    <w:rsid w:val="00F53979"/>
    <w:rsid w:val="00F53D3A"/>
    <w:rsid w:val="00F53DC6"/>
    <w:rsid w:val="00F5413B"/>
    <w:rsid w:val="00F541BF"/>
    <w:rsid w:val="00F542DE"/>
    <w:rsid w:val="00F54301"/>
    <w:rsid w:val="00F54368"/>
    <w:rsid w:val="00F543A3"/>
    <w:rsid w:val="00F5467C"/>
    <w:rsid w:val="00F54A3F"/>
    <w:rsid w:val="00F54B3B"/>
    <w:rsid w:val="00F54DDD"/>
    <w:rsid w:val="00F54E47"/>
    <w:rsid w:val="00F5510A"/>
    <w:rsid w:val="00F551C8"/>
    <w:rsid w:val="00F551F5"/>
    <w:rsid w:val="00F5538A"/>
    <w:rsid w:val="00F55630"/>
    <w:rsid w:val="00F556A9"/>
    <w:rsid w:val="00F556DF"/>
    <w:rsid w:val="00F55773"/>
    <w:rsid w:val="00F55D7B"/>
    <w:rsid w:val="00F560EB"/>
    <w:rsid w:val="00F56159"/>
    <w:rsid w:val="00F562DA"/>
    <w:rsid w:val="00F564A3"/>
    <w:rsid w:val="00F564A4"/>
    <w:rsid w:val="00F56655"/>
    <w:rsid w:val="00F566D5"/>
    <w:rsid w:val="00F56B2A"/>
    <w:rsid w:val="00F56CFC"/>
    <w:rsid w:val="00F56E21"/>
    <w:rsid w:val="00F571FA"/>
    <w:rsid w:val="00F5741C"/>
    <w:rsid w:val="00F575D2"/>
    <w:rsid w:val="00F575E0"/>
    <w:rsid w:val="00F578FC"/>
    <w:rsid w:val="00F57AA8"/>
    <w:rsid w:val="00F57ADE"/>
    <w:rsid w:val="00F57C34"/>
    <w:rsid w:val="00F60108"/>
    <w:rsid w:val="00F60127"/>
    <w:rsid w:val="00F603BA"/>
    <w:rsid w:val="00F61502"/>
    <w:rsid w:val="00F61505"/>
    <w:rsid w:val="00F619A9"/>
    <w:rsid w:val="00F61CC0"/>
    <w:rsid w:val="00F61DDA"/>
    <w:rsid w:val="00F62114"/>
    <w:rsid w:val="00F623A6"/>
    <w:rsid w:val="00F623D5"/>
    <w:rsid w:val="00F624BA"/>
    <w:rsid w:val="00F62577"/>
    <w:rsid w:val="00F62583"/>
    <w:rsid w:val="00F62986"/>
    <w:rsid w:val="00F62A20"/>
    <w:rsid w:val="00F62CC8"/>
    <w:rsid w:val="00F63311"/>
    <w:rsid w:val="00F63851"/>
    <w:rsid w:val="00F63A58"/>
    <w:rsid w:val="00F63E86"/>
    <w:rsid w:val="00F64115"/>
    <w:rsid w:val="00F6434A"/>
    <w:rsid w:val="00F646F5"/>
    <w:rsid w:val="00F64751"/>
    <w:rsid w:val="00F65515"/>
    <w:rsid w:val="00F6564C"/>
    <w:rsid w:val="00F65CC6"/>
    <w:rsid w:val="00F65D6B"/>
    <w:rsid w:val="00F65FCB"/>
    <w:rsid w:val="00F66039"/>
    <w:rsid w:val="00F66117"/>
    <w:rsid w:val="00F661DC"/>
    <w:rsid w:val="00F664DE"/>
    <w:rsid w:val="00F66AFB"/>
    <w:rsid w:val="00F670CE"/>
    <w:rsid w:val="00F671C3"/>
    <w:rsid w:val="00F673B6"/>
    <w:rsid w:val="00F67603"/>
    <w:rsid w:val="00F6765F"/>
    <w:rsid w:val="00F6796C"/>
    <w:rsid w:val="00F67AA3"/>
    <w:rsid w:val="00F67BC2"/>
    <w:rsid w:val="00F67E5B"/>
    <w:rsid w:val="00F67F9C"/>
    <w:rsid w:val="00F70381"/>
    <w:rsid w:val="00F709B2"/>
    <w:rsid w:val="00F70B5F"/>
    <w:rsid w:val="00F7118F"/>
    <w:rsid w:val="00F712A5"/>
    <w:rsid w:val="00F715FB"/>
    <w:rsid w:val="00F7161A"/>
    <w:rsid w:val="00F717EA"/>
    <w:rsid w:val="00F71882"/>
    <w:rsid w:val="00F71943"/>
    <w:rsid w:val="00F719C9"/>
    <w:rsid w:val="00F71BB1"/>
    <w:rsid w:val="00F71C38"/>
    <w:rsid w:val="00F71D32"/>
    <w:rsid w:val="00F71E64"/>
    <w:rsid w:val="00F71E7E"/>
    <w:rsid w:val="00F71F2D"/>
    <w:rsid w:val="00F71FC2"/>
    <w:rsid w:val="00F726C0"/>
    <w:rsid w:val="00F72B89"/>
    <w:rsid w:val="00F72C22"/>
    <w:rsid w:val="00F72DC8"/>
    <w:rsid w:val="00F72F1D"/>
    <w:rsid w:val="00F73277"/>
    <w:rsid w:val="00F73330"/>
    <w:rsid w:val="00F7381F"/>
    <w:rsid w:val="00F742FE"/>
    <w:rsid w:val="00F74427"/>
    <w:rsid w:val="00F7480D"/>
    <w:rsid w:val="00F74B21"/>
    <w:rsid w:val="00F74BC8"/>
    <w:rsid w:val="00F7520F"/>
    <w:rsid w:val="00F7530C"/>
    <w:rsid w:val="00F756D4"/>
    <w:rsid w:val="00F75F2B"/>
    <w:rsid w:val="00F7615F"/>
    <w:rsid w:val="00F762ED"/>
    <w:rsid w:val="00F76562"/>
    <w:rsid w:val="00F765D2"/>
    <w:rsid w:val="00F76BDA"/>
    <w:rsid w:val="00F76D01"/>
    <w:rsid w:val="00F770BE"/>
    <w:rsid w:val="00F773E1"/>
    <w:rsid w:val="00F776DF"/>
    <w:rsid w:val="00F77EAA"/>
    <w:rsid w:val="00F806AC"/>
    <w:rsid w:val="00F807CA"/>
    <w:rsid w:val="00F808E9"/>
    <w:rsid w:val="00F80D68"/>
    <w:rsid w:val="00F80D79"/>
    <w:rsid w:val="00F8102E"/>
    <w:rsid w:val="00F81434"/>
    <w:rsid w:val="00F81509"/>
    <w:rsid w:val="00F815A4"/>
    <w:rsid w:val="00F81671"/>
    <w:rsid w:val="00F81765"/>
    <w:rsid w:val="00F81814"/>
    <w:rsid w:val="00F81A9C"/>
    <w:rsid w:val="00F81B84"/>
    <w:rsid w:val="00F81CB7"/>
    <w:rsid w:val="00F81DCD"/>
    <w:rsid w:val="00F81E23"/>
    <w:rsid w:val="00F81F8D"/>
    <w:rsid w:val="00F81FC0"/>
    <w:rsid w:val="00F82192"/>
    <w:rsid w:val="00F821B5"/>
    <w:rsid w:val="00F821B7"/>
    <w:rsid w:val="00F822A0"/>
    <w:rsid w:val="00F825BB"/>
    <w:rsid w:val="00F82643"/>
    <w:rsid w:val="00F8269D"/>
    <w:rsid w:val="00F826E7"/>
    <w:rsid w:val="00F82BA1"/>
    <w:rsid w:val="00F82F93"/>
    <w:rsid w:val="00F834DC"/>
    <w:rsid w:val="00F835CA"/>
    <w:rsid w:val="00F83BAB"/>
    <w:rsid w:val="00F840B5"/>
    <w:rsid w:val="00F8419D"/>
    <w:rsid w:val="00F842E1"/>
    <w:rsid w:val="00F84779"/>
    <w:rsid w:val="00F848B3"/>
    <w:rsid w:val="00F84D8D"/>
    <w:rsid w:val="00F84E62"/>
    <w:rsid w:val="00F84EA8"/>
    <w:rsid w:val="00F84EF1"/>
    <w:rsid w:val="00F8553A"/>
    <w:rsid w:val="00F858E4"/>
    <w:rsid w:val="00F859E6"/>
    <w:rsid w:val="00F85D02"/>
    <w:rsid w:val="00F861B8"/>
    <w:rsid w:val="00F8625C"/>
    <w:rsid w:val="00F864F0"/>
    <w:rsid w:val="00F86B80"/>
    <w:rsid w:val="00F86EDE"/>
    <w:rsid w:val="00F86F57"/>
    <w:rsid w:val="00F875D2"/>
    <w:rsid w:val="00F8769A"/>
    <w:rsid w:val="00F8769C"/>
    <w:rsid w:val="00F876CC"/>
    <w:rsid w:val="00F876E5"/>
    <w:rsid w:val="00F87AA6"/>
    <w:rsid w:val="00F87F8A"/>
    <w:rsid w:val="00F90144"/>
    <w:rsid w:val="00F90229"/>
    <w:rsid w:val="00F90345"/>
    <w:rsid w:val="00F9051C"/>
    <w:rsid w:val="00F90788"/>
    <w:rsid w:val="00F909DD"/>
    <w:rsid w:val="00F90C44"/>
    <w:rsid w:val="00F90C5C"/>
    <w:rsid w:val="00F90D7F"/>
    <w:rsid w:val="00F90DA1"/>
    <w:rsid w:val="00F91322"/>
    <w:rsid w:val="00F91A11"/>
    <w:rsid w:val="00F91A18"/>
    <w:rsid w:val="00F91F66"/>
    <w:rsid w:val="00F92955"/>
    <w:rsid w:val="00F92958"/>
    <w:rsid w:val="00F92987"/>
    <w:rsid w:val="00F92996"/>
    <w:rsid w:val="00F92BE5"/>
    <w:rsid w:val="00F92E01"/>
    <w:rsid w:val="00F93288"/>
    <w:rsid w:val="00F93304"/>
    <w:rsid w:val="00F934D3"/>
    <w:rsid w:val="00F93733"/>
    <w:rsid w:val="00F937B7"/>
    <w:rsid w:val="00F939CB"/>
    <w:rsid w:val="00F94395"/>
    <w:rsid w:val="00F945E0"/>
    <w:rsid w:val="00F94837"/>
    <w:rsid w:val="00F9484E"/>
    <w:rsid w:val="00F94BDC"/>
    <w:rsid w:val="00F950B8"/>
    <w:rsid w:val="00F954AB"/>
    <w:rsid w:val="00F95689"/>
    <w:rsid w:val="00F956F3"/>
    <w:rsid w:val="00F95A4D"/>
    <w:rsid w:val="00F95C96"/>
    <w:rsid w:val="00F95D78"/>
    <w:rsid w:val="00F96289"/>
    <w:rsid w:val="00F9651A"/>
    <w:rsid w:val="00F96752"/>
    <w:rsid w:val="00F968F9"/>
    <w:rsid w:val="00F96AD5"/>
    <w:rsid w:val="00F96C3F"/>
    <w:rsid w:val="00F96E2C"/>
    <w:rsid w:val="00F97088"/>
    <w:rsid w:val="00F976C0"/>
    <w:rsid w:val="00F97836"/>
    <w:rsid w:val="00FA04D6"/>
    <w:rsid w:val="00FA04EF"/>
    <w:rsid w:val="00FA0795"/>
    <w:rsid w:val="00FA08C2"/>
    <w:rsid w:val="00FA0986"/>
    <w:rsid w:val="00FA0DA2"/>
    <w:rsid w:val="00FA0E2B"/>
    <w:rsid w:val="00FA104D"/>
    <w:rsid w:val="00FA113C"/>
    <w:rsid w:val="00FA120B"/>
    <w:rsid w:val="00FA162C"/>
    <w:rsid w:val="00FA17F0"/>
    <w:rsid w:val="00FA1933"/>
    <w:rsid w:val="00FA1B8D"/>
    <w:rsid w:val="00FA1E72"/>
    <w:rsid w:val="00FA2708"/>
    <w:rsid w:val="00FA2727"/>
    <w:rsid w:val="00FA2771"/>
    <w:rsid w:val="00FA28AA"/>
    <w:rsid w:val="00FA2A3D"/>
    <w:rsid w:val="00FA2B96"/>
    <w:rsid w:val="00FA2E23"/>
    <w:rsid w:val="00FA31E3"/>
    <w:rsid w:val="00FA35E8"/>
    <w:rsid w:val="00FA3A0A"/>
    <w:rsid w:val="00FA4329"/>
    <w:rsid w:val="00FA47DA"/>
    <w:rsid w:val="00FA4906"/>
    <w:rsid w:val="00FA4C39"/>
    <w:rsid w:val="00FA4F7A"/>
    <w:rsid w:val="00FA5078"/>
    <w:rsid w:val="00FA5244"/>
    <w:rsid w:val="00FA55DB"/>
    <w:rsid w:val="00FA583B"/>
    <w:rsid w:val="00FA624C"/>
    <w:rsid w:val="00FA6446"/>
    <w:rsid w:val="00FA6547"/>
    <w:rsid w:val="00FA657E"/>
    <w:rsid w:val="00FA67D1"/>
    <w:rsid w:val="00FA68D3"/>
    <w:rsid w:val="00FA6D4F"/>
    <w:rsid w:val="00FA6E35"/>
    <w:rsid w:val="00FA7474"/>
    <w:rsid w:val="00FA74C2"/>
    <w:rsid w:val="00FA78A6"/>
    <w:rsid w:val="00FA7C15"/>
    <w:rsid w:val="00FA7E3D"/>
    <w:rsid w:val="00FA7E56"/>
    <w:rsid w:val="00FA7EDE"/>
    <w:rsid w:val="00FB0085"/>
    <w:rsid w:val="00FB0447"/>
    <w:rsid w:val="00FB052C"/>
    <w:rsid w:val="00FB06D8"/>
    <w:rsid w:val="00FB07E8"/>
    <w:rsid w:val="00FB0C9E"/>
    <w:rsid w:val="00FB0F08"/>
    <w:rsid w:val="00FB0F10"/>
    <w:rsid w:val="00FB140B"/>
    <w:rsid w:val="00FB1859"/>
    <w:rsid w:val="00FB1935"/>
    <w:rsid w:val="00FB1A41"/>
    <w:rsid w:val="00FB1AE4"/>
    <w:rsid w:val="00FB1C06"/>
    <w:rsid w:val="00FB1C1E"/>
    <w:rsid w:val="00FB1D13"/>
    <w:rsid w:val="00FB22EF"/>
    <w:rsid w:val="00FB230B"/>
    <w:rsid w:val="00FB242F"/>
    <w:rsid w:val="00FB2508"/>
    <w:rsid w:val="00FB27B9"/>
    <w:rsid w:val="00FB27C1"/>
    <w:rsid w:val="00FB2BAD"/>
    <w:rsid w:val="00FB3151"/>
    <w:rsid w:val="00FB3ED3"/>
    <w:rsid w:val="00FB4279"/>
    <w:rsid w:val="00FB42AB"/>
    <w:rsid w:val="00FB45B7"/>
    <w:rsid w:val="00FB4942"/>
    <w:rsid w:val="00FB4967"/>
    <w:rsid w:val="00FB49AF"/>
    <w:rsid w:val="00FB4D53"/>
    <w:rsid w:val="00FB5182"/>
    <w:rsid w:val="00FB53E3"/>
    <w:rsid w:val="00FB566D"/>
    <w:rsid w:val="00FB587D"/>
    <w:rsid w:val="00FB5B40"/>
    <w:rsid w:val="00FB5D16"/>
    <w:rsid w:val="00FB5E9C"/>
    <w:rsid w:val="00FB5F51"/>
    <w:rsid w:val="00FB60DF"/>
    <w:rsid w:val="00FB6449"/>
    <w:rsid w:val="00FB6504"/>
    <w:rsid w:val="00FB6773"/>
    <w:rsid w:val="00FB69CF"/>
    <w:rsid w:val="00FB6B07"/>
    <w:rsid w:val="00FB6BA1"/>
    <w:rsid w:val="00FB6C90"/>
    <w:rsid w:val="00FB6CB2"/>
    <w:rsid w:val="00FB6D4D"/>
    <w:rsid w:val="00FB7222"/>
    <w:rsid w:val="00FB7396"/>
    <w:rsid w:val="00FB76B8"/>
    <w:rsid w:val="00FB7934"/>
    <w:rsid w:val="00FB7B97"/>
    <w:rsid w:val="00FB7EF3"/>
    <w:rsid w:val="00FB7F6F"/>
    <w:rsid w:val="00FC0004"/>
    <w:rsid w:val="00FC0013"/>
    <w:rsid w:val="00FC00FE"/>
    <w:rsid w:val="00FC0193"/>
    <w:rsid w:val="00FC0DD5"/>
    <w:rsid w:val="00FC0E23"/>
    <w:rsid w:val="00FC13FD"/>
    <w:rsid w:val="00FC143F"/>
    <w:rsid w:val="00FC162E"/>
    <w:rsid w:val="00FC1D70"/>
    <w:rsid w:val="00FC1E5C"/>
    <w:rsid w:val="00FC1E9F"/>
    <w:rsid w:val="00FC1EE3"/>
    <w:rsid w:val="00FC20E6"/>
    <w:rsid w:val="00FC242A"/>
    <w:rsid w:val="00FC2434"/>
    <w:rsid w:val="00FC2537"/>
    <w:rsid w:val="00FC2867"/>
    <w:rsid w:val="00FC2886"/>
    <w:rsid w:val="00FC29ED"/>
    <w:rsid w:val="00FC32CE"/>
    <w:rsid w:val="00FC32D5"/>
    <w:rsid w:val="00FC33E2"/>
    <w:rsid w:val="00FC3413"/>
    <w:rsid w:val="00FC34E1"/>
    <w:rsid w:val="00FC3608"/>
    <w:rsid w:val="00FC3E5D"/>
    <w:rsid w:val="00FC4058"/>
    <w:rsid w:val="00FC4181"/>
    <w:rsid w:val="00FC42E9"/>
    <w:rsid w:val="00FC4528"/>
    <w:rsid w:val="00FC48FE"/>
    <w:rsid w:val="00FC4D41"/>
    <w:rsid w:val="00FC4FC9"/>
    <w:rsid w:val="00FC52FB"/>
    <w:rsid w:val="00FC592E"/>
    <w:rsid w:val="00FC5937"/>
    <w:rsid w:val="00FC5FD2"/>
    <w:rsid w:val="00FC608D"/>
    <w:rsid w:val="00FC60A5"/>
    <w:rsid w:val="00FC617F"/>
    <w:rsid w:val="00FC6372"/>
    <w:rsid w:val="00FC63C2"/>
    <w:rsid w:val="00FC64F6"/>
    <w:rsid w:val="00FC656F"/>
    <w:rsid w:val="00FC672F"/>
    <w:rsid w:val="00FC6C6D"/>
    <w:rsid w:val="00FC6C8E"/>
    <w:rsid w:val="00FC6CCF"/>
    <w:rsid w:val="00FC720C"/>
    <w:rsid w:val="00FC73EB"/>
    <w:rsid w:val="00FD0A2D"/>
    <w:rsid w:val="00FD0BB7"/>
    <w:rsid w:val="00FD0CD2"/>
    <w:rsid w:val="00FD0E43"/>
    <w:rsid w:val="00FD0F39"/>
    <w:rsid w:val="00FD1555"/>
    <w:rsid w:val="00FD15B5"/>
    <w:rsid w:val="00FD1856"/>
    <w:rsid w:val="00FD1BD1"/>
    <w:rsid w:val="00FD1EA3"/>
    <w:rsid w:val="00FD1FBF"/>
    <w:rsid w:val="00FD2054"/>
    <w:rsid w:val="00FD20F4"/>
    <w:rsid w:val="00FD21B0"/>
    <w:rsid w:val="00FD2236"/>
    <w:rsid w:val="00FD22F7"/>
    <w:rsid w:val="00FD24E4"/>
    <w:rsid w:val="00FD2504"/>
    <w:rsid w:val="00FD2617"/>
    <w:rsid w:val="00FD275C"/>
    <w:rsid w:val="00FD2778"/>
    <w:rsid w:val="00FD284E"/>
    <w:rsid w:val="00FD2B0D"/>
    <w:rsid w:val="00FD2ED7"/>
    <w:rsid w:val="00FD3303"/>
    <w:rsid w:val="00FD34F9"/>
    <w:rsid w:val="00FD35E7"/>
    <w:rsid w:val="00FD3605"/>
    <w:rsid w:val="00FD38DE"/>
    <w:rsid w:val="00FD39E2"/>
    <w:rsid w:val="00FD3B83"/>
    <w:rsid w:val="00FD3D49"/>
    <w:rsid w:val="00FD3ECC"/>
    <w:rsid w:val="00FD4063"/>
    <w:rsid w:val="00FD4291"/>
    <w:rsid w:val="00FD47FF"/>
    <w:rsid w:val="00FD4954"/>
    <w:rsid w:val="00FD4E68"/>
    <w:rsid w:val="00FD4EB0"/>
    <w:rsid w:val="00FD4F58"/>
    <w:rsid w:val="00FD4FAA"/>
    <w:rsid w:val="00FD5054"/>
    <w:rsid w:val="00FD5093"/>
    <w:rsid w:val="00FD55BE"/>
    <w:rsid w:val="00FD5709"/>
    <w:rsid w:val="00FD5732"/>
    <w:rsid w:val="00FD591D"/>
    <w:rsid w:val="00FD5E6B"/>
    <w:rsid w:val="00FD5FB0"/>
    <w:rsid w:val="00FD604E"/>
    <w:rsid w:val="00FD60B3"/>
    <w:rsid w:val="00FD61DA"/>
    <w:rsid w:val="00FD6381"/>
    <w:rsid w:val="00FD6503"/>
    <w:rsid w:val="00FD6584"/>
    <w:rsid w:val="00FD65A8"/>
    <w:rsid w:val="00FD667D"/>
    <w:rsid w:val="00FD6833"/>
    <w:rsid w:val="00FD6CE6"/>
    <w:rsid w:val="00FD6EEB"/>
    <w:rsid w:val="00FD6F5F"/>
    <w:rsid w:val="00FD6F78"/>
    <w:rsid w:val="00FD71B9"/>
    <w:rsid w:val="00FD7445"/>
    <w:rsid w:val="00FD7AF4"/>
    <w:rsid w:val="00FD7B19"/>
    <w:rsid w:val="00FD7FD1"/>
    <w:rsid w:val="00FE00A5"/>
    <w:rsid w:val="00FE00B6"/>
    <w:rsid w:val="00FE00BC"/>
    <w:rsid w:val="00FE03BF"/>
    <w:rsid w:val="00FE04B8"/>
    <w:rsid w:val="00FE0523"/>
    <w:rsid w:val="00FE1077"/>
    <w:rsid w:val="00FE1136"/>
    <w:rsid w:val="00FE12BF"/>
    <w:rsid w:val="00FE1439"/>
    <w:rsid w:val="00FE1773"/>
    <w:rsid w:val="00FE1813"/>
    <w:rsid w:val="00FE1AEA"/>
    <w:rsid w:val="00FE1F1C"/>
    <w:rsid w:val="00FE21BD"/>
    <w:rsid w:val="00FE2839"/>
    <w:rsid w:val="00FE2AD3"/>
    <w:rsid w:val="00FE2BDA"/>
    <w:rsid w:val="00FE313D"/>
    <w:rsid w:val="00FE315A"/>
    <w:rsid w:val="00FE32E0"/>
    <w:rsid w:val="00FE35A4"/>
    <w:rsid w:val="00FE39B7"/>
    <w:rsid w:val="00FE3A18"/>
    <w:rsid w:val="00FE3E10"/>
    <w:rsid w:val="00FE4123"/>
    <w:rsid w:val="00FE413C"/>
    <w:rsid w:val="00FE4734"/>
    <w:rsid w:val="00FE486D"/>
    <w:rsid w:val="00FE4A75"/>
    <w:rsid w:val="00FE4DE0"/>
    <w:rsid w:val="00FE4DF5"/>
    <w:rsid w:val="00FE4E3A"/>
    <w:rsid w:val="00FE5281"/>
    <w:rsid w:val="00FE52E1"/>
    <w:rsid w:val="00FE549E"/>
    <w:rsid w:val="00FE5668"/>
    <w:rsid w:val="00FE5A05"/>
    <w:rsid w:val="00FE5B78"/>
    <w:rsid w:val="00FE5D14"/>
    <w:rsid w:val="00FE5F4A"/>
    <w:rsid w:val="00FE6003"/>
    <w:rsid w:val="00FE6183"/>
    <w:rsid w:val="00FE619E"/>
    <w:rsid w:val="00FE6462"/>
    <w:rsid w:val="00FE6A92"/>
    <w:rsid w:val="00FE6B9A"/>
    <w:rsid w:val="00FE6FB2"/>
    <w:rsid w:val="00FE7026"/>
    <w:rsid w:val="00FE738E"/>
    <w:rsid w:val="00FE7614"/>
    <w:rsid w:val="00FE76B0"/>
    <w:rsid w:val="00FE7B92"/>
    <w:rsid w:val="00FF0004"/>
    <w:rsid w:val="00FF0264"/>
    <w:rsid w:val="00FF037E"/>
    <w:rsid w:val="00FF04A0"/>
    <w:rsid w:val="00FF082C"/>
    <w:rsid w:val="00FF0A08"/>
    <w:rsid w:val="00FF0BD3"/>
    <w:rsid w:val="00FF0FD8"/>
    <w:rsid w:val="00FF100D"/>
    <w:rsid w:val="00FF1015"/>
    <w:rsid w:val="00FF1171"/>
    <w:rsid w:val="00FF1807"/>
    <w:rsid w:val="00FF184D"/>
    <w:rsid w:val="00FF1E82"/>
    <w:rsid w:val="00FF1ECE"/>
    <w:rsid w:val="00FF1F20"/>
    <w:rsid w:val="00FF20A2"/>
    <w:rsid w:val="00FF20BC"/>
    <w:rsid w:val="00FF2247"/>
    <w:rsid w:val="00FF2284"/>
    <w:rsid w:val="00FF231A"/>
    <w:rsid w:val="00FF24A7"/>
    <w:rsid w:val="00FF26E3"/>
    <w:rsid w:val="00FF28C7"/>
    <w:rsid w:val="00FF2953"/>
    <w:rsid w:val="00FF30F1"/>
    <w:rsid w:val="00FF3130"/>
    <w:rsid w:val="00FF313B"/>
    <w:rsid w:val="00FF3150"/>
    <w:rsid w:val="00FF31F7"/>
    <w:rsid w:val="00FF359D"/>
    <w:rsid w:val="00FF3C3C"/>
    <w:rsid w:val="00FF3DF5"/>
    <w:rsid w:val="00FF3F55"/>
    <w:rsid w:val="00FF4044"/>
    <w:rsid w:val="00FF43F0"/>
    <w:rsid w:val="00FF4B3F"/>
    <w:rsid w:val="00FF4D84"/>
    <w:rsid w:val="00FF524E"/>
    <w:rsid w:val="00FF52B6"/>
    <w:rsid w:val="00FF562A"/>
    <w:rsid w:val="00FF57D9"/>
    <w:rsid w:val="00FF585E"/>
    <w:rsid w:val="00FF5975"/>
    <w:rsid w:val="00FF5B6B"/>
    <w:rsid w:val="00FF5C2A"/>
    <w:rsid w:val="00FF5EEB"/>
    <w:rsid w:val="00FF6037"/>
    <w:rsid w:val="00FF6664"/>
    <w:rsid w:val="00FF6832"/>
    <w:rsid w:val="00FF6A9D"/>
    <w:rsid w:val="00FF6BB9"/>
    <w:rsid w:val="00FF6F78"/>
    <w:rsid w:val="00FF6FBA"/>
    <w:rsid w:val="00FF6FF7"/>
    <w:rsid w:val="00FF7211"/>
    <w:rsid w:val="00FF7E98"/>
    <w:rsid w:val="018DFC4B"/>
    <w:rsid w:val="01A7B8E3"/>
    <w:rsid w:val="01F8379C"/>
    <w:rsid w:val="01FCFC5F"/>
    <w:rsid w:val="0206103A"/>
    <w:rsid w:val="02081D11"/>
    <w:rsid w:val="021F3897"/>
    <w:rsid w:val="02275F93"/>
    <w:rsid w:val="02478489"/>
    <w:rsid w:val="0247B7F7"/>
    <w:rsid w:val="024C50C0"/>
    <w:rsid w:val="02A83376"/>
    <w:rsid w:val="02E2176F"/>
    <w:rsid w:val="02E966BC"/>
    <w:rsid w:val="0301FA29"/>
    <w:rsid w:val="030E55D2"/>
    <w:rsid w:val="03A1E09B"/>
    <w:rsid w:val="042A6293"/>
    <w:rsid w:val="04521505"/>
    <w:rsid w:val="0485371D"/>
    <w:rsid w:val="05081073"/>
    <w:rsid w:val="055516A9"/>
    <w:rsid w:val="05EDEF61"/>
    <w:rsid w:val="061648BC"/>
    <w:rsid w:val="067D09B9"/>
    <w:rsid w:val="067D315B"/>
    <w:rsid w:val="06C3C5C9"/>
    <w:rsid w:val="06FCA9C6"/>
    <w:rsid w:val="07B789BF"/>
    <w:rsid w:val="07D9E12B"/>
    <w:rsid w:val="08157898"/>
    <w:rsid w:val="0820A1B1"/>
    <w:rsid w:val="08B74159"/>
    <w:rsid w:val="08E09749"/>
    <w:rsid w:val="08F8495D"/>
    <w:rsid w:val="09054228"/>
    <w:rsid w:val="09736E2D"/>
    <w:rsid w:val="0992ADF8"/>
    <w:rsid w:val="0A11221F"/>
    <w:rsid w:val="0A2CDEAB"/>
    <w:rsid w:val="0ADAC918"/>
    <w:rsid w:val="0AE51068"/>
    <w:rsid w:val="0AF8AB9E"/>
    <w:rsid w:val="0B1D15C9"/>
    <w:rsid w:val="0B5CB189"/>
    <w:rsid w:val="0BA13FB7"/>
    <w:rsid w:val="0BC1A875"/>
    <w:rsid w:val="0C13A0EF"/>
    <w:rsid w:val="0C241917"/>
    <w:rsid w:val="0C3BFDE7"/>
    <w:rsid w:val="0C3FDF2F"/>
    <w:rsid w:val="0C694D8C"/>
    <w:rsid w:val="0C7EADA1"/>
    <w:rsid w:val="0C83B226"/>
    <w:rsid w:val="0CD23D1F"/>
    <w:rsid w:val="0CEC415C"/>
    <w:rsid w:val="0CF2A549"/>
    <w:rsid w:val="0D3504F3"/>
    <w:rsid w:val="0D48364B"/>
    <w:rsid w:val="0D943D49"/>
    <w:rsid w:val="0DA7728B"/>
    <w:rsid w:val="0DAFEF54"/>
    <w:rsid w:val="0DC41D25"/>
    <w:rsid w:val="0E377100"/>
    <w:rsid w:val="0E4F0714"/>
    <w:rsid w:val="0ED15595"/>
    <w:rsid w:val="0EE7A66A"/>
    <w:rsid w:val="0F1EEB2F"/>
    <w:rsid w:val="0F207AF1"/>
    <w:rsid w:val="0F8EED84"/>
    <w:rsid w:val="1001EF7C"/>
    <w:rsid w:val="10033858"/>
    <w:rsid w:val="1032F861"/>
    <w:rsid w:val="104704E1"/>
    <w:rsid w:val="104EF38F"/>
    <w:rsid w:val="10847639"/>
    <w:rsid w:val="11388593"/>
    <w:rsid w:val="118296FD"/>
    <w:rsid w:val="119F08B9"/>
    <w:rsid w:val="11AC5DFE"/>
    <w:rsid w:val="11FF5111"/>
    <w:rsid w:val="12132029"/>
    <w:rsid w:val="121A6E97"/>
    <w:rsid w:val="121F0CB6"/>
    <w:rsid w:val="124A2EA0"/>
    <w:rsid w:val="127F53B8"/>
    <w:rsid w:val="12831750"/>
    <w:rsid w:val="12B03FCB"/>
    <w:rsid w:val="12CEC327"/>
    <w:rsid w:val="13AEF08A"/>
    <w:rsid w:val="13C20471"/>
    <w:rsid w:val="140290EA"/>
    <w:rsid w:val="141BE54A"/>
    <w:rsid w:val="14429D88"/>
    <w:rsid w:val="147316DF"/>
    <w:rsid w:val="147626CF"/>
    <w:rsid w:val="1480C214"/>
    <w:rsid w:val="1541B1DC"/>
    <w:rsid w:val="154DE9AE"/>
    <w:rsid w:val="155FC57C"/>
    <w:rsid w:val="157C2DC8"/>
    <w:rsid w:val="1586A46F"/>
    <w:rsid w:val="15DC50D8"/>
    <w:rsid w:val="15E7E044"/>
    <w:rsid w:val="1600E0A7"/>
    <w:rsid w:val="160BF6B6"/>
    <w:rsid w:val="1656AD73"/>
    <w:rsid w:val="16A64763"/>
    <w:rsid w:val="16E64C43"/>
    <w:rsid w:val="17053E2D"/>
    <w:rsid w:val="171FF996"/>
    <w:rsid w:val="1798F304"/>
    <w:rsid w:val="17A83656"/>
    <w:rsid w:val="17E53A0F"/>
    <w:rsid w:val="17FB30D9"/>
    <w:rsid w:val="180DF396"/>
    <w:rsid w:val="181CE5AE"/>
    <w:rsid w:val="187087BE"/>
    <w:rsid w:val="18D9C0BB"/>
    <w:rsid w:val="18E5803C"/>
    <w:rsid w:val="18FE9D95"/>
    <w:rsid w:val="18FEA899"/>
    <w:rsid w:val="192CC265"/>
    <w:rsid w:val="19E11572"/>
    <w:rsid w:val="1A11E0F4"/>
    <w:rsid w:val="1A123022"/>
    <w:rsid w:val="1A1E320E"/>
    <w:rsid w:val="1A2F6CE5"/>
    <w:rsid w:val="1B025756"/>
    <w:rsid w:val="1BB4D332"/>
    <w:rsid w:val="1C32FE96"/>
    <w:rsid w:val="1C5F11FB"/>
    <w:rsid w:val="1CC0D949"/>
    <w:rsid w:val="1D55D2D0"/>
    <w:rsid w:val="1DFA0AF1"/>
    <w:rsid w:val="1E1B3E90"/>
    <w:rsid w:val="1E385AEC"/>
    <w:rsid w:val="1E4F77FF"/>
    <w:rsid w:val="1E838FC2"/>
    <w:rsid w:val="1E8C2732"/>
    <w:rsid w:val="1F13FCC4"/>
    <w:rsid w:val="1F2BB438"/>
    <w:rsid w:val="1F56DD7B"/>
    <w:rsid w:val="1FA10EBD"/>
    <w:rsid w:val="1FC213F5"/>
    <w:rsid w:val="204F1721"/>
    <w:rsid w:val="20DF81B0"/>
    <w:rsid w:val="2107F833"/>
    <w:rsid w:val="21152671"/>
    <w:rsid w:val="2190C0EA"/>
    <w:rsid w:val="21976CBC"/>
    <w:rsid w:val="226C306C"/>
    <w:rsid w:val="22EEAFB3"/>
    <w:rsid w:val="2309515F"/>
    <w:rsid w:val="233AED00"/>
    <w:rsid w:val="236F4E23"/>
    <w:rsid w:val="2377A172"/>
    <w:rsid w:val="23FCDA67"/>
    <w:rsid w:val="2436426F"/>
    <w:rsid w:val="2557A296"/>
    <w:rsid w:val="25A6DF34"/>
    <w:rsid w:val="25C40344"/>
    <w:rsid w:val="26035F56"/>
    <w:rsid w:val="2607CB43"/>
    <w:rsid w:val="26178B0C"/>
    <w:rsid w:val="263B7F4B"/>
    <w:rsid w:val="2686D632"/>
    <w:rsid w:val="26BF987A"/>
    <w:rsid w:val="27195503"/>
    <w:rsid w:val="2725AD3E"/>
    <w:rsid w:val="27267932"/>
    <w:rsid w:val="27A00B27"/>
    <w:rsid w:val="27D74FAC"/>
    <w:rsid w:val="27DE152F"/>
    <w:rsid w:val="280E5E23"/>
    <w:rsid w:val="291FB263"/>
    <w:rsid w:val="2980CC34"/>
    <w:rsid w:val="298633F4"/>
    <w:rsid w:val="29E0F45F"/>
    <w:rsid w:val="2AA583F3"/>
    <w:rsid w:val="2AAEDA79"/>
    <w:rsid w:val="2B3953A2"/>
    <w:rsid w:val="2B612FE3"/>
    <w:rsid w:val="2BF9EA55"/>
    <w:rsid w:val="2C106318"/>
    <w:rsid w:val="2C13EE38"/>
    <w:rsid w:val="2C513D0A"/>
    <w:rsid w:val="2C58F1F4"/>
    <w:rsid w:val="2C876EA0"/>
    <w:rsid w:val="2CAF4F21"/>
    <w:rsid w:val="2CF99FA1"/>
    <w:rsid w:val="2E1A0ECE"/>
    <w:rsid w:val="2E394FE0"/>
    <w:rsid w:val="2E57CC07"/>
    <w:rsid w:val="2E694C57"/>
    <w:rsid w:val="2EA5B40C"/>
    <w:rsid w:val="2F5577C2"/>
    <w:rsid w:val="2F95AD68"/>
    <w:rsid w:val="2FE26191"/>
    <w:rsid w:val="3099AAF3"/>
    <w:rsid w:val="309E3C1C"/>
    <w:rsid w:val="30AEEEAA"/>
    <w:rsid w:val="30D22057"/>
    <w:rsid w:val="30DA115C"/>
    <w:rsid w:val="30EF07D8"/>
    <w:rsid w:val="3178C46A"/>
    <w:rsid w:val="31A62479"/>
    <w:rsid w:val="31FBA153"/>
    <w:rsid w:val="320491F8"/>
    <w:rsid w:val="320BAD5F"/>
    <w:rsid w:val="321C52F7"/>
    <w:rsid w:val="3260BA0E"/>
    <w:rsid w:val="332A2DD0"/>
    <w:rsid w:val="33ADAF51"/>
    <w:rsid w:val="34A89164"/>
    <w:rsid w:val="34E89442"/>
    <w:rsid w:val="35298BEB"/>
    <w:rsid w:val="35497FB2"/>
    <w:rsid w:val="35C6DE3F"/>
    <w:rsid w:val="364461C5"/>
    <w:rsid w:val="366ACB72"/>
    <w:rsid w:val="36A157A1"/>
    <w:rsid w:val="36B9D90B"/>
    <w:rsid w:val="376A12F2"/>
    <w:rsid w:val="378888BB"/>
    <w:rsid w:val="37DC4786"/>
    <w:rsid w:val="37F43797"/>
    <w:rsid w:val="383928FB"/>
    <w:rsid w:val="38797A2B"/>
    <w:rsid w:val="38C80E0C"/>
    <w:rsid w:val="38CA86C5"/>
    <w:rsid w:val="38CCFCA1"/>
    <w:rsid w:val="396D3D1E"/>
    <w:rsid w:val="397817E7"/>
    <w:rsid w:val="3991315D"/>
    <w:rsid w:val="39D33EB1"/>
    <w:rsid w:val="39F7B86D"/>
    <w:rsid w:val="3A5551A5"/>
    <w:rsid w:val="3A9A651C"/>
    <w:rsid w:val="3A9D3E82"/>
    <w:rsid w:val="3AC2F07A"/>
    <w:rsid w:val="3AD45DF9"/>
    <w:rsid w:val="3AE7EB68"/>
    <w:rsid w:val="3AF62482"/>
    <w:rsid w:val="3B069471"/>
    <w:rsid w:val="3B191D61"/>
    <w:rsid w:val="3B6161FB"/>
    <w:rsid w:val="3B964253"/>
    <w:rsid w:val="3BBB4C1C"/>
    <w:rsid w:val="3BE64A03"/>
    <w:rsid w:val="3C4BA428"/>
    <w:rsid w:val="3C70E290"/>
    <w:rsid w:val="3CD1E5FA"/>
    <w:rsid w:val="3D54BD3A"/>
    <w:rsid w:val="3D6A3743"/>
    <w:rsid w:val="3D792617"/>
    <w:rsid w:val="3D7E768D"/>
    <w:rsid w:val="3DA36CB5"/>
    <w:rsid w:val="3DF60218"/>
    <w:rsid w:val="3E71B6E3"/>
    <w:rsid w:val="3E8F4222"/>
    <w:rsid w:val="3EA63D58"/>
    <w:rsid w:val="3EB11F25"/>
    <w:rsid w:val="3F3548C9"/>
    <w:rsid w:val="3F4DC8C7"/>
    <w:rsid w:val="3F52AA6D"/>
    <w:rsid w:val="3F6ED695"/>
    <w:rsid w:val="4038CE07"/>
    <w:rsid w:val="4069B376"/>
    <w:rsid w:val="408EC88A"/>
    <w:rsid w:val="40CFFA58"/>
    <w:rsid w:val="41A82FCF"/>
    <w:rsid w:val="41AD7E19"/>
    <w:rsid w:val="41C41717"/>
    <w:rsid w:val="420583D7"/>
    <w:rsid w:val="4212FE8B"/>
    <w:rsid w:val="42376D25"/>
    <w:rsid w:val="425D1F98"/>
    <w:rsid w:val="426D7373"/>
    <w:rsid w:val="427ADCDF"/>
    <w:rsid w:val="42A5FEC9"/>
    <w:rsid w:val="42CA4F47"/>
    <w:rsid w:val="430D29B5"/>
    <w:rsid w:val="434B278A"/>
    <w:rsid w:val="439CCAE5"/>
    <w:rsid w:val="43C759F9"/>
    <w:rsid w:val="43F985DC"/>
    <w:rsid w:val="44103389"/>
    <w:rsid w:val="44261B90"/>
    <w:rsid w:val="4463C0A6"/>
    <w:rsid w:val="44920FDF"/>
    <w:rsid w:val="44C7D00A"/>
    <w:rsid w:val="44D61684"/>
    <w:rsid w:val="45679102"/>
    <w:rsid w:val="458504DB"/>
    <w:rsid w:val="458A2245"/>
    <w:rsid w:val="45A5B58E"/>
    <w:rsid w:val="45F889D3"/>
    <w:rsid w:val="4614BC47"/>
    <w:rsid w:val="46623412"/>
    <w:rsid w:val="4719F643"/>
    <w:rsid w:val="4731269E"/>
    <w:rsid w:val="47429E14"/>
    <w:rsid w:val="474A4EFB"/>
    <w:rsid w:val="477E1DC8"/>
    <w:rsid w:val="479EEEBF"/>
    <w:rsid w:val="47A37092"/>
    <w:rsid w:val="482C730A"/>
    <w:rsid w:val="48DD5650"/>
    <w:rsid w:val="49270932"/>
    <w:rsid w:val="4941D928"/>
    <w:rsid w:val="4949E476"/>
    <w:rsid w:val="496B7B48"/>
    <w:rsid w:val="49E9C910"/>
    <w:rsid w:val="4A664CB0"/>
    <w:rsid w:val="4A77C5EB"/>
    <w:rsid w:val="4AC8FE48"/>
    <w:rsid w:val="4AD2A9FE"/>
    <w:rsid w:val="4B49AFBA"/>
    <w:rsid w:val="4B7A3989"/>
    <w:rsid w:val="4B7D9D18"/>
    <w:rsid w:val="4C021D11"/>
    <w:rsid w:val="4C1DC01E"/>
    <w:rsid w:val="4CB3F39D"/>
    <w:rsid w:val="4CDEF5E9"/>
    <w:rsid w:val="4D9DED72"/>
    <w:rsid w:val="4DA2164E"/>
    <w:rsid w:val="4E1F3FB4"/>
    <w:rsid w:val="4E345FA4"/>
    <w:rsid w:val="4E4FC3FE"/>
    <w:rsid w:val="4EC0388E"/>
    <w:rsid w:val="4EDDE4D9"/>
    <w:rsid w:val="4EE14970"/>
    <w:rsid w:val="4EE1AB33"/>
    <w:rsid w:val="4F0B7B19"/>
    <w:rsid w:val="4F3C3883"/>
    <w:rsid w:val="4F95A623"/>
    <w:rsid w:val="4FD97A0F"/>
    <w:rsid w:val="50B9114C"/>
    <w:rsid w:val="50BC520A"/>
    <w:rsid w:val="50C3475A"/>
    <w:rsid w:val="50D58E34"/>
    <w:rsid w:val="50E1CD8C"/>
    <w:rsid w:val="50E7076F"/>
    <w:rsid w:val="512C13FC"/>
    <w:rsid w:val="518D3CC3"/>
    <w:rsid w:val="51C1B0B6"/>
    <w:rsid w:val="51E02F71"/>
    <w:rsid w:val="52F4C527"/>
    <w:rsid w:val="52F92C1D"/>
    <w:rsid w:val="536043A2"/>
    <w:rsid w:val="5435E666"/>
    <w:rsid w:val="545BC351"/>
    <w:rsid w:val="54CA8BFB"/>
    <w:rsid w:val="54D0DF71"/>
    <w:rsid w:val="54EA07CE"/>
    <w:rsid w:val="5521CDE1"/>
    <w:rsid w:val="5555EE7B"/>
    <w:rsid w:val="55B3678D"/>
    <w:rsid w:val="55BCB4DE"/>
    <w:rsid w:val="55D1B6C7"/>
    <w:rsid w:val="5658E87D"/>
    <w:rsid w:val="565B83E2"/>
    <w:rsid w:val="5660049B"/>
    <w:rsid w:val="568D25A2"/>
    <w:rsid w:val="56A33681"/>
    <w:rsid w:val="56B7031C"/>
    <w:rsid w:val="572DD29B"/>
    <w:rsid w:val="573D2096"/>
    <w:rsid w:val="5742659C"/>
    <w:rsid w:val="57539665"/>
    <w:rsid w:val="5771AD9C"/>
    <w:rsid w:val="580C2418"/>
    <w:rsid w:val="584FBE21"/>
    <w:rsid w:val="588D65EE"/>
    <w:rsid w:val="589CD904"/>
    <w:rsid w:val="58D84EE7"/>
    <w:rsid w:val="598FF024"/>
    <w:rsid w:val="59D1DA41"/>
    <w:rsid w:val="59F54809"/>
    <w:rsid w:val="5A0B3219"/>
    <w:rsid w:val="5A3E2793"/>
    <w:rsid w:val="5A59B863"/>
    <w:rsid w:val="5A7EEB2A"/>
    <w:rsid w:val="5A86D8B0"/>
    <w:rsid w:val="5AE2398E"/>
    <w:rsid w:val="5AEC4BBF"/>
    <w:rsid w:val="5B2EF505"/>
    <w:rsid w:val="5B3852BD"/>
    <w:rsid w:val="5BC92B85"/>
    <w:rsid w:val="5BFD6885"/>
    <w:rsid w:val="5C1ABB8B"/>
    <w:rsid w:val="5C55A9C7"/>
    <w:rsid w:val="5C6AF25F"/>
    <w:rsid w:val="5CEFC0AE"/>
    <w:rsid w:val="5D06AC6E"/>
    <w:rsid w:val="5D2874F3"/>
    <w:rsid w:val="5D447642"/>
    <w:rsid w:val="5D788F52"/>
    <w:rsid w:val="5DBBFEC2"/>
    <w:rsid w:val="5DEB1A55"/>
    <w:rsid w:val="5E26B37E"/>
    <w:rsid w:val="5E4BFB35"/>
    <w:rsid w:val="5E99F469"/>
    <w:rsid w:val="5ECFE08E"/>
    <w:rsid w:val="5F0B28EC"/>
    <w:rsid w:val="5F1F2A99"/>
    <w:rsid w:val="5F5A49D3"/>
    <w:rsid w:val="5F6B84AA"/>
    <w:rsid w:val="5F6C4AD1"/>
    <w:rsid w:val="5F9CEF15"/>
    <w:rsid w:val="60020555"/>
    <w:rsid w:val="601C63FC"/>
    <w:rsid w:val="603BF56E"/>
    <w:rsid w:val="60685B78"/>
    <w:rsid w:val="60A1D90C"/>
    <w:rsid w:val="60E360CC"/>
    <w:rsid w:val="6113AE43"/>
    <w:rsid w:val="616A8D90"/>
    <w:rsid w:val="61D2EF47"/>
    <w:rsid w:val="61FBAB76"/>
    <w:rsid w:val="62111092"/>
    <w:rsid w:val="6211CAC5"/>
    <w:rsid w:val="626608D0"/>
    <w:rsid w:val="6289FD0F"/>
    <w:rsid w:val="6291EA95"/>
    <w:rsid w:val="629A5808"/>
    <w:rsid w:val="62B426CD"/>
    <w:rsid w:val="6312009B"/>
    <w:rsid w:val="6368B4FD"/>
    <w:rsid w:val="63BAB71C"/>
    <w:rsid w:val="6424AD1E"/>
    <w:rsid w:val="644E1602"/>
    <w:rsid w:val="644FF72E"/>
    <w:rsid w:val="645952FF"/>
    <w:rsid w:val="646CF96B"/>
    <w:rsid w:val="64A2145C"/>
    <w:rsid w:val="64A3A7F9"/>
    <w:rsid w:val="64DD16D2"/>
    <w:rsid w:val="6541AA49"/>
    <w:rsid w:val="65944A8F"/>
    <w:rsid w:val="65CEC442"/>
    <w:rsid w:val="6670ECB9"/>
    <w:rsid w:val="66D6F8CA"/>
    <w:rsid w:val="66EB78A9"/>
    <w:rsid w:val="673979F3"/>
    <w:rsid w:val="68191130"/>
    <w:rsid w:val="682FFFE8"/>
    <w:rsid w:val="683742AF"/>
    <w:rsid w:val="685E4588"/>
    <w:rsid w:val="68618884"/>
    <w:rsid w:val="68C4F40E"/>
    <w:rsid w:val="68C53A02"/>
    <w:rsid w:val="68ED3CA7"/>
    <w:rsid w:val="691266F0"/>
    <w:rsid w:val="6913CB0A"/>
    <w:rsid w:val="6952721C"/>
    <w:rsid w:val="695761DB"/>
    <w:rsid w:val="6A03276F"/>
    <w:rsid w:val="6A17A74E"/>
    <w:rsid w:val="6A87CDA4"/>
    <w:rsid w:val="6B50B1F2"/>
    <w:rsid w:val="6BBFE05E"/>
    <w:rsid w:val="6C5B0913"/>
    <w:rsid w:val="6CBB35CD"/>
    <w:rsid w:val="6D015019"/>
    <w:rsid w:val="6D136771"/>
    <w:rsid w:val="6D25BDFE"/>
    <w:rsid w:val="6D5D81BF"/>
    <w:rsid w:val="6D7438D5"/>
    <w:rsid w:val="6D8463EB"/>
    <w:rsid w:val="6E0EB248"/>
    <w:rsid w:val="6E2CC14C"/>
    <w:rsid w:val="6E5D2DFA"/>
    <w:rsid w:val="6EBA9F24"/>
    <w:rsid w:val="6F445D80"/>
    <w:rsid w:val="6FC36600"/>
    <w:rsid w:val="6FFA0B90"/>
    <w:rsid w:val="7012DE86"/>
    <w:rsid w:val="701C590E"/>
    <w:rsid w:val="705B84B9"/>
    <w:rsid w:val="70C19049"/>
    <w:rsid w:val="71195261"/>
    <w:rsid w:val="715A48B3"/>
    <w:rsid w:val="716B976C"/>
    <w:rsid w:val="71944289"/>
    <w:rsid w:val="71F2E128"/>
    <w:rsid w:val="71F737E5"/>
    <w:rsid w:val="73055B23"/>
    <w:rsid w:val="736FEF8D"/>
    <w:rsid w:val="73970C8F"/>
    <w:rsid w:val="74107E50"/>
    <w:rsid w:val="741CF6DB"/>
    <w:rsid w:val="742AEBA6"/>
    <w:rsid w:val="743DCB3C"/>
    <w:rsid w:val="743F923C"/>
    <w:rsid w:val="746EE916"/>
    <w:rsid w:val="7499F89F"/>
    <w:rsid w:val="749C7798"/>
    <w:rsid w:val="74C41DE8"/>
    <w:rsid w:val="74ECC4B7"/>
    <w:rsid w:val="7523B241"/>
    <w:rsid w:val="755C14EE"/>
    <w:rsid w:val="7566CADE"/>
    <w:rsid w:val="75E6FD8F"/>
    <w:rsid w:val="75EB9BAE"/>
    <w:rsid w:val="763CFBE5"/>
    <w:rsid w:val="76EE3FB5"/>
    <w:rsid w:val="7708EFDA"/>
    <w:rsid w:val="771111F9"/>
    <w:rsid w:val="776566FA"/>
    <w:rsid w:val="7765F016"/>
    <w:rsid w:val="77B27FFB"/>
    <w:rsid w:val="77BF8655"/>
    <w:rsid w:val="77CCDE0B"/>
    <w:rsid w:val="77D8CC46"/>
    <w:rsid w:val="77EC9FD3"/>
    <w:rsid w:val="77F7C66E"/>
    <w:rsid w:val="780F2C80"/>
    <w:rsid w:val="7810AC4A"/>
    <w:rsid w:val="78270B06"/>
    <w:rsid w:val="782DE1F3"/>
    <w:rsid w:val="78357F5D"/>
    <w:rsid w:val="7844BB57"/>
    <w:rsid w:val="78667969"/>
    <w:rsid w:val="788A1016"/>
    <w:rsid w:val="78CAFC41"/>
    <w:rsid w:val="7910C4D4"/>
    <w:rsid w:val="79749CA7"/>
    <w:rsid w:val="799F536F"/>
    <w:rsid w:val="79F1EA79"/>
    <w:rsid w:val="7A03D90E"/>
    <w:rsid w:val="7A1426B1"/>
    <w:rsid w:val="7A6643DF"/>
    <w:rsid w:val="7AEC3B92"/>
    <w:rsid w:val="7AF255E9"/>
    <w:rsid w:val="7B10C558"/>
    <w:rsid w:val="7B356A9A"/>
    <w:rsid w:val="7B7BA382"/>
    <w:rsid w:val="7B85A29B"/>
    <w:rsid w:val="7BE5E024"/>
    <w:rsid w:val="7C11D409"/>
    <w:rsid w:val="7C1B3C9D"/>
    <w:rsid w:val="7C9B15BE"/>
    <w:rsid w:val="7D2BF18F"/>
    <w:rsid w:val="7D5D8139"/>
    <w:rsid w:val="7D6811D6"/>
    <w:rsid w:val="7DE2D380"/>
    <w:rsid w:val="7DFBFBDD"/>
    <w:rsid w:val="7E480DCA"/>
    <w:rsid w:val="7E6A6C89"/>
    <w:rsid w:val="7E6FE6EC"/>
    <w:rsid w:val="7EF47C8D"/>
    <w:rsid w:val="7EF6720A"/>
    <w:rsid w:val="7EF9519A"/>
    <w:rsid w:val="7F38448C"/>
    <w:rsid w:val="7F4D42F2"/>
    <w:rsid w:val="7F54F91A"/>
    <w:rsid w:val="7F6269E6"/>
    <w:rsid w:val="7FA2F38C"/>
    <w:rsid w:val="7FE3DE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92C0FA"/>
  <w15:docId w15:val="{F7DF1195-111F-4DAB-9547-B649ED0FF0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en-I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iPriority="99"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F34C5"/>
    <w:pPr>
      <w:spacing w:after="240"/>
      <w:jc w:val="both"/>
    </w:pPr>
    <w:rPr>
      <w:rFonts w:ascii="Courier New" w:hAnsi="Courier New"/>
      <w:sz w:val="24"/>
      <w:lang w:eastAsia="en-GB"/>
    </w:rPr>
  </w:style>
  <w:style w:type="paragraph" w:styleId="Heading1">
    <w:name w:val="heading 1"/>
    <w:aliases w:val="Heading 1 Char Char Char Char Char Char Char Char Char Char Char Char Char Char"/>
    <w:basedOn w:val="Normal"/>
    <w:next w:val="Text1"/>
    <w:link w:val="Heading1Char1"/>
    <w:qFormat/>
    <w:pPr>
      <w:keepNext/>
      <w:numPr>
        <w:numId w:val="2"/>
      </w:numPr>
      <w:spacing w:before="240"/>
      <w:outlineLvl w:val="0"/>
    </w:pPr>
    <w:rPr>
      <w:b/>
      <w:smallCaps/>
    </w:rPr>
  </w:style>
  <w:style w:type="paragraph" w:styleId="Heading2">
    <w:name w:val="heading 2"/>
    <w:basedOn w:val="Normal"/>
    <w:next w:val="Text2"/>
    <w:qFormat/>
    <w:pPr>
      <w:keepNext/>
      <w:numPr>
        <w:ilvl w:val="1"/>
        <w:numId w:val="2"/>
      </w:numPr>
      <w:outlineLvl w:val="1"/>
    </w:pPr>
    <w:rPr>
      <w:b/>
    </w:rPr>
  </w:style>
  <w:style w:type="paragraph" w:styleId="Heading3">
    <w:name w:val="heading 3"/>
    <w:basedOn w:val="Normal"/>
    <w:next w:val="Text3"/>
    <w:link w:val="Heading3Char"/>
    <w:qFormat/>
    <w:pPr>
      <w:keepNext/>
      <w:numPr>
        <w:ilvl w:val="2"/>
        <w:numId w:val="2"/>
      </w:numPr>
      <w:outlineLvl w:val="2"/>
    </w:pPr>
    <w:rPr>
      <w:i/>
    </w:rPr>
  </w:style>
  <w:style w:type="paragraph" w:styleId="Heading4">
    <w:name w:val="heading 4"/>
    <w:basedOn w:val="Normal"/>
    <w:next w:val="Text4"/>
    <w:qFormat/>
    <w:pPr>
      <w:keepNext/>
      <w:numPr>
        <w:ilvl w:val="3"/>
        <w:numId w:val="2"/>
      </w:numPr>
      <w:outlineLvl w:val="3"/>
    </w:pPr>
  </w:style>
  <w:style w:type="paragraph" w:styleId="Heading5">
    <w:name w:val="heading 5"/>
    <w:basedOn w:val="Normal"/>
    <w:next w:val="Normal"/>
    <w:qFormat/>
    <w:pPr>
      <w:spacing w:before="240" w:after="60"/>
      <w:ind w:left="3332" w:hanging="708"/>
      <w:outlineLvl w:val="4"/>
    </w:pPr>
    <w:rPr>
      <w:rFonts w:ascii="Arial" w:hAnsi="Arial"/>
      <w:sz w:val="22"/>
    </w:rPr>
  </w:style>
  <w:style w:type="paragraph" w:styleId="Heading6">
    <w:name w:val="heading 6"/>
    <w:basedOn w:val="Normal"/>
    <w:next w:val="Normal"/>
    <w:qFormat/>
    <w:pPr>
      <w:spacing w:before="240" w:after="60"/>
      <w:ind w:left="4040" w:hanging="708"/>
      <w:outlineLvl w:val="5"/>
    </w:pPr>
    <w:rPr>
      <w:rFonts w:ascii="Arial" w:hAnsi="Arial"/>
      <w:i/>
      <w:sz w:val="22"/>
    </w:rPr>
  </w:style>
  <w:style w:type="paragraph" w:styleId="Heading7">
    <w:name w:val="heading 7"/>
    <w:basedOn w:val="Normal"/>
    <w:next w:val="Normal"/>
    <w:qFormat/>
    <w:pPr>
      <w:spacing w:before="240" w:after="60"/>
      <w:ind w:left="4748" w:hanging="708"/>
      <w:outlineLvl w:val="6"/>
    </w:pPr>
    <w:rPr>
      <w:rFonts w:ascii="Arial" w:hAnsi="Arial"/>
      <w:sz w:val="20"/>
    </w:rPr>
  </w:style>
  <w:style w:type="paragraph" w:styleId="Heading8">
    <w:name w:val="heading 8"/>
    <w:basedOn w:val="Normal"/>
    <w:next w:val="Normal"/>
    <w:qFormat/>
    <w:pPr>
      <w:spacing w:before="240" w:after="60"/>
      <w:ind w:left="5456" w:hanging="708"/>
      <w:outlineLvl w:val="7"/>
    </w:pPr>
    <w:rPr>
      <w:rFonts w:ascii="Arial" w:hAnsi="Arial"/>
      <w:i/>
      <w:sz w:val="20"/>
    </w:rPr>
  </w:style>
  <w:style w:type="paragraph" w:styleId="Heading9">
    <w:name w:val="heading 9"/>
    <w:basedOn w:val="Normal"/>
    <w:next w:val="Normal"/>
    <w:qFormat/>
    <w:pPr>
      <w:spacing w:before="240" w:after="60"/>
      <w:ind w:left="6164" w:hanging="708"/>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link w:val="ZnakZnak"/>
    <w:uiPriority w:val="99"/>
    <w:semiHidden/>
    <w:unhideWhenUsed/>
  </w:style>
  <w:style w:type="paragraph" w:customStyle="1" w:styleId="Text1">
    <w:name w:val="Text 1"/>
    <w:basedOn w:val="Normal"/>
    <w:link w:val="Text1Char"/>
    <w:pPr>
      <w:ind w:left="482"/>
    </w:pPr>
  </w:style>
  <w:style w:type="paragraph" w:customStyle="1" w:styleId="Text2">
    <w:name w:val="Text 2"/>
    <w:basedOn w:val="Normal"/>
    <w:link w:val="Text2Char1"/>
    <w:pPr>
      <w:tabs>
        <w:tab w:val="left" w:pos="2160"/>
      </w:tabs>
      <w:ind w:left="1077"/>
    </w:pPr>
  </w:style>
  <w:style w:type="paragraph" w:customStyle="1" w:styleId="Text3">
    <w:name w:val="Text 3"/>
    <w:basedOn w:val="Normal"/>
    <w:pPr>
      <w:tabs>
        <w:tab w:val="left" w:pos="2302"/>
      </w:tabs>
      <w:ind w:left="1916"/>
    </w:pPr>
  </w:style>
  <w:style w:type="paragraph" w:customStyle="1" w:styleId="Text4">
    <w:name w:val="Text 4"/>
    <w:basedOn w:val="Normal"/>
    <w:pPr>
      <w:ind w:left="2880"/>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styleId="Closing">
    <w:name w:val="Closing"/>
    <w:basedOn w:val="Normal"/>
    <w:next w:val="Signature"/>
    <w:pPr>
      <w:tabs>
        <w:tab w:val="left" w:pos="5103"/>
      </w:tabs>
      <w:spacing w:before="240"/>
      <w:ind w:left="5103"/>
      <w:jc w:val="left"/>
    </w:pPr>
  </w:style>
  <w:style w:type="paragraph" w:styleId="Signature">
    <w:name w:val="Signature"/>
    <w:basedOn w:val="Normal"/>
    <w:next w:val="Enclosures"/>
    <w:pPr>
      <w:tabs>
        <w:tab w:val="left" w:pos="5103"/>
      </w:tabs>
      <w:spacing w:before="1200" w:after="0"/>
      <w:ind w:left="5103"/>
      <w:jc w:val="center"/>
    </w:pPr>
  </w:style>
  <w:style w:type="paragraph" w:customStyle="1" w:styleId="Enclosures">
    <w:name w:val="Enclosures"/>
    <w:basedOn w:val="Normal"/>
    <w:next w:val="Participants"/>
    <w:pPr>
      <w:keepNext/>
      <w:keepLines/>
      <w:tabs>
        <w:tab w:val="left" w:pos="5642"/>
      </w:tabs>
      <w:spacing w:before="480" w:after="0"/>
      <w:ind w:left="1792" w:hanging="1792"/>
      <w:jc w:val="left"/>
    </w:pPr>
  </w:style>
  <w:style w:type="paragraph" w:customStyle="1" w:styleId="Participants">
    <w:name w:val="Participants"/>
    <w:basedOn w:val="Normal"/>
    <w:next w:val="Copies"/>
    <w:pPr>
      <w:tabs>
        <w:tab w:val="left" w:pos="2512"/>
        <w:tab w:val="left" w:pos="2762"/>
        <w:tab w:val="left" w:pos="5642"/>
        <w:tab w:val="left" w:pos="6362"/>
        <w:tab w:val="left" w:pos="6720"/>
      </w:tabs>
      <w:spacing w:before="480" w:after="0"/>
      <w:ind w:left="1792" w:hanging="1792"/>
      <w:jc w:val="left"/>
    </w:pPr>
  </w:style>
  <w:style w:type="paragraph" w:customStyle="1" w:styleId="Copies">
    <w:name w:val="Copies"/>
    <w:basedOn w:val="Normal"/>
    <w:next w:val="Normal"/>
    <w:pPr>
      <w:tabs>
        <w:tab w:val="left" w:pos="2512"/>
        <w:tab w:val="left" w:pos="2762"/>
        <w:tab w:val="left" w:pos="5642"/>
        <w:tab w:val="left" w:pos="6362"/>
        <w:tab w:val="left" w:pos="6720"/>
      </w:tabs>
      <w:spacing w:before="480" w:after="0"/>
      <w:ind w:left="1792" w:hanging="1792"/>
      <w:jc w:val="left"/>
    </w:pPr>
  </w:style>
  <w:style w:type="paragraph" w:styleId="CommentText">
    <w:name w:val="annotation text"/>
    <w:basedOn w:val="Normal"/>
    <w:link w:val="CommentTextChar"/>
    <w:semiHidden/>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uiPriority w:val="99"/>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styleId="EndnoteText">
    <w:name w:val="endnote text"/>
    <w:basedOn w:val="Normal"/>
    <w:link w:val="EndnoteTextChar"/>
    <w:uiPriority w:val="99"/>
    <w:semiHidden/>
    <w:rPr>
      <w:sz w:val="20"/>
    </w:rPr>
  </w:style>
  <w:style w:type="paragraph" w:styleId="EnvelopeAddress">
    <w:name w:val="envelope address"/>
    <w:basedOn w:val="Normal"/>
    <w:pPr>
      <w:framePr w:w="7920" w:h="1980" w:hRule="exact" w:hSpace="180" w:wrap="auto" w:hAnchor="page" w:xAlign="center" w:yAlign="bottom"/>
      <w:spacing w:after="0"/>
    </w:pPr>
    <w:rPr>
      <w:rFonts w:ascii="Times New Roman" w:hAnsi="Times New Roman"/>
    </w:rPr>
  </w:style>
  <w:style w:type="paragraph" w:styleId="EnvelopeReturn">
    <w:name w:val="envelope return"/>
    <w:basedOn w:val="Normal"/>
    <w:pPr>
      <w:spacing w:after="0"/>
    </w:pPr>
    <w:rPr>
      <w:rFonts w:ascii="Times New Roman" w:hAnsi="Times New Roman"/>
      <w:sz w:val="20"/>
    </w:rPr>
  </w:style>
  <w:style w:type="paragraph" w:styleId="Footer">
    <w:name w:val="footer"/>
    <w:basedOn w:val="Normal"/>
    <w:link w:val="FooterChar"/>
    <w:pPr>
      <w:spacing w:after="0"/>
      <w:ind w:right="-567"/>
      <w:jc w:val="left"/>
    </w:pPr>
    <w:rPr>
      <w:rFonts w:ascii="Arial" w:hAnsi="Arial"/>
      <w:sz w:val="16"/>
    </w:rPr>
  </w:style>
  <w:style w:type="paragraph" w:styleId="FootnoteText">
    <w:name w:val="footnote text"/>
    <w:aliases w:val="Footnote Text Char,Footnote Text Char1 Char,Footnote Text Char Char Char,Fußnotentext Char Char1 Char Char,Fußnotentext Char1 Char1 Char Char Char,Fußnotentext Char Char Char Char Char Char Char1,Footnote Text Char1,Footnote Text Char Char"/>
    <w:basedOn w:val="Normal"/>
    <w:link w:val="FootnoteTextChar2"/>
    <w:qFormat/>
    <w:pPr>
      <w:ind w:left="357" w:hanging="357"/>
    </w:pPr>
    <w:rPr>
      <w:sz w:val="20"/>
    </w:rPr>
  </w:style>
  <w:style w:type="paragraph" w:styleId="Header">
    <w:name w:val="header"/>
    <w:basedOn w:val="Normal"/>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link w:val="ListChar"/>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link w:val="ListBulletChar1"/>
    <w:pPr>
      <w:numPr>
        <w:numId w:val="3"/>
      </w:numPr>
    </w:pPr>
  </w:style>
  <w:style w:type="paragraph" w:styleId="ListBullet2">
    <w:name w:val="List Bullet 2"/>
    <w:basedOn w:val="Text2"/>
    <w:uiPriority w:val="99"/>
    <w:pPr>
      <w:numPr>
        <w:numId w:val="5"/>
      </w:numPr>
      <w:tabs>
        <w:tab w:val="clear" w:pos="2160"/>
      </w:tabs>
    </w:pPr>
  </w:style>
  <w:style w:type="paragraph" w:styleId="ListBullet3">
    <w:name w:val="List Bullet 3"/>
    <w:basedOn w:val="Text3"/>
    <w:pPr>
      <w:numPr>
        <w:numId w:val="6"/>
      </w:numPr>
      <w:tabs>
        <w:tab w:val="clear" w:pos="2302"/>
      </w:tabs>
    </w:pPr>
  </w:style>
  <w:style w:type="paragraph" w:styleId="ListBullet4">
    <w:name w:val="List Bullet 4"/>
    <w:basedOn w:val="Text4"/>
    <w:pPr>
      <w:numPr>
        <w:numId w:val="7"/>
      </w:numPr>
    </w:pPr>
  </w:style>
  <w:style w:type="paragraph" w:styleId="ListBullet5">
    <w:name w:val="List Bullet 5"/>
    <w:basedOn w:val="Normal"/>
    <w:autoRedefine/>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rsid w:val="000A64E1"/>
    <w:pPr>
      <w:numPr>
        <w:numId w:val="12"/>
      </w:numPr>
    </w:pPr>
    <w:rPr>
      <w:rFonts w:ascii="Times New Roman" w:hAnsi="Times New Roman"/>
    </w:rPr>
  </w:style>
  <w:style w:type="paragraph" w:styleId="ListNumber2">
    <w:name w:val="List Number 2"/>
    <w:basedOn w:val="Text2"/>
    <w:pPr>
      <w:numPr>
        <w:numId w:val="14"/>
      </w:numPr>
      <w:tabs>
        <w:tab w:val="clear" w:pos="2160"/>
      </w:tabs>
    </w:pPr>
  </w:style>
  <w:style w:type="paragraph" w:styleId="ListNumber3">
    <w:name w:val="List Number 3"/>
    <w:basedOn w:val="Text3"/>
    <w:pPr>
      <w:numPr>
        <w:numId w:val="15"/>
      </w:numPr>
      <w:tabs>
        <w:tab w:val="clear" w:pos="2302"/>
      </w:tabs>
    </w:pPr>
  </w:style>
  <w:style w:type="paragraph" w:styleId="ListNumber4">
    <w:name w:val="List Number 4"/>
    <w:basedOn w:val="Text4"/>
    <w:pPr>
      <w:numPr>
        <w:numId w:val="16"/>
      </w:numPr>
    </w:pPr>
  </w:style>
  <w:style w:type="paragraph" w:styleId="ListNumber5">
    <w:name w:val="List Number 5"/>
    <w:basedOn w:val="Normal"/>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GB"/>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191" w:hanging="119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link w:val="NumPar1Char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styleId="PlainText">
    <w:name w:val="Plain Text"/>
    <w:basedOn w:val="Normal"/>
    <w:link w:val="PlainTextChar"/>
    <w:uiPriority w:val="99"/>
    <w:rPr>
      <w:sz w:val="20"/>
    </w:rPr>
  </w:style>
  <w:style w:type="paragraph" w:styleId="Salutation">
    <w:name w:val="Salutation"/>
    <w:basedOn w:val="Normal"/>
    <w:next w:val="Normal"/>
  </w:style>
  <w:style w:type="paragraph" w:styleId="Subtitle">
    <w:name w:val="Subtitle"/>
    <w:basedOn w:val="Normal"/>
    <w:qFormat/>
    <w:pPr>
      <w:spacing w:after="60"/>
      <w:jc w:val="center"/>
      <w:outlineLvl w:val="1"/>
    </w:pPr>
    <w:rPr>
      <w:rFonts w:ascii="Arial" w:hAnsi="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b/>
      <w:kern w:val="28"/>
      <w:sz w:val="32"/>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191" w:hanging="1191"/>
    </w:pPr>
  </w:style>
  <w:style w:type="paragraph" w:customStyle="1" w:styleId="ListBullet1">
    <w:name w:val="List Bullet 1"/>
    <w:basedOn w:val="Text1"/>
    <w:pPr>
      <w:numPr>
        <w:numId w:val="4"/>
      </w:numPr>
    </w:pPr>
  </w:style>
  <w:style w:type="paragraph" w:customStyle="1" w:styleId="ListDash">
    <w:name w:val="List Dash"/>
    <w:basedOn w:val="Normal"/>
    <w:link w:val="ListDashChar"/>
    <w:pPr>
      <w:numPr>
        <w:numId w:val="19"/>
      </w:numPr>
    </w:pPr>
  </w:style>
  <w:style w:type="paragraph" w:customStyle="1" w:styleId="ListDash1">
    <w:name w:val="List Dash 1"/>
    <w:basedOn w:val="Text1"/>
    <w:pPr>
      <w:numPr>
        <w:numId w:val="8"/>
      </w:numPr>
    </w:pPr>
  </w:style>
  <w:style w:type="paragraph" w:customStyle="1" w:styleId="ListDash2">
    <w:name w:val="List Dash 2"/>
    <w:basedOn w:val="Text2"/>
    <w:pPr>
      <w:numPr>
        <w:numId w:val="9"/>
      </w:numPr>
      <w:tabs>
        <w:tab w:val="clear" w:pos="2160"/>
      </w:tabs>
    </w:pPr>
  </w:style>
  <w:style w:type="paragraph" w:customStyle="1" w:styleId="ListDash3">
    <w:name w:val="List Dash 3"/>
    <w:basedOn w:val="Text3"/>
    <w:pPr>
      <w:numPr>
        <w:numId w:val="10"/>
      </w:numPr>
      <w:tabs>
        <w:tab w:val="clear" w:pos="2302"/>
      </w:tabs>
    </w:pPr>
  </w:style>
  <w:style w:type="paragraph" w:customStyle="1" w:styleId="ListDash4">
    <w:name w:val="List Dash 4"/>
    <w:basedOn w:val="Text4"/>
    <w:pPr>
      <w:numPr>
        <w:numId w:val="11"/>
      </w:numPr>
    </w:pPr>
  </w:style>
  <w:style w:type="paragraph" w:customStyle="1" w:styleId="ListNumberLevel2">
    <w:name w:val="List Number (Level 2)"/>
    <w:basedOn w:val="Normal"/>
    <w:pPr>
      <w:numPr>
        <w:ilvl w:val="1"/>
        <w:numId w:val="12"/>
      </w:numPr>
    </w:pPr>
  </w:style>
  <w:style w:type="paragraph" w:customStyle="1" w:styleId="ListNumberLevel3">
    <w:name w:val="List Number (Level 3)"/>
    <w:basedOn w:val="Normal"/>
    <w:pPr>
      <w:numPr>
        <w:ilvl w:val="2"/>
        <w:numId w:val="12"/>
      </w:numPr>
    </w:pPr>
  </w:style>
  <w:style w:type="paragraph" w:customStyle="1" w:styleId="ListNumberLevel4">
    <w:name w:val="List Number (Level 4)"/>
    <w:basedOn w:val="Normal"/>
    <w:pPr>
      <w:numPr>
        <w:ilvl w:val="3"/>
        <w:numId w:val="12"/>
      </w:numPr>
    </w:pPr>
  </w:style>
  <w:style w:type="paragraph" w:customStyle="1" w:styleId="ListNumber1">
    <w:name w:val="List Number 1"/>
    <w:basedOn w:val="Text1"/>
    <w:pPr>
      <w:numPr>
        <w:numId w:val="13"/>
      </w:numPr>
    </w:pPr>
  </w:style>
  <w:style w:type="paragraph" w:customStyle="1" w:styleId="ListNumber1Level2">
    <w:name w:val="List Number 1 (Level 2)"/>
    <w:basedOn w:val="Text1"/>
    <w:pPr>
      <w:numPr>
        <w:ilvl w:val="1"/>
        <w:numId w:val="13"/>
      </w:numPr>
    </w:pPr>
  </w:style>
  <w:style w:type="paragraph" w:customStyle="1" w:styleId="ListNumber1Level3">
    <w:name w:val="List Number 1 (Level 3)"/>
    <w:basedOn w:val="Text1"/>
    <w:pPr>
      <w:numPr>
        <w:ilvl w:val="2"/>
        <w:numId w:val="13"/>
      </w:numPr>
    </w:pPr>
  </w:style>
  <w:style w:type="paragraph" w:customStyle="1" w:styleId="ListNumber1Level4">
    <w:name w:val="List Number 1 (Level 4)"/>
    <w:basedOn w:val="Text1"/>
    <w:pPr>
      <w:numPr>
        <w:ilvl w:val="3"/>
        <w:numId w:val="13"/>
      </w:numPr>
    </w:pPr>
  </w:style>
  <w:style w:type="paragraph" w:customStyle="1" w:styleId="ListNumber2Level2">
    <w:name w:val="List Number 2 (Level 2)"/>
    <w:basedOn w:val="Text2"/>
    <w:pPr>
      <w:numPr>
        <w:ilvl w:val="1"/>
        <w:numId w:val="14"/>
      </w:numPr>
      <w:tabs>
        <w:tab w:val="clear" w:pos="2160"/>
      </w:tabs>
    </w:pPr>
  </w:style>
  <w:style w:type="paragraph" w:customStyle="1" w:styleId="ListNumber2Level3">
    <w:name w:val="List Number 2 (Level 3)"/>
    <w:basedOn w:val="Text2"/>
    <w:pPr>
      <w:numPr>
        <w:ilvl w:val="2"/>
        <w:numId w:val="14"/>
      </w:numPr>
      <w:tabs>
        <w:tab w:val="clear" w:pos="2160"/>
      </w:tabs>
    </w:pPr>
  </w:style>
  <w:style w:type="paragraph" w:customStyle="1" w:styleId="ListNumber2Level4">
    <w:name w:val="List Number 2 (Level 4)"/>
    <w:basedOn w:val="Text2"/>
    <w:pPr>
      <w:numPr>
        <w:ilvl w:val="3"/>
        <w:numId w:val="14"/>
      </w:numPr>
      <w:tabs>
        <w:tab w:val="clear" w:pos="2160"/>
      </w:tabs>
    </w:pPr>
  </w:style>
  <w:style w:type="paragraph" w:customStyle="1" w:styleId="ListNumber3Level2">
    <w:name w:val="List Number 3 (Level 2)"/>
    <w:basedOn w:val="Text3"/>
    <w:pPr>
      <w:numPr>
        <w:ilvl w:val="1"/>
        <w:numId w:val="15"/>
      </w:numPr>
      <w:tabs>
        <w:tab w:val="clear" w:pos="2302"/>
      </w:tabs>
    </w:pPr>
  </w:style>
  <w:style w:type="paragraph" w:customStyle="1" w:styleId="ListNumber3Level3">
    <w:name w:val="List Number 3 (Level 3)"/>
    <w:basedOn w:val="Text3"/>
    <w:pPr>
      <w:numPr>
        <w:ilvl w:val="2"/>
        <w:numId w:val="15"/>
      </w:numPr>
      <w:tabs>
        <w:tab w:val="clear" w:pos="2302"/>
      </w:tabs>
    </w:pPr>
  </w:style>
  <w:style w:type="paragraph" w:customStyle="1" w:styleId="ListNumber3Level4">
    <w:name w:val="List Number 3 (Level 4)"/>
    <w:basedOn w:val="Text3"/>
    <w:pPr>
      <w:numPr>
        <w:ilvl w:val="3"/>
        <w:numId w:val="15"/>
      </w:numPr>
      <w:tabs>
        <w:tab w:val="clear" w:pos="2302"/>
      </w:tabs>
    </w:pPr>
  </w:style>
  <w:style w:type="paragraph" w:customStyle="1" w:styleId="ListNumber4Level2">
    <w:name w:val="List Number 4 (Level 2)"/>
    <w:basedOn w:val="Text4"/>
    <w:pPr>
      <w:numPr>
        <w:ilvl w:val="1"/>
        <w:numId w:val="16"/>
      </w:numPr>
    </w:pPr>
  </w:style>
  <w:style w:type="paragraph" w:customStyle="1" w:styleId="ListNumber4Level3">
    <w:name w:val="List Number 4 (Level 3)"/>
    <w:basedOn w:val="Text4"/>
    <w:pPr>
      <w:numPr>
        <w:ilvl w:val="2"/>
        <w:numId w:val="16"/>
      </w:numPr>
    </w:pPr>
  </w:style>
  <w:style w:type="paragraph" w:customStyle="1" w:styleId="ListNumber4Level4">
    <w:name w:val="List Number 4 (Level 4)"/>
    <w:basedOn w:val="Text4"/>
    <w:pPr>
      <w:numPr>
        <w:ilvl w:val="3"/>
        <w:numId w:val="16"/>
      </w:numPr>
    </w:pPr>
  </w:style>
  <w:style w:type="paragraph" w:styleId="TOCHeading">
    <w:name w:val="TOC Heading"/>
    <w:basedOn w:val="Normal"/>
    <w:next w:val="Normal"/>
    <w:qFormat/>
    <w:pPr>
      <w:keepNext/>
      <w:spacing w:before="240"/>
      <w:jc w:val="center"/>
    </w:pPr>
    <w:rPr>
      <w:b/>
    </w:rPr>
  </w:style>
  <w:style w:type="paragraph" w:customStyle="1" w:styleId="ATHeading1">
    <w:name w:val="AT Heading 1"/>
    <w:basedOn w:val="Normal"/>
    <w:next w:val="Normal"/>
    <w:pPr>
      <w:keepNext/>
      <w:keepLines/>
      <w:numPr>
        <w:numId w:val="17"/>
      </w:numPr>
      <w:spacing w:after="140"/>
      <w:jc w:val="left"/>
      <w:outlineLvl w:val="0"/>
    </w:pPr>
    <w:rPr>
      <w:rFonts w:ascii="Times New Roman" w:hAnsi="Times New Roman"/>
      <w:b/>
      <w:noProof/>
      <w:sz w:val="28"/>
    </w:rPr>
  </w:style>
  <w:style w:type="paragraph" w:customStyle="1" w:styleId="ZCom">
    <w:name w:val="Z_Com"/>
    <w:basedOn w:val="Normal"/>
    <w:next w:val="ZDGName"/>
    <w:uiPriority w:val="99"/>
    <w:pPr>
      <w:spacing w:after="0"/>
      <w:ind w:right="85"/>
    </w:pPr>
    <w:rPr>
      <w:rFonts w:ascii="Arial" w:hAnsi="Arial"/>
    </w:rPr>
  </w:style>
  <w:style w:type="paragraph" w:customStyle="1" w:styleId="ZDGName">
    <w:name w:val="Z_DGName"/>
    <w:basedOn w:val="Normal"/>
    <w:pPr>
      <w:spacing w:after="0"/>
      <w:ind w:right="85"/>
    </w:pPr>
    <w:rPr>
      <w:rFonts w:ascii="Arial" w:hAnsi="Arial"/>
      <w:sz w:val="16"/>
    </w:rPr>
  </w:style>
  <w:style w:type="paragraph" w:customStyle="1" w:styleId="H4">
    <w:name w:val="H4"/>
    <w:basedOn w:val="Normal"/>
    <w:next w:val="Normal"/>
    <w:pPr>
      <w:keepNext/>
      <w:widowControl w:val="0"/>
      <w:spacing w:before="100" w:after="100"/>
      <w:jc w:val="left"/>
      <w:outlineLvl w:val="4"/>
    </w:pPr>
    <w:rPr>
      <w:rFonts w:ascii="Times New Roman" w:hAnsi="Times New Roman"/>
      <w:b/>
      <w:snapToGrid w:val="0"/>
      <w:lang w:eastAsia="en-US"/>
    </w:rPr>
  </w:style>
  <w:style w:type="character" w:customStyle="1" w:styleId="HideTWBExt">
    <w:name w:val="HideTWBExt"/>
    <w:rPr>
      <w:noProof/>
      <w:vanish/>
      <w:color w:val="808080"/>
    </w:rPr>
  </w:style>
  <w:style w:type="paragraph" w:customStyle="1" w:styleId="Action">
    <w:name w:val="Action"/>
    <w:basedOn w:val="Normal"/>
    <w:pPr>
      <w:widowControl w:val="0"/>
      <w:tabs>
        <w:tab w:val="left" w:pos="357"/>
      </w:tabs>
      <w:ind w:left="357" w:hanging="357"/>
      <w:jc w:val="left"/>
    </w:pPr>
    <w:rPr>
      <w:rFonts w:ascii="Times New Roman" w:hAnsi="Times New Roman"/>
    </w:rPr>
  </w:style>
  <w:style w:type="paragraph" w:customStyle="1" w:styleId="ATHeading3">
    <w:name w:val="AT Heading 3"/>
    <w:basedOn w:val="Normal"/>
    <w:next w:val="Normal"/>
    <w:pPr>
      <w:keepNext/>
      <w:keepLines/>
      <w:spacing w:before="120" w:after="120"/>
      <w:jc w:val="left"/>
      <w:outlineLvl w:val="2"/>
    </w:pPr>
    <w:rPr>
      <w:rFonts w:ascii="Times New Roman" w:hAnsi="Times New Roman"/>
      <w:b/>
      <w:noProof/>
    </w:rPr>
  </w:style>
  <w:style w:type="character" w:customStyle="1" w:styleId="DefaultMargins">
    <w:name w:val="DefaultMargins"/>
    <w:rPr>
      <w:rFonts w:ascii="Courier New" w:hAnsi="Courier New"/>
      <w:noProof w:val="0"/>
      <w:sz w:val="20"/>
      <w:lang w:val="fr-FR"/>
    </w:rPr>
  </w:style>
  <w:style w:type="paragraph" w:customStyle="1" w:styleId="Initial">
    <w:name w:val="Initial"/>
    <w:link w:val="InitialChar"/>
    <w:pPr>
      <w:tabs>
        <w:tab w:val="left" w:pos="-720"/>
      </w:tabs>
      <w:suppressAutoHyphens/>
      <w:jc w:val="both"/>
    </w:pPr>
    <w:rPr>
      <w:spacing w:val="-3"/>
      <w:sz w:val="24"/>
      <w:lang w:eastAsia="en-GB"/>
    </w:rPr>
  </w:style>
  <w:style w:type="character" w:styleId="FootnoteReference">
    <w:name w:val="footnote reference"/>
    <w:aliases w:val=" BVI fnr,BVI fnr,SUPERS,Footnote symbol,Footnote,Footnote reference number,Footnote number,Footnote Reference Superscript,note TESI,EN Footnote Reference,-E Fußnotenzeichen,number Char Char,Footnote Reference Superscript Car,number,Re"/>
    <w:link w:val="ftrefCharCharCharCharCharCharCharCharChar"/>
    <w:qFormat/>
    <w:rPr>
      <w:vertAlign w:val="superscript"/>
    </w:rPr>
  </w:style>
  <w:style w:type="paragraph" w:customStyle="1" w:styleId="H3">
    <w:name w:val="H3"/>
    <w:basedOn w:val="Normal"/>
    <w:next w:val="Normal"/>
    <w:pPr>
      <w:keepNext/>
      <w:spacing w:before="100" w:after="100"/>
      <w:jc w:val="left"/>
      <w:outlineLvl w:val="3"/>
    </w:pPr>
    <w:rPr>
      <w:rFonts w:ascii="Times New Roman" w:hAnsi="Times New Roman"/>
      <w:b/>
      <w:snapToGrid w:val="0"/>
      <w:sz w:val="28"/>
      <w:lang w:eastAsia="en-US"/>
    </w:rPr>
  </w:style>
  <w:style w:type="paragraph" w:customStyle="1" w:styleId="Rfrencesproposition">
    <w:name w:val="Références proposition"/>
    <w:basedOn w:val="Titreobjet"/>
    <w:next w:val="Normal"/>
    <w:pPr>
      <w:spacing w:after="480"/>
    </w:pPr>
  </w:style>
  <w:style w:type="paragraph" w:customStyle="1" w:styleId="Titreobjet">
    <w:name w:val="Titre objet"/>
    <w:basedOn w:val="Normal"/>
    <w:next w:val="Normal"/>
    <w:pPr>
      <w:widowControl w:val="0"/>
      <w:spacing w:after="0"/>
      <w:ind w:left="1418"/>
      <w:jc w:val="left"/>
    </w:pPr>
    <w:rPr>
      <w:rFonts w:ascii="Times New Roman" w:hAnsi="Times New Roman"/>
      <w:snapToGrid w:val="0"/>
      <w:lang w:eastAsia="en-US"/>
    </w:rPr>
  </w:style>
  <w:style w:type="character" w:styleId="Hyperlink">
    <w:name w:val="Hyperlink"/>
    <w:aliases w:val="Char1"/>
    <w:uiPriority w:val="99"/>
    <w:qFormat/>
    <w:rPr>
      <w:color w:val="0000FF"/>
      <w:u w:val="single"/>
    </w:rPr>
  </w:style>
  <w:style w:type="character" w:styleId="Emphasis">
    <w:name w:val="Emphasis"/>
    <w:uiPriority w:val="20"/>
    <w:qFormat/>
    <w:rPr>
      <w:i/>
    </w:rPr>
  </w:style>
  <w:style w:type="character" w:customStyle="1" w:styleId="Added">
    <w:name w:val="Added"/>
    <w:rPr>
      <w:b/>
      <w:i/>
    </w:rPr>
  </w:style>
  <w:style w:type="paragraph" w:customStyle="1" w:styleId="Normal12">
    <w:name w:val="Normal 12"/>
    <w:basedOn w:val="Normal"/>
    <w:link w:val="Normal12Char"/>
    <w:rsid w:val="0027701F"/>
    <w:pPr>
      <w:tabs>
        <w:tab w:val="left" w:pos="-720"/>
      </w:tabs>
    </w:pPr>
    <w:rPr>
      <w:rFonts w:ascii="Times New Roman" w:hAnsi="Times New Roman"/>
      <w:noProof/>
    </w:rPr>
  </w:style>
  <w:style w:type="paragraph" w:customStyle="1" w:styleId="5Normal">
    <w:name w:val="5 Normal"/>
    <w:link w:val="5NormalChar"/>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jc w:val="both"/>
    </w:pPr>
    <w:rPr>
      <w:rFonts w:ascii="Arial" w:hAnsi="Arial"/>
      <w:spacing w:val="-2"/>
      <w:sz w:val="22"/>
      <w:lang w:eastAsia="en-GB"/>
    </w:rPr>
  </w:style>
  <w:style w:type="paragraph" w:customStyle="1" w:styleId="Dput">
    <w:name w:val="Député"/>
    <w:basedOn w:val="Titreobjet"/>
    <w:pPr>
      <w:spacing w:after="240"/>
    </w:pPr>
  </w:style>
  <w:style w:type="paragraph" w:customStyle="1" w:styleId="Commissionparlementaire">
    <w:name w:val="Commission parlementaire"/>
    <w:basedOn w:val="Titreobjet"/>
    <w:next w:val="Normal"/>
    <w:pPr>
      <w:spacing w:after="480"/>
    </w:pPr>
  </w:style>
  <w:style w:type="character" w:styleId="FollowedHyperlink">
    <w:name w:val="FollowedHyperlink"/>
    <w:rPr>
      <w:color w:val="800080"/>
      <w:u w:val="single"/>
    </w:rPr>
  </w:style>
  <w:style w:type="paragraph" w:customStyle="1" w:styleId="DefinitionList">
    <w:name w:val="Definition List"/>
    <w:basedOn w:val="Normal"/>
    <w:next w:val="Normal"/>
    <w:pPr>
      <w:spacing w:after="0"/>
      <w:ind w:left="360"/>
      <w:jc w:val="left"/>
    </w:pPr>
    <w:rPr>
      <w:rFonts w:ascii="Times New Roman" w:hAnsi="Times New Roman"/>
      <w:snapToGrid w:val="0"/>
      <w:lang w:eastAsia="en-US"/>
    </w:rPr>
  </w:style>
  <w:style w:type="paragraph" w:customStyle="1" w:styleId="Visa">
    <w:name w:val="Visa"/>
    <w:basedOn w:val="Normal"/>
    <w:pPr>
      <w:widowControl w:val="0"/>
      <w:tabs>
        <w:tab w:val="left" w:pos="357"/>
      </w:tabs>
      <w:ind w:left="357" w:hanging="357"/>
      <w:jc w:val="left"/>
    </w:pPr>
    <w:rPr>
      <w:rFonts w:ascii="Times New Roman" w:hAnsi="Times New Roman"/>
      <w:snapToGrid w:val="0"/>
    </w:rPr>
  </w:style>
  <w:style w:type="paragraph" w:customStyle="1" w:styleId="PagereglementairetextePR">
    <w:name w:val="Page reglementaire texte PR"/>
    <w:basedOn w:val="Normal"/>
    <w:pPr>
      <w:widowControl w:val="0"/>
      <w:jc w:val="left"/>
    </w:pPr>
    <w:rPr>
      <w:rFonts w:ascii="Times New Roman" w:hAnsi="Times New Roman"/>
      <w:snapToGrid w:val="0"/>
      <w:lang w:eastAsia="en-US"/>
    </w:rPr>
  </w:style>
  <w:style w:type="paragraph" w:customStyle="1" w:styleId="H2">
    <w:name w:val="H2"/>
    <w:basedOn w:val="Normal"/>
    <w:next w:val="Normal"/>
    <w:pPr>
      <w:keepNext/>
      <w:spacing w:before="100" w:after="100"/>
      <w:jc w:val="left"/>
      <w:outlineLvl w:val="2"/>
    </w:pPr>
    <w:rPr>
      <w:rFonts w:ascii="Times New Roman" w:hAnsi="Times New Roman"/>
      <w:b/>
      <w:snapToGrid w:val="0"/>
      <w:sz w:val="36"/>
      <w:lang w:eastAsia="en-US"/>
    </w:rPr>
  </w:style>
  <w:style w:type="paragraph" w:customStyle="1" w:styleId="Rfrenceinstitutionelle">
    <w:name w:val="Référence institutionelle"/>
    <w:basedOn w:val="Normal"/>
    <w:next w:val="Normal"/>
    <w:pPr>
      <w:ind w:left="5103"/>
      <w:jc w:val="left"/>
    </w:pPr>
    <w:rPr>
      <w:rFonts w:ascii="Times New Roman" w:hAnsi="Times New Roman"/>
    </w:rPr>
  </w:style>
  <w:style w:type="character" w:styleId="CommentReference">
    <w:name w:val="annotation reference"/>
    <w:semiHidden/>
    <w:rPr>
      <w:sz w:val="16"/>
    </w:rPr>
  </w:style>
  <w:style w:type="paragraph" w:customStyle="1" w:styleId="Tiret1">
    <w:name w:val="Tiret 1"/>
    <w:basedOn w:val="Normal"/>
    <w:pPr>
      <w:spacing w:before="120" w:after="120"/>
      <w:ind w:left="1418" w:hanging="567"/>
    </w:pPr>
    <w:rPr>
      <w:rFonts w:ascii="Times New Roman" w:hAnsi="Times New Roman"/>
    </w:rPr>
  </w:style>
  <w:style w:type="character" w:styleId="Strong">
    <w:name w:val="Strong"/>
    <w:uiPriority w:val="22"/>
    <w:qFormat/>
    <w:rPr>
      <w:b/>
    </w:rPr>
  </w:style>
  <w:style w:type="character" w:customStyle="1" w:styleId="Deleted">
    <w:name w:val="Deleted"/>
    <w:rPr>
      <w:b/>
      <w:i/>
    </w:rPr>
  </w:style>
  <w:style w:type="character" w:customStyle="1" w:styleId="HideTWBInt">
    <w:name w:val="HideTWBInt"/>
    <w:rsid w:val="00671028"/>
    <w:rPr>
      <w:vanish/>
      <w:color w:val="808080"/>
    </w:rPr>
  </w:style>
  <w:style w:type="paragraph" w:styleId="NormalWeb">
    <w:name w:val="Normal (Web)"/>
    <w:aliases w:val=" webb,webb"/>
    <w:basedOn w:val="Normal"/>
    <w:link w:val="NormalWebChar1"/>
    <w:uiPriority w:val="99"/>
    <w:rsid w:val="00863DF7"/>
    <w:pPr>
      <w:spacing w:before="100" w:beforeAutospacing="1" w:after="100" w:afterAutospacing="1"/>
      <w:jc w:val="left"/>
    </w:pPr>
    <w:rPr>
      <w:rFonts w:ascii="Times New Roman" w:hAnsi="Times New Roman"/>
      <w:szCs w:val="24"/>
    </w:rPr>
  </w:style>
  <w:style w:type="character" w:customStyle="1" w:styleId="ListDashChar">
    <w:name w:val="List Dash Char"/>
    <w:link w:val="ListDash"/>
    <w:rsid w:val="0008216A"/>
    <w:rPr>
      <w:rFonts w:ascii="Courier New" w:hAnsi="Courier New"/>
      <w:sz w:val="24"/>
    </w:rPr>
  </w:style>
  <w:style w:type="character" w:customStyle="1" w:styleId="exergue">
    <w:name w:val="exergue"/>
    <w:basedOn w:val="DefaultParagraphFont"/>
    <w:rsid w:val="005E526A"/>
  </w:style>
  <w:style w:type="paragraph" w:customStyle="1" w:styleId="textmain">
    <w:name w:val="textmain"/>
    <w:basedOn w:val="Normal"/>
    <w:rsid w:val="005E2CA4"/>
    <w:pPr>
      <w:spacing w:before="100" w:beforeAutospacing="1" w:after="100" w:afterAutospacing="1"/>
      <w:jc w:val="left"/>
    </w:pPr>
    <w:rPr>
      <w:rFonts w:ascii="Times New Roman" w:hAnsi="Times New Roman"/>
      <w:szCs w:val="24"/>
      <w:lang w:eastAsia="ko-KR"/>
    </w:rPr>
  </w:style>
  <w:style w:type="paragraph" w:customStyle="1" w:styleId="Normal12Tab">
    <w:name w:val="Normal12Tab"/>
    <w:basedOn w:val="Normal"/>
    <w:rsid w:val="00AA6DD4"/>
    <w:pPr>
      <w:widowControl w:val="0"/>
      <w:tabs>
        <w:tab w:val="left" w:pos="357"/>
      </w:tabs>
      <w:jc w:val="left"/>
    </w:pPr>
    <w:rPr>
      <w:rFonts w:ascii="Times New Roman" w:hAnsi="Times New Roman"/>
      <w:lang w:eastAsia="en-US"/>
    </w:rPr>
  </w:style>
  <w:style w:type="paragraph" w:customStyle="1" w:styleId="PageHeading">
    <w:name w:val="PageHeading"/>
    <w:basedOn w:val="Normal"/>
    <w:rsid w:val="00A52A26"/>
    <w:pPr>
      <w:keepNext/>
      <w:widowControl w:val="0"/>
      <w:spacing w:before="240"/>
      <w:jc w:val="center"/>
    </w:pPr>
    <w:rPr>
      <w:rFonts w:ascii="Arial" w:hAnsi="Arial"/>
      <w:b/>
    </w:rPr>
  </w:style>
  <w:style w:type="paragraph" w:customStyle="1" w:styleId="Normal12Bold">
    <w:name w:val="Normal12Bold"/>
    <w:basedOn w:val="Normal"/>
    <w:rsid w:val="00A52A26"/>
    <w:pPr>
      <w:widowControl w:val="0"/>
      <w:jc w:val="left"/>
    </w:pPr>
    <w:rPr>
      <w:rFonts w:ascii="Times New Roman" w:hAnsi="Times New Roman"/>
      <w:b/>
    </w:rPr>
  </w:style>
  <w:style w:type="paragraph" w:customStyle="1" w:styleId="Normal1">
    <w:name w:val="Normal1"/>
    <w:link w:val="NORMALChar"/>
    <w:rsid w:val="00A52A26"/>
    <w:rPr>
      <w:lang w:eastAsia="en-US"/>
    </w:rPr>
  </w:style>
  <w:style w:type="character" w:customStyle="1" w:styleId="titretable">
    <w:name w:val="titretable"/>
    <w:basedOn w:val="DefaultParagraphFont"/>
    <w:rsid w:val="00776DA5"/>
  </w:style>
  <w:style w:type="paragraph" w:customStyle="1" w:styleId="Normal12Hanging">
    <w:name w:val="Normal12Hanging"/>
    <w:basedOn w:val="Normal"/>
    <w:link w:val="Normal12HangingChar"/>
    <w:rsid w:val="00776DA5"/>
    <w:pPr>
      <w:widowControl w:val="0"/>
      <w:ind w:left="357" w:hanging="357"/>
      <w:jc w:val="left"/>
    </w:pPr>
    <w:rPr>
      <w:rFonts w:ascii="Times New Roman" w:hAnsi="Times New Roman"/>
    </w:rPr>
  </w:style>
  <w:style w:type="paragraph" w:customStyle="1" w:styleId="Normal120">
    <w:name w:val="Normal12"/>
    <w:basedOn w:val="Normal"/>
    <w:link w:val="Normal12Char0"/>
    <w:rsid w:val="0087007B"/>
    <w:pPr>
      <w:widowControl w:val="0"/>
      <w:jc w:val="left"/>
    </w:pPr>
    <w:rPr>
      <w:rFonts w:ascii="Times New Roman" w:hAnsi="Times New Roman"/>
      <w:szCs w:val="24"/>
    </w:rPr>
  </w:style>
  <w:style w:type="table" w:styleId="TableGrid">
    <w:name w:val="Table Grid"/>
    <w:basedOn w:val="TableNormal"/>
    <w:uiPriority w:val="39"/>
    <w:rsid w:val="0087007B"/>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DB39D1"/>
  </w:style>
  <w:style w:type="paragraph" w:customStyle="1" w:styleId="Typedudocument">
    <w:name w:val="Type du document"/>
    <w:basedOn w:val="Normal"/>
    <w:next w:val="Normal"/>
    <w:rsid w:val="00ED3B96"/>
    <w:pPr>
      <w:spacing w:before="360" w:after="0"/>
      <w:jc w:val="center"/>
    </w:pPr>
    <w:rPr>
      <w:rFonts w:ascii="Times New Roman" w:hAnsi="Times New Roman"/>
      <w:b/>
      <w:snapToGrid w:val="0"/>
      <w:lang w:eastAsia="en-US"/>
    </w:rPr>
  </w:style>
  <w:style w:type="character" w:customStyle="1" w:styleId="Normal12Char">
    <w:name w:val="Normal 12 Char"/>
    <w:link w:val="Normal12"/>
    <w:rsid w:val="0027701F"/>
    <w:rPr>
      <w:noProof/>
      <w:sz w:val="24"/>
      <w:lang w:val="fr-FR" w:eastAsia="en-GB" w:bidi="ar-SA"/>
    </w:rPr>
  </w:style>
  <w:style w:type="character" w:customStyle="1" w:styleId="msoins0">
    <w:name w:val="msoins"/>
    <w:rsid w:val="005513E0"/>
    <w:rPr>
      <w:color w:val="008080"/>
      <w:u w:val="single"/>
    </w:rPr>
  </w:style>
  <w:style w:type="paragraph" w:customStyle="1" w:styleId="NumPar1Char">
    <w:name w:val="NumPar 1 Char"/>
    <w:basedOn w:val="Normal"/>
    <w:next w:val="Normal"/>
    <w:link w:val="NumPar1CharChar"/>
    <w:rsid w:val="003F62ED"/>
    <w:pPr>
      <w:numPr>
        <w:numId w:val="18"/>
      </w:numPr>
      <w:tabs>
        <w:tab w:val="num" w:pos="1134"/>
      </w:tabs>
      <w:spacing w:before="120" w:after="120"/>
      <w:ind w:left="1134"/>
    </w:pPr>
    <w:rPr>
      <w:szCs w:val="24"/>
    </w:rPr>
  </w:style>
  <w:style w:type="character" w:customStyle="1" w:styleId="NumPar1CharChar">
    <w:name w:val="NumPar 1 Char Char"/>
    <w:link w:val="NumPar1Char"/>
    <w:rsid w:val="003F62ED"/>
    <w:rPr>
      <w:rFonts w:ascii="Courier New" w:hAnsi="Courier New"/>
      <w:sz w:val="24"/>
      <w:szCs w:val="24"/>
    </w:rPr>
  </w:style>
  <w:style w:type="paragraph" w:customStyle="1" w:styleId="Contact">
    <w:name w:val="Contact"/>
    <w:basedOn w:val="Normal"/>
    <w:next w:val="Enclosures"/>
    <w:rsid w:val="00FA6446"/>
    <w:pPr>
      <w:spacing w:before="480" w:after="0"/>
      <w:ind w:left="567" w:hanging="567"/>
      <w:jc w:val="left"/>
    </w:pPr>
    <w:rPr>
      <w:rFonts w:ascii="Times New Roman" w:hAnsi="Times New Roman"/>
      <w:lang w:eastAsia="en-US"/>
    </w:rPr>
  </w:style>
  <w:style w:type="paragraph" w:customStyle="1" w:styleId="NormalBold">
    <w:name w:val="NormalBold"/>
    <w:basedOn w:val="Normal"/>
    <w:link w:val="NormalBoldChar"/>
    <w:rsid w:val="00960559"/>
    <w:pPr>
      <w:widowControl w:val="0"/>
      <w:spacing w:after="0"/>
      <w:jc w:val="left"/>
    </w:pPr>
    <w:rPr>
      <w:rFonts w:ascii="Times New Roman" w:hAnsi="Times New Roman"/>
      <w:b/>
    </w:rPr>
  </w:style>
  <w:style w:type="character" w:customStyle="1" w:styleId="NormalBoldChar">
    <w:name w:val="NormalBold Char"/>
    <w:link w:val="NormalBold"/>
    <w:rsid w:val="001D670F"/>
    <w:rPr>
      <w:b/>
      <w:sz w:val="24"/>
      <w:lang w:val="fr-FR" w:eastAsia="en-GB" w:bidi="ar-SA"/>
    </w:rPr>
  </w:style>
  <w:style w:type="character" w:customStyle="1" w:styleId="subtitletable">
    <w:name w:val="subtitletable"/>
    <w:basedOn w:val="DefaultParagraphFont"/>
    <w:rsid w:val="00A66005"/>
  </w:style>
  <w:style w:type="character" w:customStyle="1" w:styleId="midtitletable">
    <w:name w:val="midtitletable"/>
    <w:basedOn w:val="DefaultParagraphFont"/>
    <w:rsid w:val="00031CA2"/>
  </w:style>
  <w:style w:type="paragraph" w:styleId="BalloonText">
    <w:name w:val="Balloon Text"/>
    <w:basedOn w:val="Normal"/>
    <w:semiHidden/>
    <w:rsid w:val="004D3FDF"/>
    <w:rPr>
      <w:rFonts w:ascii="Tahoma" w:hAnsi="Tahoma" w:cs="Tahoma"/>
      <w:sz w:val="16"/>
      <w:szCs w:val="16"/>
    </w:rPr>
  </w:style>
  <w:style w:type="character" w:customStyle="1" w:styleId="NORMALChar">
    <w:name w:val="NORMAL Char"/>
    <w:link w:val="Normal1"/>
    <w:rsid w:val="001F57FF"/>
    <w:rPr>
      <w:lang w:val="fr-FR" w:eastAsia="en-US" w:bidi="ar-SA"/>
    </w:rPr>
  </w:style>
  <w:style w:type="paragraph" w:customStyle="1" w:styleId="Olang">
    <w:name w:val="Olang"/>
    <w:basedOn w:val="Normal"/>
    <w:rsid w:val="00CD3544"/>
    <w:pPr>
      <w:widowControl w:val="0"/>
      <w:spacing w:before="240"/>
      <w:jc w:val="right"/>
    </w:pPr>
    <w:rPr>
      <w:rFonts w:ascii="Times New Roman" w:hAnsi="Times New Roman"/>
    </w:rPr>
  </w:style>
  <w:style w:type="character" w:customStyle="1" w:styleId="NormalWebChar1">
    <w:name w:val="Normal (Web) Char1"/>
    <w:aliases w:val=" webb Char,webb Char1"/>
    <w:link w:val="NormalWeb"/>
    <w:rsid w:val="00CD3544"/>
    <w:rPr>
      <w:sz w:val="24"/>
      <w:szCs w:val="24"/>
      <w:lang w:val="fr-FR" w:eastAsia="en-GB" w:bidi="ar-SA"/>
    </w:rPr>
  </w:style>
  <w:style w:type="character" w:customStyle="1" w:styleId="italic">
    <w:name w:val="italic"/>
    <w:basedOn w:val="DefaultParagraphFont"/>
    <w:rsid w:val="006334FA"/>
  </w:style>
  <w:style w:type="character" w:customStyle="1" w:styleId="italic1">
    <w:name w:val="italic1"/>
    <w:rsid w:val="006334FA"/>
    <w:rPr>
      <w:i/>
      <w:iCs/>
    </w:rPr>
  </w:style>
  <w:style w:type="paragraph" w:customStyle="1" w:styleId="text">
    <w:name w:val="text"/>
    <w:basedOn w:val="Normal"/>
    <w:rsid w:val="006334FA"/>
    <w:pPr>
      <w:spacing w:before="100" w:beforeAutospacing="1" w:after="100" w:afterAutospacing="1"/>
      <w:jc w:val="left"/>
    </w:pPr>
    <w:rPr>
      <w:rFonts w:ascii="Arial" w:hAnsi="Arial" w:cs="Arial"/>
      <w:color w:val="000080"/>
      <w:szCs w:val="24"/>
    </w:rPr>
  </w:style>
  <w:style w:type="paragraph" w:customStyle="1" w:styleId="ManualNumPar1">
    <w:name w:val="Manual NumPar 1"/>
    <w:basedOn w:val="Normal"/>
    <w:next w:val="Normal"/>
    <w:rsid w:val="00C629C6"/>
    <w:pPr>
      <w:spacing w:before="120" w:after="120"/>
      <w:ind w:left="850" w:hanging="850"/>
    </w:pPr>
    <w:rPr>
      <w:rFonts w:ascii="Times New Roman" w:hAnsi="Times New Roman"/>
    </w:rPr>
  </w:style>
  <w:style w:type="character" w:customStyle="1" w:styleId="contents">
    <w:name w:val="contents"/>
    <w:basedOn w:val="DefaultParagraphFont"/>
    <w:rsid w:val="004F3B17"/>
  </w:style>
  <w:style w:type="paragraph" w:customStyle="1" w:styleId="CharChar2CharCharCharCharCharCharCharCharCharChar">
    <w:name w:val="Char Char2 Char Char Char Char Char Char Char Char Char Char"/>
    <w:basedOn w:val="Normal"/>
    <w:rsid w:val="00887CAB"/>
    <w:pPr>
      <w:spacing w:after="160" w:line="240" w:lineRule="exact"/>
      <w:jc w:val="left"/>
    </w:pPr>
    <w:rPr>
      <w:rFonts w:ascii="Tahoma" w:hAnsi="Tahoma"/>
      <w:sz w:val="20"/>
      <w:lang w:eastAsia="en-US"/>
    </w:rPr>
  </w:style>
  <w:style w:type="character" w:customStyle="1" w:styleId="defaultmargins0">
    <w:name w:val="defaultmargins"/>
    <w:rsid w:val="00ED1686"/>
    <w:rPr>
      <w:rFonts w:ascii="Courier New" w:hAnsi="Courier New" w:cs="Courier New" w:hint="default"/>
    </w:rPr>
  </w:style>
  <w:style w:type="paragraph" w:customStyle="1" w:styleId="Cover12">
    <w:name w:val="Cover12"/>
    <w:basedOn w:val="Normal"/>
    <w:rsid w:val="00B72965"/>
    <w:pPr>
      <w:widowControl w:val="0"/>
      <w:ind w:left="1418"/>
      <w:jc w:val="left"/>
    </w:pPr>
    <w:rPr>
      <w:rFonts w:ascii="Times New Roman" w:hAnsi="Times New Roman"/>
    </w:rPr>
  </w:style>
  <w:style w:type="paragraph" w:customStyle="1" w:styleId="CharChar1">
    <w:name w:val="Char Char1"/>
    <w:basedOn w:val="Normal"/>
    <w:rsid w:val="009E2FF2"/>
    <w:pPr>
      <w:spacing w:after="160" w:line="240" w:lineRule="exact"/>
      <w:jc w:val="left"/>
    </w:pPr>
    <w:rPr>
      <w:rFonts w:ascii="Tahoma" w:hAnsi="Tahoma"/>
      <w:sz w:val="20"/>
      <w:lang w:eastAsia="en-US"/>
    </w:rPr>
  </w:style>
  <w:style w:type="paragraph" w:customStyle="1" w:styleId="normal12hanging0">
    <w:name w:val="normal12hanging"/>
    <w:basedOn w:val="Normal"/>
    <w:rsid w:val="00E709A0"/>
    <w:pPr>
      <w:ind w:left="357" w:hanging="357"/>
      <w:jc w:val="left"/>
    </w:pPr>
    <w:rPr>
      <w:rFonts w:ascii="Times New Roman" w:hAnsi="Times New Roman"/>
      <w:szCs w:val="24"/>
      <w:lang w:eastAsia="en-US"/>
    </w:rPr>
  </w:style>
  <w:style w:type="paragraph" w:customStyle="1" w:styleId="CharCharChar">
    <w:name w:val="Char Char Char"/>
    <w:basedOn w:val="Normal"/>
    <w:next w:val="Normal"/>
    <w:rsid w:val="00E709A0"/>
    <w:pPr>
      <w:spacing w:after="160" w:line="240" w:lineRule="exact"/>
      <w:jc w:val="left"/>
    </w:pPr>
    <w:rPr>
      <w:rFonts w:ascii="Tahoma" w:hAnsi="Tahoma"/>
      <w:lang w:eastAsia="en-US"/>
    </w:rPr>
  </w:style>
  <w:style w:type="paragraph" w:customStyle="1" w:styleId="CharCharChar0">
    <w:name w:val="Char Char Char0"/>
    <w:basedOn w:val="Normal"/>
    <w:uiPriority w:val="99"/>
    <w:rsid w:val="0092510C"/>
    <w:pPr>
      <w:spacing w:after="160" w:line="240" w:lineRule="exact"/>
      <w:jc w:val="left"/>
    </w:pPr>
    <w:rPr>
      <w:rFonts w:ascii="Tahoma" w:hAnsi="Tahoma"/>
      <w:sz w:val="20"/>
      <w:lang w:eastAsia="en-US"/>
    </w:rPr>
  </w:style>
  <w:style w:type="character" w:customStyle="1" w:styleId="Normal12Char0">
    <w:name w:val="Normal12 Char"/>
    <w:link w:val="Normal120"/>
    <w:rsid w:val="008D0782"/>
    <w:rPr>
      <w:sz w:val="24"/>
      <w:szCs w:val="24"/>
      <w:lang w:val="fr-FR" w:eastAsia="en-GB" w:bidi="ar-SA"/>
    </w:rPr>
  </w:style>
  <w:style w:type="paragraph" w:customStyle="1" w:styleId="CoverNormalRC">
    <w:name w:val="CoverNormalRC"/>
    <w:basedOn w:val="Normal"/>
    <w:rsid w:val="00502387"/>
    <w:pPr>
      <w:widowControl w:val="0"/>
      <w:tabs>
        <w:tab w:val="left" w:pos="1701"/>
      </w:tabs>
      <w:spacing w:after="0"/>
      <w:ind w:left="1418"/>
      <w:jc w:val="left"/>
    </w:pPr>
    <w:rPr>
      <w:rFonts w:ascii="Times New Roman" w:hAnsi="Times New Roman"/>
    </w:rPr>
  </w:style>
  <w:style w:type="paragraph" w:customStyle="1" w:styleId="CharCarCarChar">
    <w:name w:val="Char Car Car Char"/>
    <w:basedOn w:val="Normal"/>
    <w:next w:val="Normal"/>
    <w:rsid w:val="0028727C"/>
    <w:pPr>
      <w:spacing w:after="160" w:line="240" w:lineRule="exact"/>
      <w:jc w:val="left"/>
    </w:pPr>
    <w:rPr>
      <w:rFonts w:ascii="Tahoma" w:hAnsi="Tahoma" w:cs="Tahoma"/>
      <w:szCs w:val="24"/>
      <w:lang w:eastAsia="en-US"/>
    </w:rPr>
  </w:style>
  <w:style w:type="paragraph" w:customStyle="1" w:styleId="Char1">
    <w:name w:val="Char1"/>
    <w:basedOn w:val="Normal"/>
    <w:rsid w:val="00F47B73"/>
    <w:pPr>
      <w:spacing w:after="160" w:line="240" w:lineRule="exact"/>
      <w:jc w:val="left"/>
    </w:pPr>
    <w:rPr>
      <w:rFonts w:ascii="Tahoma" w:hAnsi="Tahoma"/>
      <w:sz w:val="20"/>
      <w:lang w:eastAsia="en-US"/>
    </w:rPr>
  </w:style>
  <w:style w:type="paragraph" w:customStyle="1" w:styleId="Char">
    <w:name w:val="Char"/>
    <w:basedOn w:val="Normal"/>
    <w:rsid w:val="00124A7A"/>
    <w:pPr>
      <w:spacing w:after="160" w:line="240" w:lineRule="exact"/>
      <w:jc w:val="left"/>
    </w:pPr>
    <w:rPr>
      <w:rFonts w:ascii="Tahoma" w:hAnsi="Tahoma"/>
      <w:sz w:val="20"/>
      <w:lang w:eastAsia="en-US"/>
    </w:rPr>
  </w:style>
  <w:style w:type="character" w:customStyle="1" w:styleId="bold">
    <w:name w:val="bold"/>
    <w:basedOn w:val="DefaultParagraphFont"/>
    <w:rsid w:val="005B5CB2"/>
  </w:style>
  <w:style w:type="paragraph" w:customStyle="1" w:styleId="CoverNormal">
    <w:name w:val="CoverNormal"/>
    <w:basedOn w:val="Normal"/>
    <w:rsid w:val="00EA16CF"/>
    <w:pPr>
      <w:widowControl w:val="0"/>
      <w:spacing w:after="0"/>
      <w:ind w:left="1418"/>
      <w:jc w:val="left"/>
    </w:pPr>
    <w:rPr>
      <w:rFonts w:ascii="Times New Roman" w:hAnsi="Times New Roman"/>
    </w:rPr>
  </w:style>
  <w:style w:type="paragraph" w:styleId="CommentSubject">
    <w:name w:val="annotation subject"/>
    <w:aliases w:val=" Char Char Char Char Char"/>
    <w:basedOn w:val="CommentText"/>
    <w:next w:val="CommentText"/>
    <w:semiHidden/>
    <w:rsid w:val="00EA16CF"/>
    <w:pPr>
      <w:spacing w:before="120" w:after="120"/>
    </w:pPr>
    <w:rPr>
      <w:rFonts w:ascii="Times New Roman" w:hAnsi="Times New Roman"/>
      <w:b/>
      <w:bCs/>
      <w:snapToGrid w:val="0"/>
    </w:rPr>
  </w:style>
  <w:style w:type="character" w:customStyle="1" w:styleId="ListBulletChar1">
    <w:name w:val="List Bullet Char1"/>
    <w:link w:val="ListBullet"/>
    <w:rsid w:val="00EA16CF"/>
    <w:rPr>
      <w:rFonts w:ascii="Courier New" w:hAnsi="Courier New"/>
      <w:sz w:val="24"/>
    </w:rPr>
  </w:style>
  <w:style w:type="character" w:customStyle="1" w:styleId="contents1">
    <w:name w:val="contents1"/>
    <w:rsid w:val="00EA16CF"/>
    <w:rPr>
      <w:rFonts w:ascii="Arial" w:hAnsi="Arial" w:cs="Arial" w:hint="default"/>
      <w:b w:val="0"/>
      <w:bCs w:val="0"/>
      <w:color w:val="666666"/>
      <w:sz w:val="18"/>
      <w:szCs w:val="18"/>
    </w:rPr>
  </w:style>
  <w:style w:type="paragraph" w:customStyle="1" w:styleId="CharChar1Char">
    <w:name w:val="Char Char1 Char"/>
    <w:basedOn w:val="Normal"/>
    <w:rsid w:val="00476BB5"/>
    <w:pPr>
      <w:spacing w:after="160" w:line="240" w:lineRule="exact"/>
      <w:jc w:val="left"/>
    </w:pPr>
    <w:rPr>
      <w:rFonts w:ascii="Tahoma" w:hAnsi="Tahoma"/>
      <w:sz w:val="20"/>
      <w:lang w:eastAsia="en-US"/>
    </w:rPr>
  </w:style>
  <w:style w:type="character" w:customStyle="1" w:styleId="FootnoteTextChar2">
    <w:name w:val="Footnote Text Char2"/>
    <w:aliases w:val="Footnote Text Char Char1,Footnote Text Char1 Char Char,Footnote Text Char Char Char Char,Fußnotentext Char Char1 Char Char Char,Fußnotentext Char1 Char1 Char Char Char Char,Fußnotentext Char Char Char Char Char Char Char1 Char"/>
    <w:link w:val="FootnoteText"/>
    <w:qFormat/>
    <w:rsid w:val="00103DE9"/>
    <w:rPr>
      <w:rFonts w:ascii="Courier New" w:hAnsi="Courier New"/>
      <w:lang w:val="fr-FR" w:eastAsia="en-GB" w:bidi="ar-SA"/>
    </w:rPr>
  </w:style>
  <w:style w:type="paragraph" w:customStyle="1" w:styleId="CharChar2CharCharCharCharCharCharChar">
    <w:name w:val="Char Char2 Char Char Char Char Char Char Char"/>
    <w:basedOn w:val="Normal"/>
    <w:rsid w:val="00FE32E0"/>
    <w:pPr>
      <w:spacing w:after="160" w:line="240" w:lineRule="exact"/>
      <w:jc w:val="left"/>
    </w:pPr>
    <w:rPr>
      <w:rFonts w:ascii="Tahoma" w:hAnsi="Tahoma"/>
      <w:sz w:val="20"/>
      <w:lang w:eastAsia="en-US"/>
    </w:rPr>
  </w:style>
  <w:style w:type="character" w:customStyle="1" w:styleId="Text1Char">
    <w:name w:val="Text 1 Char"/>
    <w:link w:val="Text1"/>
    <w:rsid w:val="001B76B5"/>
    <w:rPr>
      <w:rFonts w:ascii="Courier New" w:hAnsi="Courier New"/>
      <w:sz w:val="24"/>
      <w:lang w:val="fr-FR" w:eastAsia="en-GB" w:bidi="ar-SA"/>
    </w:rPr>
  </w:style>
  <w:style w:type="character" w:customStyle="1" w:styleId="bold1">
    <w:name w:val="bold1"/>
    <w:rsid w:val="00236008"/>
    <w:rPr>
      <w:b/>
      <w:bCs/>
    </w:rPr>
  </w:style>
  <w:style w:type="character" w:customStyle="1" w:styleId="ListChar">
    <w:name w:val="List Char"/>
    <w:link w:val="List"/>
    <w:rsid w:val="009E216E"/>
    <w:rPr>
      <w:rFonts w:ascii="Courier New" w:hAnsi="Courier New"/>
      <w:sz w:val="24"/>
      <w:lang w:val="fr-FR" w:eastAsia="en-GB" w:bidi="ar-SA"/>
    </w:rPr>
  </w:style>
  <w:style w:type="character" w:customStyle="1" w:styleId="sup1">
    <w:name w:val="sup1"/>
    <w:rsid w:val="009E216E"/>
    <w:rPr>
      <w:sz w:val="19"/>
      <w:szCs w:val="19"/>
      <w:vertAlign w:val="superscript"/>
    </w:rPr>
  </w:style>
  <w:style w:type="character" w:customStyle="1" w:styleId="Heading1Char1">
    <w:name w:val="Heading 1 Char1"/>
    <w:aliases w:val="Heading 1 Char Char Char Char Char Char Char Char Char Char Char Char Char Char Char"/>
    <w:link w:val="Heading1"/>
    <w:rsid w:val="009E216E"/>
    <w:rPr>
      <w:rFonts w:ascii="Courier New" w:hAnsi="Courier New"/>
      <w:b/>
      <w:smallCaps/>
      <w:sz w:val="24"/>
    </w:rPr>
  </w:style>
  <w:style w:type="paragraph" w:customStyle="1" w:styleId="Statut">
    <w:name w:val="Statut"/>
    <w:basedOn w:val="Normal"/>
    <w:next w:val="Normal"/>
    <w:rsid w:val="00FE35A4"/>
    <w:pPr>
      <w:spacing w:before="360" w:after="0"/>
      <w:jc w:val="center"/>
    </w:pPr>
    <w:rPr>
      <w:rFonts w:ascii="Times New Roman" w:hAnsi="Times New Roman"/>
      <w:lang w:eastAsia="en-US"/>
    </w:rPr>
  </w:style>
  <w:style w:type="paragraph" w:customStyle="1" w:styleId="CharCharCharCharCharCharCharCharChar">
    <w:name w:val="Char Char Char Char Char Char Char Char Char"/>
    <w:aliases w:val=" Char Char Char Char Char Char Char Char Char Char Char Char"/>
    <w:basedOn w:val="Normal"/>
    <w:next w:val="Normal"/>
    <w:rsid w:val="00FE35A4"/>
    <w:pPr>
      <w:spacing w:after="160" w:line="240" w:lineRule="exact"/>
      <w:jc w:val="left"/>
    </w:pPr>
    <w:rPr>
      <w:rFonts w:ascii="Tahoma" w:hAnsi="Tahoma"/>
      <w:lang w:eastAsia="en-US"/>
    </w:rPr>
  </w:style>
  <w:style w:type="character" w:customStyle="1" w:styleId="Marker">
    <w:name w:val="Marker"/>
    <w:rsid w:val="00FE35A4"/>
    <w:rPr>
      <w:color w:val="0000FF"/>
      <w:lang w:val="fr-FR"/>
    </w:rPr>
  </w:style>
  <w:style w:type="paragraph" w:customStyle="1" w:styleId="CarChar">
    <w:name w:val="Car Char"/>
    <w:basedOn w:val="Normal"/>
    <w:rsid w:val="00573DC5"/>
    <w:pPr>
      <w:spacing w:after="160" w:line="240" w:lineRule="exact"/>
      <w:jc w:val="left"/>
    </w:pPr>
    <w:rPr>
      <w:rFonts w:ascii="Tahoma" w:hAnsi="Tahoma"/>
      <w:sz w:val="20"/>
      <w:lang w:eastAsia="en-US"/>
    </w:rPr>
  </w:style>
  <w:style w:type="paragraph" w:customStyle="1" w:styleId="Car">
    <w:name w:val="Car"/>
    <w:basedOn w:val="Normal"/>
    <w:rsid w:val="00F02465"/>
    <w:pPr>
      <w:spacing w:after="160" w:line="240" w:lineRule="exact"/>
      <w:jc w:val="left"/>
    </w:pPr>
    <w:rPr>
      <w:rFonts w:ascii="Arial" w:hAnsi="Arial" w:cs="Arial"/>
      <w:sz w:val="28"/>
      <w:szCs w:val="28"/>
      <w:lang w:eastAsia="en-US"/>
    </w:rPr>
  </w:style>
  <w:style w:type="character" w:customStyle="1" w:styleId="ringrefselectedheader">
    <w:name w:val="ring_ref_selected_header"/>
    <w:basedOn w:val="DefaultParagraphFont"/>
    <w:rsid w:val="006D74E0"/>
  </w:style>
  <w:style w:type="character" w:customStyle="1" w:styleId="Normal12HangingChar">
    <w:name w:val="Normal12Hanging Char"/>
    <w:link w:val="Normal12Hanging"/>
    <w:rsid w:val="00990461"/>
    <w:rPr>
      <w:sz w:val="24"/>
      <w:lang w:val="fr-FR" w:eastAsia="en-GB" w:bidi="ar-SA"/>
    </w:rPr>
  </w:style>
  <w:style w:type="character" w:customStyle="1" w:styleId="fnChar">
    <w:name w:val="fn Char"/>
    <w:aliases w:val="Footnote Char,Voetnoottekst Char Char,Voetnoottekst Char1 Char,Voetnoottekst Char2 Char Char Char,Voetnoottekst Char Char1 Char Char Char,Podrozdział Char,Podrozdzia3 Char,Footnote text Char,Schriftart: 9 pt Char,Schriftart: 10 pt Char,Char Char"/>
    <w:uiPriority w:val="99"/>
    <w:rsid w:val="00990461"/>
    <w:rPr>
      <w:lang w:val="fr-FR" w:eastAsia="fr-FR" w:bidi="ar-SA"/>
    </w:rPr>
  </w:style>
  <w:style w:type="paragraph" w:customStyle="1" w:styleId="Default">
    <w:name w:val="Default"/>
    <w:rsid w:val="00990461"/>
    <w:pPr>
      <w:autoSpaceDE w:val="0"/>
      <w:autoSpaceDN w:val="0"/>
      <w:adjustRightInd w:val="0"/>
    </w:pPr>
    <w:rPr>
      <w:color w:val="000000"/>
      <w:sz w:val="24"/>
      <w:szCs w:val="24"/>
      <w:lang w:eastAsia="fr-FR"/>
    </w:rPr>
  </w:style>
  <w:style w:type="paragraph" w:customStyle="1" w:styleId="Hanging12">
    <w:name w:val="Hanging12"/>
    <w:basedOn w:val="Normal"/>
    <w:link w:val="Hanging12Char"/>
    <w:rsid w:val="00253F7D"/>
    <w:pPr>
      <w:widowControl w:val="0"/>
      <w:tabs>
        <w:tab w:val="left" w:pos="357"/>
      </w:tabs>
      <w:ind w:left="357" w:hanging="357"/>
      <w:jc w:val="left"/>
    </w:pPr>
    <w:rPr>
      <w:rFonts w:ascii="Times New Roman" w:hAnsi="Times New Roman"/>
    </w:rPr>
  </w:style>
  <w:style w:type="paragraph" w:customStyle="1" w:styleId="ringsteptitle">
    <w:name w:val="ring_step_title"/>
    <w:basedOn w:val="Normal"/>
    <w:rsid w:val="00FF43F0"/>
    <w:pPr>
      <w:spacing w:after="0"/>
      <w:jc w:val="left"/>
    </w:pPr>
    <w:rPr>
      <w:rFonts w:ascii="Arial" w:hAnsi="Arial" w:cs="Arial"/>
      <w:b/>
      <w:bCs/>
      <w:color w:val="666666"/>
      <w:sz w:val="17"/>
      <w:szCs w:val="17"/>
    </w:rPr>
  </w:style>
  <w:style w:type="character" w:customStyle="1" w:styleId="Normal12HangingCarattere">
    <w:name w:val="Normal12Hanging Carattere"/>
    <w:rsid w:val="00577812"/>
    <w:rPr>
      <w:sz w:val="24"/>
      <w:lang w:val="fr-FR" w:eastAsia="en-GB" w:bidi="ar-SA"/>
    </w:rPr>
  </w:style>
  <w:style w:type="character" w:customStyle="1" w:styleId="underline">
    <w:name w:val="underline"/>
    <w:basedOn w:val="DefaultParagraphFont"/>
    <w:rsid w:val="00DA48EF"/>
  </w:style>
  <w:style w:type="character" w:customStyle="1" w:styleId="ctteelong1">
    <w:name w:val="cttee_long1"/>
    <w:rsid w:val="00DA48EF"/>
    <w:rPr>
      <w:b/>
      <w:bCs/>
      <w:color w:val="000000"/>
      <w:sz w:val="25"/>
      <w:szCs w:val="25"/>
    </w:rPr>
  </w:style>
  <w:style w:type="paragraph" w:customStyle="1" w:styleId="CharChar2CharCharCharChar">
    <w:name w:val="Char Char2 Char Char Char Char"/>
    <w:basedOn w:val="Normal"/>
    <w:rsid w:val="00D35B03"/>
    <w:pPr>
      <w:spacing w:after="160" w:line="240" w:lineRule="exact"/>
      <w:jc w:val="left"/>
    </w:pPr>
    <w:rPr>
      <w:rFonts w:ascii="Tahoma" w:hAnsi="Tahoma"/>
      <w:sz w:val="20"/>
      <w:lang w:eastAsia="en-US"/>
    </w:rPr>
  </w:style>
  <w:style w:type="paragraph" w:customStyle="1" w:styleId="CharChar7CharCharCharCharCharCharChar">
    <w:name w:val="Char Char7 Char Char Char Char Char Char Char"/>
    <w:basedOn w:val="Normal"/>
    <w:rsid w:val="00CD730B"/>
    <w:pPr>
      <w:spacing w:after="160" w:line="240" w:lineRule="exact"/>
      <w:jc w:val="left"/>
    </w:pPr>
    <w:rPr>
      <w:rFonts w:ascii="Tahoma" w:hAnsi="Tahoma"/>
      <w:sz w:val="20"/>
      <w:lang w:eastAsia="en-US"/>
    </w:rPr>
  </w:style>
  <w:style w:type="paragraph" w:customStyle="1" w:styleId="Znak">
    <w:name w:val="Znak"/>
    <w:basedOn w:val="Normal"/>
    <w:rsid w:val="00A76EE9"/>
    <w:pPr>
      <w:spacing w:after="160" w:line="240" w:lineRule="exact"/>
      <w:jc w:val="left"/>
    </w:pPr>
    <w:rPr>
      <w:rFonts w:ascii="Tahoma" w:hAnsi="Tahoma"/>
      <w:sz w:val="20"/>
      <w:lang w:eastAsia="en-US"/>
    </w:rPr>
  </w:style>
  <w:style w:type="character" w:customStyle="1" w:styleId="Forte1">
    <w:name w:val="Forte1"/>
    <w:rsid w:val="00386FED"/>
    <w:rPr>
      <w:b/>
      <w:bCs/>
      <w:color w:val="000066"/>
      <w:sz w:val="20"/>
      <w:szCs w:val="20"/>
    </w:rPr>
  </w:style>
  <w:style w:type="character" w:customStyle="1" w:styleId="Hiperligao6">
    <w:name w:val="Hiperligação6"/>
    <w:rsid w:val="00386FED"/>
    <w:rPr>
      <w:color w:val="000066"/>
      <w:sz w:val="20"/>
      <w:szCs w:val="20"/>
      <w:u w:val="single"/>
    </w:rPr>
  </w:style>
  <w:style w:type="character" w:customStyle="1" w:styleId="Text1Car">
    <w:name w:val="Text 1 Car"/>
    <w:rsid w:val="00BD1BAB"/>
    <w:rPr>
      <w:smallCaps/>
      <w:sz w:val="24"/>
      <w:szCs w:val="24"/>
      <w:lang w:val="fr-FR" w:eastAsia="en-GB" w:bidi="ar-SA"/>
    </w:rPr>
  </w:style>
  <w:style w:type="character" w:customStyle="1" w:styleId="bodytext1">
    <w:name w:val="bodytext1"/>
    <w:rsid w:val="00B35BF4"/>
    <w:rPr>
      <w:rFonts w:ascii="Verdana" w:hAnsi="Verdana" w:hint="default"/>
      <w:b w:val="0"/>
      <w:bCs w:val="0"/>
      <w:i w:val="0"/>
      <w:iCs w:val="0"/>
      <w:sz w:val="17"/>
      <w:szCs w:val="17"/>
    </w:rPr>
  </w:style>
  <w:style w:type="paragraph" w:customStyle="1" w:styleId="listdash10">
    <w:name w:val="listdash1"/>
    <w:basedOn w:val="Normal"/>
    <w:rsid w:val="00FD3ECC"/>
    <w:pPr>
      <w:tabs>
        <w:tab w:val="num" w:pos="283"/>
      </w:tabs>
      <w:ind w:left="765" w:hanging="283"/>
    </w:pPr>
    <w:rPr>
      <w:rFonts w:ascii="Times New Roman" w:hAnsi="Times New Roman"/>
      <w:szCs w:val="24"/>
    </w:rPr>
  </w:style>
  <w:style w:type="character" w:customStyle="1" w:styleId="FooterChar">
    <w:name w:val="Footer Char"/>
    <w:link w:val="Footer"/>
    <w:rsid w:val="00634CB5"/>
    <w:rPr>
      <w:rFonts w:ascii="Arial" w:hAnsi="Arial"/>
      <w:sz w:val="16"/>
      <w:lang w:val="fr-FR" w:eastAsia="en-GB" w:bidi="ar-SA"/>
    </w:rPr>
  </w:style>
  <w:style w:type="paragraph" w:customStyle="1" w:styleId="Cover60">
    <w:name w:val="Cover60"/>
    <w:basedOn w:val="Normal"/>
    <w:rsid w:val="009A6382"/>
    <w:pPr>
      <w:widowControl w:val="0"/>
      <w:spacing w:after="1200"/>
      <w:ind w:left="1418"/>
      <w:jc w:val="left"/>
    </w:pPr>
    <w:rPr>
      <w:rFonts w:ascii="Times New Roman" w:hAnsi="Times New Roman"/>
    </w:rPr>
  </w:style>
  <w:style w:type="paragraph" w:customStyle="1" w:styleId="copy">
    <w:name w:val="copy"/>
    <w:basedOn w:val="Normal"/>
    <w:rsid w:val="009A6382"/>
    <w:pPr>
      <w:spacing w:before="100" w:beforeAutospacing="1" w:after="100" w:afterAutospacing="1" w:line="178" w:lineRule="atLeast"/>
      <w:jc w:val="left"/>
    </w:pPr>
    <w:rPr>
      <w:rFonts w:ascii="Verdana" w:hAnsi="Verdana"/>
      <w:color w:val="000000"/>
      <w:sz w:val="14"/>
      <w:szCs w:val="14"/>
      <w:lang w:eastAsia="en-US"/>
    </w:rPr>
  </w:style>
  <w:style w:type="character" w:customStyle="1" w:styleId="ListBulletChar">
    <w:name w:val="List Bullet Char"/>
    <w:rsid w:val="00B36749"/>
    <w:rPr>
      <w:sz w:val="24"/>
      <w:lang w:val="fr-FR" w:eastAsia="en-US" w:bidi="ar-SA"/>
    </w:rPr>
  </w:style>
  <w:style w:type="character" w:customStyle="1" w:styleId="Normal12HangingZnak">
    <w:name w:val="Normal12Hanging Znak"/>
    <w:rsid w:val="006474F2"/>
    <w:rPr>
      <w:sz w:val="24"/>
      <w:lang w:val="fr-FR" w:eastAsia="en-GB" w:bidi="ar-SA"/>
    </w:rPr>
  </w:style>
  <w:style w:type="character" w:customStyle="1" w:styleId="Text2Char1">
    <w:name w:val="Text 2 Char1"/>
    <w:link w:val="Text2"/>
    <w:rsid w:val="006474F2"/>
    <w:rPr>
      <w:rFonts w:ascii="Courier New" w:hAnsi="Courier New"/>
      <w:sz w:val="24"/>
      <w:lang w:val="fr-FR" w:eastAsia="en-GB" w:bidi="ar-SA"/>
    </w:rPr>
  </w:style>
  <w:style w:type="paragraph" w:customStyle="1" w:styleId="Cover24">
    <w:name w:val="Cover24"/>
    <w:basedOn w:val="Normal"/>
    <w:rsid w:val="00CF7345"/>
    <w:pPr>
      <w:widowControl w:val="0"/>
      <w:spacing w:after="480"/>
      <w:ind w:left="1418"/>
      <w:jc w:val="left"/>
    </w:pPr>
    <w:rPr>
      <w:rFonts w:ascii="Times New Roman" w:hAnsi="Times New Roman"/>
    </w:rPr>
  </w:style>
  <w:style w:type="character" w:customStyle="1" w:styleId="verdanaelflight">
    <w:name w:val="verdanaelflight"/>
    <w:basedOn w:val="DefaultParagraphFont"/>
    <w:rsid w:val="0059734D"/>
  </w:style>
  <w:style w:type="character" w:customStyle="1" w:styleId="titlemep">
    <w:name w:val="titlemep"/>
    <w:basedOn w:val="DefaultParagraphFont"/>
    <w:rsid w:val="000975A5"/>
  </w:style>
  <w:style w:type="character" w:customStyle="1" w:styleId="titlemep2">
    <w:name w:val="titlemep2"/>
    <w:basedOn w:val="DefaultParagraphFont"/>
    <w:rsid w:val="000975A5"/>
  </w:style>
  <w:style w:type="paragraph" w:customStyle="1" w:styleId="Normal6">
    <w:name w:val="Normal6"/>
    <w:basedOn w:val="Normal"/>
    <w:link w:val="Normal6Char"/>
    <w:rsid w:val="00A62579"/>
    <w:pPr>
      <w:widowControl w:val="0"/>
      <w:spacing w:after="120"/>
      <w:jc w:val="left"/>
    </w:pPr>
    <w:rPr>
      <w:rFonts w:ascii="Times New Roman" w:hAnsi="Times New Roman"/>
      <w:noProof/>
    </w:rPr>
  </w:style>
  <w:style w:type="character" w:customStyle="1" w:styleId="Normal6Char">
    <w:name w:val="Normal6 Char"/>
    <w:link w:val="Normal6"/>
    <w:rsid w:val="00A62579"/>
    <w:rPr>
      <w:noProof/>
      <w:sz w:val="24"/>
      <w:lang w:val="fr-FR" w:eastAsia="en-GB" w:bidi="ar-SA"/>
    </w:rPr>
  </w:style>
  <w:style w:type="character" w:customStyle="1" w:styleId="ListBulletCharCharChar">
    <w:name w:val="List Bullet Char Char Char"/>
    <w:rsid w:val="00536069"/>
    <w:rPr>
      <w:sz w:val="24"/>
      <w:lang w:val="fr-FR" w:eastAsia="en-US" w:bidi="ar-SA"/>
    </w:rPr>
  </w:style>
  <w:style w:type="paragraph" w:customStyle="1" w:styleId="texte-compact">
    <w:name w:val="texte-compact"/>
    <w:basedOn w:val="Normal"/>
    <w:rsid w:val="00F47793"/>
    <w:pPr>
      <w:spacing w:before="30"/>
      <w:jc w:val="left"/>
    </w:pPr>
    <w:rPr>
      <w:rFonts w:ascii="Times New Roman" w:hAnsi="Times New Roman"/>
      <w:szCs w:val="24"/>
    </w:rPr>
  </w:style>
  <w:style w:type="character" w:customStyle="1" w:styleId="NumPar1Char1">
    <w:name w:val="NumPar 1 Char1"/>
    <w:link w:val="NumPar1"/>
    <w:rsid w:val="00822F9D"/>
    <w:rPr>
      <w:rFonts w:ascii="Courier New" w:hAnsi="Courier New"/>
      <w:sz w:val="24"/>
    </w:rPr>
  </w:style>
  <w:style w:type="paragraph" w:customStyle="1" w:styleId="initial0">
    <w:name w:val="initial"/>
    <w:basedOn w:val="Normal"/>
    <w:rsid w:val="00E01174"/>
    <w:pPr>
      <w:spacing w:after="0"/>
    </w:pPr>
    <w:rPr>
      <w:rFonts w:ascii="Times New Roman" w:hAnsi="Times New Roman"/>
      <w:spacing w:val="-3"/>
      <w:szCs w:val="24"/>
    </w:rPr>
  </w:style>
  <w:style w:type="character" w:customStyle="1" w:styleId="Heading1Char">
    <w:name w:val="Heading 1 Char"/>
    <w:rsid w:val="000A1BDC"/>
    <w:rPr>
      <w:bCs/>
      <w:smallCaps/>
      <w:sz w:val="24"/>
      <w:lang w:val="fr-FR" w:eastAsia="ko-KR" w:bidi="ar-SA"/>
    </w:rPr>
  </w:style>
  <w:style w:type="paragraph" w:customStyle="1" w:styleId="Prliminairetype">
    <w:name w:val="Préliminaire type"/>
    <w:basedOn w:val="Normal"/>
    <w:next w:val="Normal"/>
    <w:rsid w:val="00495658"/>
    <w:pPr>
      <w:spacing w:before="360" w:after="0"/>
      <w:jc w:val="center"/>
    </w:pPr>
    <w:rPr>
      <w:rFonts w:ascii="Times New Roman" w:hAnsi="Times New Roman"/>
      <w:b/>
      <w:szCs w:val="24"/>
      <w:lang w:eastAsia="de-DE"/>
    </w:rPr>
  </w:style>
  <w:style w:type="character" w:customStyle="1" w:styleId="introtext">
    <w:name w:val="introtext"/>
    <w:basedOn w:val="DefaultParagraphFont"/>
    <w:rsid w:val="00FF30F1"/>
  </w:style>
  <w:style w:type="paragraph" w:styleId="ListParagraph">
    <w:name w:val="List Paragraph"/>
    <w:aliases w:val="Fiche List Paragraph,Dot pt,F5 List Paragraph,List Paragraph1,No Spacing1,List Paragraph Char Char Char,Indicator Text,Numbered Para 1,Bullet Points,MAIN CONTENT,List Paragraph12,Bullet 1,OBC Bullet,Task Body,N,L"/>
    <w:basedOn w:val="Normal"/>
    <w:link w:val="ListParagraphChar"/>
    <w:uiPriority w:val="34"/>
    <w:qFormat/>
    <w:rsid w:val="001C680C"/>
    <w:pPr>
      <w:spacing w:after="200" w:line="276" w:lineRule="auto"/>
      <w:ind w:left="720"/>
      <w:contextualSpacing/>
      <w:jc w:val="left"/>
    </w:pPr>
    <w:rPr>
      <w:rFonts w:ascii="Calibri" w:eastAsia="Calibri" w:hAnsi="Calibri"/>
      <w:sz w:val="22"/>
      <w:szCs w:val="22"/>
      <w:lang w:eastAsia="en-US"/>
    </w:rPr>
  </w:style>
  <w:style w:type="paragraph" w:customStyle="1" w:styleId="ZDate">
    <w:name w:val="ZDate"/>
    <w:basedOn w:val="Normal"/>
    <w:rsid w:val="00A03CB8"/>
    <w:pPr>
      <w:widowControl w:val="0"/>
      <w:spacing w:after="1200"/>
      <w:jc w:val="left"/>
    </w:pPr>
    <w:rPr>
      <w:rFonts w:ascii="Times New Roman" w:hAnsi="Times New Roman"/>
    </w:rPr>
  </w:style>
  <w:style w:type="character" w:customStyle="1" w:styleId="Heading3Char">
    <w:name w:val="Heading 3 Char"/>
    <w:link w:val="Heading3"/>
    <w:rsid w:val="0067029D"/>
    <w:rPr>
      <w:rFonts w:ascii="Courier New" w:hAnsi="Courier New"/>
      <w:i/>
      <w:sz w:val="24"/>
    </w:rPr>
  </w:style>
  <w:style w:type="character" w:customStyle="1" w:styleId="5NormalChar">
    <w:name w:val="5 Normal Char"/>
    <w:link w:val="5Normal"/>
    <w:rsid w:val="00AB63A6"/>
    <w:rPr>
      <w:rFonts w:ascii="Arial" w:hAnsi="Arial"/>
      <w:spacing w:val="-2"/>
      <w:sz w:val="22"/>
      <w:lang w:val="fr-FR" w:eastAsia="en-GB" w:bidi="ar-SA"/>
    </w:rPr>
  </w:style>
  <w:style w:type="paragraph" w:customStyle="1" w:styleId="Prliminairetitre">
    <w:name w:val="Préliminaire titre"/>
    <w:basedOn w:val="Normal"/>
    <w:next w:val="Normal"/>
    <w:rsid w:val="00E85A91"/>
    <w:pPr>
      <w:spacing w:before="360" w:after="360"/>
      <w:jc w:val="center"/>
    </w:pPr>
    <w:rPr>
      <w:rFonts w:ascii="Times New Roman" w:hAnsi="Times New Roman"/>
      <w:b/>
      <w:szCs w:val="24"/>
      <w:lang w:eastAsia="de-DE"/>
    </w:rPr>
  </w:style>
  <w:style w:type="character" w:customStyle="1" w:styleId="docsubtitlelevel1bis">
    <w:name w:val="doc_subtitle_level1_bis"/>
    <w:basedOn w:val="DefaultParagraphFont"/>
    <w:rsid w:val="00871A9E"/>
  </w:style>
  <w:style w:type="paragraph" w:customStyle="1" w:styleId="a3520normalp5">
    <w:name w:val="a__35__20_normal_p5"/>
    <w:basedOn w:val="Normal"/>
    <w:rsid w:val="00BB7227"/>
    <w:pPr>
      <w:spacing w:after="120"/>
    </w:pPr>
    <w:rPr>
      <w:rFonts w:ascii="Times New Roman" w:hAnsi="Times New Roman"/>
      <w:szCs w:val="24"/>
      <w:lang w:eastAsia="en-US"/>
    </w:rPr>
  </w:style>
  <w:style w:type="paragraph" w:customStyle="1" w:styleId="Considrant">
    <w:name w:val="Considérant"/>
    <w:basedOn w:val="Normal"/>
    <w:rsid w:val="009D3B39"/>
    <w:pPr>
      <w:numPr>
        <w:numId w:val="20"/>
      </w:numPr>
      <w:spacing w:before="120" w:after="120"/>
    </w:pPr>
    <w:rPr>
      <w:rFonts w:ascii="Times New Roman" w:hAnsi="Times New Roman"/>
      <w:lang w:eastAsia="zh-CN"/>
    </w:rPr>
  </w:style>
  <w:style w:type="table" w:styleId="TableGrid1">
    <w:name w:val="Table Grid 1"/>
    <w:basedOn w:val="TableNormal"/>
    <w:rsid w:val="009D1A01"/>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THeading2">
    <w:name w:val="AT Heading 2"/>
    <w:basedOn w:val="Normal"/>
    <w:next w:val="Normal"/>
    <w:link w:val="ATHeading2Char"/>
    <w:rsid w:val="004649AB"/>
    <w:pPr>
      <w:spacing w:before="120" w:after="120"/>
      <w:jc w:val="left"/>
      <w:outlineLvl w:val="1"/>
    </w:pPr>
    <w:rPr>
      <w:rFonts w:ascii="Times New Roman" w:hAnsi="Times New Roman"/>
      <w:b/>
      <w:noProof/>
      <w:sz w:val="28"/>
    </w:rPr>
  </w:style>
  <w:style w:type="character" w:customStyle="1" w:styleId="ATHeading2Char">
    <w:name w:val="AT Heading 2 Char"/>
    <w:link w:val="ATHeading2"/>
    <w:rsid w:val="004649AB"/>
    <w:rPr>
      <w:b/>
      <w:noProof/>
      <w:sz w:val="28"/>
      <w:lang w:val="fr-FR" w:eastAsia="en-GB" w:bidi="ar-SA"/>
    </w:rPr>
  </w:style>
  <w:style w:type="paragraph" w:customStyle="1" w:styleId="ftrefCharCharCharCharCharCharCharCharChar">
    <w:name w:val="ftref Char Char Char Char Char Char Char Char Char"/>
    <w:aliases w:val="Footnote Char Char Char Char Char Char Char Char Char, BVI fnr Char Char Char Char Char Char Char Char Char,BVI fnr Char Char Char Char Char Char Char Char Char Char"/>
    <w:basedOn w:val="Normal"/>
    <w:next w:val="Normal"/>
    <w:link w:val="FootnoteReference"/>
    <w:rsid w:val="004649AB"/>
    <w:pPr>
      <w:spacing w:after="160" w:line="240" w:lineRule="exact"/>
      <w:jc w:val="left"/>
    </w:pPr>
    <w:rPr>
      <w:rFonts w:ascii="Times New Roman" w:hAnsi="Times New Roman"/>
      <w:sz w:val="20"/>
      <w:vertAlign w:val="superscript"/>
    </w:rPr>
  </w:style>
  <w:style w:type="character" w:customStyle="1" w:styleId="singlespaceChar">
    <w:name w:val="single space Char"/>
    <w:aliases w:val="footnote text Char1,Fußnote Char,FOOTNOTES Char, Char Char Char Char,Note de bas de page2 Char,Footnotes Char Char,footnote text Char Char,Footnotes Char1,Char Char Char Char"/>
    <w:locked/>
    <w:rsid w:val="004649AB"/>
    <w:rPr>
      <w:lang w:val="fr-FR" w:eastAsia="en-US" w:bidi="ar-SA"/>
    </w:rPr>
  </w:style>
  <w:style w:type="paragraph" w:customStyle="1" w:styleId="Listenabsatz">
    <w:name w:val="Listenabsatz"/>
    <w:basedOn w:val="Normal"/>
    <w:qFormat/>
    <w:rsid w:val="00316C69"/>
    <w:pPr>
      <w:spacing w:after="200" w:line="276" w:lineRule="auto"/>
      <w:ind w:left="720"/>
      <w:contextualSpacing/>
      <w:jc w:val="left"/>
    </w:pPr>
    <w:rPr>
      <w:rFonts w:ascii="Calibri" w:eastAsia="Calibri" w:hAnsi="Calibri"/>
      <w:sz w:val="22"/>
      <w:szCs w:val="22"/>
      <w:lang w:eastAsia="en-US"/>
    </w:rPr>
  </w:style>
  <w:style w:type="paragraph" w:customStyle="1" w:styleId="Point0">
    <w:name w:val="Point 0"/>
    <w:basedOn w:val="Normal"/>
    <w:rsid w:val="001912E2"/>
    <w:pPr>
      <w:spacing w:before="120" w:after="120"/>
      <w:ind w:left="850" w:hanging="850"/>
    </w:pPr>
    <w:rPr>
      <w:rFonts w:ascii="Times New Roman" w:hAnsi="Times New Roman"/>
      <w:szCs w:val="24"/>
      <w:lang w:eastAsia="de-DE"/>
    </w:rPr>
  </w:style>
  <w:style w:type="character" w:customStyle="1" w:styleId="5NormalCar">
    <w:name w:val="5 Normal Car"/>
    <w:rsid w:val="005951D7"/>
    <w:rPr>
      <w:rFonts w:ascii="Arial" w:hAnsi="Arial"/>
      <w:spacing w:val="-2"/>
      <w:sz w:val="22"/>
      <w:lang w:val="fr-FR" w:eastAsia="en-GB" w:bidi="ar-SA"/>
    </w:rPr>
  </w:style>
  <w:style w:type="paragraph" w:customStyle="1" w:styleId="Briefingspeakdef">
    <w:name w:val="Briefing speak/def"/>
    <w:basedOn w:val="Normal"/>
    <w:rsid w:val="005951D7"/>
    <w:pPr>
      <w:numPr>
        <w:numId w:val="21"/>
      </w:numPr>
      <w:tabs>
        <w:tab w:val="clear" w:pos="765"/>
        <w:tab w:val="num" w:pos="284"/>
      </w:tabs>
      <w:ind w:left="284" w:hanging="284"/>
    </w:pPr>
    <w:rPr>
      <w:rFonts w:ascii="Tahoma" w:hAnsi="Tahoma" w:cs="Tahoma"/>
      <w:sz w:val="40"/>
      <w:szCs w:val="22"/>
      <w:lang w:eastAsia="en-US"/>
    </w:rPr>
  </w:style>
  <w:style w:type="character" w:customStyle="1" w:styleId="NormalWebChar">
    <w:name w:val="Normal (Web) Char"/>
    <w:aliases w:val="webb Char"/>
    <w:rsid w:val="00AB650D"/>
    <w:rPr>
      <w:sz w:val="24"/>
      <w:szCs w:val="24"/>
      <w:lang w:val="fr-FR" w:eastAsia="en-GB" w:bidi="ar-SA"/>
    </w:rPr>
  </w:style>
  <w:style w:type="paragraph" w:customStyle="1" w:styleId="Briefinglist1">
    <w:name w:val="Briefing list 1"/>
    <w:basedOn w:val="Normal"/>
    <w:rsid w:val="007E4EE6"/>
    <w:pPr>
      <w:spacing w:after="0"/>
      <w:jc w:val="left"/>
    </w:pPr>
    <w:rPr>
      <w:rFonts w:ascii="Times New Roman" w:hAnsi="Times New Roman"/>
      <w:szCs w:val="24"/>
    </w:rPr>
  </w:style>
  <w:style w:type="paragraph" w:customStyle="1" w:styleId="Briefingtext">
    <w:name w:val="Briefing text"/>
    <w:basedOn w:val="Normal"/>
    <w:link w:val="BriefingtextChar"/>
    <w:rsid w:val="00217E48"/>
    <w:rPr>
      <w:rFonts w:ascii="Arial" w:hAnsi="Arial" w:cs="Arial"/>
      <w:sz w:val="22"/>
      <w:szCs w:val="24"/>
      <w:lang w:eastAsia="en-US"/>
    </w:rPr>
  </w:style>
  <w:style w:type="character" w:customStyle="1" w:styleId="BriefingtextChar">
    <w:name w:val="Briefing text Char"/>
    <w:link w:val="Briefingtext"/>
    <w:rsid w:val="00217E48"/>
    <w:rPr>
      <w:rFonts w:ascii="Arial" w:hAnsi="Arial" w:cs="Arial"/>
      <w:sz w:val="22"/>
      <w:szCs w:val="24"/>
      <w:lang w:val="fr-FR" w:eastAsia="en-US" w:bidi="ar-SA"/>
    </w:rPr>
  </w:style>
  <w:style w:type="numbering" w:styleId="111111">
    <w:name w:val="Outline List 2"/>
    <w:basedOn w:val="NoList"/>
    <w:rsid w:val="00BC35A6"/>
    <w:pPr>
      <w:numPr>
        <w:numId w:val="22"/>
      </w:numPr>
    </w:pPr>
  </w:style>
  <w:style w:type="character" w:customStyle="1" w:styleId="at11">
    <w:name w:val="a__t11"/>
    <w:rsid w:val="008B3A18"/>
    <w:rPr>
      <w:b/>
      <w:bCs/>
    </w:rPr>
  </w:style>
  <w:style w:type="paragraph" w:customStyle="1" w:styleId="a3520normal">
    <w:name w:val="a___35__20_normal"/>
    <w:basedOn w:val="Normal"/>
    <w:rsid w:val="0069026C"/>
    <w:pPr>
      <w:spacing w:before="30"/>
      <w:jc w:val="left"/>
    </w:pPr>
    <w:rPr>
      <w:rFonts w:ascii="Times New Roman" w:hAnsi="Times New Roman"/>
      <w:sz w:val="20"/>
    </w:rPr>
  </w:style>
  <w:style w:type="character" w:customStyle="1" w:styleId="at1">
    <w:name w:val="a__t1"/>
    <w:basedOn w:val="DefaultParagraphFont"/>
    <w:rsid w:val="00AE7C82"/>
  </w:style>
  <w:style w:type="character" w:customStyle="1" w:styleId="at51">
    <w:name w:val="a__t51"/>
    <w:rsid w:val="00AE7C82"/>
    <w:rPr>
      <w:i/>
      <w:iCs/>
    </w:rPr>
  </w:style>
  <w:style w:type="character" w:customStyle="1" w:styleId="at61">
    <w:name w:val="a__t61"/>
    <w:rsid w:val="00AE7C82"/>
    <w:rPr>
      <w:u w:val="single"/>
    </w:rPr>
  </w:style>
  <w:style w:type="character" w:customStyle="1" w:styleId="at111">
    <w:name w:val="a__t111"/>
    <w:rsid w:val="00AE7C82"/>
    <w:rPr>
      <w:color w:val="000000"/>
    </w:rPr>
  </w:style>
  <w:style w:type="paragraph" w:customStyle="1" w:styleId="Rapporteur">
    <w:name w:val="Rapporteur"/>
    <w:basedOn w:val="Normal"/>
    <w:rsid w:val="00E72F7C"/>
    <w:pPr>
      <w:tabs>
        <w:tab w:val="num" w:pos="540"/>
        <w:tab w:val="left" w:pos="2160"/>
      </w:tabs>
      <w:spacing w:after="120"/>
      <w:ind w:left="540"/>
    </w:pPr>
    <w:rPr>
      <w:rFonts w:ascii="Times New Roman" w:hAnsi="Times New Roman"/>
      <w:szCs w:val="24"/>
      <w:u w:val="single"/>
      <w:lang w:eastAsia="en-US"/>
    </w:rPr>
  </w:style>
  <w:style w:type="paragraph" w:customStyle="1" w:styleId="5normal0">
    <w:name w:val="5normal"/>
    <w:basedOn w:val="Normal"/>
    <w:rsid w:val="00C124C9"/>
    <w:pPr>
      <w:spacing w:before="100" w:beforeAutospacing="1" w:after="100" w:afterAutospacing="1"/>
      <w:jc w:val="left"/>
    </w:pPr>
    <w:rPr>
      <w:rFonts w:ascii="Arial" w:hAnsi="Arial" w:cs="Arial"/>
      <w:sz w:val="20"/>
    </w:rPr>
  </w:style>
  <w:style w:type="character" w:customStyle="1" w:styleId="hps">
    <w:name w:val="hps"/>
    <w:basedOn w:val="DefaultParagraphFont"/>
    <w:rsid w:val="002C30C5"/>
  </w:style>
  <w:style w:type="character" w:customStyle="1" w:styleId="FootnoteTextCharCharCharCharChar1">
    <w:name w:val="Footnote Text Char Char Char Char Char1"/>
    <w:aliases w:val="Footnote Text Char Char Char1,Footnote Text Char Char Char Char Char Char,Footnote Text Char Char Char Char Char Char Char Char Char,Footnote Text Char Char Char Char1,Schriftart: 9 pt Char1,Char1 Char"/>
    <w:uiPriority w:val="99"/>
    <w:locked/>
    <w:rsid w:val="00EA0D59"/>
    <w:rPr>
      <w:lang w:val="fr-FR" w:eastAsia="en-GB" w:bidi="ar-SA"/>
    </w:rPr>
  </w:style>
  <w:style w:type="character" w:customStyle="1" w:styleId="InitialChar">
    <w:name w:val="Initial Char"/>
    <w:link w:val="Initial"/>
    <w:rsid w:val="00FD22F7"/>
    <w:rPr>
      <w:spacing w:val="-3"/>
      <w:sz w:val="24"/>
      <w:lang w:val="fr-FR" w:eastAsia="en-GB" w:bidi="ar-SA"/>
    </w:rPr>
  </w:style>
  <w:style w:type="paragraph" w:customStyle="1" w:styleId="Briefingspdef">
    <w:name w:val="Briefing sp/def"/>
    <w:basedOn w:val="Normal"/>
    <w:rsid w:val="00FD22F7"/>
    <w:pPr>
      <w:keepLines/>
      <w:numPr>
        <w:numId w:val="23"/>
      </w:numPr>
      <w:spacing w:after="480"/>
    </w:pPr>
    <w:rPr>
      <w:rFonts w:ascii="Arial" w:hAnsi="Arial" w:cs="Arial"/>
      <w:sz w:val="48"/>
      <w:szCs w:val="48"/>
    </w:rPr>
  </w:style>
  <w:style w:type="character" w:customStyle="1" w:styleId="titlemep1">
    <w:name w:val="titlemep1"/>
    <w:rsid w:val="00DC0AA5"/>
    <w:rPr>
      <w:rFonts w:ascii="Verdana" w:hAnsi="Verdana" w:hint="default"/>
      <w:b/>
      <w:bCs/>
      <w:color w:val="48452D"/>
      <w:sz w:val="16"/>
      <w:szCs w:val="16"/>
    </w:rPr>
  </w:style>
  <w:style w:type="character" w:customStyle="1" w:styleId="referencenotice">
    <w:name w:val="reference_notice"/>
    <w:basedOn w:val="DefaultParagraphFont"/>
    <w:rsid w:val="007D628A"/>
  </w:style>
  <w:style w:type="character" w:customStyle="1" w:styleId="ephidden1">
    <w:name w:val="ep_hidden1"/>
    <w:rsid w:val="00ED4495"/>
    <w:rPr>
      <w:vanish w:val="0"/>
      <w:webHidden w:val="0"/>
      <w:color w:val="000000"/>
      <w:shd w:val="clear" w:color="auto" w:fill="FFFFFF"/>
      <w:specVanish w:val="0"/>
    </w:rPr>
  </w:style>
  <w:style w:type="character" w:customStyle="1" w:styleId="playersrapportertext1">
    <w:name w:val="players_rapporter_text1"/>
    <w:basedOn w:val="DefaultParagraphFont"/>
    <w:rsid w:val="00151572"/>
  </w:style>
  <w:style w:type="character" w:customStyle="1" w:styleId="apple-converted-space">
    <w:name w:val="apple-converted-space"/>
    <w:basedOn w:val="DefaultParagraphFont"/>
    <w:rsid w:val="00151572"/>
  </w:style>
  <w:style w:type="character" w:customStyle="1" w:styleId="ringrefselectedheader1">
    <w:name w:val="ring_ref_selected_header1"/>
    <w:rsid w:val="00A12CB4"/>
    <w:rPr>
      <w:rFonts w:ascii="Arial" w:hAnsi="Arial" w:cs="Arial" w:hint="default"/>
      <w:b w:val="0"/>
      <w:bCs w:val="0"/>
      <w:strike w:val="0"/>
      <w:dstrike w:val="0"/>
      <w:color w:val="666666"/>
      <w:sz w:val="22"/>
      <w:szCs w:val="22"/>
      <w:u w:val="none"/>
      <w:effect w:val="none"/>
      <w:bdr w:val="single" w:sz="4" w:space="0" w:color="0077BE" w:frame="1"/>
      <w:shd w:val="clear" w:color="auto" w:fill="FFFFFF"/>
    </w:rPr>
  </w:style>
  <w:style w:type="paragraph" w:customStyle="1" w:styleId="briefingspdef0">
    <w:name w:val="briefingspdef"/>
    <w:basedOn w:val="Normal"/>
    <w:rsid w:val="00A12CB4"/>
    <w:pPr>
      <w:spacing w:before="100" w:beforeAutospacing="1" w:after="100" w:afterAutospacing="1"/>
      <w:jc w:val="left"/>
    </w:pPr>
    <w:rPr>
      <w:rFonts w:ascii="Times New Roman" w:hAnsi="Times New Roman"/>
      <w:szCs w:val="24"/>
    </w:rPr>
  </w:style>
  <w:style w:type="character" w:customStyle="1" w:styleId="contentssmallbis1">
    <w:name w:val="contents_small_bis1"/>
    <w:rsid w:val="00801E69"/>
    <w:rPr>
      <w:rFonts w:ascii="Arial" w:hAnsi="Arial" w:cs="Arial" w:hint="default"/>
      <w:b w:val="0"/>
      <w:bCs w:val="0"/>
      <w:color w:val="999999"/>
      <w:sz w:val="24"/>
      <w:szCs w:val="24"/>
    </w:rPr>
  </w:style>
  <w:style w:type="character" w:customStyle="1" w:styleId="auteur">
    <w:name w:val="auteur"/>
    <w:basedOn w:val="DefaultParagraphFont"/>
    <w:rsid w:val="00801E69"/>
  </w:style>
  <w:style w:type="character" w:customStyle="1" w:styleId="reference2">
    <w:name w:val="reference2"/>
    <w:rsid w:val="00402C69"/>
    <w:rPr>
      <w:b/>
      <w:bCs/>
    </w:rPr>
  </w:style>
  <w:style w:type="paragraph" w:customStyle="1" w:styleId="CoverBold">
    <w:name w:val="CoverBold"/>
    <w:basedOn w:val="Normal"/>
    <w:rsid w:val="00023C78"/>
    <w:pPr>
      <w:widowControl w:val="0"/>
      <w:spacing w:after="0"/>
      <w:ind w:left="1418"/>
      <w:jc w:val="left"/>
    </w:pPr>
    <w:rPr>
      <w:rFonts w:ascii="Times New Roman" w:hAnsi="Times New Roman"/>
      <w:b/>
    </w:rPr>
  </w:style>
  <w:style w:type="paragraph" w:customStyle="1" w:styleId="s16">
    <w:name w:val="s16"/>
    <w:basedOn w:val="Normal"/>
    <w:rsid w:val="0093481E"/>
    <w:pPr>
      <w:spacing w:before="100" w:beforeAutospacing="1" w:after="100" w:afterAutospacing="1"/>
      <w:jc w:val="left"/>
    </w:pPr>
    <w:rPr>
      <w:rFonts w:ascii="Times New Roman" w:hAnsi="Times New Roman"/>
      <w:szCs w:val="24"/>
    </w:rPr>
  </w:style>
  <w:style w:type="character" w:customStyle="1" w:styleId="bumpedfont15">
    <w:name w:val="bumpedfont15"/>
    <w:basedOn w:val="DefaultParagraphFont"/>
    <w:rsid w:val="0093481E"/>
  </w:style>
  <w:style w:type="paragraph" w:styleId="NoSpacing">
    <w:name w:val="No Spacing"/>
    <w:link w:val="NoSpacingChar"/>
    <w:uiPriority w:val="1"/>
    <w:qFormat/>
    <w:rsid w:val="005855E7"/>
    <w:rPr>
      <w:rFonts w:ascii="Arial" w:hAnsi="Arial"/>
      <w:sz w:val="22"/>
      <w:szCs w:val="22"/>
      <w:lang w:eastAsia="en-US"/>
    </w:rPr>
  </w:style>
  <w:style w:type="character" w:styleId="HTMLCite">
    <w:name w:val="HTML Cite"/>
    <w:rsid w:val="0050397D"/>
    <w:rPr>
      <w:i w:val="0"/>
      <w:iCs w:val="0"/>
      <w:color w:val="0E774A"/>
    </w:rPr>
  </w:style>
  <w:style w:type="character" w:customStyle="1" w:styleId="Hanging12Char">
    <w:name w:val="Hanging12 Char"/>
    <w:link w:val="Hanging12"/>
    <w:locked/>
    <w:rsid w:val="00E61FC7"/>
    <w:rPr>
      <w:sz w:val="24"/>
      <w:lang w:val="fr-FR" w:eastAsia="en-GB" w:bidi="ar-SA"/>
    </w:rPr>
  </w:style>
  <w:style w:type="paragraph" w:customStyle="1" w:styleId="ZnakZnak">
    <w:name w:val="Znak Znak"/>
    <w:basedOn w:val="Normal"/>
    <w:link w:val="NoList"/>
    <w:rsid w:val="00E61FC7"/>
    <w:pPr>
      <w:spacing w:after="0" w:line="360" w:lineRule="auto"/>
    </w:pPr>
    <w:rPr>
      <w:rFonts w:ascii="Verdana" w:hAnsi="Verdana"/>
      <w:sz w:val="20"/>
      <w:lang w:eastAsia="pl-PL"/>
    </w:rPr>
  </w:style>
  <w:style w:type="character" w:customStyle="1" w:styleId="st">
    <w:name w:val="st"/>
    <w:rsid w:val="00EC3A6B"/>
  </w:style>
  <w:style w:type="character" w:customStyle="1" w:styleId="CommentTextChar">
    <w:name w:val="Comment Text Char"/>
    <w:link w:val="CommentText"/>
    <w:rsid w:val="007726A9"/>
    <w:rPr>
      <w:rFonts w:ascii="Courier New" w:hAnsi="Courier New"/>
      <w:lang w:val="fr-FR" w:eastAsia="en-GB" w:bidi="ar-SA"/>
    </w:rPr>
  </w:style>
  <w:style w:type="character" w:customStyle="1" w:styleId="highlightedsearchterm">
    <w:name w:val="highlightedsearchterm"/>
    <w:rsid w:val="007726A9"/>
  </w:style>
  <w:style w:type="character" w:customStyle="1" w:styleId="iceouttxtcommissiondossiercontenttablecol3-title">
    <w:name w:val="iceouttxt commissiondossiercontenttablecol3-title"/>
    <w:rsid w:val="007726A9"/>
    <w:rPr>
      <w:sz w:val="24"/>
      <w:szCs w:val="24"/>
      <w:bdr w:val="none" w:sz="0" w:space="0" w:color="auto" w:frame="1"/>
      <w:vertAlign w:val="baseline"/>
    </w:rPr>
  </w:style>
  <w:style w:type="character" w:customStyle="1" w:styleId="FootnoteTextCharCarChar">
    <w:name w:val="Footnote Text Char Car Char"/>
    <w:aliases w:val="Fußnotentextf Char,Note de bas de page 1 Char,footnote Char,Voetnoottekst Char Char Char Char Char,Voetnoottekst1 Char,Sprotna opomba - besedilo Znak Znak Znak Char,Sprotna opomba - besedilo Znak Znak Char"/>
    <w:rsid w:val="00721020"/>
    <w:rPr>
      <w:lang w:val="fr-FR" w:eastAsia="en-GB" w:bidi="ar-SA"/>
    </w:rPr>
  </w:style>
  <w:style w:type="paragraph" w:customStyle="1" w:styleId="intropara">
    <w:name w:val="intropara"/>
    <w:basedOn w:val="Normal"/>
    <w:rsid w:val="009B7E72"/>
    <w:pPr>
      <w:spacing w:before="100" w:beforeAutospacing="1" w:after="100" w:afterAutospacing="1"/>
      <w:ind w:right="612"/>
      <w:jc w:val="left"/>
    </w:pPr>
    <w:rPr>
      <w:rFonts w:ascii="Times New Roman" w:hAnsi="Times New Roman"/>
      <w:b/>
      <w:bCs/>
      <w:szCs w:val="24"/>
    </w:rPr>
  </w:style>
  <w:style w:type="paragraph" w:customStyle="1" w:styleId="ZnakZnak0">
    <w:name w:val="Znak Znak0"/>
    <w:basedOn w:val="Normal"/>
    <w:rsid w:val="002D2D7A"/>
    <w:pPr>
      <w:spacing w:after="0" w:line="360" w:lineRule="auto"/>
    </w:pPr>
    <w:rPr>
      <w:rFonts w:ascii="Verdana" w:hAnsi="Verdana"/>
      <w:sz w:val="20"/>
      <w:lang w:eastAsia="pl-PL"/>
    </w:rPr>
  </w:style>
  <w:style w:type="character" w:customStyle="1" w:styleId="NoSpacingChar">
    <w:name w:val="No Spacing Char"/>
    <w:link w:val="NoSpacing"/>
    <w:uiPriority w:val="1"/>
    <w:locked/>
    <w:rsid w:val="00513CF8"/>
    <w:rPr>
      <w:rFonts w:ascii="Arial" w:hAnsi="Arial"/>
      <w:sz w:val="22"/>
      <w:szCs w:val="22"/>
      <w:lang w:eastAsia="en-US"/>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uiPriority w:val="99"/>
    <w:rsid w:val="00CF192F"/>
    <w:pPr>
      <w:spacing w:after="160" w:line="240" w:lineRule="exact"/>
    </w:pPr>
    <w:rPr>
      <w:rFonts w:ascii="Times New Roman" w:hAnsi="Times New Roman"/>
      <w:sz w:val="20"/>
      <w:vertAlign w:val="superscript"/>
    </w:rPr>
  </w:style>
  <w:style w:type="character" w:customStyle="1" w:styleId="at7">
    <w:name w:val="a__t7"/>
    <w:rsid w:val="00B76067"/>
  </w:style>
  <w:style w:type="paragraph" w:customStyle="1" w:styleId="BVIfnrCarCar">
    <w:name w:val="BVI fnr Car Car"/>
    <w:aliases w:val="BVI fnr Car,BVI fnr Car Car Car Car,BVI fnr Char Char Char Char Char Char Char"/>
    <w:basedOn w:val="Normal"/>
    <w:uiPriority w:val="99"/>
    <w:rsid w:val="003C6D10"/>
    <w:pPr>
      <w:spacing w:before="120" w:after="160" w:line="240" w:lineRule="exact"/>
      <w:jc w:val="left"/>
    </w:pPr>
    <w:rPr>
      <w:rFonts w:ascii="Calibri" w:eastAsia="Calibri" w:hAnsi="Calibri"/>
      <w:sz w:val="22"/>
      <w:szCs w:val="22"/>
      <w:vertAlign w:val="superscript"/>
      <w:lang w:eastAsia="en-US"/>
    </w:rPr>
  </w:style>
  <w:style w:type="paragraph" w:customStyle="1" w:styleId="En-ttedetabledesmatires">
    <w:name w:val="En-tête de table des matières"/>
    <w:basedOn w:val="Normal"/>
    <w:next w:val="Normal"/>
    <w:qFormat/>
    <w:rsid w:val="007C5D8A"/>
    <w:pPr>
      <w:keepNext/>
      <w:spacing w:before="240"/>
      <w:jc w:val="center"/>
    </w:pPr>
    <w:rPr>
      <w:b/>
    </w:rPr>
  </w:style>
  <w:style w:type="paragraph" w:customStyle="1" w:styleId="ColorfulList-Accent11">
    <w:name w:val="Colorful List - Accent 11"/>
    <w:basedOn w:val="Normal"/>
    <w:qFormat/>
    <w:rsid w:val="007C5D8A"/>
    <w:pPr>
      <w:spacing w:after="200" w:line="276" w:lineRule="auto"/>
      <w:ind w:left="720"/>
      <w:contextualSpacing/>
      <w:jc w:val="left"/>
    </w:pPr>
    <w:rPr>
      <w:rFonts w:ascii="Calibri" w:eastAsia="Calibri" w:hAnsi="Calibri"/>
      <w:sz w:val="22"/>
      <w:szCs w:val="22"/>
      <w:lang w:eastAsia="en-US"/>
    </w:rPr>
  </w:style>
  <w:style w:type="paragraph" w:customStyle="1" w:styleId="MediumGrid21">
    <w:name w:val="Medium Grid 21"/>
    <w:link w:val="MediumGrid2Char"/>
    <w:uiPriority w:val="1"/>
    <w:qFormat/>
    <w:rsid w:val="007C5D8A"/>
    <w:rPr>
      <w:rFonts w:ascii="Arial" w:hAnsi="Arial"/>
      <w:sz w:val="22"/>
      <w:szCs w:val="22"/>
      <w:lang w:eastAsia="en-US"/>
    </w:rPr>
  </w:style>
  <w:style w:type="character" w:customStyle="1" w:styleId="MediumGrid2Char">
    <w:name w:val="Medium Grid 2 Char"/>
    <w:link w:val="MediumGrid21"/>
    <w:uiPriority w:val="1"/>
    <w:locked/>
    <w:rsid w:val="007C5D8A"/>
    <w:rPr>
      <w:rFonts w:ascii="Arial" w:hAnsi="Arial"/>
      <w:sz w:val="22"/>
      <w:szCs w:val="22"/>
      <w:lang w:eastAsia="en-US"/>
    </w:rPr>
  </w:style>
  <w:style w:type="character" w:customStyle="1" w:styleId="subcontenttext2">
    <w:name w:val="subcontenttext2"/>
    <w:rsid w:val="007C5D8A"/>
    <w:rPr>
      <w:color w:val="000000"/>
    </w:rPr>
  </w:style>
  <w:style w:type="paragraph" w:customStyle="1" w:styleId="astandard">
    <w:name w:val="a__standard"/>
    <w:basedOn w:val="Normal"/>
    <w:rsid w:val="007C5D8A"/>
    <w:pPr>
      <w:spacing w:after="120"/>
      <w:ind w:right="57"/>
    </w:pPr>
    <w:rPr>
      <w:rFonts w:ascii="Times New Roman" w:hAnsi="Times New Roman"/>
      <w:szCs w:val="24"/>
    </w:rPr>
  </w:style>
  <w:style w:type="paragraph" w:customStyle="1" w:styleId="astandard3520normal">
    <w:name w:val="a_standard__35__20_normal"/>
    <w:basedOn w:val="Normal"/>
    <w:rsid w:val="007C5D8A"/>
    <w:pPr>
      <w:spacing w:after="120"/>
      <w:ind w:right="57"/>
    </w:pPr>
    <w:rPr>
      <w:rFonts w:ascii="Times New Roman" w:hAnsi="Times New Roman"/>
      <w:szCs w:val="24"/>
    </w:rPr>
  </w:style>
  <w:style w:type="paragraph" w:customStyle="1" w:styleId="astandardp1">
    <w:name w:val="a_standard_p1"/>
    <w:basedOn w:val="Normal"/>
    <w:rsid w:val="007C5D8A"/>
    <w:pPr>
      <w:spacing w:after="120"/>
      <w:ind w:right="57"/>
    </w:pPr>
    <w:rPr>
      <w:rFonts w:ascii="Times New Roman" w:hAnsi="Times New Roman"/>
      <w:szCs w:val="24"/>
    </w:rPr>
  </w:style>
  <w:style w:type="paragraph" w:customStyle="1" w:styleId="a3520normalp10">
    <w:name w:val="a__35__20_normal_p10"/>
    <w:basedOn w:val="Normal"/>
    <w:rsid w:val="007C5D8A"/>
    <w:pPr>
      <w:spacing w:after="120"/>
      <w:ind w:right="57"/>
    </w:pPr>
    <w:rPr>
      <w:rFonts w:ascii="Times New Roman" w:hAnsi="Times New Roman"/>
      <w:szCs w:val="24"/>
    </w:rPr>
  </w:style>
  <w:style w:type="paragraph" w:customStyle="1" w:styleId="asous-titre201p11">
    <w:name w:val="a_sous-titre_20_1_p11"/>
    <w:basedOn w:val="Normal"/>
    <w:rsid w:val="007C5D8A"/>
    <w:pPr>
      <w:spacing w:after="120"/>
      <w:ind w:right="57"/>
    </w:pPr>
    <w:rPr>
      <w:rFonts w:ascii="Times New Roman" w:hAnsi="Times New Roman"/>
      <w:b/>
      <w:bCs/>
      <w:szCs w:val="24"/>
    </w:rPr>
  </w:style>
  <w:style w:type="character" w:customStyle="1" w:styleId="at3">
    <w:name w:val="a__t3"/>
    <w:rsid w:val="007C5D8A"/>
  </w:style>
  <w:style w:type="character" w:customStyle="1" w:styleId="at5">
    <w:name w:val="a__t5"/>
    <w:rsid w:val="007C5D8A"/>
  </w:style>
  <w:style w:type="paragraph" w:customStyle="1" w:styleId="CM1">
    <w:name w:val="CM1"/>
    <w:basedOn w:val="Default"/>
    <w:next w:val="Default"/>
    <w:uiPriority w:val="99"/>
    <w:rsid w:val="007C5D8A"/>
    <w:rPr>
      <w:rFonts w:ascii="EUAlbertina" w:hAnsi="EUAlbertina"/>
      <w:color w:val="auto"/>
      <w:lang w:eastAsia="en-GB"/>
    </w:rPr>
  </w:style>
  <w:style w:type="paragraph" w:customStyle="1" w:styleId="CM3">
    <w:name w:val="CM3"/>
    <w:basedOn w:val="Default"/>
    <w:next w:val="Default"/>
    <w:uiPriority w:val="99"/>
    <w:rsid w:val="007C5D8A"/>
    <w:rPr>
      <w:rFonts w:ascii="EUAlbertina" w:hAnsi="EUAlbertina"/>
      <w:color w:val="auto"/>
      <w:lang w:eastAsia="en-GB"/>
    </w:rPr>
  </w:style>
  <w:style w:type="paragraph" w:customStyle="1" w:styleId="CM4">
    <w:name w:val="CM4"/>
    <w:basedOn w:val="Default"/>
    <w:next w:val="Default"/>
    <w:uiPriority w:val="99"/>
    <w:rsid w:val="007C5D8A"/>
    <w:rPr>
      <w:rFonts w:ascii="EUAlbertina" w:hAnsi="EUAlbertina"/>
      <w:color w:val="auto"/>
      <w:lang w:eastAsia="en-GB"/>
    </w:rPr>
  </w:style>
  <w:style w:type="character" w:customStyle="1" w:styleId="st1">
    <w:name w:val="st1"/>
    <w:rsid w:val="007C5D8A"/>
  </w:style>
  <w:style w:type="character" w:customStyle="1" w:styleId="CharacterStyle1">
    <w:name w:val="Character Style 1"/>
    <w:uiPriority w:val="99"/>
    <w:rsid w:val="007C5D8A"/>
    <w:rPr>
      <w:rFonts w:ascii="Arial" w:hAnsi="Arial" w:cs="Arial" w:hint="default"/>
      <w:sz w:val="6"/>
    </w:rPr>
  </w:style>
  <w:style w:type="character" w:customStyle="1" w:styleId="subcontenttextbold2">
    <w:name w:val="subcontenttextbold2"/>
    <w:rsid w:val="007C5D8A"/>
    <w:rPr>
      <w:b/>
      <w:bCs/>
      <w:color w:val="000000"/>
    </w:rPr>
  </w:style>
  <w:style w:type="paragraph" w:styleId="Revision">
    <w:name w:val="Revision"/>
    <w:hidden/>
    <w:uiPriority w:val="99"/>
    <w:semiHidden/>
    <w:rsid w:val="007C5D8A"/>
    <w:rPr>
      <w:rFonts w:ascii="Courier New" w:hAnsi="Courier New"/>
      <w:sz w:val="24"/>
      <w:lang w:eastAsia="en-GB"/>
    </w:rPr>
  </w:style>
  <w:style w:type="paragraph" w:customStyle="1" w:styleId="normal2">
    <w:name w:val="normal2"/>
    <w:basedOn w:val="Normal"/>
    <w:rsid w:val="007C5D8A"/>
    <w:pPr>
      <w:spacing w:before="195" w:after="0"/>
    </w:pPr>
    <w:rPr>
      <w:rFonts w:ascii="Times New Roman" w:hAnsi="Times New Roman"/>
      <w:szCs w:val="24"/>
    </w:rPr>
  </w:style>
  <w:style w:type="paragraph" w:customStyle="1" w:styleId="FootnoteReferneceChar">
    <w:name w:val="Footnote Refernece Char"/>
    <w:aliases w:val="BVI fnr Char Char Char Char Char Char Char Char Char,BVI fnr Car Car Char Char Char Char Char Char Char Char Char,BVI fnr Car Char Char Char Char Char Char Char Char Char Char,Footnote Refernece Char Char Char Char"/>
    <w:basedOn w:val="Normal"/>
    <w:rsid w:val="00E95D68"/>
    <w:pPr>
      <w:spacing w:before="240" w:after="160" w:line="240" w:lineRule="exact"/>
      <w:jc w:val="left"/>
    </w:pPr>
    <w:rPr>
      <w:rFonts w:ascii="Times New Roman" w:hAnsi="Times New Roman"/>
      <w:sz w:val="20"/>
      <w:vertAlign w:val="superscript"/>
    </w:rPr>
  </w:style>
  <w:style w:type="character" w:customStyle="1" w:styleId="PlainTextChar">
    <w:name w:val="Plain Text Char"/>
    <w:link w:val="PlainText"/>
    <w:uiPriority w:val="99"/>
    <w:rsid w:val="00866EEF"/>
    <w:rPr>
      <w:rFonts w:ascii="Courier New" w:hAnsi="Courier New"/>
    </w:rPr>
  </w:style>
  <w:style w:type="character" w:customStyle="1" w:styleId="A5">
    <w:name w:val="A5"/>
    <w:uiPriority w:val="99"/>
    <w:rsid w:val="007F48ED"/>
    <w:rPr>
      <w:rFonts w:cs="EC Square Sans Cond Pro"/>
      <w:color w:val="000000"/>
      <w:sz w:val="22"/>
      <w:szCs w:val="22"/>
    </w:rPr>
  </w:style>
  <w:style w:type="paragraph" w:customStyle="1" w:styleId="Appelnotedebasdep">
    <w:name w:val="Appel note de bas de p"/>
    <w:aliases w:val="Nota,Ref"/>
    <w:basedOn w:val="Normal"/>
    <w:next w:val="Normal"/>
    <w:uiPriority w:val="99"/>
    <w:rsid w:val="008C79B9"/>
    <w:pPr>
      <w:spacing w:after="160" w:line="240" w:lineRule="exact"/>
      <w:jc w:val="left"/>
    </w:pPr>
    <w:rPr>
      <w:rFonts w:ascii="Times New Roman" w:hAnsi="Times New Roman"/>
      <w:sz w:val="20"/>
      <w:vertAlign w:val="superscript"/>
    </w:rPr>
  </w:style>
  <w:style w:type="character" w:customStyle="1" w:styleId="Corpsdutexte5">
    <w:name w:val="Corps du texte (5)_"/>
    <w:link w:val="Corpsdutexte50"/>
    <w:rsid w:val="00096700"/>
    <w:rPr>
      <w:sz w:val="22"/>
      <w:szCs w:val="22"/>
      <w:shd w:val="clear" w:color="auto" w:fill="FFFFFF"/>
    </w:rPr>
  </w:style>
  <w:style w:type="paragraph" w:customStyle="1" w:styleId="Corpsdutexte50">
    <w:name w:val="Corps du texte (5)"/>
    <w:basedOn w:val="Normal"/>
    <w:link w:val="Corpsdutexte5"/>
    <w:rsid w:val="00096700"/>
    <w:pPr>
      <w:widowControl w:val="0"/>
      <w:shd w:val="clear" w:color="auto" w:fill="FFFFFF"/>
      <w:spacing w:before="300" w:after="60" w:line="0" w:lineRule="atLeast"/>
      <w:ind w:hanging="360"/>
      <w:jc w:val="left"/>
    </w:pPr>
    <w:rPr>
      <w:rFonts w:ascii="Times New Roman" w:hAnsi="Times New Roman"/>
      <w:sz w:val="22"/>
      <w:szCs w:val="22"/>
    </w:rPr>
  </w:style>
  <w:style w:type="paragraph" w:customStyle="1" w:styleId="-FNCharCharChar">
    <w:name w:val="Знак сноски-FN Char Char Char"/>
    <w:aliases w:val="сноска Char Char Char,Footnote Reference 2 Char Char Char Char Char,16 Point Char Char Char Char Char,Superscript 6 Point Char Char Char Char Char,BVI fnr Char Char Char Char Char"/>
    <w:basedOn w:val="Normal"/>
    <w:uiPriority w:val="99"/>
    <w:rsid w:val="00D8297C"/>
    <w:pPr>
      <w:spacing w:after="160" w:line="240" w:lineRule="exact"/>
      <w:jc w:val="left"/>
    </w:pPr>
    <w:rPr>
      <w:rFonts w:ascii="Times New Roman" w:hAnsi="Times New Roman"/>
      <w:sz w:val="20"/>
      <w:vertAlign w:val="superscript"/>
    </w:rPr>
  </w:style>
  <w:style w:type="character" w:styleId="EndnoteReference">
    <w:name w:val="endnote reference"/>
    <w:rsid w:val="000B70BC"/>
    <w:rPr>
      <w:vertAlign w:val="superscript"/>
    </w:rPr>
  </w:style>
  <w:style w:type="character" w:customStyle="1" w:styleId="Bodytext29pt">
    <w:name w:val="Body text (2) + 9 pt"/>
    <w:rsid w:val="000B70BC"/>
    <w:rPr>
      <w:rFonts w:ascii="Arial" w:eastAsia="Arial" w:hAnsi="Arial" w:cs="Arial" w:hint="default"/>
      <w:b w:val="0"/>
      <w:bCs w:val="0"/>
      <w:i w:val="0"/>
      <w:iCs w:val="0"/>
      <w:smallCaps w:val="0"/>
      <w:strike w:val="0"/>
      <w:dstrike w:val="0"/>
      <w:color w:val="000000"/>
      <w:spacing w:val="0"/>
      <w:w w:val="100"/>
      <w:position w:val="0"/>
      <w:sz w:val="18"/>
      <w:szCs w:val="18"/>
      <w:u w:val="none"/>
      <w:effect w:val="none"/>
      <w:lang w:val="fr-FR" w:eastAsia="en-US" w:bidi="en-US"/>
    </w:rPr>
  </w:style>
  <w:style w:type="character" w:customStyle="1" w:styleId="EndnoteTextChar">
    <w:name w:val="Endnote Text Char"/>
    <w:link w:val="EndnoteText"/>
    <w:uiPriority w:val="99"/>
    <w:semiHidden/>
    <w:rsid w:val="000B70BC"/>
    <w:rPr>
      <w:rFonts w:ascii="Courier New" w:hAnsi="Courier New"/>
    </w:rPr>
  </w:style>
  <w:style w:type="paragraph" w:customStyle="1" w:styleId="briefingtext0">
    <w:name w:val="briefingtext"/>
    <w:basedOn w:val="Normal"/>
    <w:rsid w:val="00441AFE"/>
    <w:rPr>
      <w:rFonts w:ascii="Arial" w:eastAsia="Calibri" w:hAnsi="Arial" w:cs="Arial"/>
      <w:sz w:val="22"/>
      <w:szCs w:val="22"/>
    </w:rPr>
  </w:style>
  <w:style w:type="character" w:customStyle="1" w:styleId="tgc">
    <w:name w:val="_tgc"/>
    <w:rsid w:val="003B7B24"/>
  </w:style>
  <w:style w:type="character" w:customStyle="1" w:styleId="reference">
    <w:name w:val="reference"/>
    <w:rsid w:val="00E46D65"/>
  </w:style>
  <w:style w:type="character" w:customStyle="1" w:styleId="playerscommitteetext">
    <w:name w:val="players_committee_text"/>
    <w:rsid w:val="00BA139E"/>
  </w:style>
  <w:style w:type="character" w:customStyle="1" w:styleId="playersrapportertext">
    <w:name w:val="players_rapporter_text"/>
    <w:rsid w:val="003F006A"/>
  </w:style>
  <w:style w:type="paragraph" w:customStyle="1" w:styleId="oj-doc-ti">
    <w:name w:val="oj-doc-ti"/>
    <w:basedOn w:val="Normal"/>
    <w:rsid w:val="00465070"/>
    <w:pPr>
      <w:spacing w:before="100" w:beforeAutospacing="1" w:after="100" w:afterAutospacing="1"/>
      <w:jc w:val="left"/>
    </w:pPr>
    <w:rPr>
      <w:rFonts w:ascii="Times New Roman" w:hAnsi="Times New Roman"/>
      <w:szCs w:val="24"/>
      <w:lang w:eastAsia="en-IE"/>
    </w:rPr>
  </w:style>
  <w:style w:type="character" w:customStyle="1" w:styleId="ListParagraphChar">
    <w:name w:val="List Paragraph Char"/>
    <w:aliases w:val="Fiche List Paragraph Char,Dot pt Char,F5 List Paragraph Char,List Paragraph1 Char,No Spacing1 Char,List Paragraph Char Char Char Char,Indicator Text Char,Numbered Para 1 Char,Bullet Points Char,MAIN CONTENT Char,List Paragraph12 Char"/>
    <w:link w:val="ListParagraph"/>
    <w:uiPriority w:val="34"/>
    <w:qFormat/>
    <w:locked/>
    <w:rsid w:val="00FE1439"/>
    <w:rPr>
      <w:rFonts w:ascii="Calibri" w:eastAsia="Calibri" w:hAnsi="Calibri"/>
      <w:sz w:val="22"/>
      <w:szCs w:val="22"/>
      <w:lang w:val="fr-FR" w:eastAsia="en-US"/>
    </w:rPr>
  </w:style>
  <w:style w:type="character" w:styleId="UnresolvedMention">
    <w:name w:val="Unresolved Mention"/>
    <w:uiPriority w:val="99"/>
    <w:semiHidden/>
    <w:unhideWhenUsed/>
    <w:rsid w:val="006F264A"/>
    <w:rPr>
      <w:color w:val="605E5C"/>
      <w:shd w:val="clear" w:color="auto" w:fill="E1DFDD"/>
    </w:rPr>
  </w:style>
  <w:style w:type="character" w:customStyle="1" w:styleId="normaltextrun">
    <w:name w:val="normaltextrun"/>
    <w:basedOn w:val="DefaultParagraphFont"/>
    <w:rsid w:val="004772AC"/>
  </w:style>
  <w:style w:type="character" w:customStyle="1" w:styleId="eop">
    <w:name w:val="eop"/>
    <w:basedOn w:val="DefaultParagraphFont"/>
    <w:rsid w:val="004772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336414">
      <w:bodyDiv w:val="1"/>
      <w:marLeft w:val="0"/>
      <w:marRight w:val="0"/>
      <w:marTop w:val="0"/>
      <w:marBottom w:val="0"/>
      <w:divBdr>
        <w:top w:val="none" w:sz="0" w:space="0" w:color="auto"/>
        <w:left w:val="none" w:sz="0" w:space="0" w:color="auto"/>
        <w:bottom w:val="none" w:sz="0" w:space="0" w:color="auto"/>
        <w:right w:val="none" w:sz="0" w:space="0" w:color="auto"/>
      </w:divBdr>
    </w:div>
    <w:div w:id="111822525">
      <w:bodyDiv w:val="1"/>
      <w:marLeft w:val="0"/>
      <w:marRight w:val="0"/>
      <w:marTop w:val="0"/>
      <w:marBottom w:val="0"/>
      <w:divBdr>
        <w:top w:val="none" w:sz="0" w:space="0" w:color="auto"/>
        <w:left w:val="none" w:sz="0" w:space="0" w:color="auto"/>
        <w:bottom w:val="none" w:sz="0" w:space="0" w:color="auto"/>
        <w:right w:val="none" w:sz="0" w:space="0" w:color="auto"/>
      </w:divBdr>
    </w:div>
    <w:div w:id="112213239">
      <w:bodyDiv w:val="1"/>
      <w:marLeft w:val="0"/>
      <w:marRight w:val="0"/>
      <w:marTop w:val="0"/>
      <w:marBottom w:val="0"/>
      <w:divBdr>
        <w:top w:val="none" w:sz="0" w:space="0" w:color="auto"/>
        <w:left w:val="none" w:sz="0" w:space="0" w:color="auto"/>
        <w:bottom w:val="none" w:sz="0" w:space="0" w:color="auto"/>
        <w:right w:val="none" w:sz="0" w:space="0" w:color="auto"/>
      </w:divBdr>
    </w:div>
    <w:div w:id="255984586">
      <w:bodyDiv w:val="1"/>
      <w:marLeft w:val="0"/>
      <w:marRight w:val="0"/>
      <w:marTop w:val="0"/>
      <w:marBottom w:val="0"/>
      <w:divBdr>
        <w:top w:val="none" w:sz="0" w:space="0" w:color="auto"/>
        <w:left w:val="none" w:sz="0" w:space="0" w:color="auto"/>
        <w:bottom w:val="none" w:sz="0" w:space="0" w:color="auto"/>
        <w:right w:val="none" w:sz="0" w:space="0" w:color="auto"/>
      </w:divBdr>
    </w:div>
    <w:div w:id="355735045">
      <w:bodyDiv w:val="1"/>
      <w:marLeft w:val="0"/>
      <w:marRight w:val="0"/>
      <w:marTop w:val="0"/>
      <w:marBottom w:val="0"/>
      <w:divBdr>
        <w:top w:val="none" w:sz="0" w:space="0" w:color="auto"/>
        <w:left w:val="none" w:sz="0" w:space="0" w:color="auto"/>
        <w:bottom w:val="none" w:sz="0" w:space="0" w:color="auto"/>
        <w:right w:val="none" w:sz="0" w:space="0" w:color="auto"/>
      </w:divBdr>
    </w:div>
    <w:div w:id="428307441">
      <w:bodyDiv w:val="1"/>
      <w:marLeft w:val="0"/>
      <w:marRight w:val="0"/>
      <w:marTop w:val="0"/>
      <w:marBottom w:val="0"/>
      <w:divBdr>
        <w:top w:val="none" w:sz="0" w:space="0" w:color="auto"/>
        <w:left w:val="none" w:sz="0" w:space="0" w:color="auto"/>
        <w:bottom w:val="none" w:sz="0" w:space="0" w:color="auto"/>
        <w:right w:val="none" w:sz="0" w:space="0" w:color="auto"/>
      </w:divBdr>
    </w:div>
    <w:div w:id="547684734">
      <w:bodyDiv w:val="1"/>
      <w:marLeft w:val="0"/>
      <w:marRight w:val="0"/>
      <w:marTop w:val="0"/>
      <w:marBottom w:val="0"/>
      <w:divBdr>
        <w:top w:val="none" w:sz="0" w:space="0" w:color="auto"/>
        <w:left w:val="none" w:sz="0" w:space="0" w:color="auto"/>
        <w:bottom w:val="none" w:sz="0" w:space="0" w:color="auto"/>
        <w:right w:val="none" w:sz="0" w:space="0" w:color="auto"/>
      </w:divBdr>
    </w:div>
    <w:div w:id="636643074">
      <w:bodyDiv w:val="1"/>
      <w:marLeft w:val="0"/>
      <w:marRight w:val="0"/>
      <w:marTop w:val="0"/>
      <w:marBottom w:val="0"/>
      <w:divBdr>
        <w:top w:val="none" w:sz="0" w:space="0" w:color="auto"/>
        <w:left w:val="none" w:sz="0" w:space="0" w:color="auto"/>
        <w:bottom w:val="none" w:sz="0" w:space="0" w:color="auto"/>
        <w:right w:val="none" w:sz="0" w:space="0" w:color="auto"/>
      </w:divBdr>
    </w:div>
    <w:div w:id="728113125">
      <w:bodyDiv w:val="1"/>
      <w:marLeft w:val="0"/>
      <w:marRight w:val="0"/>
      <w:marTop w:val="0"/>
      <w:marBottom w:val="0"/>
      <w:divBdr>
        <w:top w:val="none" w:sz="0" w:space="0" w:color="auto"/>
        <w:left w:val="none" w:sz="0" w:space="0" w:color="auto"/>
        <w:bottom w:val="none" w:sz="0" w:space="0" w:color="auto"/>
        <w:right w:val="none" w:sz="0" w:space="0" w:color="auto"/>
      </w:divBdr>
      <w:divsChild>
        <w:div w:id="424037162">
          <w:marLeft w:val="0"/>
          <w:marRight w:val="0"/>
          <w:marTop w:val="0"/>
          <w:marBottom w:val="0"/>
          <w:divBdr>
            <w:top w:val="none" w:sz="0" w:space="0" w:color="auto"/>
            <w:left w:val="none" w:sz="0" w:space="0" w:color="auto"/>
            <w:bottom w:val="none" w:sz="0" w:space="0" w:color="auto"/>
            <w:right w:val="none" w:sz="0" w:space="0" w:color="auto"/>
          </w:divBdr>
        </w:div>
      </w:divsChild>
    </w:div>
    <w:div w:id="745154052">
      <w:bodyDiv w:val="1"/>
      <w:marLeft w:val="0"/>
      <w:marRight w:val="0"/>
      <w:marTop w:val="0"/>
      <w:marBottom w:val="0"/>
      <w:divBdr>
        <w:top w:val="none" w:sz="0" w:space="0" w:color="auto"/>
        <w:left w:val="none" w:sz="0" w:space="0" w:color="auto"/>
        <w:bottom w:val="none" w:sz="0" w:space="0" w:color="auto"/>
        <w:right w:val="none" w:sz="0" w:space="0" w:color="auto"/>
      </w:divBdr>
    </w:div>
    <w:div w:id="780614661">
      <w:bodyDiv w:val="1"/>
      <w:marLeft w:val="0"/>
      <w:marRight w:val="0"/>
      <w:marTop w:val="0"/>
      <w:marBottom w:val="0"/>
      <w:divBdr>
        <w:top w:val="none" w:sz="0" w:space="0" w:color="auto"/>
        <w:left w:val="none" w:sz="0" w:space="0" w:color="auto"/>
        <w:bottom w:val="none" w:sz="0" w:space="0" w:color="auto"/>
        <w:right w:val="none" w:sz="0" w:space="0" w:color="auto"/>
      </w:divBdr>
    </w:div>
    <w:div w:id="790325527">
      <w:bodyDiv w:val="1"/>
      <w:marLeft w:val="0"/>
      <w:marRight w:val="0"/>
      <w:marTop w:val="0"/>
      <w:marBottom w:val="0"/>
      <w:divBdr>
        <w:top w:val="none" w:sz="0" w:space="0" w:color="auto"/>
        <w:left w:val="none" w:sz="0" w:space="0" w:color="auto"/>
        <w:bottom w:val="none" w:sz="0" w:space="0" w:color="auto"/>
        <w:right w:val="none" w:sz="0" w:space="0" w:color="auto"/>
      </w:divBdr>
      <w:divsChild>
        <w:div w:id="627013044">
          <w:marLeft w:val="0"/>
          <w:marRight w:val="0"/>
          <w:marTop w:val="0"/>
          <w:marBottom w:val="0"/>
          <w:divBdr>
            <w:top w:val="none" w:sz="0" w:space="0" w:color="auto"/>
            <w:left w:val="none" w:sz="0" w:space="0" w:color="auto"/>
            <w:bottom w:val="none" w:sz="0" w:space="0" w:color="auto"/>
            <w:right w:val="none" w:sz="0" w:space="0" w:color="auto"/>
          </w:divBdr>
        </w:div>
      </w:divsChild>
    </w:div>
    <w:div w:id="875197501">
      <w:bodyDiv w:val="1"/>
      <w:marLeft w:val="0"/>
      <w:marRight w:val="0"/>
      <w:marTop w:val="0"/>
      <w:marBottom w:val="0"/>
      <w:divBdr>
        <w:top w:val="none" w:sz="0" w:space="0" w:color="auto"/>
        <w:left w:val="none" w:sz="0" w:space="0" w:color="auto"/>
        <w:bottom w:val="none" w:sz="0" w:space="0" w:color="auto"/>
        <w:right w:val="none" w:sz="0" w:space="0" w:color="auto"/>
      </w:divBdr>
    </w:div>
    <w:div w:id="1004093213">
      <w:bodyDiv w:val="1"/>
      <w:marLeft w:val="0"/>
      <w:marRight w:val="0"/>
      <w:marTop w:val="0"/>
      <w:marBottom w:val="0"/>
      <w:divBdr>
        <w:top w:val="none" w:sz="0" w:space="0" w:color="auto"/>
        <w:left w:val="none" w:sz="0" w:space="0" w:color="auto"/>
        <w:bottom w:val="none" w:sz="0" w:space="0" w:color="auto"/>
        <w:right w:val="none" w:sz="0" w:space="0" w:color="auto"/>
      </w:divBdr>
    </w:div>
    <w:div w:id="1080567971">
      <w:bodyDiv w:val="1"/>
      <w:marLeft w:val="0"/>
      <w:marRight w:val="0"/>
      <w:marTop w:val="0"/>
      <w:marBottom w:val="0"/>
      <w:divBdr>
        <w:top w:val="none" w:sz="0" w:space="0" w:color="auto"/>
        <w:left w:val="none" w:sz="0" w:space="0" w:color="auto"/>
        <w:bottom w:val="none" w:sz="0" w:space="0" w:color="auto"/>
        <w:right w:val="none" w:sz="0" w:space="0" w:color="auto"/>
      </w:divBdr>
    </w:div>
    <w:div w:id="1171676323">
      <w:bodyDiv w:val="1"/>
      <w:marLeft w:val="0"/>
      <w:marRight w:val="0"/>
      <w:marTop w:val="0"/>
      <w:marBottom w:val="0"/>
      <w:divBdr>
        <w:top w:val="none" w:sz="0" w:space="0" w:color="auto"/>
        <w:left w:val="none" w:sz="0" w:space="0" w:color="auto"/>
        <w:bottom w:val="none" w:sz="0" w:space="0" w:color="auto"/>
        <w:right w:val="none" w:sz="0" w:space="0" w:color="auto"/>
      </w:divBdr>
    </w:div>
    <w:div w:id="1289513564">
      <w:bodyDiv w:val="1"/>
      <w:marLeft w:val="0"/>
      <w:marRight w:val="0"/>
      <w:marTop w:val="0"/>
      <w:marBottom w:val="0"/>
      <w:divBdr>
        <w:top w:val="none" w:sz="0" w:space="0" w:color="auto"/>
        <w:left w:val="none" w:sz="0" w:space="0" w:color="auto"/>
        <w:bottom w:val="none" w:sz="0" w:space="0" w:color="auto"/>
        <w:right w:val="none" w:sz="0" w:space="0" w:color="auto"/>
      </w:divBdr>
    </w:div>
    <w:div w:id="1778744571">
      <w:bodyDiv w:val="1"/>
      <w:marLeft w:val="0"/>
      <w:marRight w:val="0"/>
      <w:marTop w:val="0"/>
      <w:marBottom w:val="0"/>
      <w:divBdr>
        <w:top w:val="none" w:sz="0" w:space="0" w:color="auto"/>
        <w:left w:val="none" w:sz="0" w:space="0" w:color="auto"/>
        <w:bottom w:val="none" w:sz="0" w:space="0" w:color="auto"/>
        <w:right w:val="none" w:sz="0" w:space="0" w:color="auto"/>
      </w:divBdr>
    </w:div>
    <w:div w:id="1929069950">
      <w:bodyDiv w:val="1"/>
      <w:marLeft w:val="0"/>
      <w:marRight w:val="0"/>
      <w:marTop w:val="0"/>
      <w:marBottom w:val="0"/>
      <w:divBdr>
        <w:top w:val="none" w:sz="0" w:space="0" w:color="auto"/>
        <w:left w:val="none" w:sz="0" w:space="0" w:color="auto"/>
        <w:bottom w:val="none" w:sz="0" w:space="0" w:color="auto"/>
        <w:right w:val="none" w:sz="0" w:space="0" w:color="auto"/>
      </w:divBdr>
    </w:div>
    <w:div w:id="2115467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8" Type="http://schemas.openxmlformats.org/officeDocument/2006/relationships/hyperlink" Target="https://digital-strategy.ec.europa.eu/en/policies/mediainvest" TargetMode="External"/><Relationship Id="rId13" Type="http://schemas.openxmlformats.org/officeDocument/2006/relationships/hyperlink" Target="https://eic.ec.europa.eu/index_en" TargetMode="External"/><Relationship Id="rId18" Type="http://schemas.openxmlformats.org/officeDocument/2006/relationships/hyperlink" Target="https://joinup.ec.europa.eu/collection/govtechconnect/document/scale-public-sector-new-brochure-guide-startups" TargetMode="External"/><Relationship Id="rId3" Type="http://schemas.openxmlformats.org/officeDocument/2006/relationships/hyperlink" Target="https://een.ec.europa.eu/" TargetMode="External"/><Relationship Id="rId7" Type="http://schemas.openxmlformats.org/officeDocument/2006/relationships/hyperlink" Target="https://engage.eif.org/investeu/equity?overlay=Digital-CCS-Sectors" TargetMode="External"/><Relationship Id="rId12" Type="http://schemas.openxmlformats.org/officeDocument/2006/relationships/hyperlink" Target="https://single-market-economy.ec.europa.eu/smes/sme-strategy/sme-envoys-network_en?prefLang=fr" TargetMode="External"/><Relationship Id="rId17" Type="http://schemas.openxmlformats.org/officeDocument/2006/relationships/hyperlink" Target="https://joinup.ec.europa.eu/collection/govtechconnect/document/scale-public-sector-new-brochure-guide-startups" TargetMode="External"/><Relationship Id="rId2" Type="http://schemas.openxmlformats.org/officeDocument/2006/relationships/hyperlink" Target="https://europa.eu/youreurope/business/finance-funding/getting-funding/access-finance/search/" TargetMode="External"/><Relationship Id="rId16" Type="http://schemas.openxmlformats.org/officeDocument/2006/relationships/hyperlink" Target="https://public-buyers-community.ec.europa.eu/news/how-do-start-ups-fit-new-brochure-guide-public-buyers" TargetMode="External"/><Relationship Id="rId1" Type="http://schemas.openxmlformats.org/officeDocument/2006/relationships/hyperlink" Target="https://engage.eif.org/investeu/equity?overlay=ESCALAR" TargetMode="External"/><Relationship Id="rId6" Type="http://schemas.openxmlformats.org/officeDocument/2006/relationships/hyperlink" Target="https://www.eif.org/what_we_do/guarantees/cultural_creative_sectors_guarantee_facility/index.htm" TargetMode="External"/><Relationship Id="rId11" Type="http://schemas.openxmlformats.org/officeDocument/2006/relationships/hyperlink" Target="https://finance.ec.europa.eu/capital-markets-union-and-financial-markets/capital-markets-union_fr" TargetMode="External"/><Relationship Id="rId5" Type="http://schemas.openxmlformats.org/officeDocument/2006/relationships/hyperlink" Target="https://www.eif.org/news_centre/audiovisual_library/case_studies/index.htm" TargetMode="External"/><Relationship Id="rId15" Type="http://schemas.openxmlformats.org/officeDocument/2006/relationships/hyperlink" Target="https://public-buyers-community.ec.europa.eu/news/how-do-start-ups-fit-new-brochure-guide-public-buyers" TargetMode="External"/><Relationship Id="rId10" Type="http://schemas.openxmlformats.org/officeDocument/2006/relationships/hyperlink" Target="http://www.access2finance.eu" TargetMode="External"/><Relationship Id="rId19" Type="http://schemas.openxmlformats.org/officeDocument/2006/relationships/hyperlink" Target="https://startupnationsstandard.eu/files/SNS-declaration.pdf" TargetMode="External"/><Relationship Id="rId4" Type="http://schemas.openxmlformats.org/officeDocument/2006/relationships/hyperlink" Target="https://investeu.europa.eu/index_en?prefLang=fr" TargetMode="External"/><Relationship Id="rId9" Type="http://schemas.openxmlformats.org/officeDocument/2006/relationships/hyperlink" Target="https://een.ec.europa.eu/about-enterprise-europe-network" TargetMode="External"/><Relationship Id="rId14" Type="http://schemas.openxmlformats.org/officeDocument/2006/relationships/hyperlink" Target="https://public-buyers-community.ec.europa.eu/news/how-do-start-ups-fit-new-brochure-guide-public-buy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EC_Collab_Status xmlns="87088d67-7d15-489b-a83f-695395e5947d">Not Started</EC_Collab_Status>
    <EC_Collab_Reference xmlns="87088d67-7d15-489b-a83f-695395e5947d" xsi:nil="true"/>
    <_Status xmlns="http://schemas.microsoft.com/sharepoint/v3/fields">Not Started</_Status>
    <Status xmlns="87088d67-7d15-489b-a83f-695395e5947d">Open</Status>
    <Sort_x0020_order xmlns="87088d67-7d15-489b-a83f-695395e5947d" xsi:nil="true"/>
    <EC_Collab_DocumentLanguage xmlns="87088d67-7d15-489b-a83f-695395e5947d">EN</EC_Collab_DocumentLanguage>
    <SharedWithUsers xmlns="a58ce97c-e02b-4e07-978a-4703d4b3dca6">
      <UserInfo>
        <DisplayName>GROW - All</DisplayName>
        <AccountId>95</AccountId>
        <AccountType/>
      </UserInfo>
      <UserInfo>
        <DisplayName>SG - All</DisplayName>
        <AccountId>817</AccountId>
        <AccountType/>
      </UserInfo>
      <UserInfo>
        <DisplayName>SJ - All</DisplayName>
        <AccountId>1441</AccountId>
        <AccountType/>
      </UserInfo>
      <UserInfo>
        <DisplayName>BUDG - All</DisplayName>
        <AccountId>1440</AccountId>
        <AccountType/>
      </UserInfo>
      <UserInfo>
        <DisplayName>RTD - All</DisplayName>
        <AccountId>1114</AccountId>
        <AccountType/>
      </UserInfo>
      <UserInfo>
        <DisplayName>FISMA - All</DisplayName>
        <AccountId>1098</AccountId>
        <AccountType/>
      </UserInfo>
      <UserInfo>
        <DisplayName>COMP - All</DisplayName>
        <AccountId>792</AccountId>
        <AccountType/>
      </UserInfo>
      <UserInfo>
        <DisplayName>REGIO - All</DisplayName>
        <AccountId>891</AccountId>
        <AccountType/>
      </UserInfo>
      <UserInfo>
        <DisplayName>ECFIN - All</DisplayName>
        <AccountId>1006</AccountId>
        <AccountType/>
      </UserInfo>
      <UserInfo>
        <DisplayName>EAC - All</DisplayName>
        <AccountId>2023</AccountId>
        <AccountType/>
      </UserInfo>
      <UserInfo>
        <DisplayName>CNECT - All</DisplayName>
        <AccountId>96</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B9B11981C1D967479FC8FFDC6793A5F5" ma:contentTypeVersion="4" ma:contentTypeDescription="Create a new document in this library." ma:contentTypeScope="" ma:versionID="3ce5f4db660a4f15dde75bb4cd774115">
  <xsd:schema xmlns:xsd="http://www.w3.org/2001/XMLSchema" xmlns:xs="http://www.w3.org/2001/XMLSchema" xmlns:p="http://schemas.microsoft.com/office/2006/metadata/properties" xmlns:ns2="http://schemas.microsoft.com/sharepoint/v3/fields" xmlns:ns3="87088d67-7d15-489b-a83f-695395e5947d" xmlns:ns4="a58ce97c-e02b-4e07-978a-4703d4b3dca6" targetNamespace="http://schemas.microsoft.com/office/2006/metadata/properties" ma:root="true" ma:fieldsID="5247551fb957d06a14333be5ccd1dce4" ns2:_="" ns3:_="" ns4:_="">
    <xsd:import namespace="http://schemas.microsoft.com/sharepoint/v3/fields"/>
    <xsd:import namespace="87088d67-7d15-489b-a83f-695395e5947d"/>
    <xsd:import namespace="a58ce97c-e02b-4e07-978a-4703d4b3dca6"/>
    <xsd:element name="properties">
      <xsd:complexType>
        <xsd:sequence>
          <xsd:element name="documentManagement">
            <xsd:complexType>
              <xsd:all>
                <xsd:element ref="ns3:EC_Collab_Reference" minOccurs="0"/>
                <xsd:element ref="ns2:_Status" minOccurs="0"/>
                <xsd:element ref="ns3:EC_Collab_DocumentLanguage"/>
                <xsd:element ref="ns3:EC_Collab_Status"/>
                <xsd:element ref="ns3:Sort_x0020_order" minOccurs="0"/>
                <xsd:element ref="ns3:Statu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3"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87088d67-7d15-489b-a83f-695395e5947d"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4"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5"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element name="Sort_x0020_order" ma:index="16" nillable="true" ma:displayName="Sort order" ma:decimals="2" ma:internalName="Sort_x0020_order">
      <xsd:simpleType>
        <xsd:restriction base="dms:Number"/>
      </xsd:simpleType>
    </xsd:element>
    <xsd:element name="Status" ma:index="17" nillable="true" ma:displayName="Status" ma:default="Open" ma:format="Dropdown" ma:internalName="Status">
      <xsd:simpleType>
        <xsd:restriction base="dms:Choice">
          <xsd:enumeration value="Open"/>
          <xsd:enumeration value="Closed"/>
        </xsd:restriction>
      </xsd:simpleType>
    </xsd:element>
  </xsd:schema>
  <xsd:schema xmlns:xsd="http://www.w3.org/2001/XMLSchema" xmlns:xs="http://www.w3.org/2001/XMLSchema" xmlns:dms="http://schemas.microsoft.com/office/2006/documentManagement/types" xmlns:pc="http://schemas.microsoft.com/office/infopath/2007/PartnerControls" targetNamespace="a58ce97c-e02b-4e07-978a-4703d4b3dca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CD60AD2-945C-4297-AEC0-C0899F8E0483}">
  <ds:schemaRefs>
    <ds:schemaRef ds:uri="http://schemas.microsoft.com/office/2006/metadata/properties"/>
    <ds:schemaRef ds:uri="http://schemas.microsoft.com/office/infopath/2007/PartnerControls"/>
    <ds:schemaRef ds:uri="87088d67-7d15-489b-a83f-695395e5947d"/>
    <ds:schemaRef ds:uri="http://schemas.microsoft.com/sharepoint/v3/fields"/>
    <ds:schemaRef ds:uri="a58ce97c-e02b-4e07-978a-4703d4b3dca6"/>
  </ds:schemaRefs>
</ds:datastoreItem>
</file>

<file path=customXml/itemProps2.xml><?xml version="1.0" encoding="utf-8"?>
<ds:datastoreItem xmlns:ds="http://schemas.openxmlformats.org/officeDocument/2006/customXml" ds:itemID="{E81EF6E5-587B-45A1-BF05-EA372D839199}">
  <ds:schemaRefs>
    <ds:schemaRef ds:uri="http://schemas.openxmlformats.org/officeDocument/2006/bibliography"/>
  </ds:schemaRefs>
</ds:datastoreItem>
</file>

<file path=customXml/itemProps3.xml><?xml version="1.0" encoding="utf-8"?>
<ds:datastoreItem xmlns:ds="http://schemas.openxmlformats.org/officeDocument/2006/customXml" ds:itemID="{7052712D-604B-48D0-B111-206AB5EAAC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87088d67-7d15-489b-a83f-695395e5947d"/>
    <ds:schemaRef ds:uri="a58ce97c-e02b-4e07-978a-4703d4b3d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BAD1B1A-5C6E-4C2F-9AAC-94BFA2D3737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6533</Words>
  <Characters>37437</Characters>
  <Application>Microsoft Office Word</Application>
  <DocSecurity>0</DocSecurity>
  <PresentationFormat>Microsoft Word 8.0b</PresentationFormat>
  <Lines>534</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SCHWARTZ Michail (GROW)</dc:creator>
  <cp:keywords/>
  <cp:lastModifiedBy>DELBAER Gerda (SG)</cp:lastModifiedBy>
  <cp:revision>2</cp:revision>
  <dcterms:created xsi:type="dcterms:W3CDTF">2024-08-05T08:41:00Z</dcterms:created>
  <dcterms:modified xsi:type="dcterms:W3CDTF">2024-08-05T08:41:00Z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2023-06-20T14:15:34Z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3775c1d8-785f-4065-b7eb-ec853e6c8b9c</vt:lpwstr>
  </property>
  <property fmtid="{D5CDD505-2E9C-101B-9397-08002B2CF9AE}" pid="8" name="MSIP_Label_6bd9ddd1-4d20-43f6-abfa-fc3c07406f94_ContentBits">
    <vt:lpwstr>0</vt:lpwstr>
  </property>
  <property fmtid="{D5CDD505-2E9C-101B-9397-08002B2CF9AE}" pid="9" name="ContentTypeId">
    <vt:lpwstr>0x010100258AA79CEB83498886A3A0868112325000B9B11981C1D967479FC8FFDC6793A5F5</vt:lpwstr>
  </property>
</Properties>
</file>