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15F34" w14:textId="0940D18A" w:rsidR="00331DB9" w:rsidRDefault="004A6C66" w:rsidP="00206C89">
      <w:pPr>
        <w:spacing w:after="600"/>
        <w:jc w:val="center"/>
        <w:rPr>
          <w:rFonts w:ascii="Times New Roman" w:hAnsi="Times New Roman"/>
          <w:b/>
          <w:bCs/>
        </w:rPr>
      </w:pPr>
      <w:r>
        <w:rPr>
          <w:rFonts w:ascii="Times New Roman" w:hAnsi="Times New Roman"/>
          <w:b/>
        </w:rPr>
        <w:t>Suite donnée à la résolution non législative du Parlement européen sur la mise en œuvre du programme Erasmus+ 2021-2027</w:t>
      </w:r>
    </w:p>
    <w:p w14:paraId="630E2FEF" w14:textId="262ED6B4" w:rsidR="004A6C66" w:rsidRPr="00206C89" w:rsidRDefault="004A6C66" w:rsidP="00206C89">
      <w:pPr>
        <w:numPr>
          <w:ilvl w:val="0"/>
          <w:numId w:val="31"/>
        </w:numPr>
        <w:ind w:left="567" w:hanging="567"/>
        <w:rPr>
          <w:rFonts w:ascii="Times New Roman" w:hAnsi="Times New Roman"/>
          <w:b/>
          <w:szCs w:val="24"/>
        </w:rPr>
      </w:pPr>
      <w:r>
        <w:rPr>
          <w:rFonts w:ascii="Times New Roman" w:hAnsi="Times New Roman"/>
          <w:b/>
        </w:rPr>
        <w:t xml:space="preserve">Rapporteur: </w:t>
      </w:r>
      <w:r>
        <w:rPr>
          <w:rFonts w:ascii="Times New Roman" w:hAnsi="Times New Roman"/>
        </w:rPr>
        <w:t>Milan ZVER (PPE/SI)</w:t>
      </w:r>
    </w:p>
    <w:p w14:paraId="3251C48F" w14:textId="3FC8D900" w:rsidR="004A6C66" w:rsidRPr="00C249C7" w:rsidRDefault="00535D4D" w:rsidP="00206C89">
      <w:pPr>
        <w:numPr>
          <w:ilvl w:val="0"/>
          <w:numId w:val="31"/>
        </w:numPr>
        <w:ind w:left="567" w:hanging="567"/>
        <w:rPr>
          <w:rFonts w:ascii="Times New Roman" w:hAnsi="Times New Roman"/>
          <w:i/>
          <w:szCs w:val="24"/>
        </w:rPr>
      </w:pPr>
      <w:r>
        <w:rPr>
          <w:rFonts w:ascii="Times New Roman" w:hAnsi="Times New Roman"/>
          <w:b/>
        </w:rPr>
        <w:t xml:space="preserve">Numéros de référence: </w:t>
      </w:r>
      <w:r>
        <w:rPr>
          <w:rFonts w:ascii="Times New Roman" w:hAnsi="Times New Roman"/>
        </w:rPr>
        <w:t>2023/2002 (INI) / A9-0413/2023 /</w:t>
      </w:r>
      <w:r>
        <w:rPr>
          <w:rFonts w:ascii="Times New Roman" w:hAnsi="Times New Roman"/>
          <w:i/>
        </w:rPr>
        <w:t xml:space="preserve"> </w:t>
      </w:r>
      <w:r>
        <w:rPr>
          <w:rFonts w:ascii="Times New Roman" w:hAnsi="Times New Roman"/>
        </w:rPr>
        <w:t>P9_TA(2024)0007</w:t>
      </w:r>
    </w:p>
    <w:p w14:paraId="05EE6889" w14:textId="0E50534E" w:rsidR="005A00C3" w:rsidRPr="00C249C7" w:rsidRDefault="004A6C66" w:rsidP="00206C89">
      <w:pPr>
        <w:numPr>
          <w:ilvl w:val="0"/>
          <w:numId w:val="31"/>
        </w:numPr>
        <w:ind w:left="567" w:hanging="567"/>
        <w:rPr>
          <w:rFonts w:ascii="Times New Roman" w:hAnsi="Times New Roman"/>
          <w:szCs w:val="24"/>
        </w:rPr>
      </w:pPr>
      <w:r>
        <w:rPr>
          <w:rFonts w:ascii="Times New Roman" w:hAnsi="Times New Roman"/>
          <w:b/>
        </w:rPr>
        <w:t xml:space="preserve">Date d'adoption de la résolution: </w:t>
      </w:r>
      <w:r>
        <w:rPr>
          <w:rFonts w:ascii="Times New Roman" w:hAnsi="Times New Roman"/>
        </w:rPr>
        <w:t>16 janvier 2024</w:t>
      </w:r>
    </w:p>
    <w:p w14:paraId="262D074B" w14:textId="33AD0152" w:rsidR="00EC0A27" w:rsidRPr="00C249C7" w:rsidRDefault="00EC0A27" w:rsidP="00206C89">
      <w:pPr>
        <w:numPr>
          <w:ilvl w:val="0"/>
          <w:numId w:val="31"/>
        </w:numPr>
        <w:ind w:left="567" w:hanging="567"/>
        <w:rPr>
          <w:rFonts w:ascii="Times New Roman" w:hAnsi="Times New Roman"/>
          <w:i/>
          <w:szCs w:val="24"/>
        </w:rPr>
      </w:pPr>
      <w:r>
        <w:rPr>
          <w:rFonts w:ascii="Times New Roman" w:hAnsi="Times New Roman"/>
          <w:b/>
        </w:rPr>
        <w:t>Commission parlementaire compétente:</w:t>
      </w:r>
      <w:r>
        <w:rPr>
          <w:rFonts w:ascii="Times New Roman" w:hAnsi="Times New Roman"/>
        </w:rPr>
        <w:t xml:space="preserve"> commission de la culture et de l’éducation (CULT) </w:t>
      </w:r>
    </w:p>
    <w:p w14:paraId="68BFA6ED" w14:textId="1A589978" w:rsidR="00C9087F" w:rsidRDefault="004A6C66" w:rsidP="00206C89">
      <w:pPr>
        <w:pStyle w:val="ListParagraph"/>
        <w:numPr>
          <w:ilvl w:val="0"/>
          <w:numId w:val="31"/>
        </w:numPr>
        <w:spacing w:after="240" w:line="240" w:lineRule="auto"/>
        <w:ind w:left="567" w:hanging="567"/>
        <w:jc w:val="both"/>
        <w:rPr>
          <w:rFonts w:ascii="Arial" w:hAnsi="Arial" w:cs="Arial"/>
          <w:sz w:val="24"/>
          <w:szCs w:val="24"/>
        </w:rPr>
      </w:pPr>
      <w:r>
        <w:rPr>
          <w:rFonts w:ascii="Times New Roman" w:hAnsi="Times New Roman"/>
          <w:b/>
          <w:sz w:val="24"/>
        </w:rPr>
        <w:t>Analyse/évaluation succincte de la résolution et des demandes qu’elle contient:</w:t>
      </w:r>
    </w:p>
    <w:p w14:paraId="00CEE09E" w14:textId="6C2C8DAD" w:rsidR="002919C5" w:rsidRPr="00206C89" w:rsidRDefault="009011E6" w:rsidP="00206C89">
      <w:pPr>
        <w:spacing w:after="120"/>
        <w:rPr>
          <w:rFonts w:ascii="Times New Roman" w:hAnsi="Times New Roman"/>
          <w:szCs w:val="24"/>
        </w:rPr>
      </w:pPr>
      <w:r>
        <w:rPr>
          <w:rFonts w:ascii="Times New Roman" w:hAnsi="Times New Roman"/>
        </w:rPr>
        <w:t>La résolution contient 120 commentaires ou suggestions, répartis en deux catégories: «Défis et problèmes» (paragraphes 26 à 44) et «Améliorer le programme Erasmus+ actuel et concevoir le programme futur» (paragraphes 45 à 121)</w:t>
      </w:r>
    </w:p>
    <w:p w14:paraId="7CC25AD2" w14:textId="6B3FF48B" w:rsidR="00FD27FD" w:rsidRPr="00206C89" w:rsidRDefault="009542C1" w:rsidP="00206C89">
      <w:pPr>
        <w:pStyle w:val="ListParagraph"/>
        <w:spacing w:after="120" w:line="240" w:lineRule="auto"/>
        <w:ind w:left="0"/>
        <w:contextualSpacing w:val="0"/>
        <w:jc w:val="both"/>
        <w:rPr>
          <w:rStyle w:val="normaltextrun"/>
          <w:rFonts w:ascii="Times New Roman" w:hAnsi="Times New Roman"/>
          <w:color w:val="000000"/>
          <w:sz w:val="24"/>
          <w:szCs w:val="24"/>
          <w:shd w:val="clear" w:color="auto" w:fill="FFFFFF"/>
        </w:rPr>
      </w:pPr>
      <w:r>
        <w:rPr>
          <w:rFonts w:ascii="Times New Roman" w:hAnsi="Times New Roman"/>
          <w:sz w:val="24"/>
        </w:rPr>
        <w:t>La résolution souligne de nombreux éléments positifs et réussites de la mise en œuvre du programme: la structure existante du programme,</w:t>
      </w:r>
      <w:r>
        <w:rPr>
          <w:rStyle w:val="normaltextrun"/>
          <w:rFonts w:ascii="Times New Roman" w:hAnsi="Times New Roman"/>
          <w:color w:val="000000"/>
          <w:sz w:val="24"/>
          <w:shd w:val="clear" w:color="auto" w:fill="FFFFFF"/>
        </w:rPr>
        <w:t xml:space="preserve"> un bon écosystème de financement, les quatre priorités horizontales du programme, les nouvelles actions phares, la forte absorption du budget et la flexibilité du programme, telle qu’elle a été démontrée lors de divers événements imprévus.</w:t>
      </w:r>
    </w:p>
    <w:p w14:paraId="6F231812" w14:textId="77736DC4" w:rsidR="009542C1" w:rsidRPr="00206C89" w:rsidRDefault="00FD27FD" w:rsidP="00206C89">
      <w:pPr>
        <w:pStyle w:val="ListParagraph"/>
        <w:shd w:val="clear" w:color="auto" w:fill="FFFFFF"/>
        <w:spacing w:after="120" w:line="240" w:lineRule="auto"/>
        <w:ind w:left="0"/>
        <w:contextualSpacing w:val="0"/>
        <w:jc w:val="both"/>
        <w:rPr>
          <w:color w:val="000000"/>
          <w:sz w:val="24"/>
          <w:szCs w:val="24"/>
        </w:rPr>
      </w:pPr>
      <w:r>
        <w:rPr>
          <w:rFonts w:ascii="Times New Roman" w:hAnsi="Times New Roman"/>
          <w:sz w:val="24"/>
        </w:rPr>
        <w:t>La résolution met également l’accent sur des défis tels que les difficultés liées au paysage informatique du programme, le nombre persistant de candidatures excédentaires,</w:t>
      </w:r>
      <w:r>
        <w:rPr>
          <w:rFonts w:ascii="Times New Roman" w:hAnsi="Times New Roman"/>
          <w:color w:val="000000"/>
          <w:sz w:val="24"/>
        </w:rPr>
        <w:t xml:space="preserve"> la complexité de la procédure de demande, la lourdeur des exigences administratives, et les difficultés pour les participants moins favorisés d’effectuer de longues périodes de mobilité. La résolution demande que ces questions soient résolues au cours de la période de programmation actuelle.</w:t>
      </w:r>
    </w:p>
    <w:p w14:paraId="305F5D8E" w14:textId="485E3188" w:rsidR="009542C1" w:rsidRPr="00EA51F1" w:rsidRDefault="009542C1" w:rsidP="00206C89">
      <w:pPr>
        <w:pStyle w:val="NormalWeb"/>
        <w:spacing w:before="0" w:beforeAutospacing="0" w:after="120" w:afterAutospacing="0"/>
        <w:jc w:val="both"/>
        <w:rPr>
          <w:b/>
          <w:bCs/>
          <w:color w:val="000000"/>
        </w:rPr>
      </w:pPr>
      <w:r>
        <w:rPr>
          <w:color w:val="000000"/>
        </w:rPr>
        <w:t>Pour les prochaines années et pour le futur programme, la résolution demande notamment:</w:t>
      </w:r>
    </w:p>
    <w:p w14:paraId="5594E388" w14:textId="77777777" w:rsidR="009542C1" w:rsidRPr="00EA51F1" w:rsidRDefault="009542C1" w:rsidP="00206C89">
      <w:pPr>
        <w:pStyle w:val="NormalWeb"/>
        <w:spacing w:before="0" w:beforeAutospacing="0" w:after="120" w:afterAutospacing="0"/>
        <w:jc w:val="both"/>
        <w:rPr>
          <w:color w:val="000000"/>
        </w:rPr>
      </w:pPr>
      <w:r>
        <w:rPr>
          <w:color w:val="000000"/>
        </w:rPr>
        <w:t>- une utilisation plus large de l’apprentissage virtuel et mixte et des règles plus claires en la matière;</w:t>
      </w:r>
    </w:p>
    <w:p w14:paraId="4BE9B52B" w14:textId="77777777" w:rsidR="009542C1" w:rsidRPr="00EA51F1" w:rsidRDefault="009542C1" w:rsidP="00206C89">
      <w:pPr>
        <w:pStyle w:val="NormalWeb"/>
        <w:spacing w:before="0" w:beforeAutospacing="0" w:after="120" w:afterAutospacing="0"/>
        <w:jc w:val="both"/>
        <w:rPr>
          <w:color w:val="000000"/>
        </w:rPr>
      </w:pPr>
      <w:r>
        <w:rPr>
          <w:color w:val="000000"/>
        </w:rPr>
        <w:t>- le développement des synergies entre Erasmus+ et d’autres programmes du cadre financier pluriannuel (CFP);</w:t>
      </w:r>
    </w:p>
    <w:p w14:paraId="5FD80783" w14:textId="77777777" w:rsidR="009542C1" w:rsidRPr="00EA51F1" w:rsidRDefault="009542C1" w:rsidP="00206C89">
      <w:pPr>
        <w:pStyle w:val="NormalWeb"/>
        <w:spacing w:before="0" w:beforeAutospacing="0" w:after="120" w:afterAutospacing="0"/>
        <w:jc w:val="both"/>
        <w:rPr>
          <w:color w:val="000000"/>
        </w:rPr>
      </w:pPr>
      <w:r>
        <w:rPr>
          <w:color w:val="000000"/>
        </w:rPr>
        <w:t>- la décentralisation de l’action Jean Monnet pour les écoles;</w:t>
      </w:r>
    </w:p>
    <w:p w14:paraId="7DA52512" w14:textId="77777777" w:rsidR="009542C1" w:rsidRPr="00EA51F1" w:rsidRDefault="009542C1" w:rsidP="00206C89">
      <w:pPr>
        <w:pStyle w:val="NormalWeb"/>
        <w:spacing w:before="0" w:beforeAutospacing="0" w:after="120" w:afterAutospacing="0"/>
        <w:jc w:val="both"/>
        <w:rPr>
          <w:color w:val="000000"/>
        </w:rPr>
      </w:pPr>
      <w:r>
        <w:rPr>
          <w:color w:val="000000"/>
        </w:rPr>
        <w:t>- l’allocation de davantage de fonds aux possibilités offertes aux écoles et élèves du primaire;</w:t>
      </w:r>
    </w:p>
    <w:p w14:paraId="438C26BD" w14:textId="77777777" w:rsidR="009542C1" w:rsidRPr="00EA51F1" w:rsidRDefault="009542C1" w:rsidP="00206C89">
      <w:pPr>
        <w:pStyle w:val="NormalWeb"/>
        <w:spacing w:before="0" w:beforeAutospacing="0" w:after="120" w:afterAutospacing="0"/>
        <w:jc w:val="both"/>
        <w:rPr>
          <w:color w:val="000000"/>
        </w:rPr>
      </w:pPr>
      <w:r>
        <w:rPr>
          <w:color w:val="000000"/>
        </w:rPr>
        <w:t>- l’encouragement du rôle d’Erasmus+ dans le renforcement du sentiment d’appartenance, de l’engagement civique, ainsi que de la compréhension de l’Union et du soutien aux valeurs européennes, afin de faire de ce programme un véritable promoteur de la démocratie européenne;</w:t>
      </w:r>
    </w:p>
    <w:p w14:paraId="72B6FC98" w14:textId="462A0431" w:rsidR="009542C1" w:rsidRPr="00EA51F1" w:rsidRDefault="009542C1" w:rsidP="00206C89">
      <w:pPr>
        <w:pStyle w:val="NormalWeb"/>
        <w:spacing w:before="0" w:beforeAutospacing="0" w:after="120" w:afterAutospacing="0"/>
        <w:jc w:val="both"/>
        <w:rPr>
          <w:color w:val="000000"/>
        </w:rPr>
      </w:pPr>
      <w:r>
        <w:rPr>
          <w:color w:val="000000"/>
        </w:rPr>
        <w:t>- le renforcement des synergies avec le programme «Corps européen de solidarité»;</w:t>
      </w:r>
    </w:p>
    <w:p w14:paraId="71054E8C" w14:textId="77777777" w:rsidR="009542C1" w:rsidRPr="00EA51F1" w:rsidRDefault="009542C1" w:rsidP="00206C89">
      <w:pPr>
        <w:pStyle w:val="NormalWeb"/>
        <w:spacing w:before="0" w:beforeAutospacing="0" w:after="120" w:afterAutospacing="0"/>
        <w:jc w:val="both"/>
        <w:rPr>
          <w:color w:val="000000"/>
        </w:rPr>
      </w:pPr>
      <w:r>
        <w:rPr>
          <w:color w:val="000000"/>
        </w:rPr>
        <w:t>- la conception du programme Erasmus+ de prochaine génération avec toute la souplesse nécessaire, en veillant parallèlement à l’uniformité et au contrôle approprié du programme, notamment par le Parlement;</w:t>
      </w:r>
    </w:p>
    <w:p w14:paraId="73A35076" w14:textId="53795CC4" w:rsidR="009542C1" w:rsidRPr="00EA51F1" w:rsidRDefault="009542C1" w:rsidP="00206C89">
      <w:pPr>
        <w:pStyle w:val="NormalWeb"/>
        <w:spacing w:before="0" w:beforeAutospacing="0" w:after="120" w:afterAutospacing="0"/>
        <w:jc w:val="both"/>
        <w:rPr>
          <w:color w:val="000000"/>
        </w:rPr>
      </w:pPr>
      <w:r>
        <w:rPr>
          <w:color w:val="000000"/>
        </w:rPr>
        <w:t>- des augmentations budgétaires plus progressives et plus prévisibles au cours de la prochaine période de programmation du cadre financier pluriannuel;</w:t>
      </w:r>
    </w:p>
    <w:p w14:paraId="5B52A598" w14:textId="71E8A0B2" w:rsidR="009542C1" w:rsidRPr="00EA51F1" w:rsidRDefault="009542C1" w:rsidP="00206C89">
      <w:pPr>
        <w:pStyle w:val="NormalWeb"/>
        <w:spacing w:before="0" w:beforeAutospacing="0" w:after="120" w:afterAutospacing="0"/>
        <w:jc w:val="both"/>
        <w:rPr>
          <w:color w:val="000000"/>
        </w:rPr>
      </w:pPr>
      <w:r>
        <w:rPr>
          <w:color w:val="000000"/>
        </w:rPr>
        <w:t>- l’application, dès le début de 2028, de niveaux de financement qui ne soient pas inférieurs à ceux de la dernière année du programme actuel (2027) afin d’assurer la bonne continuité et la stabilité des actions et des activités du programme.</w:t>
      </w:r>
    </w:p>
    <w:p w14:paraId="0CA79343" w14:textId="095ED740" w:rsidR="009542C1" w:rsidRPr="00EA51F1" w:rsidRDefault="009542C1" w:rsidP="00206C89">
      <w:pPr>
        <w:pStyle w:val="NormalWeb"/>
        <w:spacing w:before="0" w:beforeAutospacing="0" w:after="120" w:afterAutospacing="0"/>
        <w:jc w:val="both"/>
        <w:rPr>
          <w:color w:val="000000"/>
        </w:rPr>
      </w:pPr>
      <w:r>
        <w:rPr>
          <w:color w:val="000000"/>
        </w:rPr>
        <w:lastRenderedPageBreak/>
        <w:t>Le Parlement européen déclare également sa détermination à garantir une augmentation importante du budget d’Erasmus+ au cours de la période de programmation 2028-2034 et promet de tripler l’enveloppe actuelle en prenant en considération les obligations liées au programme.</w:t>
      </w:r>
    </w:p>
    <w:p w14:paraId="746CF26E" w14:textId="1FCA9CE5" w:rsidR="004A6C66" w:rsidRPr="00C9087F" w:rsidRDefault="004A6C66" w:rsidP="00206C89">
      <w:pPr>
        <w:widowControl w:val="0"/>
        <w:numPr>
          <w:ilvl w:val="0"/>
          <w:numId w:val="31"/>
        </w:numPr>
        <w:spacing w:after="120"/>
        <w:ind w:left="567" w:hanging="567"/>
        <w:rPr>
          <w:rFonts w:ascii="Times New Roman" w:hAnsi="Times New Roman"/>
          <w:b/>
          <w:bCs/>
          <w:i/>
          <w:iCs/>
        </w:rPr>
      </w:pPr>
      <w:r>
        <w:rPr>
          <w:rFonts w:ascii="Times New Roman" w:hAnsi="Times New Roman"/>
          <w:b/>
        </w:rPr>
        <w:t>Réponse à ces demandes et aperçu des mesures que la Commission a prises ou envisage de prendre:</w:t>
      </w:r>
    </w:p>
    <w:p w14:paraId="0240BBA5" w14:textId="49B7A101" w:rsidR="004A69E1" w:rsidRPr="00077E68" w:rsidRDefault="3997CD50" w:rsidP="00206C89">
      <w:pPr>
        <w:spacing w:after="120"/>
        <w:rPr>
          <w:rFonts w:ascii="Times New Roman" w:eastAsia="Calibri" w:hAnsi="Times New Roman"/>
        </w:rPr>
      </w:pPr>
      <w:r>
        <w:rPr>
          <w:rFonts w:ascii="Times New Roman" w:hAnsi="Times New Roman"/>
        </w:rPr>
        <w:t xml:space="preserve">En ce qui concerne les </w:t>
      </w:r>
      <w:r>
        <w:rPr>
          <w:rFonts w:ascii="Times New Roman" w:hAnsi="Times New Roman"/>
          <w:b/>
          <w:bCs/>
        </w:rPr>
        <w:t>paragraphes 26 à 44</w:t>
      </w:r>
      <w:r>
        <w:rPr>
          <w:rFonts w:ascii="Times New Roman" w:hAnsi="Times New Roman"/>
        </w:rPr>
        <w:t xml:space="preserve"> relatifs aux défis et aux problèmes, la Commission aborde déjà bon nombre des questions soulignées dans le rapport, en ce qui concerne les objectifs de simplification et d’inclusion du programme Erasmus+ (</w:t>
      </w:r>
      <w:r>
        <w:rPr>
          <w:rFonts w:ascii="Times New Roman" w:hAnsi="Times New Roman"/>
          <w:b/>
          <w:bCs/>
        </w:rPr>
        <w:t>paragraphes 26 à 30</w:t>
      </w:r>
      <w:r>
        <w:rPr>
          <w:rFonts w:ascii="Times New Roman" w:hAnsi="Times New Roman"/>
        </w:rPr>
        <w:t>).</w:t>
      </w:r>
      <w:r>
        <w:rPr>
          <w:rFonts w:ascii="Times New Roman" w:hAnsi="Times New Roman"/>
          <w:color w:val="000000" w:themeColor="text1"/>
        </w:rPr>
        <w:t xml:space="preserve"> </w:t>
      </w:r>
      <w:r>
        <w:rPr>
          <w:rFonts w:ascii="Times New Roman" w:hAnsi="Times New Roman"/>
        </w:rPr>
        <w:t>La Commission est attachée à promouvoir un accès inclusif aux possibilités offertes par le programme, dans les limites du budget disponible. La Commission a donc mis en place un cadre complet de mesures en faveur de l’inclusion et de la diversité depuis 2021, y compris la nomination d’agents chargés des questions d’inclusion dans toutes les agences nationales.</w:t>
      </w:r>
    </w:p>
    <w:p w14:paraId="176BFD73" w14:textId="4B3FDA7E" w:rsidR="00FD27FD" w:rsidRPr="00162DAF" w:rsidRDefault="07167502" w:rsidP="00206C89">
      <w:pPr>
        <w:spacing w:after="120"/>
        <w:rPr>
          <w:rFonts w:ascii="Times New Roman" w:hAnsi="Times New Roman"/>
          <w:szCs w:val="24"/>
          <w:shd w:val="clear" w:color="auto" w:fill="FFFFFF"/>
        </w:rPr>
      </w:pPr>
      <w:r>
        <w:rPr>
          <w:rFonts w:ascii="Times New Roman" w:hAnsi="Times New Roman"/>
          <w:color w:val="000000"/>
        </w:rPr>
        <w:t xml:space="preserve">En outre, depuis l’appel à propositions Erasmus+ de 2024, les participants bénéficient d’un soutien financier plus élevé dans le cadre de la mobilité à des fins d’apprentissage. </w:t>
      </w:r>
      <w:r>
        <w:rPr>
          <w:rFonts w:ascii="Times New Roman" w:hAnsi="Times New Roman"/>
          <w:color w:val="000000"/>
          <w:shd w:val="clear" w:color="auto" w:fill="FFFFFF"/>
        </w:rPr>
        <w:t xml:space="preserve">Cela s’inscrit dans le contexte de l’inflation et de l’escalade des prix, qui ont eu une incidence sur les participants et la mise en œuvre du programme. </w:t>
      </w:r>
      <w:r>
        <w:rPr>
          <w:rFonts w:ascii="Times New Roman" w:hAnsi="Times New Roman"/>
          <w:color w:val="000000"/>
        </w:rPr>
        <w:t xml:space="preserve">Un soutien spécifique aux déplacements a également été mis en place pour tous les étudiants de l’enseignement supérieur participant à la mobilité à des fins d’apprentissage, ce qui peut ensuite laisser aux étudiants davantage de budget dans les autres postes de soutien. Les participants sont également encouragés à donner la priorité aux voyages écoresponsables en tant que premier choix lorsqu’ils planifient leur voyage; </w:t>
      </w:r>
      <w:r>
        <w:rPr>
          <w:rStyle w:val="Strong"/>
          <w:rFonts w:ascii="Times New Roman" w:hAnsi="Times New Roman"/>
          <w:b w:val="0"/>
          <w:color w:val="000000"/>
        </w:rPr>
        <w:t>le programme offre des incitations plus fortes à ceux qui voyagent de manière durable, tout en tenant compte de la situation géographique spécifique du participant.</w:t>
      </w:r>
      <w:r>
        <w:rPr>
          <w:rFonts w:ascii="Times New Roman" w:hAnsi="Times New Roman"/>
          <w:color w:val="000000"/>
        </w:rPr>
        <w:t xml:space="preserve"> </w:t>
      </w:r>
      <w:r>
        <w:rPr>
          <w:rFonts w:ascii="Times New Roman" w:hAnsi="Times New Roman"/>
          <w:color w:val="000000"/>
          <w:shd w:val="clear" w:color="auto" w:fill="FFFFFF"/>
        </w:rPr>
        <w:t>Il existe également un soutien accru pour veiller à ce que les participants vivant dans des zones reculées, des îles ou dont les réseaux ferroviaires sont insuffisants ne soient pas exclus de ces améliorations.</w:t>
      </w:r>
    </w:p>
    <w:p w14:paraId="21F331B7" w14:textId="4B40C2DB" w:rsidR="00C0208B" w:rsidRDefault="001D0687" w:rsidP="00206C89">
      <w:pPr>
        <w:spacing w:after="120"/>
        <w:rPr>
          <w:rFonts w:ascii="Times New Roman" w:eastAsia="Calibri" w:hAnsi="Times New Roman"/>
        </w:rPr>
      </w:pPr>
      <w:r>
        <w:rPr>
          <w:rFonts w:ascii="Times New Roman" w:hAnsi="Times New Roman"/>
        </w:rPr>
        <w:t>La Commission s’efforce de maintenir un juste équilibre entre les exigences nécessaires et l’accessibilité pour tous les participants. C’est également le cas des mécanismes de notification pour les bénéficiaires et les agences nationales (</w:t>
      </w:r>
      <w:r>
        <w:rPr>
          <w:rFonts w:ascii="Times New Roman" w:hAnsi="Times New Roman"/>
          <w:b/>
        </w:rPr>
        <w:t>paragraphes 36 et 43</w:t>
      </w:r>
      <w:r>
        <w:rPr>
          <w:rFonts w:ascii="Times New Roman" w:hAnsi="Times New Roman"/>
        </w:rPr>
        <w:t>).</w:t>
      </w:r>
      <w:r>
        <w:rPr>
          <w:rFonts w:ascii="Times New Roman" w:hAnsi="Times New Roman"/>
          <w:color w:val="000000" w:themeColor="text1"/>
        </w:rPr>
        <w:t xml:space="preserve"> </w:t>
      </w:r>
      <w:r>
        <w:rPr>
          <w:rFonts w:ascii="Times New Roman" w:hAnsi="Times New Roman"/>
        </w:rPr>
        <w:t>Les exigences en matière de rapports sont proportionnelles à la taille et à la complexité du projet et au nombre d’éléments livrables. Le guide à l’intention des agences nationales définit clairement à quoi il faut s’attendre en ce qui concerne les informations relatives au programme. Il donne également des instructions claires sur la notification des résultats de l’octroi de subventions aux demandeurs et la publication ex post des résultats, afin de garantir la transparence et d’éviter les incohérences.</w:t>
      </w:r>
    </w:p>
    <w:p w14:paraId="20E312B5" w14:textId="1E64BAD0" w:rsidR="00F8049D" w:rsidRPr="00E66CE1" w:rsidRDefault="00E66CE1" w:rsidP="00206C89">
      <w:pPr>
        <w:spacing w:after="120"/>
        <w:rPr>
          <w:rFonts w:ascii="Times New Roman" w:hAnsi="Times New Roman"/>
          <w:b/>
          <w:bCs/>
          <w:color w:val="000000"/>
        </w:rPr>
      </w:pPr>
      <w:r>
        <w:rPr>
          <w:rFonts w:ascii="Times New Roman" w:hAnsi="Times New Roman"/>
        </w:rPr>
        <w:t>De manière générale, la Commission prend note des considérations budgétaires de la résolution, tout en indiquant qu’on ne peut préjuger du prochain cadre financier pluriannuel (CFP).</w:t>
      </w:r>
    </w:p>
    <w:p w14:paraId="266C74DB" w14:textId="6160EBD2" w:rsidR="00954847" w:rsidRDefault="00077E68" w:rsidP="00206C89">
      <w:pPr>
        <w:shd w:val="clear" w:color="auto" w:fill="FFFFFF" w:themeFill="background1"/>
        <w:spacing w:after="120"/>
        <w:rPr>
          <w:rFonts w:ascii="Times New Roman" w:eastAsia="Calibri" w:hAnsi="Times New Roman"/>
        </w:rPr>
      </w:pPr>
      <w:r>
        <w:rPr>
          <w:rFonts w:ascii="Times New Roman" w:hAnsi="Times New Roman"/>
        </w:rPr>
        <w:t>En ce qui concerne les difficultés de reconnaissance pour les participants à la mobilité dans l’enseignement supérieur (</w:t>
      </w:r>
      <w:r>
        <w:rPr>
          <w:rFonts w:ascii="Times New Roman" w:hAnsi="Times New Roman"/>
          <w:b/>
          <w:bCs/>
        </w:rPr>
        <w:t>paragraphe 31</w:t>
      </w:r>
      <w:r>
        <w:rPr>
          <w:rFonts w:ascii="Times New Roman" w:hAnsi="Times New Roman"/>
        </w:rPr>
        <w:t>), la Commission souligne que la reconnaissance automatique des crédits des périodes de mobilité est un principe clé de la charte Erasmus pour l’enseignement supérieur</w:t>
      </w:r>
      <w:r w:rsidR="007B74C2">
        <w:rPr>
          <w:rStyle w:val="FootnoteReference"/>
          <w:rFonts w:ascii="Times New Roman" w:eastAsia="Calibri" w:hAnsi="Times New Roman"/>
        </w:rPr>
        <w:footnoteReference w:id="2"/>
      </w:r>
      <w:r>
        <w:rPr>
          <w:rFonts w:ascii="Times New Roman" w:hAnsi="Times New Roman"/>
        </w:rPr>
        <w:t>, l’adhésion à celle-ci étant une condition préalable à la participation des établissements d’enseignement supérieur au programme Erasmus+. Les agences nationales Erasmus+ sont invitées à suivre attentivement cet aspect de la charte. Le rapport de la Commission au Conseil de février 2023 sur l’état d’avancement de la mise en œuvre de la recommandation du Conseil relative à la promotion de la reconnaissance mutuelle automatique</w:t>
      </w:r>
      <w:r w:rsidR="007B74C2">
        <w:rPr>
          <w:rStyle w:val="FootnoteReference"/>
          <w:rFonts w:ascii="Times New Roman" w:hAnsi="Times New Roman"/>
        </w:rPr>
        <w:footnoteReference w:id="3"/>
      </w:r>
      <w:r>
        <w:rPr>
          <w:rFonts w:ascii="Times New Roman" w:hAnsi="Times New Roman"/>
        </w:rPr>
        <w:t xml:space="preserve"> montre que 84,4 % des étudiants Erasmus+ en mobilité à des fins d’études depuis des pays de l’UE vers d’autres pays participant au programme financés au titre de l’appel 2020 ont été pleinement reconnus. En mars 2024, la Commission a présenté un train de mesures pour le </w:t>
      </w:r>
      <w:r>
        <w:rPr>
          <w:rFonts w:ascii="Times New Roman" w:hAnsi="Times New Roman"/>
        </w:rPr>
        <w:lastRenderedPageBreak/>
        <w:t>secteur de l’enseignement supérieur en Europe, qui comprend deux propositions de recommandations du Conseil sur un système européen d’assurance et de reconnaissance de la qualité dans l’enseignement supérieur.</w:t>
      </w:r>
    </w:p>
    <w:p w14:paraId="0F80E370" w14:textId="5CC523C1" w:rsidR="00077E68" w:rsidRPr="00077E68" w:rsidRDefault="00077E68" w:rsidP="00206C89">
      <w:pPr>
        <w:shd w:val="clear" w:color="auto" w:fill="FFFFFF"/>
        <w:spacing w:after="120"/>
        <w:rPr>
          <w:rFonts w:ascii="Times New Roman" w:eastAsia="Calibri" w:hAnsi="Times New Roman"/>
          <w:szCs w:val="24"/>
        </w:rPr>
      </w:pPr>
      <w:r>
        <w:rPr>
          <w:rFonts w:ascii="Times New Roman" w:hAnsi="Times New Roman"/>
        </w:rPr>
        <w:t>Les chiffres mentionnés dans la résolution semblent refléter les résultats d’une enquête menée sur un échantillon beaucoup plus restreint. Toutefois, la Commission s’efforce toujours d’atteindre l’objectif de 100 % de reconnaissance automatique, en utilisant toutes les possibilités possibles (évaluations, suivi, événements, réunions, webinaires) pour exhorter les établissements d’enseignement supérieur à respecter l’engagement pris en la matière dans la charte Erasmus.</w:t>
      </w:r>
    </w:p>
    <w:p w14:paraId="051D0DE4" w14:textId="552DB731" w:rsidR="00077E68" w:rsidRPr="00077E68" w:rsidRDefault="00077E68" w:rsidP="00206C89">
      <w:pPr>
        <w:spacing w:after="120"/>
        <w:rPr>
          <w:rFonts w:ascii="Times New Roman" w:hAnsi="Times New Roman"/>
        </w:rPr>
      </w:pPr>
      <w:r>
        <w:rPr>
          <w:rFonts w:ascii="Times New Roman" w:hAnsi="Times New Roman"/>
        </w:rPr>
        <w:t xml:space="preserve">Le </w:t>
      </w:r>
      <w:r>
        <w:rPr>
          <w:rFonts w:ascii="Times New Roman" w:hAnsi="Times New Roman"/>
          <w:b/>
          <w:bCs/>
        </w:rPr>
        <w:t>paragraphe 32</w:t>
      </w:r>
      <w:r>
        <w:rPr>
          <w:rFonts w:ascii="Times New Roman" w:hAnsi="Times New Roman"/>
        </w:rPr>
        <w:t xml:space="preserve"> fait référence à un «manque d’incitations à la mise en place de partenariats entre les écoles et les organisations à but non lucratif». En ce qui concerne la mobilité à des fins d’apprentissage avec Erasmus+, le programme fournit un cadre pour la coopération des écoles avec des organisations à but non lucratif et d’autres organisations d’experts pour trouver des possibilités de mobilité.</w:t>
      </w:r>
      <w:r>
        <w:rPr>
          <w:rFonts w:ascii="Times New Roman" w:hAnsi="Times New Roman"/>
          <w:color w:val="000000"/>
          <w:shd w:val="clear" w:color="auto" w:fill="FFFFFF"/>
        </w:rPr>
        <w:t xml:space="preserve"> Cette coopération doit toujours se faire sans but lucratif et être bénéfique pour l’école et la qualité de son projet, de sorte que les activités de mobilité contribuent au développement stratégique de l’école. En outre, la Commission apporte un soutien direct aux écoles à la recherche de possibilités de mobilité, notamment au moyen d’un outil spécifique en ligne de recherche de partenaires et d’un financement pour des activités de coopération transnationale, telles que des ateliers et des séminaires de recherche de partenaires. </w:t>
      </w:r>
      <w:r>
        <w:rPr>
          <w:rFonts w:ascii="Times New Roman" w:hAnsi="Times New Roman"/>
        </w:rPr>
        <w:t>Le programme Erasmus+ encourage également la coopération intersectorielle au moyen de partenariats de coopération.</w:t>
      </w:r>
      <w:r>
        <w:rPr>
          <w:rFonts w:ascii="Times New Roman" w:hAnsi="Times New Roman"/>
          <w:color w:val="000000"/>
        </w:rPr>
        <w:t xml:space="preserve"> Il existe des partenariats de petite taille et des partenariats de coopération permettant aux écoles de coopérer avec des organisations à but non lucratif, le secteur privé, les universités et toutes les autres organisations actives dans les domaines de l’éducation, de la formation et du marché du travail.</w:t>
      </w:r>
    </w:p>
    <w:p w14:paraId="46AAA145" w14:textId="4599AF79" w:rsidR="00077E68" w:rsidRDefault="1CF56E53" w:rsidP="00206C89">
      <w:pPr>
        <w:spacing w:after="120"/>
        <w:rPr>
          <w:rFonts w:ascii="Times New Roman" w:hAnsi="Times New Roman"/>
        </w:rPr>
      </w:pPr>
      <w:r>
        <w:rPr>
          <w:rFonts w:ascii="Times New Roman" w:hAnsi="Times New Roman"/>
        </w:rPr>
        <w:t>Les partenariats de petite taille ont été mis en place en 2021. Ils visent à attirer les nouveaux arrivants, les organisations moins expérimentées et les petits acteurs et à élargir l’accès au programme pour ces catégories. Ils sont particulièrement aptes à réunir des écoles et des organisations à but non lucratif. Les objectifs de l’action comprennent l’amélioration de la qualité du travail et des pratiques des organisations et institutions concernées et le renforcement de la capacité des organisations à travailler à l’échelle transnationale et intersectorielle. Le mécanisme de financement des partenariats de coopération, fondé sur des montants forfaitaires, vise à réduire la charge administrative pesant sur les organisations participantes, à faciliter l’accès à l’action et à les aider à se concentrer sur les résultats de leur coopération.</w:t>
      </w:r>
    </w:p>
    <w:p w14:paraId="6EE24D2A" w14:textId="773ABC4A" w:rsidR="00077E68" w:rsidRDefault="1CF56E53" w:rsidP="00206C89">
      <w:pPr>
        <w:pStyle w:val="NormalWeb"/>
        <w:shd w:val="clear" w:color="auto" w:fill="FFFFFF" w:themeFill="background1"/>
        <w:spacing w:before="0" w:beforeAutospacing="0" w:after="120" w:afterAutospacing="0"/>
        <w:jc w:val="both"/>
        <w:rPr>
          <w:rStyle w:val="Strong"/>
          <w:b w:val="0"/>
          <w:color w:val="000000"/>
        </w:rPr>
      </w:pPr>
      <w:r>
        <w:t>En ce qui concerne la reconnaissance de l’enseignement et de la formation professionnels (EFP) en tant que voie de même valeur que les études universitaires (paragraphe 33), la Commission s’emploie à accroître l’attrait de l’EFP au moyen de nombreuses initiatives.</w:t>
      </w:r>
      <w:r>
        <w:rPr>
          <w:color w:val="000000" w:themeColor="text1"/>
        </w:rPr>
        <w:t xml:space="preserve"> La Semaine européenne des compétences professionnelles, qui s’est tenue en octobre 2023, visait à mettre en lumière les possibilités offertes par l’EFP en matière de carrière et de développement personnel. Une manifestation phare de l’Année européenne des compétences organisée en février 2024</w:t>
      </w:r>
      <w:r w:rsidR="00844C63">
        <w:rPr>
          <w:rStyle w:val="FootnoteReference"/>
          <w:color w:val="000000" w:themeColor="text1"/>
        </w:rPr>
        <w:footnoteReference w:id="4"/>
      </w:r>
      <w:r>
        <w:rPr>
          <w:color w:val="000000" w:themeColor="text1"/>
        </w:rPr>
        <w:t>, qui a attiré environ 400 jeunes, visait à sensibiliser davantage sur l’EFP et à modifier les perceptions de l’EFP, en mettant en avant des champions de WorldSkills et EuroSkills, et en proposant des stands interactifs et des sessions de discussion. En outre, la proposition de recommandation du Conseil sur l’Europe en mouvement</w:t>
      </w:r>
      <w:r w:rsidR="007B74C2">
        <w:rPr>
          <w:rStyle w:val="FootnoteReference"/>
          <w:rFonts w:eastAsia="Calibri"/>
          <w:color w:val="000000" w:themeColor="text1"/>
          <w:lang w:val="en-US"/>
        </w:rPr>
        <w:footnoteReference w:id="5"/>
      </w:r>
      <w:r>
        <w:rPr>
          <w:color w:val="000000" w:themeColor="text1"/>
        </w:rPr>
        <w:t xml:space="preserve">, présentée par la Commission, souligne qu’il importe d’accroître les possibilités de mobilité également dans le secteur de l’EFP et propose de fixer un objectif ambitieux de 15 % d’apprenants mobiles de </w:t>
      </w:r>
      <w:r>
        <w:rPr>
          <w:color w:val="000000" w:themeColor="text1"/>
        </w:rPr>
        <w:lastRenderedPageBreak/>
        <w:t>l’EFP d’ici à 2030 et de contribuer ainsi à mettre l’EFP au même niveau que les études universitaires.</w:t>
      </w:r>
    </w:p>
    <w:p w14:paraId="7740F292" w14:textId="74297CB5" w:rsidR="00077E68" w:rsidRDefault="00077E68" w:rsidP="00206C89">
      <w:pPr>
        <w:pStyle w:val="NormalHanging12a"/>
        <w:spacing w:after="120" w:line="240" w:lineRule="auto"/>
        <w:ind w:left="0" w:firstLine="0"/>
        <w:jc w:val="both"/>
        <w:rPr>
          <w:rFonts w:ascii="Times New Roman" w:hAnsi="Times New Roman"/>
          <w:color w:val="000000"/>
        </w:rPr>
      </w:pPr>
      <w:r>
        <w:rPr>
          <w:rFonts w:ascii="Times New Roman" w:hAnsi="Times New Roman"/>
          <w:b/>
        </w:rPr>
        <w:t>La résolution déplore le financement insuffisant des centres d’excellence professionnelle compte tenu de la demande dont ils font l’objet (paragraphe 34).</w:t>
      </w:r>
      <w:r>
        <w:rPr>
          <w:rFonts w:ascii="Times New Roman" w:hAnsi="Times New Roman"/>
        </w:rPr>
        <w:t xml:space="preserve"> En effet, il convient de noter qu’Erasmus+ soutient un large éventail d’actions qui rencontrent un grand succès, et dont la demande dépasse les limites de financement. Les centres d’excellence professionnelle sont devenus une action à succès. Le nombre élevé de candidatures est dû aux demandes de l’industrie, aux progrès technologiques et à la nécessité permanente d’investir dans les programmes d’études, la formation du personnel et les infrastructures. La concurrence intense peut faire en sorte que seules les propositions des meilleurs projets sont sélectionnées. En outre, les propositions de projets qui ne sont pas sélectionnées en vue d’un financement dans le cadre de l’appel relatif aux centres d’excellence professionnelle et qui obtiennent une note élevée peuvent être financées par d’autres programmes de financement au titre du label d’excellence. </w:t>
      </w:r>
      <w:r>
        <w:rPr>
          <w:rFonts w:ascii="Times New Roman" w:hAnsi="Times New Roman"/>
          <w:color w:val="000000" w:themeColor="text1"/>
        </w:rPr>
        <w:t>Les États membres peuvent également compléter le financement de l’excellence en matière d’EFP au moyen d’autres financements disponibles de l’UE, tels que les fonds de la politique de cohésion ou la facilité pour la reprise et la résilience.</w:t>
      </w:r>
    </w:p>
    <w:p w14:paraId="5792DC5C" w14:textId="496CE17E" w:rsidR="00367403" w:rsidRPr="00077E68" w:rsidRDefault="00077E68" w:rsidP="00206C89">
      <w:pPr>
        <w:pStyle w:val="paragraph"/>
        <w:spacing w:before="0" w:beforeAutospacing="0" w:after="120" w:afterAutospacing="0"/>
        <w:jc w:val="both"/>
        <w:textAlignment w:val="baseline"/>
      </w:pPr>
      <w:r>
        <w:t>En ce qui concerne le faible taux de participation à l’éducation des adultes (</w:t>
      </w:r>
      <w:r>
        <w:rPr>
          <w:b/>
          <w:bCs/>
        </w:rPr>
        <w:t>paragraphe 35</w:t>
      </w:r>
      <w:r>
        <w:t>), il convient de noter que l’action visant à soutenir les possibilités de mobilité pour les apprenants adultes n’a été introduite dans le programme Erasmus+ qu’en 2021.</w:t>
      </w:r>
      <w:r>
        <w:rPr>
          <w:rStyle w:val="normaltextrun"/>
        </w:rPr>
        <w:t xml:space="preserve"> Dans ce contexte, les efforts de promotion de ces nouvelles activités ont dû se dérouler rapidement et sont toujours en cours de développement, tandis que le secteur a besoin de temps pour s’adapter à ces nouvelles possibilités. La pandémie de COVID-19 a ralenti le déploiement, qui a également été entravé par le manque de capacités de nombreuses organisations d’éducation des adultes. La Commission, en collaboration avec les agences nationales, a mis en place des mesures de mise en œuvre spécifiques pour aider les organisations d’éducation des adultes à participer aux activités de mobilité. Bien que ces mesures aient besoin de temps pour produire des effets mesurables, les résultats préliminaires de l’appel 2023 indiquent une tendance positive à l’adoption des possibilités de mobilité pour les apprenants adultes.</w:t>
      </w:r>
    </w:p>
    <w:p w14:paraId="5831739C" w14:textId="711376F6" w:rsidR="00367403" w:rsidRPr="00E66CE1" w:rsidRDefault="00987CE0" w:rsidP="00206C89">
      <w:pPr>
        <w:spacing w:after="120"/>
        <w:rPr>
          <w:rFonts w:ascii="Times New Roman" w:hAnsi="Times New Roman"/>
          <w:szCs w:val="24"/>
        </w:rPr>
      </w:pPr>
      <w:r>
        <w:rPr>
          <w:rFonts w:ascii="Times New Roman" w:hAnsi="Times New Roman"/>
          <w:color w:val="000000"/>
        </w:rPr>
        <w:t>L’augmentation de la participation des adultes à l’apprentissage est une priorité de l’UE, conformément à l’objectif de l’UE en matière de compétences pour 2030, salué par les dirigeants de l’UE et le Conseil en 2021</w:t>
      </w:r>
      <w:r w:rsidR="00B012BD">
        <w:rPr>
          <w:rStyle w:val="FootnoteReference"/>
          <w:rFonts w:ascii="Times New Roman" w:eastAsia="Calibri" w:hAnsi="Times New Roman"/>
          <w:color w:val="000000"/>
          <w:szCs w:val="24"/>
          <w:lang w:val="en-US"/>
        </w:rPr>
        <w:footnoteReference w:id="6"/>
      </w:r>
      <w:r>
        <w:rPr>
          <w:rFonts w:ascii="Times New Roman" w:hAnsi="Times New Roman"/>
          <w:color w:val="000000"/>
        </w:rPr>
        <w:t xml:space="preserve"> (au moins 60 % des adultes devraient participer à des formations chaque année). Les actions de l’UE à cette fin comprennent les recommandations du Conseil de 2022 sur les comptes de formation individuels et un cadre européen commun pour les microcertifications</w:t>
      </w:r>
      <w:r w:rsidR="009F7419">
        <w:rPr>
          <w:rStyle w:val="FootnoteReference"/>
          <w:rFonts w:ascii="Times New Roman" w:eastAsia="Calibri" w:hAnsi="Times New Roman"/>
          <w:color w:val="000000"/>
          <w:szCs w:val="24"/>
          <w:lang w:val="en-US"/>
        </w:rPr>
        <w:footnoteReference w:id="7"/>
      </w:r>
      <w:r>
        <w:rPr>
          <w:rFonts w:ascii="Times New Roman" w:hAnsi="Times New Roman"/>
          <w:color w:val="000000"/>
        </w:rPr>
        <w:t>, le pacte pour les compétences, qui a donné lieu jusqu’à présent à 20 partenariats à grande échelle dans tous les écosystèmes industriels stratégiques de l’UE (deux millions de personnes reconverties au cours des deux premières années), et la recommandation du Conseil de 2016 relative à des parcours de renforcement des compétences</w:t>
      </w:r>
      <w:r w:rsidR="009F7419">
        <w:rPr>
          <w:rStyle w:val="FootnoteReference"/>
          <w:rFonts w:ascii="Times New Roman" w:eastAsia="Calibri" w:hAnsi="Times New Roman"/>
          <w:color w:val="000000"/>
          <w:szCs w:val="24"/>
          <w:lang w:val="en-US"/>
        </w:rPr>
        <w:footnoteReference w:id="8"/>
      </w:r>
      <w:r>
        <w:rPr>
          <w:rFonts w:ascii="Times New Roman" w:hAnsi="Times New Roman"/>
          <w:color w:val="000000"/>
        </w:rPr>
        <w:t>. Le budget de l’UE pour la période 2021-2027, en particulier par l’intermédiaire du Fonds social européen+, et la facilité pour la reprise et la résilience allouent ensemble quelque 65 milliards d’euros aux activités d’éducation, de formation ainsi qu’aux activités liées aux compétences. Ces fonds peuvent également inclure la mobilité des apprenants, en plus des possibilités offertes par Erasmus+.</w:t>
      </w:r>
    </w:p>
    <w:p w14:paraId="31A3132F" w14:textId="2EE28411" w:rsidR="00B57A1C" w:rsidRPr="00077E68" w:rsidRDefault="00A6637C" w:rsidP="00206C89">
      <w:pPr>
        <w:spacing w:after="120"/>
        <w:rPr>
          <w:rFonts w:ascii="Times New Roman" w:hAnsi="Times New Roman"/>
          <w:szCs w:val="24"/>
        </w:rPr>
      </w:pPr>
      <w:r>
        <w:rPr>
          <w:rFonts w:ascii="Times New Roman" w:hAnsi="Times New Roman"/>
        </w:rPr>
        <w:t>En ce qui concerne les taux de réussite des subventions de fonctionnement centralisées pour les jeunes (</w:t>
      </w:r>
      <w:r>
        <w:rPr>
          <w:rFonts w:ascii="Times New Roman" w:hAnsi="Times New Roman"/>
          <w:b/>
          <w:bCs/>
        </w:rPr>
        <w:t>paragraphe 37</w:t>
      </w:r>
      <w:r>
        <w:rPr>
          <w:rFonts w:ascii="Times New Roman" w:hAnsi="Times New Roman"/>
        </w:rPr>
        <w:t>) et «Les jeunes Européens ensemble» (</w:t>
      </w:r>
      <w:r>
        <w:rPr>
          <w:rFonts w:ascii="Times New Roman" w:hAnsi="Times New Roman"/>
          <w:b/>
          <w:bCs/>
        </w:rPr>
        <w:t>paragraphe 38</w:t>
      </w:r>
      <w:r>
        <w:rPr>
          <w:rFonts w:ascii="Times New Roman" w:hAnsi="Times New Roman"/>
        </w:rPr>
        <w:t xml:space="preserve">), le programme Erasmus+ soutient les organisations de jeunesse par différents moyens, par exemple les subventions de fonctionnement de la coopération avec la société civile (CSC) dans le domaine </w:t>
      </w:r>
      <w:r>
        <w:rPr>
          <w:rFonts w:ascii="Times New Roman" w:hAnsi="Times New Roman"/>
        </w:rPr>
        <w:lastRenderedPageBreak/>
        <w:t>de la jeunesse. Le budget alloué à cette action n’a cessé d’augmenter ces dernières années. Pour aider le secteur à se redresser après la pandémie de COVID-19, en 2020, la Commission a alloué 7 millions d’euros à l’appel Erasmus+ concernant la CSC dans le domaine des subventions de fonctionnement pour la jeunesse, couvrant à la fois 2020 et 2021. En 2022, la dotation annuelle de l’appel a été portée à 4 millions d’EUR, tandis que les montants des subventions ont été ajustés pour tenir compte de l’augmentation réelle des coûts des organisations financées. Conformément à cet ajustement nécessaire, le taux de réussite est tombé à 32 % en 2022 (au cours des années précédentes, le taux de réussite était de 79 % pour les accords-cadres de partenariat et de 36 % pour les subventions de fonctionnement annuelles), tout en restant à un niveau comparable à celui des autres actions. En 2023, l’enveloppe budgétaire a été doublée, passant à 8 millions d’euros, répondant ainsi aux préoccupations des associations de jeunesse en ce qui concerne l’augmentation de l’inflation et les difficultés financières qui en découlent. Par conséquent, il a été possible de financer le même nombre de bénéficiaires que dans le cadre financier pluriannuel précédent, à savoir 74 conventions de subvention spécifiques. En 2024, 8 millions d’EUR ont été à nouveau consacrés à cette action.</w:t>
      </w:r>
    </w:p>
    <w:p w14:paraId="1F75612F" w14:textId="6ECBA84A" w:rsidR="00B57A1C" w:rsidRPr="00077E68" w:rsidRDefault="00B57A1C" w:rsidP="00206C89">
      <w:pPr>
        <w:spacing w:after="120"/>
        <w:rPr>
          <w:rFonts w:ascii="Times New Roman" w:eastAsia="Calibri" w:hAnsi="Times New Roman"/>
          <w:szCs w:val="24"/>
        </w:rPr>
      </w:pPr>
      <w:r>
        <w:rPr>
          <w:rFonts w:ascii="Times New Roman" w:hAnsi="Times New Roman"/>
        </w:rPr>
        <w:t>Les projets relevant de l’initiative «Les jeunes Européens ensemble»</w:t>
      </w:r>
      <w:r w:rsidR="005B4869">
        <w:rPr>
          <w:rStyle w:val="FootnoteReference"/>
          <w:rFonts w:ascii="Times New Roman" w:eastAsia="Calibri" w:hAnsi="Times New Roman"/>
          <w:szCs w:val="24"/>
          <w:lang w:val="en-US"/>
        </w:rPr>
        <w:footnoteReference w:id="9"/>
      </w:r>
      <w:r>
        <w:rPr>
          <w:rFonts w:ascii="Times New Roman" w:hAnsi="Times New Roman"/>
        </w:rPr>
        <w:t xml:space="preserve"> visent à créer des réseaux promouvant les partenariats régionaux, qui seront gérés en étroite coopération avec des jeunes de toute l’Europe. La Commission a fait davantage de sensibilisation en raison de la baisse des candidatures pendant la pandémie et a activement encouragé l’appel, en informant les candidats potentiels et en mettant en avant les bonnes pratiques. En conséquence, le nombre de demandeurs est passé de 47 en 2022 à 71 en 2023. Cette tendance devrait se poursuivre lors de l’appel de 2024, qui dispose d’un budget stable de 8 millions d’euros.</w:t>
      </w:r>
    </w:p>
    <w:p w14:paraId="6D474F85" w14:textId="0A9B4406" w:rsidR="00B57A1C" w:rsidRPr="00077E68" w:rsidRDefault="004A69E1" w:rsidP="00206C89">
      <w:pPr>
        <w:spacing w:after="120"/>
        <w:rPr>
          <w:rFonts w:ascii="Times New Roman" w:eastAsia="Arial" w:hAnsi="Times New Roman"/>
        </w:rPr>
      </w:pPr>
      <w:r>
        <w:rPr>
          <w:rFonts w:ascii="Times New Roman" w:hAnsi="Times New Roman"/>
        </w:rPr>
        <w:t xml:space="preserve">Le budget consacré au sport (paragraphe 39) est encadré par l’article 17 du règlement Erasmus+, qui prévoit un budget de 1,9 % du budget total pour ce domaine. Dans ce cadre et avec les fonds alloués au sport, le programme soutient un large éventail d’activités, en s’efforçant d’optimiser les ressources données pour avoir un effet significatif dans le secteur du sport. Dans l’ensemble, on observe une popularité croissante et un nombre croissant de demandes pour les actions sportives. </w:t>
      </w:r>
    </w:p>
    <w:p w14:paraId="0F430091" w14:textId="72E4F9A6" w:rsidR="00F92EAF" w:rsidRPr="00956D51" w:rsidRDefault="00F92EAF" w:rsidP="00206C89">
      <w:pPr>
        <w:spacing w:after="120"/>
        <w:rPr>
          <w:rFonts w:ascii="Arial" w:hAnsi="Arial" w:cs="Arial"/>
        </w:rPr>
      </w:pPr>
      <w:r>
        <w:rPr>
          <w:rFonts w:ascii="Times New Roman" w:hAnsi="Times New Roman"/>
        </w:rPr>
        <w:t>En ce qui concerne les questions de développement informatique (paragraphes 40 et 41, paragraphes 49 à 51), des progrès significatifs ont été accomplis en 2023. La Commission a également lancé des actions spécifiques visant à améliorer la stabilité et les performances des infrastructures ainsi que la qualité des données et a mis en place des fonctionnalités spécifiques pour simplifier et accélérer l’encodage des données. La Commission s’est engagée à rendre de plus en plus de données disponibles par l’intermédiaire de services d’échange de données et est en contact permanent avec les agences nationales afin d’améliorer l’échange de données.</w:t>
      </w:r>
    </w:p>
    <w:p w14:paraId="52D0DF8D" w14:textId="7A4DFBAA" w:rsidR="00367403" w:rsidRPr="00B012BD" w:rsidRDefault="00367403" w:rsidP="00206C89">
      <w:pPr>
        <w:spacing w:after="120"/>
        <w:rPr>
          <w:rFonts w:ascii="Times New Roman" w:eastAsia="Calibri" w:hAnsi="Times New Roman"/>
          <w:szCs w:val="24"/>
        </w:rPr>
      </w:pPr>
      <w:r>
        <w:rPr>
          <w:rFonts w:ascii="Times New Roman" w:hAnsi="Times New Roman"/>
        </w:rPr>
        <w:t xml:space="preserve">La Commission a entamé des discussions avec les agences nationales afin de faire le point sur l’incidence de l’intelligence artificielle (IA) pour la soumission des projets et sur l’utilisation de l’IA dans leur travail quotidien, comme le demande le </w:t>
      </w:r>
      <w:r>
        <w:rPr>
          <w:rFonts w:ascii="Times New Roman" w:hAnsi="Times New Roman"/>
          <w:b/>
          <w:bCs/>
        </w:rPr>
        <w:t>paragraphe 42</w:t>
      </w:r>
      <w:r>
        <w:rPr>
          <w:rFonts w:ascii="Times New Roman" w:hAnsi="Times New Roman"/>
        </w:rPr>
        <w:t>. Cette question prend de plus en plus d’importance et certaines agences nationales travaillent déjà à l’élaboration d’outils/mécanismes permettant de détecter les fraudes dans les propositions de projets. Il est essentiel d’avoir une approche commune entre les agences nationales sur la manière de gérer ce type de fraude, qui doit être suffisamment souple pour être en phase avec les différentes législations nationales et européennes. La Commission collabore avec les agences nationales sur la meilleure manière de les soutenir, par exemple en leur fournissant des lignes directrices ou des outils qui pourraient les aider à détecter d’éventuelles fraudes et, plus généralement, à développer leurs capacités en matière d’utilisation de l’IA.</w:t>
      </w:r>
    </w:p>
    <w:p w14:paraId="583465D2" w14:textId="4A749A5D" w:rsidR="00367403" w:rsidRPr="00077E68" w:rsidRDefault="00C0208B" w:rsidP="00206C89">
      <w:pPr>
        <w:spacing w:after="120"/>
        <w:rPr>
          <w:rFonts w:ascii="Times New Roman" w:eastAsia="Calibri" w:hAnsi="Times New Roman"/>
          <w:szCs w:val="24"/>
        </w:rPr>
      </w:pPr>
      <w:r>
        <w:rPr>
          <w:rFonts w:ascii="Times New Roman" w:hAnsi="Times New Roman"/>
        </w:rPr>
        <w:lastRenderedPageBreak/>
        <w:t>En ce qui concerne une éventuelle pénurie de professionnels et de volontaires pour mettre en œuvre le programme (</w:t>
      </w:r>
      <w:r>
        <w:rPr>
          <w:rFonts w:ascii="Times New Roman" w:hAnsi="Times New Roman"/>
          <w:b/>
          <w:bCs/>
        </w:rPr>
        <w:t>paragraphe 44</w:t>
      </w:r>
      <w:r>
        <w:rPr>
          <w:rFonts w:ascii="Times New Roman" w:hAnsi="Times New Roman"/>
        </w:rPr>
        <w:t>), le document de travail des services de la Commission accompagnant la proposition de recommandation du Conseil «L’Europe en mouvement» — Des possibilités de mobilité à des fins d’éducation et de formation offertes à tous, du 15 novembre 2023 [SWD(2023) 719]</w:t>
      </w:r>
      <w:r w:rsidR="009F7419">
        <w:rPr>
          <w:rStyle w:val="FootnoteReference"/>
          <w:rFonts w:ascii="Times New Roman" w:eastAsia="Calibri" w:hAnsi="Times New Roman"/>
          <w:szCs w:val="24"/>
        </w:rPr>
        <w:footnoteReference w:id="10"/>
      </w:r>
      <w:r>
        <w:rPr>
          <w:rFonts w:ascii="Times New Roman" w:hAnsi="Times New Roman"/>
        </w:rPr>
        <w:t>, souligne en effet que «</w:t>
      </w:r>
      <w:r>
        <w:rPr>
          <w:rFonts w:ascii="Times New Roman" w:hAnsi="Times New Roman"/>
          <w:i/>
        </w:rPr>
        <w:t>les agences nationales et les bénéficiaires d’Erasmus+ signalent que le personnel travaillant sur des projets et activités de mobilité le fait souvent sur une base volontaire, sans rémunération et devant parfois justifier ses activités, plutôt que d’être reconnu pour les exécuter</w:t>
      </w:r>
      <w:r>
        <w:rPr>
          <w:rFonts w:ascii="Times New Roman" w:hAnsi="Times New Roman"/>
        </w:rPr>
        <w:t>».</w:t>
      </w:r>
    </w:p>
    <w:p w14:paraId="5BA0FCEA" w14:textId="5CF9726B" w:rsidR="00367403" w:rsidRPr="00077E68" w:rsidRDefault="00367403" w:rsidP="00206C89">
      <w:pPr>
        <w:spacing w:after="120"/>
        <w:rPr>
          <w:rFonts w:ascii="Times New Roman" w:eastAsia="Calibri" w:hAnsi="Times New Roman"/>
          <w:szCs w:val="24"/>
        </w:rPr>
      </w:pPr>
      <w:r>
        <w:rPr>
          <w:rFonts w:ascii="Times New Roman" w:hAnsi="Times New Roman"/>
        </w:rPr>
        <w:t>Le document souligne que cela est d’autant plus notable dans les secteurs de l’éducation des adultes, de la jeunesse et de l’animation socio-éducative, où de nombreuses organisations ne disposent pas d’un financement stable et structurel et dépendent du personnel bénévole et des animateurs socio-éducatifs dans des conditions variables. Il suggère que deux changements sont nécessaires pour améliorer la situation: modifier la culture sur le lieu de travail et l’état d’esprit des équipes de gestion afin de mieux valoriser les activités de mobilité à des fins d’apprentissage et, par extension, les travaux nécessaires à leur mise en œuvre, et créer, étendre et promouvoir l’utilisation de mécanismes réglementaires pour la reconnaissance formelle du travail relatif à l’organisation de la mobilité à des fins d’apprentissage en tant que tâche professionnelle valable qui tient compte des quotas d’heures de travail et des exigences en matière de progression de carrière pour les enseignants, formateurs et animateurs de jeunesse.</w:t>
      </w:r>
    </w:p>
    <w:p w14:paraId="78C2A57B" w14:textId="3F212856" w:rsidR="006600A8" w:rsidRDefault="00A04711" w:rsidP="00206C89">
      <w:pPr>
        <w:spacing w:after="120"/>
        <w:rPr>
          <w:rFonts w:ascii="Times New Roman" w:hAnsi="Times New Roman"/>
        </w:rPr>
      </w:pPr>
      <w:r>
        <w:rPr>
          <w:rFonts w:ascii="Times New Roman" w:hAnsi="Times New Roman"/>
        </w:rPr>
        <w:t>En ce qui concerne l’amélioration de l’actuel programme Erasmus+ et la conception du futur programme Erasmus+ (</w:t>
      </w:r>
      <w:r>
        <w:rPr>
          <w:rFonts w:ascii="Times New Roman" w:hAnsi="Times New Roman"/>
          <w:b/>
          <w:bCs/>
        </w:rPr>
        <w:t>paragraphes 45 à 120</w:t>
      </w:r>
      <w:r>
        <w:rPr>
          <w:rFonts w:ascii="Times New Roman" w:hAnsi="Times New Roman"/>
        </w:rPr>
        <w:t>), la Commission alimentera son évaluation actuelle en présentant, en temps utile, les demandes d’amélioration du programme actuel contenues dans la résolution, ainsi que les idées pour le programme qui lui succédera après 2027. Certains de ces points font déjà l’objet d’actions spécifiques que la Commission développe ci-dessous.</w:t>
      </w:r>
    </w:p>
    <w:p w14:paraId="4C6F760C" w14:textId="1248BF90" w:rsidR="00521A6B" w:rsidRPr="00A04711" w:rsidRDefault="00B256D1" w:rsidP="00206C89">
      <w:pPr>
        <w:spacing w:after="120"/>
        <w:rPr>
          <w:rFonts w:ascii="Times New Roman" w:eastAsia="Calibri" w:hAnsi="Times New Roman"/>
        </w:rPr>
      </w:pPr>
      <w:r>
        <w:rPr>
          <w:rFonts w:ascii="Times New Roman" w:hAnsi="Times New Roman"/>
        </w:rPr>
        <w:t xml:space="preserve">La simplification, comme souligné aux </w:t>
      </w:r>
      <w:r>
        <w:rPr>
          <w:rFonts w:ascii="Times New Roman" w:hAnsi="Times New Roman"/>
          <w:b/>
          <w:bCs/>
        </w:rPr>
        <w:t>paragraphes 55 à 57</w:t>
      </w:r>
      <w:r>
        <w:rPr>
          <w:rFonts w:ascii="Times New Roman" w:hAnsi="Times New Roman"/>
        </w:rPr>
        <w:t>, reste un objectif clé. La Commission collabore avec les agences nationales et l’agence exécutive pour étudier la simplification des documents administratifs, des procédures de demande et des procédures d’établissement de rapports, tout en gardant toujours à l’esprit la nécessité de maintenir un juste équilibre entre les obligations en matière de rapports et les règles en matière de responsabilité.</w:t>
      </w:r>
    </w:p>
    <w:p w14:paraId="50138420" w14:textId="76261C70" w:rsidR="00B256D1" w:rsidRPr="00A04711" w:rsidRDefault="00521A6B" w:rsidP="00206C89">
      <w:pPr>
        <w:spacing w:after="120"/>
        <w:rPr>
          <w:rFonts w:ascii="Times New Roman" w:eastAsia="Calibri" w:hAnsi="Times New Roman"/>
        </w:rPr>
      </w:pPr>
      <w:r>
        <w:rPr>
          <w:rFonts w:ascii="Times New Roman" w:hAnsi="Times New Roman"/>
        </w:rPr>
        <w:t>La Commission a également introduit de nouvelles mesures administratives, telles que des montants supplémentaires et forfaitaires, afin d’éviter de créer de nouveaux obstacles administratifs pour les bénéficiaires (paragraphe 114).</w:t>
      </w:r>
    </w:p>
    <w:p w14:paraId="1C6EFA91" w14:textId="4E5FEAF4" w:rsidR="00B256D1" w:rsidRPr="00346837" w:rsidRDefault="00B256D1" w:rsidP="00206C89">
      <w:pPr>
        <w:spacing w:after="120"/>
        <w:rPr>
          <w:rFonts w:ascii="Calibri" w:eastAsia="Calibri" w:hAnsi="Calibri" w:cs="Calibri"/>
        </w:rPr>
      </w:pPr>
      <w:r>
        <w:rPr>
          <w:rFonts w:ascii="Times New Roman" w:hAnsi="Times New Roman"/>
        </w:rPr>
        <w:t>Une autre amélioration importante et immédiate est l’intensification des efforts déployés par la Commission en 2023 pour accélérer l’adoption des procédures administratives numériques en vue de réaliser un «Erasmus sans papier»</w:t>
      </w:r>
      <w:r w:rsidR="005B4869">
        <w:rPr>
          <w:rStyle w:val="FootnoteReference"/>
          <w:rFonts w:ascii="Times New Roman" w:hAnsi="Times New Roman"/>
        </w:rPr>
        <w:footnoteReference w:id="11"/>
      </w:r>
      <w:r>
        <w:rPr>
          <w:rFonts w:ascii="Times New Roman" w:hAnsi="Times New Roman"/>
        </w:rPr>
        <w:t xml:space="preserve"> et de mettre en œuvre la «carte d’étudiant européenne»</w:t>
      </w:r>
      <w:r w:rsidR="005B4869">
        <w:rPr>
          <w:rStyle w:val="FootnoteReference"/>
          <w:rFonts w:ascii="Times New Roman" w:hAnsi="Times New Roman"/>
        </w:rPr>
        <w:footnoteReference w:id="12"/>
      </w:r>
      <w:r>
        <w:rPr>
          <w:rFonts w:ascii="Times New Roman" w:hAnsi="Times New Roman"/>
        </w:rPr>
        <w:t xml:space="preserve"> (</w:t>
      </w:r>
      <w:r>
        <w:rPr>
          <w:rFonts w:ascii="Times New Roman" w:hAnsi="Times New Roman"/>
          <w:b/>
        </w:rPr>
        <w:t>paragraphe 64</w:t>
      </w:r>
      <w:r>
        <w:rPr>
          <w:rFonts w:ascii="Times New Roman" w:hAnsi="Times New Roman"/>
        </w:rPr>
        <w:t xml:space="preserve">). Les actions entreprises comprennent la mise sur pied d’ateliers techniques, la publication de nouveaux documents d’orientation et des consultations plus actives avec les parties prenantes. Ces mesures ont permis de réaliser des progrès significatifs. Plus de 2,3 millions de cartes d’étudiants européennes ont été délivrées et plus de 3 000 établissements sont aujourd’hui connectés au réseau «Erasmus without Paper», contre 2 600 en 2022. Au début de l’année 2024, plus de 350 000 accords interinstitutionnels et pédagogiques numériques Erasmus+ avaient été conclus avec succès. Le nombre de contrats pédagogiques numériques pour l’année universitaire en cours a déjà dépassé de plus de 30 000 les résultats de l’année universitaire précédente. Les exigences techniques et commerciales </w:t>
      </w:r>
      <w:r>
        <w:rPr>
          <w:rFonts w:ascii="Times New Roman" w:hAnsi="Times New Roman"/>
        </w:rPr>
        <w:lastRenderedPageBreak/>
        <w:t>élaborées conjointement avec la communauté des bénéficiaires et des développeurs de logiciels devraient être concrétisées en 2024. Il en va de même pour l’expansion des services numériques dans d’autres secteurs de l’éducation et de la formation.</w:t>
      </w:r>
    </w:p>
    <w:p w14:paraId="329C6174" w14:textId="650BEB65" w:rsidR="007D4CA9" w:rsidRPr="00077E68" w:rsidRDefault="007D4CA9" w:rsidP="00206C89">
      <w:pPr>
        <w:spacing w:after="120"/>
        <w:rPr>
          <w:rFonts w:ascii="Times New Roman" w:hAnsi="Times New Roman"/>
          <w:szCs w:val="24"/>
        </w:rPr>
      </w:pPr>
      <w:r>
        <w:rPr>
          <w:rFonts w:ascii="Times New Roman" w:hAnsi="Times New Roman"/>
        </w:rPr>
        <w:t>La résolution invite la Commission et les États membres à contribuer à résoudre les problèmes d’hébergement des étudiants des projets de mobilité Erasmus+ (</w:t>
      </w:r>
      <w:r>
        <w:rPr>
          <w:rFonts w:ascii="Times New Roman" w:hAnsi="Times New Roman"/>
          <w:b/>
          <w:bCs/>
        </w:rPr>
        <w:t>paragraphe 67</w:t>
      </w:r>
      <w:r>
        <w:rPr>
          <w:rFonts w:ascii="Times New Roman" w:hAnsi="Times New Roman"/>
        </w:rPr>
        <w:t>). Bien que les politiques d’hébergement des étudiants mobiles ne relèvent pas de la compétence de la Commission, la charte Erasmus pour l’enseignement supérieur contient des recommandations à l’intention des agences nationales et des établissements d’enseignement supérieur afin d’aider les étudiants à trouver un logement approprié. Ces recommandations sont répétées lors de chaque rencontre avec les parties prenantes. La Commission s’emploie également à apporter un soutien aux étudiants par l’intermédiaire de l’application Erasmus+, et le réseau des étudiants Erasmus est également actif dans ce domaine.</w:t>
      </w:r>
    </w:p>
    <w:p w14:paraId="57D5796A" w14:textId="007D0616" w:rsidR="0061098E" w:rsidRDefault="0061098E" w:rsidP="00206C89">
      <w:pPr>
        <w:spacing w:after="120"/>
        <w:rPr>
          <w:rFonts w:ascii="Times New Roman" w:hAnsi="Times New Roman"/>
        </w:rPr>
      </w:pPr>
      <w:r>
        <w:rPr>
          <w:rFonts w:ascii="Times New Roman" w:hAnsi="Times New Roman"/>
        </w:rPr>
        <w:t>L’initiative «universités européennes» (</w:t>
      </w:r>
      <w:r>
        <w:rPr>
          <w:rFonts w:ascii="Times New Roman" w:hAnsi="Times New Roman"/>
          <w:b/>
          <w:bCs/>
        </w:rPr>
        <w:t>paragraphes 68 et 69</w:t>
      </w:r>
      <w:r>
        <w:rPr>
          <w:rFonts w:ascii="Times New Roman" w:hAnsi="Times New Roman"/>
        </w:rPr>
        <w:t>) a démontré son potentiel pour changer la donne dans la mise en œuvre de la stratégie européenne pour les universités. Les alliances entre universités européennes</w:t>
      </w:r>
      <w:r w:rsidR="00DC6E10">
        <w:rPr>
          <w:rStyle w:val="FootnoteReference"/>
          <w:rFonts w:ascii="Times New Roman" w:hAnsi="Times New Roman"/>
        </w:rPr>
        <w:footnoteReference w:id="13"/>
      </w:r>
      <w:r>
        <w:rPr>
          <w:rFonts w:ascii="Times New Roman" w:hAnsi="Times New Roman"/>
        </w:rPr>
        <w:t xml:space="preserve"> renforcent l’intensité et la portée de la coopération transnationale. E</w:t>
      </w:r>
      <w:r w:rsidR="00981A01">
        <w:rPr>
          <w:rFonts w:ascii="Times New Roman" w:hAnsi="Times New Roman"/>
        </w:rPr>
        <w:t>l</w:t>
      </w:r>
      <w:r>
        <w:rPr>
          <w:rFonts w:ascii="Times New Roman" w:hAnsi="Times New Roman"/>
        </w:rPr>
        <w:t>les mettent actuellement en place des campus interuniversitaires européens offrant des possibilités de mobilité fluide et un enseignement et un apprentissage innovants permettant de doter les étudiants de compétences à l’épreuve du temps.</w:t>
      </w:r>
    </w:p>
    <w:p w14:paraId="068FA80A" w14:textId="17EDC886" w:rsidR="00C16F46" w:rsidRDefault="47D1C426" w:rsidP="00206C89">
      <w:pPr>
        <w:spacing w:after="120"/>
        <w:rPr>
          <w:rFonts w:ascii="Times New Roman" w:hAnsi="Times New Roman"/>
        </w:rPr>
      </w:pPr>
      <w:r>
        <w:rPr>
          <w:rFonts w:ascii="Times New Roman" w:hAnsi="Times New Roman"/>
        </w:rPr>
        <w:t xml:space="preserve">Les alliances élaborent ensemble des programmes communs, des microcertifications communes, des programmes intensifs mixtes et de multiples autres formes de coopération afin de mettre en commun leur potentiel en matière d’éducation et de recherche dans le but de doter les étudiants et les apprenants tout au long de la vie des aptitudes et des compétences dont l’Europe a besoin, y compris dans les domaines stratégiques dans lesquels l’Europe doit améliorer son autonomie. </w:t>
      </w:r>
    </w:p>
    <w:p w14:paraId="05028D51" w14:textId="5F2B56D7" w:rsidR="009C387C" w:rsidRDefault="0061098E" w:rsidP="00206C89">
      <w:pPr>
        <w:spacing w:after="120"/>
        <w:rPr>
          <w:rFonts w:ascii="Times New Roman" w:hAnsi="Times New Roman"/>
        </w:rPr>
      </w:pPr>
      <w:r>
        <w:rPr>
          <w:rFonts w:ascii="Times New Roman" w:hAnsi="Times New Roman"/>
        </w:rPr>
        <w:t xml:space="preserve">Comme annoncé dans la stratégie européenne pour les universités, la Commission consulte les parties prenantes et les États membres sur une trajectoire d’investissement pour les universités européennes afin d’apporter un soutien continu aux alliances au cours de la période 2028-2034, en complétant la dimension éducative par un soutien dans toutes les missions des alliances et en supprimant les cloisonnements entre l’éducation, la recherche et l’innovation, tout en créant des synergies avec les financements nationaux et régionaux, ainsi qu’avec d’autres instruments de l’UE. Parallèlement au parcours d’investissement, la Commission consulte également les alliances, le secteur de l’enseignement supérieur et les États membres sur un cadre de suivi de l’initiative «universités européennes». Cette consultation permettra de recueillir des données essentielles en vue du financement de la période 2028-2034. </w:t>
      </w:r>
    </w:p>
    <w:p w14:paraId="7D8FB5C5" w14:textId="2F4A2663" w:rsidR="00B2ADFF" w:rsidRPr="000F148A" w:rsidRDefault="00010261" w:rsidP="00206C89">
      <w:pPr>
        <w:spacing w:after="120"/>
        <w:rPr>
          <w:rFonts w:ascii="Times New Roman" w:hAnsi="Times New Roman"/>
          <w:b/>
          <w:bCs/>
        </w:rPr>
      </w:pPr>
      <w:r>
        <w:rPr>
          <w:rFonts w:ascii="Times New Roman" w:hAnsi="Times New Roman"/>
        </w:rPr>
        <w:t>Combler l’écart entre les hommes et les femmes dans l’enseignement des sciences, des technologies, de l’ingénierie, des arts et des mathématiques (STIAM) et des arts est l’une des priorités qui est également encouragée dans le cadre du programme (</w:t>
      </w:r>
      <w:r>
        <w:rPr>
          <w:rFonts w:ascii="Times New Roman" w:hAnsi="Times New Roman"/>
          <w:b/>
        </w:rPr>
        <w:t>paragraphe 70</w:t>
      </w:r>
      <w:r>
        <w:rPr>
          <w:rFonts w:ascii="Times New Roman" w:hAnsi="Times New Roman"/>
        </w:rPr>
        <w:t>). Dans l’ensemble du programme Erasmus+, les femmes représentent la majorité des participants. Par exemple, pour l’appel Erasmus+ 2022, la part des femmes participantes était de 59,4 % (pour l’ensemble des actions et des domaines) et, d’une manière générale, la part moyenne a augmenté au cours des dix dernières années. Dans le cadre des partenariats de coopération, la Commission accorde la priorité au financement de projets visant à promouvoir les filles et les femmes dans les domaines des STIM. L’appel 2024 concernant les expérimentations de politiques européennes Erasmus+ donne également la priorité au renforcement de l’équilibre entre les hommes et les femmes dans les études et les professions liées aux TIC et aux technologies vertes.</w:t>
      </w:r>
    </w:p>
    <w:p w14:paraId="36D1290F" w14:textId="623267E8" w:rsidR="002A4626" w:rsidRPr="00CB5B50" w:rsidRDefault="002A4626" w:rsidP="00206C89">
      <w:pPr>
        <w:spacing w:after="120"/>
        <w:rPr>
          <w:rFonts w:ascii="Times New Roman" w:hAnsi="Times New Roman"/>
        </w:rPr>
      </w:pPr>
      <w:r>
        <w:rPr>
          <w:rFonts w:ascii="Times New Roman" w:hAnsi="Times New Roman"/>
        </w:rPr>
        <w:lastRenderedPageBreak/>
        <w:t>En ce qui concerne la transition numérique dans le programme (</w:t>
      </w:r>
      <w:r>
        <w:rPr>
          <w:rFonts w:ascii="Times New Roman" w:hAnsi="Times New Roman"/>
          <w:b/>
          <w:bCs/>
        </w:rPr>
        <w:t>paragraphes 71 à 73</w:t>
      </w:r>
      <w:r>
        <w:rPr>
          <w:rFonts w:ascii="Times New Roman" w:hAnsi="Times New Roman"/>
        </w:rPr>
        <w:t>), la Commission élabore actuellement une stratégie de mise en œuvre de la priorité numérique d’Erasmus+ (et du corps européen de solidarité). La stratégie abordera tous les secteurs et orientera les agences nationales et l’Agence exécutive européenne pour l’éducation et la culture (EACEA), ainsi que les bénéficiaires, dans la mise en œuvre de projets portant sur la priorité numérique. Cette stratégie portera également sur l’amélioration de la qualité et du caractère inclusif des projets au moyen de différents outils numériques et de l’apprentissage virtuel ou mixte.</w:t>
      </w:r>
      <w:r w:rsidRPr="00981A01">
        <w:rPr>
          <w:rFonts w:ascii="Times New Roman" w:hAnsi="Times New Roman"/>
        </w:rPr>
        <w:t xml:space="preserve"> En outre, ces programmes contribuent aux efforts visant à atteindre les objectifs de l’UE en matière de développement des compétences numériques en synergie avec d’autres financements de l’UE, par exemple le programme pour une Europe numérique, Horizon Europe, le Fonds social européen plus, la facilité pour la reprise et la résilience, le Fonds pour une transition juste ou le Fonds européen de développement régional.</w:t>
      </w:r>
      <w:r>
        <w:rPr>
          <w:rFonts w:ascii="Times New Roman" w:hAnsi="Times New Roman"/>
        </w:rPr>
        <w:t xml:space="preserve"> Ces programmes se complètent sur le plan de leur portée afin d’obtenir un impact plus important.</w:t>
      </w:r>
    </w:p>
    <w:p w14:paraId="1120F06E" w14:textId="7329C6D4" w:rsidR="002A4626" w:rsidRPr="002A4626" w:rsidRDefault="002A4626" w:rsidP="00206C89">
      <w:pPr>
        <w:spacing w:after="120"/>
        <w:rPr>
          <w:rStyle w:val="eop"/>
          <w:rFonts w:ascii="Times New Roman" w:hAnsi="Times New Roman"/>
          <w:color w:val="000000" w:themeColor="text1"/>
          <w:szCs w:val="24"/>
          <w:shd w:val="clear" w:color="auto" w:fill="FFFFFF"/>
        </w:rPr>
      </w:pPr>
      <w:r>
        <w:rPr>
          <w:rStyle w:val="normaltextrun"/>
          <w:rFonts w:ascii="Times New Roman" w:hAnsi="Times New Roman"/>
          <w:color w:val="000000" w:themeColor="text1"/>
          <w:shd w:val="clear" w:color="auto" w:fill="FFFFFF"/>
        </w:rPr>
        <w:t>La plateforme européenne pour l’éducation scolaire (ESEP)</w:t>
      </w:r>
      <w:r w:rsidR="00DC6E10">
        <w:rPr>
          <w:rStyle w:val="FootnoteReference"/>
          <w:rFonts w:ascii="Times New Roman" w:hAnsi="Times New Roman"/>
          <w:color w:val="000000" w:themeColor="text1"/>
          <w:szCs w:val="24"/>
          <w:shd w:val="clear" w:color="auto" w:fill="FFFFFF"/>
        </w:rPr>
        <w:footnoteReference w:id="14"/>
      </w:r>
      <w:r>
        <w:rPr>
          <w:rStyle w:val="normaltextrun"/>
          <w:rFonts w:ascii="Times New Roman" w:hAnsi="Times New Roman"/>
          <w:color w:val="000000" w:themeColor="text1"/>
          <w:shd w:val="clear" w:color="auto" w:fill="FFFFFF"/>
        </w:rPr>
        <w:t>, qui combine eTwinning et l’ancien portail scolaire européen sur une plateforme intégrée unique (</w:t>
      </w:r>
      <w:r>
        <w:rPr>
          <w:rStyle w:val="normaltextrun"/>
          <w:rFonts w:ascii="Times New Roman" w:hAnsi="Times New Roman"/>
          <w:b/>
          <w:color w:val="000000" w:themeColor="text1"/>
          <w:shd w:val="clear" w:color="auto" w:fill="FFFFFF"/>
        </w:rPr>
        <w:t>paragraphe 74</w:t>
      </w:r>
      <w:r>
        <w:rPr>
          <w:rStyle w:val="normaltextrun"/>
          <w:rFonts w:ascii="Times New Roman" w:hAnsi="Times New Roman"/>
          <w:color w:val="000000" w:themeColor="text1"/>
          <w:shd w:val="clear" w:color="auto" w:fill="FFFFFF"/>
        </w:rPr>
        <w:t>), propose des informations sur les possibilités offertes par Erasmus+, notamment au moyen d’outils pratiques (catalogue de cours, possibilités de mobilité et recherche de partenaires) pour aider les écoles à préparer leurs candidatures Erasmus+.</w:t>
      </w:r>
    </w:p>
    <w:p w14:paraId="5BA86D2A" w14:textId="09D8540C" w:rsidR="00B57A1C" w:rsidRPr="00077E68" w:rsidRDefault="003D4398" w:rsidP="00206C89">
      <w:pPr>
        <w:spacing w:after="120"/>
        <w:rPr>
          <w:rFonts w:ascii="Times New Roman" w:hAnsi="Times New Roman"/>
        </w:rPr>
      </w:pPr>
      <w:r w:rsidRPr="00981A01">
        <w:rPr>
          <w:rStyle w:val="normaltextrun"/>
          <w:rFonts w:ascii="Times New Roman" w:hAnsi="Times New Roman"/>
          <w:color w:val="000000" w:themeColor="text1"/>
          <w:shd w:val="clear" w:color="auto" w:fill="FFFFFF"/>
        </w:rPr>
        <w:t>Afin de promouvoir une meilleure compréhension de l’UE, tant dans le domaine de l’enseignement général que dans celui de la formation professionnelle (</w:t>
      </w:r>
      <w:r w:rsidRPr="00981A01">
        <w:rPr>
          <w:rStyle w:val="normaltextrun"/>
          <w:rFonts w:ascii="Times New Roman" w:hAnsi="Times New Roman"/>
          <w:b/>
          <w:bCs/>
          <w:color w:val="000000" w:themeColor="text1"/>
          <w:shd w:val="clear" w:color="auto" w:fill="FFFFFF"/>
        </w:rPr>
        <w:t>paragraphe 75</w:t>
      </w:r>
      <w:r w:rsidRPr="00981A01">
        <w:rPr>
          <w:rStyle w:val="normaltextrun"/>
          <w:rFonts w:ascii="Times New Roman" w:hAnsi="Times New Roman"/>
          <w:color w:val="000000" w:themeColor="text1"/>
          <w:shd w:val="clear" w:color="auto" w:fill="FFFFFF"/>
        </w:rPr>
        <w:t>), les actions Jean Monnet Erasmus+ dans ces secteurs (formation des enseignants et</w:t>
      </w:r>
      <w:r>
        <w:t xml:space="preserve"> </w:t>
      </w:r>
      <w:hyperlink r:id="rId8" w:history="1">
        <w:r>
          <w:rPr>
            <w:rFonts w:ascii="Times New Roman" w:hAnsi="Times New Roman"/>
          </w:rPr>
          <w:t>initiatives d’apprentissage de l’UE</w:t>
        </w:r>
      </w:hyperlink>
      <w:r w:rsidR="00B46FCC" w:rsidRPr="28C796F8">
        <w:rPr>
          <w:rStyle w:val="FootnoteReference"/>
          <w:rFonts w:ascii="Times New Roman" w:hAnsi="Times New Roman"/>
        </w:rPr>
        <w:footnoteReference w:id="15"/>
      </w:r>
      <w:r>
        <w:t>)</w:t>
      </w:r>
      <w:r w:rsidRPr="00981A01">
        <w:rPr>
          <w:rStyle w:val="normaltextrun"/>
          <w:rFonts w:ascii="Times New Roman" w:hAnsi="Times New Roman"/>
          <w:color w:val="000000" w:themeColor="text1"/>
          <w:shd w:val="clear" w:color="auto" w:fill="FFFFFF"/>
        </w:rPr>
        <w:t>fournissent aux établissements de formation des enseignants, aux écoles et aux enseignants un cofinancement pour développer d’autres compétences et ressources visant à contribuer à la dimension européenne de l’enseignement à l’école.</w:t>
      </w:r>
      <w:r>
        <w:rPr>
          <w:rFonts w:ascii="Times New Roman" w:hAnsi="Times New Roman"/>
        </w:rPr>
        <w:t xml:space="preserve"> Le programme Erasmus+ offre des possibilités de développement professionnel aux enseignants grâce à des périodes de mobilité à des fins d’apprentissage à l’étranger (cours, observation en situation de travail ou missions d’enseignement). Outre ces possibilités de mobilité, un appel à propositions d’expérimentation de politiques a été lancé dans le cadre d’Erasmus+ en 2024. Cet appel devrait encourager les approches innovantes à l’égard des obstacles structurels à la mobilité des enseignants à des fins d’apprentissage, par exemple en garantissant la présence d’enseignants de substitution pendant les périodes de mobilité à des fins d’apprentissage.</w:t>
      </w:r>
    </w:p>
    <w:p w14:paraId="6E83D0DC" w14:textId="1EE1F092" w:rsidR="00B57A1C" w:rsidRPr="00077E68" w:rsidRDefault="003D4398" w:rsidP="00206C89">
      <w:pPr>
        <w:spacing w:after="120"/>
        <w:rPr>
          <w:rFonts w:ascii="Times New Roman" w:hAnsi="Times New Roman"/>
        </w:rPr>
      </w:pPr>
      <w:r>
        <w:rPr>
          <w:rFonts w:ascii="Times New Roman" w:hAnsi="Times New Roman"/>
        </w:rPr>
        <w:t xml:space="preserve">En novembre 2023, la Commission a présenté une proposition de recommandation du Conseil intitulée </w:t>
      </w:r>
      <w:r>
        <w:rPr>
          <w:rFonts w:ascii="Times New Roman" w:hAnsi="Times New Roman"/>
          <w:i/>
        </w:rPr>
        <w:t>«L’Europe en mouvement» - Des possibilités de mobilité à des fins d’éducation et de formation offertes à tous</w:t>
      </w:r>
      <w:r>
        <w:rPr>
          <w:rFonts w:ascii="Times New Roman" w:hAnsi="Times New Roman"/>
        </w:rPr>
        <w:t xml:space="preserve"> (dans le cadre du train de mesures sur la mobilité des talents). Le Conseil a adopté la recommandation le 13 mai 2024. Avec le soutien sans réserve des États membres dans la phase de mise en œuvre, cet élément fondamental de l’espace européen de l’éducation contribuera à faire des possibilités de mobilité à des fins d’apprentissage une réalité pour tous en supprimant les obstacles structurels à la mise en œuvre de la mobilité à des fins d’éducation et de formation des apprenants et du personnel dans tous les secteurs de l’éducation et de la formation. Il donnera également un coup d’accélérateur particulier à la mobilité à des fins d’apprentissage pour les enseignants au moyen d’un cadre d’action spécifique.</w:t>
      </w:r>
    </w:p>
    <w:p w14:paraId="3399D711" w14:textId="7BCC336D" w:rsidR="00B57A1C" w:rsidRPr="00077E68" w:rsidRDefault="007D4CA9" w:rsidP="00206C89">
      <w:pPr>
        <w:spacing w:after="120"/>
        <w:rPr>
          <w:rFonts w:ascii="Times New Roman" w:hAnsi="Times New Roman"/>
          <w:szCs w:val="24"/>
        </w:rPr>
      </w:pPr>
      <w:r>
        <w:rPr>
          <w:rFonts w:ascii="Times New Roman" w:hAnsi="Times New Roman"/>
        </w:rPr>
        <w:t>En ce qui concerne les possibilités de financement pour les écoles (</w:t>
      </w:r>
      <w:r>
        <w:rPr>
          <w:rFonts w:ascii="Times New Roman" w:hAnsi="Times New Roman"/>
          <w:b/>
        </w:rPr>
        <w:t>paragraphes 77 et 78</w:t>
      </w:r>
      <w:r>
        <w:rPr>
          <w:rFonts w:ascii="Times New Roman" w:hAnsi="Times New Roman"/>
        </w:rPr>
        <w:t>), la Commission note que la demande dans le secteur de l’enseignement scolaire augmente en effet à un rythme très rapide. Compte tenu de la forte motivation du secteur, un financement supplémentaire permettrait d’avoir un effet systémique sur l’enseignement scolaire européen, conformément aux objectifs de l’espace européen de l’éducation.</w:t>
      </w:r>
    </w:p>
    <w:p w14:paraId="380976BD" w14:textId="30EA7976" w:rsidR="00B57A1C" w:rsidRPr="009873BE" w:rsidRDefault="00B57A1C" w:rsidP="00206C89">
      <w:pPr>
        <w:spacing w:after="120"/>
        <w:rPr>
          <w:rFonts w:ascii="Times New Roman" w:hAnsi="Times New Roman"/>
          <w:szCs w:val="24"/>
        </w:rPr>
      </w:pPr>
      <w:r>
        <w:rPr>
          <w:rFonts w:ascii="Times New Roman" w:hAnsi="Times New Roman"/>
        </w:rPr>
        <w:lastRenderedPageBreak/>
        <w:t>La Commission reste déterminée à collaborer avec les agences nationales, les écoles, les autorités scolaires (nationales, régionales et locales) et toutes les autres parties prenantes intéressées afin de garantir le rayonnement le plus vaste possible d’Erasmus+ dans les limites budgétaires. Dans ce contexte, il est particulièrement important d’apporter de nouvelles améliorations au format du projet de consortium. Les limitations budgétaires actuelles ne permettent pas d’exploiter pleinement le potentiel de l’accréditation Erasmus+ dans le secteur scolaire, par exemple en ce qui concerne l’inclusion et l’accessibilité, grâce à un budget plus élevé disponible au titre de cet objectif spécifique, dans les limites des ressources allouées au programme.</w:t>
      </w:r>
    </w:p>
    <w:p w14:paraId="77085F03" w14:textId="7DC9B2A8" w:rsidR="00B6535F" w:rsidRDefault="00B6535F" w:rsidP="00206C89">
      <w:pPr>
        <w:pStyle w:val="ListBullet"/>
        <w:numPr>
          <w:ilvl w:val="0"/>
          <w:numId w:val="0"/>
        </w:numPr>
        <w:tabs>
          <w:tab w:val="left" w:pos="720"/>
        </w:tabs>
        <w:spacing w:after="120"/>
        <w:rPr>
          <w:rFonts w:ascii="Times New Roman" w:hAnsi="Times New Roman"/>
          <w:color w:val="000000"/>
        </w:rPr>
      </w:pPr>
      <w:r>
        <w:rPr>
          <w:rFonts w:ascii="Times New Roman" w:hAnsi="Times New Roman"/>
        </w:rPr>
        <w:t>Les conclusions du Conseil sur la contribution de l’éducation et de la formation au renforcement des valeurs européennes communes et de la citoyenneté démocratique</w:t>
      </w:r>
      <w:r w:rsidR="00FD4DAB" w:rsidRPr="00B2ADFF">
        <w:rPr>
          <w:rStyle w:val="FootnoteReference"/>
          <w:rFonts w:ascii="Times New Roman" w:hAnsi="Times New Roman"/>
        </w:rPr>
        <w:footnoteReference w:id="16"/>
      </w:r>
      <w:r>
        <w:rPr>
          <w:rFonts w:ascii="Times New Roman" w:hAnsi="Times New Roman"/>
        </w:rPr>
        <w:t>, adoptées en novembre 2023, et la communication intitulée «Pas de place pour la haine: une Europe unie contre toute forme de haine»</w:t>
      </w:r>
      <w:r w:rsidR="00DC6E10">
        <w:rPr>
          <w:rStyle w:val="FootnoteReference"/>
          <w:rFonts w:ascii="Times New Roman" w:hAnsi="Times New Roman"/>
        </w:rPr>
        <w:footnoteReference w:id="17"/>
      </w:r>
      <w:r>
        <w:rPr>
          <w:rFonts w:ascii="Times New Roman" w:hAnsi="Times New Roman"/>
        </w:rPr>
        <w:t xml:space="preserve"> de la Commission et du haut représentant de l’Union pour les affaires étrangères et la politique de sécurité soulignent la contribution d’Erasmus+ au soutien des priorités en la matière. La Commission a proposé d’augmenter en 2024 le financement de la coopération avec l’Unesco dans le domaine de la lutte contre l’antisémitisme, le racisme, la haine antimusulmane et les discours haineux par l’éducation (</w:t>
      </w:r>
      <w:r>
        <w:rPr>
          <w:rFonts w:ascii="Times New Roman" w:hAnsi="Times New Roman"/>
          <w:b/>
        </w:rPr>
        <w:t>paragraphes 79 et 80</w:t>
      </w:r>
      <w:r>
        <w:rPr>
          <w:rFonts w:ascii="Times New Roman" w:hAnsi="Times New Roman"/>
        </w:rPr>
        <w:t>).</w:t>
      </w:r>
    </w:p>
    <w:p w14:paraId="52B41F71" w14:textId="58F8959A" w:rsidR="00434AE8" w:rsidRDefault="00434AE8" w:rsidP="00206C89">
      <w:pPr>
        <w:pStyle w:val="ListBullet"/>
        <w:numPr>
          <w:ilvl w:val="0"/>
          <w:numId w:val="0"/>
        </w:numPr>
        <w:tabs>
          <w:tab w:val="left" w:pos="720"/>
        </w:tabs>
        <w:spacing w:after="120"/>
        <w:rPr>
          <w:rFonts w:ascii="Times New Roman" w:hAnsi="Times New Roman"/>
        </w:rPr>
      </w:pPr>
      <w:r>
        <w:rPr>
          <w:rFonts w:ascii="Times New Roman" w:hAnsi="Times New Roman"/>
        </w:rPr>
        <w:t>Le programme soutient un grand nombre de projets axés sur la lutte contre le harcèlement et l’amélioration de l’environnement non discriminatoire (</w:t>
      </w:r>
      <w:r>
        <w:rPr>
          <w:rFonts w:ascii="Times New Roman" w:hAnsi="Times New Roman"/>
          <w:b/>
        </w:rPr>
        <w:t>paragraphe 81</w:t>
      </w:r>
      <w:r>
        <w:rPr>
          <w:rFonts w:ascii="Times New Roman" w:hAnsi="Times New Roman"/>
        </w:rPr>
        <w:t>). L’appel spécial en faveur d’expérimentations de politiques organisé cette année comprend, dans le domaine de l’éducation scolaire, dans le cadre de l’initiative «Passeport pour la réussite scolaire», une sous-priorité consistant à mettre en place une approche systémique et globale de la santé mentale et du bien-être dans les écoles en Europe, visant à renforcer les capacités des écoles en matière de bien-être et de santé mentale. Une telle stratégie devrait mettre fortement l’accent sur la prévention, conjuguée, le cas échéant, à des mesures d’intervention, être fondée sur des données probantes et combiner des mesures universelles avec des dispositions ciblées et/ou individualisées pour les apprenants nécessitant une attention supplémentaire. Elle devrait être multidimensionnelle et multisectorielle (coopération entre la santé, l’éducation, la protection sociale et la protection de l’enfance).</w:t>
      </w:r>
    </w:p>
    <w:p w14:paraId="50F751AD" w14:textId="1752DCC1" w:rsidR="00434AE8" w:rsidRDefault="00B6535F" w:rsidP="00206C89">
      <w:pPr>
        <w:spacing w:after="120"/>
        <w:rPr>
          <w:rFonts w:ascii="Times New Roman" w:hAnsi="Times New Roman"/>
        </w:rPr>
      </w:pPr>
      <w:r>
        <w:rPr>
          <w:rFonts w:ascii="Times New Roman" w:hAnsi="Times New Roman"/>
          <w:color w:val="000000" w:themeColor="text1"/>
        </w:rPr>
        <w:t>Le soutien à l’engagement civique et aux valeurs de l’UE est un élément central du programme Erasmus+ (</w:t>
      </w:r>
      <w:r>
        <w:rPr>
          <w:rFonts w:ascii="Times New Roman" w:hAnsi="Times New Roman"/>
          <w:b/>
          <w:color w:val="000000" w:themeColor="text1"/>
        </w:rPr>
        <w:t>paragraphes 82, 83 et 118</w:t>
      </w:r>
      <w:r>
        <w:rPr>
          <w:rFonts w:ascii="Times New Roman" w:hAnsi="Times New Roman"/>
          <w:color w:val="000000" w:themeColor="text1"/>
        </w:rPr>
        <w:t xml:space="preserve">) en raison de son incidence sur les participants. </w:t>
      </w:r>
      <w:r>
        <w:rPr>
          <w:rFonts w:ascii="Times New Roman" w:hAnsi="Times New Roman"/>
        </w:rPr>
        <w:t xml:space="preserve">82 % des participants aux activités de mobilité à des fins d’apprentissage déclarent se sentir plus européens et 72 % sont plus intéressés par les sujets européens après leur expérience de mobilité dans des projets qui ont encouragé l’engagement civique et les valeurs de l’UE. Plus précisément, 27 % des projets de coopération soutenus au titre d’Erasmus+ en 2022 ont soutenu la participation démocratique et les valeurs communes, pour un montant total de 340 millions d’euros sous la forme de subventions. </w:t>
      </w:r>
      <w:r>
        <w:rPr>
          <w:rFonts w:ascii="Times New Roman" w:hAnsi="Times New Roman"/>
          <w:color w:val="000000" w:themeColor="text1"/>
        </w:rPr>
        <w:t xml:space="preserve">En outre, Erasmus+ soutient des actions spécifiques dotées d’une forte composante d’éducation à la citoyenneté, telles que les activités de participation des jeunes ou le dialogue de l’UE en faveur de la jeunesse, les actions Jean Monnet ou les académies Erasmus+ des enseignants. </w:t>
      </w:r>
      <w:r>
        <w:rPr>
          <w:rFonts w:ascii="Times New Roman" w:hAnsi="Times New Roman"/>
        </w:rPr>
        <w:t xml:space="preserve">De plus, toute une série d’instruments ont été mis au point dans le cadre de la mise en œuvre du programme afin de garantir à la fois la promotion et le respect des valeurs de l’UE. Le respect des valeurs européennes est un principe fondamental du programme que tous les bénéficiaires, accrédités ou non, doivent respecter. La Commission et les agences nationales s’engagent à assurer le suivi de toute situation portant à croire qu’un bénéficiaire donné n’est pas conforme à ces règles. En cas de non-conformité, un éventail complet de mesures correctives est disponible, y compris la résiliation des accréditations et des conventions de subvention. </w:t>
      </w:r>
    </w:p>
    <w:p w14:paraId="2EE31E91" w14:textId="54D02400" w:rsidR="00D52878" w:rsidRPr="00077E68" w:rsidRDefault="00426BA4" w:rsidP="00206C89">
      <w:pPr>
        <w:spacing w:after="120"/>
        <w:rPr>
          <w:rFonts w:ascii="Times New Roman" w:hAnsi="Times New Roman"/>
          <w:szCs w:val="24"/>
        </w:rPr>
      </w:pPr>
      <w:r>
        <w:rPr>
          <w:rFonts w:ascii="Times New Roman" w:hAnsi="Times New Roman"/>
        </w:rPr>
        <w:lastRenderedPageBreak/>
        <w:t>Lorsqu’il a lancé l’</w:t>
      </w:r>
      <w:r>
        <w:rPr>
          <w:rFonts w:ascii="Times New Roman" w:hAnsi="Times New Roman"/>
          <w:b/>
        </w:rPr>
        <w:t>initiative DiscoverEU (paragraphes 84 à 86)</w:t>
      </w:r>
      <w:r>
        <w:rPr>
          <w:rFonts w:ascii="Times New Roman" w:hAnsi="Times New Roman"/>
        </w:rPr>
        <w:t xml:space="preserve"> en 2018, le Parlement européen a choisi de se concentrer sur les jeunes de 18 ans, car cet âge marque une étape majeure vers l’âge adulte et la citoyenneté européenne. </w:t>
      </w:r>
    </w:p>
    <w:p w14:paraId="01109133" w14:textId="7AB42247" w:rsidR="00C0208B" w:rsidRPr="00077E68" w:rsidRDefault="00D52878" w:rsidP="00206C89">
      <w:pPr>
        <w:spacing w:after="120"/>
        <w:rPr>
          <w:rStyle w:val="normaltextrun"/>
          <w:rFonts w:ascii="Times New Roman" w:hAnsi="Times New Roman"/>
          <w:szCs w:val="24"/>
        </w:rPr>
      </w:pPr>
      <w:r>
        <w:rPr>
          <w:rFonts w:ascii="Times New Roman" w:hAnsi="Times New Roman"/>
        </w:rPr>
        <w:t>Les résultats des enquêtes post-voyage montrent que l’action favorise l’identité européenne, la compréhension culturelle, la tolérance et la solidarité parmi les jeunes participants.</w:t>
      </w:r>
      <w:r>
        <w:rPr>
          <w:rStyle w:val="normaltextrun"/>
          <w:rFonts w:ascii="Times New Roman" w:hAnsi="Times New Roman"/>
        </w:rPr>
        <w:t xml:space="preserve"> 80 % ont fait état d’une ouverture accrue au multiculturalisme de l’Europe après leur voyage DiscoverEU. En outre, 83,5 % ont visité des musées et des galeries au cours de leur voyage, tandis que 77,7 % ont exploré des sites du patrimoine culturel. 63 % ont signalé des améliorations dans leurs compétences en langues étrangères.</w:t>
      </w:r>
    </w:p>
    <w:p w14:paraId="1DC031D2" w14:textId="3E3585BB" w:rsidR="00C0208B" w:rsidRPr="00077E68" w:rsidRDefault="00C0208B" w:rsidP="00206C89">
      <w:pPr>
        <w:spacing w:after="120"/>
        <w:rPr>
          <w:rFonts w:ascii="Times New Roman" w:hAnsi="Times New Roman"/>
          <w:szCs w:val="24"/>
        </w:rPr>
      </w:pPr>
      <w:r>
        <w:rPr>
          <w:rStyle w:val="normaltextrun"/>
          <w:rFonts w:ascii="Times New Roman" w:hAnsi="Times New Roman"/>
        </w:rPr>
        <w:t xml:space="preserve">La mise en œuvre du cycle d’apprentissage DiscoverEU par les agences nationales Erasmus+ au niveau national amplifie cette composante d’apprentissage. Le cycle intègre l’organisation de </w:t>
      </w:r>
      <w:r>
        <w:rPr>
          <w:rStyle w:val="normaltextrun"/>
          <w:rFonts w:ascii="Times New Roman" w:hAnsi="Times New Roman"/>
          <w:i/>
        </w:rPr>
        <w:t>rencontres</w:t>
      </w:r>
      <w:r>
        <w:rPr>
          <w:rStyle w:val="normaltextrun"/>
          <w:rFonts w:ascii="Times New Roman" w:hAnsi="Times New Roman"/>
        </w:rPr>
        <w:t xml:space="preserve"> pour les jeunes, qui mettent l’accent sur la compréhension interculturelle et la découverte du patrimoine culturel européen. Le cycle comprend également des réunions d’information préalables au départ des participants et, à partir de 2024, des réunions de retour d’information après le voyage en tant qu’initiative pilote. Enfin, un héritage de l’Année européenne de la jeunesse 2022 et de son initiative phare visant à renforcer la dimension culturelle de DiscoverEU tient au fait que les jeunes voyageurs reçoivent désormais tous une </w:t>
      </w:r>
      <w:r>
        <w:rPr>
          <w:rFonts w:ascii="Times New Roman" w:hAnsi="Times New Roman"/>
        </w:rPr>
        <w:t xml:space="preserve">carte de réduction </w:t>
      </w:r>
      <w:r>
        <w:rPr>
          <w:rStyle w:val="normaltextrun"/>
          <w:rFonts w:ascii="Times New Roman" w:hAnsi="Times New Roman"/>
        </w:rPr>
        <w:t>sur les activités culturelles</w:t>
      </w:r>
      <w:r>
        <w:rPr>
          <w:rFonts w:ascii="Times New Roman" w:hAnsi="Times New Roman"/>
        </w:rPr>
        <w:t>.</w:t>
      </w:r>
      <w:r>
        <w:rPr>
          <w:rStyle w:val="normaltextrun"/>
          <w:rFonts w:ascii="Times New Roman" w:hAnsi="Times New Roman"/>
        </w:rPr>
        <w:t xml:space="preserve"> Ces initiatives renforcent non seulement le sentiment d’appartenance des participants au sein de la communauté DiscoverEU et de l’UE, mais créent également de nouvelles possibilités d’apprentissage.</w:t>
      </w:r>
    </w:p>
    <w:p w14:paraId="2BEDDAA3" w14:textId="611AC3AD" w:rsidR="00C0208B" w:rsidRPr="00077E68" w:rsidRDefault="00C0208B" w:rsidP="00206C89">
      <w:pPr>
        <w:spacing w:after="120"/>
        <w:rPr>
          <w:rFonts w:ascii="Times New Roman" w:hAnsi="Times New Roman"/>
          <w:szCs w:val="24"/>
        </w:rPr>
      </w:pPr>
      <w:r>
        <w:rPr>
          <w:rFonts w:ascii="Times New Roman" w:hAnsi="Times New Roman"/>
        </w:rPr>
        <w:t xml:space="preserve">Afin de donner à tous les jeunes la possibilité de participer, la Commission rend DiscoverEU aussi inclusif que possible. Les jeunes ayant des besoins particuliers peuvent le préciser dans le formulaire de candidature lorsqu’ils introduisent leur candidature sur le portail européen de la jeunesse et peuvent bénéficier d’un soutien </w:t>
      </w:r>
      <w:r>
        <w:rPr>
          <w:rStyle w:val="normaltextrun"/>
          <w:rFonts w:ascii="Times New Roman" w:hAnsi="Times New Roman"/>
        </w:rPr>
        <w:t>supplémentaire</w:t>
      </w:r>
      <w:r>
        <w:rPr>
          <w:rFonts w:ascii="Times New Roman" w:hAnsi="Times New Roman"/>
        </w:rPr>
        <w:t xml:space="preserve"> si nécessaire. </w:t>
      </w:r>
    </w:p>
    <w:p w14:paraId="3CAAED35" w14:textId="12128817" w:rsidR="00C0208B" w:rsidRPr="00077E68" w:rsidRDefault="000F148A" w:rsidP="00206C89">
      <w:pPr>
        <w:spacing w:after="120"/>
        <w:rPr>
          <w:rFonts w:ascii="Times New Roman" w:hAnsi="Times New Roman"/>
          <w:szCs w:val="24"/>
        </w:rPr>
      </w:pPr>
      <w:r>
        <w:rPr>
          <w:rFonts w:ascii="Times New Roman" w:hAnsi="Times New Roman"/>
        </w:rPr>
        <w:t>Depuis 2022, avec le lancement de la nouvelle «action pour l’inclusion» de DiscoverEU</w:t>
      </w:r>
      <w:r w:rsidR="00DC6E10">
        <w:rPr>
          <w:rStyle w:val="FootnoteReference"/>
          <w:rFonts w:ascii="Times New Roman" w:hAnsi="Times New Roman"/>
          <w:szCs w:val="24"/>
        </w:rPr>
        <w:footnoteReference w:id="18"/>
      </w:r>
      <w:r>
        <w:rPr>
          <w:rFonts w:ascii="Times New Roman" w:hAnsi="Times New Roman"/>
        </w:rPr>
        <w:t>, les agences nationales Erasmus+ octroient des subventions à des organisations travaillant avec des jeunes moins favorisés. L’action pour l’inclusion de DiscoverEU permet aux participants de bénéficier d’un soutien supplémentaire lors de leurs déplacements, comme la possibilité d’être accompagnés, de recevoir un budget supplémentaire pour leurs frais de séjour, l’organisation d’activités de mobilité, le tutorat et le soutien à la préparation du voyage. L’objectif est de permettre aux jeunes moins favorisés de participer à DiscoverEU sur un pied d’égalité avec leurs pairs. Au cours des trois premiers cycles de l’action pour l’inclusion de DiscoverEU, plus de 400 projets ont été présentés par les organisations, et les premiers ont débuté en mars 2023.</w:t>
      </w:r>
    </w:p>
    <w:p w14:paraId="67763440" w14:textId="1DC1595D" w:rsidR="00AB7FF0" w:rsidRPr="000F148A" w:rsidRDefault="00C0208B" w:rsidP="00206C89">
      <w:pPr>
        <w:spacing w:after="120"/>
        <w:rPr>
          <w:rFonts w:ascii="Times New Roman" w:hAnsi="Times New Roman"/>
          <w:noProof/>
          <w:color w:val="000000"/>
          <w:szCs w:val="24"/>
        </w:rPr>
      </w:pPr>
      <w:r>
        <w:rPr>
          <w:rFonts w:ascii="Times New Roman" w:hAnsi="Times New Roman"/>
        </w:rPr>
        <w:t xml:space="preserve">Afin de </w:t>
      </w:r>
      <w:r>
        <w:rPr>
          <w:rFonts w:ascii="Times New Roman" w:hAnsi="Times New Roman"/>
          <w:b/>
        </w:rPr>
        <w:t>maintenir et d’exploiter la dynamique et l’expérience de l’Année européenne de la jeunesse</w:t>
      </w:r>
      <w:r>
        <w:rPr>
          <w:rFonts w:ascii="Times New Roman" w:hAnsi="Times New Roman"/>
        </w:rPr>
        <w:t>, y compris les approches relatives aux activités en faveur de la jeunesse dans l’ensemble des programmes de l’UE (</w:t>
      </w:r>
      <w:r>
        <w:rPr>
          <w:rFonts w:ascii="Times New Roman" w:hAnsi="Times New Roman"/>
          <w:b/>
        </w:rPr>
        <w:t>paragraphe 87</w:t>
      </w:r>
      <w:r>
        <w:rPr>
          <w:rFonts w:ascii="Times New Roman" w:hAnsi="Times New Roman"/>
        </w:rPr>
        <w:t>), la Commission a adopté, le 10 janvier 2024, une communication relative à l’Année européenne de la jeunesse</w:t>
      </w:r>
      <w:r w:rsidR="00FD4DAB">
        <w:rPr>
          <w:rStyle w:val="FootnoteReference"/>
          <w:rFonts w:ascii="Times New Roman" w:hAnsi="Times New Roman"/>
          <w:noProof/>
          <w:color w:val="000000"/>
          <w:szCs w:val="24"/>
        </w:rPr>
        <w:footnoteReference w:id="19"/>
      </w:r>
      <w:r>
        <w:rPr>
          <w:rFonts w:ascii="Times New Roman" w:hAnsi="Times New Roman"/>
        </w:rPr>
        <w:t>.</w:t>
      </w:r>
      <w:r>
        <w:rPr>
          <w:rFonts w:ascii="Times New Roman" w:hAnsi="Times New Roman"/>
          <w:color w:val="000000"/>
        </w:rPr>
        <w:t xml:space="preserve"> Cette communication approfondit la dimension «jeunesse» des politiques de l’UE et propose des actions visant directement à répondre aux préoccupations de la jeunesse dans tous les domaines d’action et à donner aux jeunes davantage de poids dans l’élaboration des politiques de l’UE. Lors de l’élaboration des </w:t>
      </w:r>
      <w:r>
        <w:rPr>
          <w:rStyle w:val="normaltextrun"/>
          <w:rFonts w:ascii="Times New Roman" w:hAnsi="Times New Roman"/>
          <w:color w:val="000000"/>
        </w:rPr>
        <w:t>politiques de l’UE</w:t>
      </w:r>
      <w:r>
        <w:rPr>
          <w:rFonts w:ascii="Times New Roman" w:hAnsi="Times New Roman"/>
          <w:color w:val="000000"/>
        </w:rPr>
        <w:t>, la Commission procédera à une «évaluation d’impact du point de vue des jeunes» qui garantira que l’incidence de ces politiques sur les jeunes est systématiquement prise en compte.</w:t>
      </w:r>
      <w:r>
        <w:rPr>
          <w:rStyle w:val="normaltextrun"/>
          <w:rFonts w:ascii="Times New Roman" w:hAnsi="Times New Roman"/>
          <w:color w:val="000000"/>
        </w:rPr>
        <w:t xml:space="preserve"> </w:t>
      </w:r>
      <w:r>
        <w:rPr>
          <w:rStyle w:val="normaltextrun"/>
          <w:rFonts w:ascii="Times New Roman" w:hAnsi="Times New Roman"/>
        </w:rPr>
        <w:t>Le plein potentiel du cadre pour une meilleure réglementation sera mis à profit pour effectuer une évaluation d’impact auprès des jeunes pour toutes les nouvelles initiatives pertinentes mentionnées à l’annexe I du programme de travail annuel de la Commission. L’évaluation d’impact du point de vue des jeunes se déroulera en quatre phases clés décrites dans la communication.</w:t>
      </w:r>
    </w:p>
    <w:p w14:paraId="2A1C8046" w14:textId="2AD27730" w:rsidR="00C0208B" w:rsidRPr="009019CB" w:rsidRDefault="00AB7FF0" w:rsidP="00206C89">
      <w:pPr>
        <w:spacing w:after="120"/>
        <w:rPr>
          <w:rFonts w:ascii="Times New Roman" w:hAnsi="Times New Roman"/>
          <w:szCs w:val="24"/>
        </w:rPr>
      </w:pPr>
      <w:r>
        <w:rPr>
          <w:rFonts w:ascii="Times New Roman" w:hAnsi="Times New Roman"/>
          <w:color w:val="000000"/>
        </w:rPr>
        <w:lastRenderedPageBreak/>
        <w:t xml:space="preserve">En outre, la Commission </w:t>
      </w:r>
      <w:r>
        <w:rPr>
          <w:rStyle w:val="normaltextrun"/>
          <w:rFonts w:ascii="Times New Roman" w:hAnsi="Times New Roman"/>
          <w:color w:val="000000"/>
        </w:rPr>
        <w:t xml:space="preserve">renforcera encore sa capacité interne à travailler avec les jeunes. </w:t>
      </w:r>
      <w:r>
        <w:rPr>
          <w:rStyle w:val="normaltextrun"/>
          <w:rFonts w:ascii="Times New Roman" w:hAnsi="Times New Roman"/>
        </w:rPr>
        <w:t>Sur la base de l’expérience acquise au cours de l’Année, la Commission maintiendra le réseau interne de la Commission pour la jeunesse, avec des correspondants Jeunesse qui forment les points de contact privilégiés dans leurs domaines d’action respectifs pour les questions relatives à la jeunesse et qui contribuent à renforcer la coopération intersectorielle et l’intégration de la jeunesse.</w:t>
      </w:r>
      <w:r>
        <w:rPr>
          <w:rStyle w:val="normaltextrun"/>
          <w:rFonts w:ascii="Times New Roman" w:hAnsi="Times New Roman"/>
          <w:color w:val="000000"/>
        </w:rPr>
        <w:t xml:space="preserve"> Ce réseau, animé par le coordinateur de l’UE pour la jeunesse, permettra d’échanger des informations sur les politiques et les instruments en préparation susceptibles d’avoir une incidence sur les jeunes.</w:t>
      </w:r>
      <w:r>
        <w:rPr>
          <w:rFonts w:ascii="Times New Roman" w:hAnsi="Times New Roman"/>
          <w:color w:val="000000"/>
        </w:rPr>
        <w:t xml:space="preserve"> </w:t>
      </w:r>
      <w:r>
        <w:rPr>
          <w:rStyle w:val="eop"/>
          <w:rFonts w:ascii="Times New Roman" w:hAnsi="Times New Roman"/>
          <w:color w:val="000000"/>
        </w:rPr>
        <w:t>La Commission étudiera la possibilité d’accorder des microsubventions dans le cadre du futur programme Erasmus+. Ces subventions faciles d’accès et de faible valeur ont été testées avec succès par certains coordonnateurs nationaux au cours de l’Année européenne.  Elles offrent aux jeunes un accès facile aux financements pour leur permettre de travailler sur des projets communs et de développer leurs compétences, leur capacité d’action et leur confiance en eux afin qu’ils puissent apporter des changements positifs dans leurs communautés. En outre, les microsubventions constituent un moyen efficace d’attirer l’attention des jeunes et de susciter leur intérêt sur les possibilités que leur offre l’UE</w:t>
      </w:r>
      <w:r>
        <w:rPr>
          <w:rFonts w:ascii="Times New Roman" w:hAnsi="Times New Roman"/>
          <w:color w:val="000000"/>
        </w:rPr>
        <w:t>.</w:t>
      </w:r>
    </w:p>
    <w:p w14:paraId="5A19965A" w14:textId="65D231C6" w:rsidR="00C0208B" w:rsidRPr="00077E68" w:rsidRDefault="00C0208B" w:rsidP="00206C89">
      <w:pPr>
        <w:spacing w:after="120"/>
        <w:rPr>
          <w:rFonts w:ascii="Times New Roman" w:hAnsi="Times New Roman"/>
        </w:rPr>
      </w:pPr>
      <w:r>
        <w:rPr>
          <w:rFonts w:ascii="Times New Roman" w:hAnsi="Times New Roman"/>
          <w:b/>
        </w:rPr>
        <w:t>Les programmes Erasmus+ et le corps européen de solidarité pour la période 2021-2027 sont des instruments clés à l’appui des objectifs et activités de la stratégie de l’UE en faveur de la jeunesse 2019-2027 (paragraphe 88)</w:t>
      </w:r>
      <w:r>
        <w:rPr>
          <w:rFonts w:ascii="Times New Roman" w:hAnsi="Times New Roman"/>
        </w:rPr>
        <w:t>. Il existe déjà des liens et un alignement étroits entre les programmes et les objectifs et activités de la stratégie, par exemple au moyen d’actions nouvelles ou actualisées, telles que les activités de participation des jeunes Erasmus+ et DiscoverEU, qui ont enrichi les possibilités offertes aux jeunes et soutenu leur engagement démocratique, civique, social et humanitaire. Le programme de travail européen sur l’animation socio-éducative dans le cadre de la stratégie de l’UE en faveur de la jeunesse guide le soutien à l’animation socio-éducative fourni par Erasmus+, notamment par l’intermédiaire de la mobilité des animateurs socio-éducatifs, de la coopération avec la société civile, des partenariats de coopération dans le domaine de la jeunesse et de la coopération avec le Conseil de l’Europe.</w:t>
      </w:r>
    </w:p>
    <w:p w14:paraId="695C7127" w14:textId="4BCC6DD1" w:rsidR="00C0208B" w:rsidRPr="00077E68" w:rsidRDefault="00C0208B" w:rsidP="00206C89">
      <w:pPr>
        <w:spacing w:after="120"/>
        <w:rPr>
          <w:rFonts w:ascii="Times New Roman" w:hAnsi="Times New Roman"/>
          <w:szCs w:val="24"/>
        </w:rPr>
      </w:pPr>
      <w:r>
        <w:rPr>
          <w:rFonts w:ascii="Times New Roman" w:hAnsi="Times New Roman"/>
        </w:rPr>
        <w:t>Erasmus+ apporte un soutien spécifique au dialogue de l’UE en faveur de la jeunesse, par exemple sous la forme de subventions pour le processus national dans le cadre du dialogue, et le large éventail de résultats et de recommandations du dialogue de l’UE en faveur de la jeunesse alimentent les documents du Conseil et les plans de travail de la stratégie de l’UE en faveur de la jeunesse.</w:t>
      </w:r>
    </w:p>
    <w:p w14:paraId="1A6DDD0E" w14:textId="08DA05C6" w:rsidR="00C0208B" w:rsidRPr="00077E68" w:rsidRDefault="00C0208B" w:rsidP="00206C89">
      <w:pPr>
        <w:spacing w:after="120"/>
        <w:rPr>
          <w:rFonts w:ascii="Times New Roman" w:hAnsi="Times New Roman"/>
          <w:szCs w:val="24"/>
        </w:rPr>
      </w:pPr>
      <w:r>
        <w:rPr>
          <w:rFonts w:ascii="Times New Roman" w:hAnsi="Times New Roman"/>
        </w:rPr>
        <w:t xml:space="preserve">Le suivi de la communication relative à l’Année européenne de la jeunesse 2022 et du rapport de la Commission sur l’évaluation intermédiaire de la stratégie de l’UE en faveur de la jeunesse 2019-2027 fournit des informations sur les liens entre les programmes Erasmus+ et le corps européen de solidarité, les autres programmes nationaux et de l’UE et la stratégie de l’UE en faveur de la jeunesse 2019-2027, ainsi que sur les efforts visant à renforcer la mise en œuvre de la stratégie de l’UE en faveur de la jeunesse. </w:t>
      </w:r>
    </w:p>
    <w:p w14:paraId="03C62D8B" w14:textId="7201845B" w:rsidR="00C0208B" w:rsidRPr="00077E68" w:rsidRDefault="00C0208B" w:rsidP="00206C89">
      <w:pPr>
        <w:spacing w:after="120"/>
        <w:rPr>
          <w:rFonts w:ascii="Times New Roman" w:hAnsi="Times New Roman"/>
          <w:szCs w:val="24"/>
        </w:rPr>
      </w:pPr>
      <w:r>
        <w:rPr>
          <w:rFonts w:ascii="Times New Roman" w:hAnsi="Times New Roman"/>
        </w:rPr>
        <w:t xml:space="preserve">En ce qui concerne le contenu de l’action clé n° 2 du programme Erasmus+ dans le domaine de la jeunesse, l’objectif du programme est, entre autres, de partager des liens étroits avec les bénéficiaires généralement actifs dans le domaine de l’éducation non formelle, tels que les ONG locales, régionales, nationales et européennes, les entreprises sociales et les animateurs socio-éducatifs. La demande d’une meilleure définition des objectifs et des rôles des projets relevant de l’action clé n° 2 d’Erasmus+ dans le domaine de la jeunesse est une suggestion valable et constructive dont la Commission prend acte. Il est important de reconnaître l’évolution continue et la nature dynamique des programmes liés à la jeunesse. </w:t>
      </w:r>
    </w:p>
    <w:p w14:paraId="2AC60F57" w14:textId="516F3B69" w:rsidR="00C0208B" w:rsidRPr="00077E68" w:rsidRDefault="00C0208B" w:rsidP="00206C89">
      <w:pPr>
        <w:spacing w:after="120"/>
        <w:rPr>
          <w:rFonts w:ascii="Times New Roman" w:hAnsi="Times New Roman"/>
        </w:rPr>
      </w:pPr>
      <w:r>
        <w:rPr>
          <w:rFonts w:ascii="Times New Roman" w:hAnsi="Times New Roman"/>
        </w:rPr>
        <w:t>Le réseau de communication des agences nationales, en coopération avec SALTO-YOUTH Participation &amp; Information (soutien, apprentissage avancé et possibilités de formation pour les jeunes)</w:t>
      </w:r>
      <w:r w:rsidR="00FD4DAB" w:rsidRPr="00B2ADFF">
        <w:rPr>
          <w:rStyle w:val="FootnoteReference"/>
          <w:rFonts w:ascii="Times New Roman" w:hAnsi="Times New Roman"/>
        </w:rPr>
        <w:footnoteReference w:id="20"/>
      </w:r>
      <w:r>
        <w:rPr>
          <w:rFonts w:ascii="Times New Roman" w:hAnsi="Times New Roman"/>
        </w:rPr>
        <w:t xml:space="preserve">, soutient les agences nationales en leur fournissant du matériel pédagogique et des </w:t>
      </w:r>
      <w:r>
        <w:rPr>
          <w:rFonts w:ascii="Times New Roman" w:hAnsi="Times New Roman"/>
        </w:rPr>
        <w:lastRenderedPageBreak/>
        <w:t>compétences leur permettant de mener des activités de communication et de sensibilisation plus adaptées (</w:t>
      </w:r>
      <w:r>
        <w:rPr>
          <w:rFonts w:ascii="Times New Roman" w:hAnsi="Times New Roman"/>
          <w:b/>
        </w:rPr>
        <w:t>paragraphe 89</w:t>
      </w:r>
      <w:r>
        <w:rPr>
          <w:rFonts w:ascii="Times New Roman" w:hAnsi="Times New Roman"/>
        </w:rPr>
        <w:t>). En particulier, les réunions annuelles et les webinaires organisés par le réseau prévoient la participation d’experts de premier plan dans le domaine de la communication publique, contribuant ainsi à présenter les tendances et outils les plus récents en matière de communication. L’une des principales priorités du réseau est le thème de l’inclusion et, en particulier, l’inclusion des participants moins favorisés.</w:t>
      </w:r>
    </w:p>
    <w:p w14:paraId="5176AF04" w14:textId="0A53F699" w:rsidR="00FD4DAB" w:rsidRPr="00077E68" w:rsidRDefault="6C9DA01E" w:rsidP="00206C89">
      <w:pPr>
        <w:spacing w:after="120"/>
        <w:rPr>
          <w:rFonts w:ascii="Times New Roman" w:eastAsia="Calibri" w:hAnsi="Times New Roman"/>
        </w:rPr>
      </w:pPr>
      <w:r>
        <w:rPr>
          <w:rFonts w:ascii="Times New Roman" w:hAnsi="Times New Roman"/>
          <w:b/>
        </w:rPr>
        <w:t>La Commission attache une grande importance aux mesures garantissant l’accès à l’éducation dans tous les cadres - formels, informels et non formels - (paragraphe 92)</w:t>
      </w:r>
      <w:r>
        <w:rPr>
          <w:rFonts w:ascii="Times New Roman" w:hAnsi="Times New Roman"/>
        </w:rPr>
        <w:t>. Les microcertifications permettent aux individus d’acquérir des connaissances, des aptitudes et des compétences de manière flexible et ciblée, peuvent contribuer au perfectionnement et à la reconversion professionnels des apprenants, mais elles ne remplacent pas les certifications traditionnelles. Avant de pouvoir exploiter pleinement le potentiel des microcertifications, les États membres doivent créer des écosystèmes propices à leur adoption sur une large base. C’est la raison pour laquelle l’appel à l’expérimentation de politiques lancé en 2024 comprend un appel à projets visant à soutenir les réformes et l’impact des politiques dans les États membres dans la mise en œuvre de la recommandation du Conseil du 16 juin 2022 sur une approche européenne des microcertifications pour l’apprentissage tout au long de la vie et l’employabilité</w:t>
      </w:r>
      <w:r w:rsidR="00FD4DAB">
        <w:rPr>
          <w:rStyle w:val="FootnoteReference"/>
          <w:rFonts w:ascii="Times New Roman" w:eastAsia="Calibri" w:hAnsi="Times New Roman"/>
        </w:rPr>
        <w:footnoteReference w:id="21"/>
      </w:r>
      <w:r>
        <w:rPr>
          <w:rFonts w:ascii="Times New Roman" w:hAnsi="Times New Roman"/>
        </w:rPr>
        <w:t>.</w:t>
      </w:r>
    </w:p>
    <w:p w14:paraId="5CE2DF52" w14:textId="5227F132" w:rsidR="6C9DA01E" w:rsidRPr="00077E68" w:rsidRDefault="6F74299E" w:rsidP="00206C89">
      <w:pPr>
        <w:spacing w:after="120"/>
        <w:rPr>
          <w:rFonts w:ascii="Times New Roman" w:hAnsi="Times New Roman"/>
        </w:rPr>
      </w:pPr>
      <w:r>
        <w:rPr>
          <w:rFonts w:ascii="Times New Roman" w:hAnsi="Times New Roman"/>
        </w:rPr>
        <w:t>Outre l’appel à propositions d’expérimentation de politiques, des fonds sont également prévus dans le programme de travail Erasmus+ 2024 pour le développement de microcertifications dans trois domaines: l’enseignement supérieur, l’enseignement et la formation professionnels, et l’éducation des adultes.</w:t>
      </w:r>
    </w:p>
    <w:p w14:paraId="6A1D2B96" w14:textId="203AC65B" w:rsidR="4FF736E9" w:rsidRPr="00077E68" w:rsidRDefault="1A88AA06" w:rsidP="00206C89">
      <w:pPr>
        <w:spacing w:after="120"/>
        <w:rPr>
          <w:rFonts w:ascii="Times New Roman" w:eastAsia="Calibri" w:hAnsi="Times New Roman"/>
        </w:rPr>
      </w:pPr>
      <w:r>
        <w:t xml:space="preserve">La </w:t>
      </w:r>
      <w:hyperlink r:id="rId9">
        <w:r>
          <w:rPr>
            <w:rFonts w:ascii="Times New Roman" w:hAnsi="Times New Roman"/>
          </w:rPr>
          <w:t>recommandation du Conseil relative aux comptes de formation individuels</w:t>
        </w:r>
      </w:hyperlink>
      <w:r>
        <w:t xml:space="preserve"> </w:t>
      </w:r>
      <w:r w:rsidR="00FD4DAB">
        <w:rPr>
          <w:rStyle w:val="FootnoteReference"/>
          <w:rFonts w:ascii="Times New Roman" w:eastAsia="Calibri" w:hAnsi="Times New Roman"/>
        </w:rPr>
        <w:footnoteReference w:id="22"/>
      </w:r>
      <w:r w:rsidR="00981A01">
        <w:rPr>
          <w:rFonts w:ascii="Times New Roman" w:hAnsi="Times New Roman"/>
        </w:rPr>
        <w:t>, a</w:t>
      </w:r>
      <w:r w:rsidRPr="00981A01">
        <w:rPr>
          <w:rFonts w:ascii="Times New Roman" w:hAnsi="Times New Roman"/>
        </w:rPr>
        <w:t>doptée par le Conseil en juin 2022, vise à renforcer les incitations et la motivation des personnes à suivre une formation et à garantir l’accès de tous à des formations pertinentes pour le marché du travail, y compris pour les transitions professionnelles et indépendamment de leur situation au regard de l’emploi ou de leur statut professionnel.</w:t>
      </w:r>
      <w:r>
        <w:rPr>
          <w:rFonts w:ascii="Times New Roman" w:hAnsi="Times New Roman"/>
        </w:rPr>
        <w:t xml:space="preserve"> Elle vise à soutenir tous les adultes en âge de travailler et recommande aux États membres d’envisager la création d’un compte personnel pour les droits à la formation, intégré dans un cadre favorable comprenant un registre national des possibilités de formation, de validation et d’orientation professionnelle pouvant bénéficier d’un financement au titre des droits à la formation, ainsi que des dispositions relatives aux congés de formation rémunérés pour les adultes salariés.</w:t>
      </w:r>
    </w:p>
    <w:p w14:paraId="75D6BF36" w14:textId="3E4438C2" w:rsidR="4FF736E9" w:rsidRDefault="355CAA31" w:rsidP="00206C89">
      <w:pPr>
        <w:spacing w:after="120"/>
        <w:rPr>
          <w:rFonts w:ascii="Times New Roman" w:eastAsia="Calibri" w:hAnsi="Times New Roman"/>
          <w:szCs w:val="24"/>
        </w:rPr>
      </w:pPr>
      <w:r>
        <w:rPr>
          <w:rFonts w:ascii="Times New Roman" w:hAnsi="Times New Roman"/>
        </w:rPr>
        <w:t>Le programme Erasmus+ offre l’occasion de soutenir le développement des comptes de formation individuels, dans le cadre de l’action clé n° 2, en particulier dans le cadre de projets tournés vers l’avenir et de partenariats de coopération (volet «éducation des adultes»).</w:t>
      </w:r>
    </w:p>
    <w:p w14:paraId="794599A3" w14:textId="299912E2" w:rsidR="00C0208B" w:rsidRPr="000F148A" w:rsidRDefault="00DB3E96" w:rsidP="00206C89">
      <w:pPr>
        <w:pStyle w:val="paragraph"/>
        <w:spacing w:before="0" w:beforeAutospacing="0" w:after="120" w:afterAutospacing="0"/>
        <w:jc w:val="both"/>
      </w:pPr>
      <w:r>
        <w:rPr>
          <w:b/>
        </w:rPr>
        <w:t>En ce qui concerne la nécessité d’améliorer la visibilité de certaines actions soulignées aux paragraphes 100 et 101</w:t>
      </w:r>
      <w:r>
        <w:t xml:space="preserve"> (soutien disponible pour les activités d’éducation et de formation des adultes ou pour le sport), la Commission peut souligner que, conjointement avec les agences nationales Erasmus+, des efforts ont été déployés pour renforcer la promotion et la communication sur les possibilités offertes aux apprenants adultes par le programme, que ce soit au niveau national ou par l’intermédiaire de plateformes de l’UE telles que la plateforme électronique pour l’éducation et la formation des adultes en Europe (EPALE)</w:t>
      </w:r>
      <w:r w:rsidR="005B4869" w:rsidRPr="000F148A">
        <w:rPr>
          <w:rStyle w:val="FootnoteReference"/>
          <w:lang w:val="en-IE"/>
        </w:rPr>
        <w:footnoteReference w:id="23"/>
      </w:r>
      <w:r>
        <w:t>. En ce qui concerne les règles de financement, un soutien supplémentaire est fourni pour aider les personnes moins favorisées à participer à la mobilité à des fins d’apprentissage à l’étranger dans le cadre d’Erasmus+.</w:t>
      </w:r>
    </w:p>
    <w:p w14:paraId="428F81E2" w14:textId="2D9078C6" w:rsidR="00C0208B" w:rsidRPr="00077E68" w:rsidRDefault="00C0208B" w:rsidP="00206C89">
      <w:pPr>
        <w:pStyle w:val="paragraph"/>
        <w:spacing w:before="0" w:beforeAutospacing="0" w:after="120" w:afterAutospacing="0"/>
        <w:jc w:val="both"/>
      </w:pPr>
      <w:r>
        <w:lastRenderedPageBreak/>
        <w:t>Dans le cadre de règles spécifiques gérées par la Commission, les agences nationales Erasmus+ peuvent transférer des fonds entre actions et secteurs, sur la base de la demande résultant des candidatures reçues à la suite de la publication de l’appel à propositions annuel Erasmus+. Par exemple, les fonds non dépensés pour les activités de mobilité des apprenants adultes sont transférés par les agences nationales vers les projets de partenariats de coopération afin de financer d’autres propositions de projets, à partir de la liste de réserve. La Commission prend des mesures pour veiller à ce que la synergie entre les programmes de l’UE (FSE+ en particulier) soit effectivement prise en compte favorisant une coordination plus étroite entre les parties prenantes concernées (autorités de gestion du FSE+ et autorités et agences nationales Erasmus+).</w:t>
      </w:r>
    </w:p>
    <w:p w14:paraId="48B8B380" w14:textId="70762997" w:rsidR="00DB3E96" w:rsidRDefault="00DB3E96" w:rsidP="00206C89">
      <w:pPr>
        <w:spacing w:after="120"/>
        <w:rPr>
          <w:rFonts w:ascii="Times New Roman" w:hAnsi="Times New Roman"/>
        </w:rPr>
      </w:pPr>
      <w:r>
        <w:rPr>
          <w:rFonts w:ascii="Times New Roman" w:hAnsi="Times New Roman"/>
        </w:rPr>
        <w:t>Afin de garantir une bonne visibilité du financement du sport dans le cadre d’Erasmus+, l’EACEA organise chaque année une journée d’information sur le sport pour toutes les parties prenantes intéressées, en plus d’activités promotionnelles régulières. Cette manifestation réunit un nombre élevé de participants et peut être suivie en personne et en ligne. La connaissance des possibilités de financement semble s’accroître, étant donné que le nombre de candidatures à des activités sportives augmente chaque année. Les fonds Erasmus+ sont octroyés au moyen d’appels à propositions ouverts selon des critères bien définis qui s’appliquent indistinctement à tous les candidats, conformément aux procédures d’attribution fixées par les règles financières applicables au budget de l’UE.</w:t>
      </w:r>
    </w:p>
    <w:p w14:paraId="2F8B3207" w14:textId="51DC62A2" w:rsidR="005F2BDB" w:rsidRDefault="005606D2" w:rsidP="00206C89">
      <w:pPr>
        <w:spacing w:after="120"/>
        <w:rPr>
          <w:rFonts w:ascii="Times New Roman" w:hAnsi="Times New Roman"/>
          <w:szCs w:val="24"/>
        </w:rPr>
      </w:pPr>
      <w:r>
        <w:rPr>
          <w:rFonts w:ascii="Times New Roman" w:hAnsi="Times New Roman"/>
          <w:b/>
        </w:rPr>
        <w:t>Le paragraphe 111 souligne qu’il est nécessaire d’accélérer les synergies entre l’espace européen de l’éducation, le plan d’action en matière d’éducation numérique et la stratégie européenne en matière de compétences en élaborant la politique relative à l’éducation numérique.</w:t>
      </w:r>
      <w:r>
        <w:rPr>
          <w:rFonts w:ascii="Times New Roman" w:hAnsi="Times New Roman"/>
        </w:rPr>
        <w:t xml:space="preserve"> La Commission souligne que le plan d’action en matière d’éducation numérique et les objectifs de l’espace européen de l’éducation (EEE) et de la stratégie européenne en matière de compétences se complètent et se renforcent mutuellement. Dans le cadre de la mise en œuvre du plan d’action en matière d’éducation numérique, l’adoption, en novembre 2023, du train de mesures sur l’éducation et les compétences numériques</w:t>
      </w:r>
      <w:r w:rsidR="00B012BD">
        <w:rPr>
          <w:rStyle w:val="FootnoteReference"/>
          <w:rFonts w:ascii="Times New Roman" w:hAnsi="Times New Roman"/>
        </w:rPr>
        <w:footnoteReference w:id="24"/>
      </w:r>
      <w:r>
        <w:rPr>
          <w:rFonts w:ascii="Times New Roman" w:hAnsi="Times New Roman"/>
        </w:rPr>
        <w:t xml:space="preserve"> a constitué une nouvelle étape vers la réalisation de l’espace européen de l’éducation et de ses objectifs. Cela concerne l’objectif fixé pour l’EEE par l’Union, qui consiste à ramener à moins de 15 %, d’ici à 2030, la part des personnes ayant une maîtrise des outils informatiques et une culture de l'information insuffisantes. La recommandation du Conseil relative à l’amélioration de l’enseignement des compétences et aptitudes numériques dans le domaine de l’éducation</w:t>
      </w:r>
      <w:r w:rsidR="00C64B35" w:rsidRPr="00B2ADFF">
        <w:rPr>
          <w:rStyle w:val="FootnoteReference"/>
          <w:rFonts w:ascii="Times New Roman" w:hAnsi="Times New Roman"/>
        </w:rPr>
        <w:footnoteReference w:id="25"/>
      </w:r>
      <w:r>
        <w:rPr>
          <w:rFonts w:ascii="Times New Roman" w:hAnsi="Times New Roman"/>
        </w:rPr>
        <w:t xml:space="preserve"> soutient encore les objectifs de la stratégie européenne en matière de compétences visant à aider tous les individus à développer des compétences plus nombreuses et de meilleure qualité afin de renforcer la compétitivité. Cela concerne la réalisation de l’objectif de la stratégie européenne en matière de compétences, à savoir que 70 % des adultes âgés de 16 à 74 ans possèdent au moins des compétences numériques de base d’ici à 2025. Les politiques décrites ici sont mises en évidence et traduites dans les priorités du programme Erasmus+. En outre, la Commission continuera de soutenir les États membres et les parties prenantes dans la mise en œuvre des politiques en matière d’éducation numérique au moyen de nouvelles actions, y compris des lignes directrices sur les contenus éducatifs numériques et l’informatique, le cadre d’interopérabilité de l’enseignement supérieur, et l’enquête sur l’éducation numérique en Europe.</w:t>
      </w:r>
    </w:p>
    <w:p w14:paraId="4F6E3BB7" w14:textId="02B4E488" w:rsidR="00A81324" w:rsidRPr="00CB5B50" w:rsidRDefault="00A81324" w:rsidP="00206C89">
      <w:pPr>
        <w:spacing w:after="120"/>
        <w:rPr>
          <w:rFonts w:ascii="Times New Roman" w:hAnsi="Times New Roman"/>
        </w:rPr>
      </w:pPr>
      <w:r>
        <w:rPr>
          <w:rFonts w:ascii="Times New Roman" w:hAnsi="Times New Roman"/>
        </w:rPr>
        <w:t>En ce qui concerne la prise en compte de la fraude (</w:t>
      </w:r>
      <w:r>
        <w:rPr>
          <w:rFonts w:ascii="Times New Roman" w:hAnsi="Times New Roman"/>
          <w:b/>
        </w:rPr>
        <w:t>paragraphe 119</w:t>
      </w:r>
      <w:r>
        <w:rPr>
          <w:rFonts w:ascii="Times New Roman" w:hAnsi="Times New Roman"/>
        </w:rPr>
        <w:t xml:space="preserve">), la Commission poursuit ses efforts pour veiller à ce que les agences nationales Erasmus soient conscientes des risques de fraude et disposent des lignes directrices nécessaires pour traiter les cas de fraude présumée. Les agences nationales doivent traiter les cas de fraude au niveau national et les signaler à leurs autorités antifraude nationales. Conformément aux lignes directrices de la Commission, les </w:t>
      </w:r>
      <w:r>
        <w:rPr>
          <w:rFonts w:ascii="Times New Roman" w:hAnsi="Times New Roman"/>
        </w:rPr>
        <w:lastRenderedPageBreak/>
        <w:t>agences nationales signalent également les cas de fraude présumée à la Commission, qui assure la liaison avec l’Office européen de lutte antifraude (OLAF) et le Parquet européen lorsque des enquêtes sont en cours. La Commission veille à ce que, après la clôture de l’enquête, des mesures soient prises pour protéger le budget de l’UE en recouvrant les montants repérés par l’OLAF ou le Parquet européen. La Commission renforce également ses procédures afin d’exclure les organisations concernées le cas échéant.</w:t>
      </w:r>
    </w:p>
    <w:p w14:paraId="13581B07" w14:textId="4EF31902" w:rsidR="00C9087F" w:rsidRPr="00077E68" w:rsidRDefault="00521A6B" w:rsidP="00206C89">
      <w:pPr>
        <w:pStyle w:val="NormalWeb"/>
        <w:shd w:val="clear" w:color="auto" w:fill="FFFFFF"/>
        <w:spacing w:before="0" w:beforeAutospacing="0" w:after="120" w:afterAutospacing="0"/>
        <w:jc w:val="both"/>
      </w:pPr>
      <w:r>
        <w:rPr>
          <w:b/>
        </w:rPr>
        <w:t>Enfin, en ce qui concerne l’engagement du Parlement européen à tripler le budget d’Erasmus+ pour la période 2028-2034 (paragraphe 121)</w:t>
      </w:r>
      <w:r>
        <w:t>, la Commission prend note de l’avis du Parlement européen concernant le budget d’Erasmus+ pour le cadre financier pluriannuel (CFP) post-2027 ainsi que</w:t>
      </w:r>
      <w:bookmarkStart w:id="0" w:name="_Hlk158294875"/>
      <w:r>
        <w:t xml:space="preserve"> l’excellente performance budgétaire du programme, combinée à de faibles taux de réussite observés dans la plupart de ses actions. La Commission rappelle qu’il ne peut être préjugé du prochain cadre financier pluriannuel à ce stade. La Commission présentera une proposition pour le CFP post-2027 d’ici juillet 2025.</w:t>
      </w:r>
    </w:p>
    <w:bookmarkEnd w:id="0"/>
    <w:sectPr w:rsidR="00C9087F" w:rsidRPr="00077E68" w:rsidSect="00DC6E10">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6" w:h="16838" w:code="9"/>
      <w:pgMar w:top="1021" w:right="1418" w:bottom="1021" w:left="141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A8429" w14:textId="77777777" w:rsidR="007F47C2" w:rsidRDefault="007F47C2">
      <w:r>
        <w:separator/>
      </w:r>
    </w:p>
  </w:endnote>
  <w:endnote w:type="continuationSeparator" w:id="0">
    <w:p w14:paraId="6DCEF453" w14:textId="77777777" w:rsidR="007F47C2" w:rsidRDefault="007F47C2">
      <w:r>
        <w:continuationSeparator/>
      </w:r>
    </w:p>
  </w:endnote>
  <w:endnote w:type="continuationNotice" w:id="1">
    <w:p w14:paraId="46A563DF" w14:textId="77777777" w:rsidR="007F47C2" w:rsidRDefault="007F47C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31DBA"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00885BF7" w14:textId="77777777" w:rsidR="005E6EC2" w:rsidRDefault="005E6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2058619"/>
      <w:docPartObj>
        <w:docPartGallery w:val="Page Numbers (Bottom of Page)"/>
        <w:docPartUnique/>
      </w:docPartObj>
    </w:sdtPr>
    <w:sdtEndPr>
      <w:rPr>
        <w:noProof/>
      </w:rPr>
    </w:sdtEndPr>
    <w:sdtContent>
      <w:p w14:paraId="6814339C" w14:textId="195DB54B" w:rsidR="00206C89" w:rsidRDefault="00206C89">
        <w:pPr>
          <w:pStyle w:val="Footer"/>
          <w:jc w:val="center"/>
        </w:pPr>
        <w:r>
          <w:fldChar w:fldCharType="begin"/>
        </w:r>
        <w:r>
          <w:instrText xml:space="preserve"> PAGE   \* MERGEFORMAT </w:instrText>
        </w:r>
        <w:r>
          <w:fldChar w:fldCharType="separate"/>
        </w:r>
        <w:r>
          <w:t>2</w:t>
        </w:r>
        <w:r>
          <w:fldChar w:fldCharType="end"/>
        </w:r>
      </w:p>
    </w:sdtContent>
  </w:sdt>
  <w:p w14:paraId="185B6CBB" w14:textId="77777777" w:rsidR="005E6EC2" w:rsidRPr="008A6623" w:rsidRDefault="005E6EC2"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4FFDF" w14:textId="4A903092" w:rsidR="005E6EC2" w:rsidRPr="00206C89" w:rsidRDefault="005E6EC2" w:rsidP="00206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73B84" w14:textId="77777777" w:rsidR="007F47C2" w:rsidRDefault="007F47C2">
      <w:r>
        <w:separator/>
      </w:r>
    </w:p>
  </w:footnote>
  <w:footnote w:type="continuationSeparator" w:id="0">
    <w:p w14:paraId="609E6AA5" w14:textId="77777777" w:rsidR="007F47C2" w:rsidRDefault="007F47C2">
      <w:r>
        <w:continuationSeparator/>
      </w:r>
    </w:p>
  </w:footnote>
  <w:footnote w:type="continuationNotice" w:id="1">
    <w:p w14:paraId="73CD59BD" w14:textId="77777777" w:rsidR="007F47C2" w:rsidRDefault="007F47C2">
      <w:pPr>
        <w:spacing w:after="0"/>
      </w:pPr>
    </w:p>
  </w:footnote>
  <w:footnote w:id="2">
    <w:p w14:paraId="260969B7" w14:textId="561444D9" w:rsidR="007B74C2" w:rsidRPr="00206C89" w:rsidRDefault="007B74C2" w:rsidP="00EA51F1">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hyperlink r:id="rId1" w:history="1">
        <w:r>
          <w:rPr>
            <w:rStyle w:val="Hyperlink"/>
            <w:rFonts w:ascii="Times New Roman" w:hAnsi="Times New Roman"/>
          </w:rPr>
          <w:t>https://erasmus-plus.ec.europa.eu/resources-and-tools/erasmus-charter-for-higher-education</w:t>
        </w:r>
      </w:hyperlink>
      <w:r>
        <w:rPr>
          <w:rFonts w:ascii="Times New Roman" w:hAnsi="Times New Roman"/>
        </w:rPr>
        <w:t xml:space="preserve"> </w:t>
      </w:r>
    </w:p>
  </w:footnote>
  <w:footnote w:id="3">
    <w:p w14:paraId="1D257782" w14:textId="1F9D59C9" w:rsidR="007B74C2" w:rsidRPr="00EA51F1" w:rsidRDefault="007B74C2" w:rsidP="00EA51F1">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hyperlink r:id="rId2" w:history="1">
        <w:r>
          <w:rPr>
            <w:rStyle w:val="Hyperlink"/>
            <w:rFonts w:ascii="Times New Roman" w:hAnsi="Times New Roman"/>
          </w:rPr>
          <w:t>https://eur-lex.europa.eu/legal-content/FR/ALL/?uri=CELEX:52023DC0091</w:t>
        </w:r>
      </w:hyperlink>
      <w:r>
        <w:rPr>
          <w:rFonts w:ascii="Times New Roman" w:hAnsi="Times New Roman"/>
        </w:rPr>
        <w:t xml:space="preserve"> </w:t>
      </w:r>
    </w:p>
  </w:footnote>
  <w:footnote w:id="4">
    <w:p w14:paraId="5A296033" w14:textId="69D72DAA" w:rsidR="00844C63" w:rsidRPr="00206C89" w:rsidRDefault="00844C63" w:rsidP="00844C63">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hyperlink w:history="1">
        <w:r>
          <w:rPr>
            <w:rStyle w:val="Hyperlink"/>
            <w:rFonts w:ascii="Times New Roman" w:hAnsi="Times New Roman"/>
          </w:rPr>
          <w:t>https:// year-of-skills.europa.eu/meet-champions-excellence_en</w:t>
        </w:r>
      </w:hyperlink>
      <w:r>
        <w:rPr>
          <w:rFonts w:ascii="Times New Roman" w:hAnsi="Times New Roman"/>
        </w:rPr>
        <w:t xml:space="preserve"> </w:t>
      </w:r>
    </w:p>
  </w:footnote>
  <w:footnote w:id="5">
    <w:p w14:paraId="175D06CC" w14:textId="1649074D" w:rsidR="007B74C2" w:rsidRPr="00844C63" w:rsidRDefault="007B74C2" w:rsidP="00844C63">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hyperlink r:id="rId3" w:history="1">
        <w:r>
          <w:rPr>
            <w:rStyle w:val="Hyperlink"/>
            <w:rFonts w:ascii="Times New Roman" w:hAnsi="Times New Roman"/>
          </w:rPr>
          <w:t>https://op.europa.eu/en/publication-detail/-/publication/daa7c5d9-8575-11ee-99ba-01aa75ed71a1/language-fr</w:t>
        </w:r>
      </w:hyperlink>
      <w:r>
        <w:rPr>
          <w:rFonts w:ascii="Times New Roman" w:hAnsi="Times New Roman"/>
        </w:rPr>
        <w:t xml:space="preserve"> </w:t>
      </w:r>
    </w:p>
  </w:footnote>
  <w:footnote w:id="6">
    <w:p w14:paraId="7354EE5D" w14:textId="0C78449D" w:rsidR="00B012BD" w:rsidRPr="00206C89" w:rsidRDefault="00B012BD" w:rsidP="00B012BD">
      <w:pPr>
        <w:pStyle w:val="FootnoteText"/>
        <w:spacing w:after="0"/>
        <w:rPr>
          <w:rFonts w:ascii="Times New Roman" w:hAnsi="Times New Roman"/>
        </w:rPr>
      </w:pPr>
      <w:r>
        <w:rPr>
          <w:rStyle w:val="FootnoteReference"/>
        </w:rPr>
        <w:footnoteRef/>
      </w:r>
      <w:r>
        <w:rPr>
          <w:sz w:val="18"/>
        </w:rPr>
        <w:t xml:space="preserve"> </w:t>
      </w:r>
      <w:r>
        <w:rPr>
          <w:sz w:val="18"/>
        </w:rPr>
        <w:tab/>
      </w:r>
      <w:hyperlink r:id="rId4" w:history="1">
        <w:r>
          <w:rPr>
            <w:rStyle w:val="Hyperlink"/>
            <w:rFonts w:ascii="Times New Roman" w:hAnsi="Times New Roman"/>
          </w:rPr>
          <w:t>https://eur-lex.europa.eu/legal-content/FR/TXT/PDF/?uri=CELEX:32021G1214(01)</w:t>
        </w:r>
      </w:hyperlink>
      <w:r>
        <w:rPr>
          <w:rFonts w:ascii="Times New Roman" w:hAnsi="Times New Roman"/>
        </w:rPr>
        <w:t xml:space="preserve"> </w:t>
      </w:r>
    </w:p>
  </w:footnote>
  <w:footnote w:id="7">
    <w:p w14:paraId="232874BE" w14:textId="0C0EE4AF" w:rsidR="009F7419" w:rsidRPr="00206C89" w:rsidRDefault="009F7419" w:rsidP="00987CE0">
      <w:pPr>
        <w:pStyle w:val="FootnoteText"/>
        <w:tabs>
          <w:tab w:val="left" w:pos="284"/>
        </w:tabs>
        <w:spacing w:after="0"/>
        <w:rPr>
          <w:rFonts w:ascii="Times New Roman" w:hAnsi="Times New Roman"/>
        </w:rPr>
      </w:pPr>
      <w:r>
        <w:rPr>
          <w:rStyle w:val="FootnoteReference"/>
          <w:rFonts w:ascii="Times New Roman" w:hAnsi="Times New Roman"/>
        </w:rPr>
        <w:footnoteRef/>
      </w:r>
      <w:r>
        <w:rPr>
          <w:rFonts w:ascii="Times New Roman" w:hAnsi="Times New Roman"/>
        </w:rPr>
        <w:t>.</w:t>
      </w:r>
      <w:r>
        <w:rPr>
          <w:rFonts w:ascii="Times New Roman" w:hAnsi="Times New Roman"/>
        </w:rPr>
        <w:tab/>
      </w:r>
      <w:hyperlink w:history="1">
        <w:r>
          <w:rPr>
            <w:rStyle w:val="Hyperlink"/>
            <w:rFonts w:ascii="Times New Roman" w:hAnsi="Times New Roman"/>
          </w:rPr>
          <w:t>https://www.consilium.europa.eu/fr/press/press-releases/2022/06/16/council-recommendation-on-individual-learning-accounts-to-boost-training-of-working-age-adults/</w:t>
        </w:r>
      </w:hyperlink>
      <w:r>
        <w:rPr>
          <w:rFonts w:ascii="Times New Roman" w:hAnsi="Times New Roman"/>
        </w:rPr>
        <w:t xml:space="preserve"> </w:t>
      </w:r>
    </w:p>
  </w:footnote>
  <w:footnote w:id="8">
    <w:p w14:paraId="701B2628" w14:textId="448681D1" w:rsidR="009F7419" w:rsidRPr="00206C89" w:rsidRDefault="009F7419" w:rsidP="00EA51F1">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hyperlink r:id="rId5" w:history="1">
        <w:r>
          <w:rPr>
            <w:rStyle w:val="Hyperlink"/>
            <w:rFonts w:ascii="Times New Roman" w:hAnsi="Times New Roman"/>
          </w:rPr>
          <w:t>https://eur-lex.europa.eu/legal-content/FR/TXT/PDF/?uri=CELEX:32016H1224(01)</w:t>
        </w:r>
      </w:hyperlink>
      <w:r>
        <w:rPr>
          <w:rFonts w:ascii="Times New Roman" w:hAnsi="Times New Roman"/>
        </w:rPr>
        <w:t xml:space="preserve"> </w:t>
      </w:r>
    </w:p>
  </w:footnote>
  <w:footnote w:id="9">
    <w:p w14:paraId="160410DA" w14:textId="00870981" w:rsidR="005B4869" w:rsidRPr="005B4869" w:rsidRDefault="005B4869">
      <w:pPr>
        <w:pStyle w:val="FootnoteText"/>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hyperlink r:id="rId6" w:history="1">
        <w:r>
          <w:rPr>
            <w:rStyle w:val="Hyperlink"/>
            <w:rFonts w:ascii="Times New Roman" w:hAnsi="Times New Roman"/>
          </w:rPr>
          <w:t>https://erasmus-plus.ec.europa.eu/programme-guide/part-b/key-action-3/youth-together</w:t>
        </w:r>
      </w:hyperlink>
      <w:r>
        <w:t xml:space="preserve"> </w:t>
      </w:r>
    </w:p>
  </w:footnote>
  <w:footnote w:id="10">
    <w:p w14:paraId="1CB34B93" w14:textId="6E249638" w:rsidR="009F7419" w:rsidRPr="00206C89" w:rsidRDefault="009F7419" w:rsidP="00844C63">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w:t>
      </w:r>
      <w:r>
        <w:rPr>
          <w:rFonts w:ascii="Times New Roman" w:hAnsi="Times New Roman"/>
        </w:rPr>
        <w:tab/>
      </w:r>
      <w:hyperlink r:id="rId7" w:history="1">
        <w:r>
          <w:rPr>
            <w:rStyle w:val="Hyperlink"/>
            <w:rFonts w:ascii="Times New Roman" w:hAnsi="Times New Roman"/>
          </w:rPr>
          <w:t>https://erasmus-plus.ec.europa.eu/sites/default/files/2023-11/europe-on-the-move-recommendation-swd-1-COM_2023_719_1_EN.pdf</w:t>
        </w:r>
      </w:hyperlink>
      <w:r>
        <w:rPr>
          <w:rFonts w:ascii="Times New Roman" w:hAnsi="Times New Roman"/>
        </w:rPr>
        <w:t xml:space="preserve"> </w:t>
      </w:r>
    </w:p>
  </w:footnote>
  <w:footnote w:id="11">
    <w:p w14:paraId="566D4239" w14:textId="2E475E0A" w:rsidR="005B4869" w:rsidRPr="00206C89" w:rsidRDefault="005B4869" w:rsidP="00844C63">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hyperlink r:id="rId8" w:history="1">
        <w:r>
          <w:rPr>
            <w:rStyle w:val="Hyperlink"/>
            <w:rFonts w:ascii="Times New Roman" w:hAnsi="Times New Roman"/>
          </w:rPr>
          <w:t>https://erasmus-plus.ec.europa.eu/european-student-card-initiative/ewp</w:t>
        </w:r>
      </w:hyperlink>
      <w:r>
        <w:rPr>
          <w:rFonts w:ascii="Times New Roman" w:hAnsi="Times New Roman"/>
        </w:rPr>
        <w:t xml:space="preserve"> </w:t>
      </w:r>
    </w:p>
  </w:footnote>
  <w:footnote w:id="12">
    <w:p w14:paraId="1ED3B10D" w14:textId="0D8B8A36" w:rsidR="005B4869" w:rsidRPr="00206C89" w:rsidRDefault="005B4869" w:rsidP="00844C63">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w:t>
      </w:r>
      <w:r>
        <w:rPr>
          <w:rFonts w:ascii="Times New Roman" w:hAnsi="Times New Roman"/>
        </w:rPr>
        <w:tab/>
      </w:r>
      <w:hyperlink r:id="rId9" w:history="1">
        <w:r>
          <w:rPr>
            <w:rStyle w:val="Hyperlink"/>
            <w:rFonts w:ascii="Times New Roman" w:hAnsi="Times New Roman"/>
          </w:rPr>
          <w:t>https://education.ec.europa.eu/education-levels/higher-education/european-student-card-initiative</w:t>
        </w:r>
      </w:hyperlink>
      <w:r>
        <w:rPr>
          <w:rFonts w:ascii="Times New Roman" w:hAnsi="Times New Roman"/>
        </w:rPr>
        <w:t xml:space="preserve"> </w:t>
      </w:r>
    </w:p>
  </w:footnote>
  <w:footnote w:id="13">
    <w:p w14:paraId="738B185A" w14:textId="49432AD7" w:rsidR="00DC6E10" w:rsidRPr="00DC6E10" w:rsidRDefault="00DC6E10">
      <w:pPr>
        <w:pStyle w:val="FootnoteText"/>
      </w:pPr>
      <w:r>
        <w:rPr>
          <w:rStyle w:val="FootnoteReference"/>
          <w:rFonts w:ascii="Times New Roman" w:hAnsi="Times New Roman"/>
        </w:rPr>
        <w:footnoteRef/>
      </w:r>
      <w:r>
        <w:rPr>
          <w:rFonts w:ascii="Times New Roman" w:hAnsi="Times New Roman"/>
        </w:rPr>
        <w:t>.</w:t>
      </w:r>
      <w:r>
        <w:rPr>
          <w:rFonts w:ascii="Times New Roman" w:hAnsi="Times New Roman"/>
        </w:rPr>
        <w:tab/>
      </w:r>
      <w:hyperlink r:id="rId10" w:history="1">
        <w:r>
          <w:rPr>
            <w:rStyle w:val="Hyperlink"/>
            <w:rFonts w:ascii="Times New Roman" w:hAnsi="Times New Roman"/>
          </w:rPr>
          <w:t>https://education.ec.europa.eu/education-levels/higher-education/european-universities-initiative/map</w:t>
        </w:r>
      </w:hyperlink>
    </w:p>
  </w:footnote>
  <w:footnote w:id="14">
    <w:p w14:paraId="5CD271A0" w14:textId="3AC43A37" w:rsidR="00206C89" w:rsidRPr="00206C89" w:rsidRDefault="00DC6E10" w:rsidP="00DC6E10">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hyperlink r:id="rId11" w:history="1">
        <w:r>
          <w:rPr>
            <w:rStyle w:val="Hyperlink"/>
            <w:rFonts w:ascii="Times New Roman" w:hAnsi="Times New Roman"/>
          </w:rPr>
          <w:t>https://school-education.ec.europa.eu/fr</w:t>
        </w:r>
      </w:hyperlink>
    </w:p>
  </w:footnote>
  <w:footnote w:id="15">
    <w:p w14:paraId="65EAD2EC" w14:textId="7E29004B" w:rsidR="00B46FCC" w:rsidRPr="00206C89" w:rsidRDefault="00B46FCC" w:rsidP="00DC6E10">
      <w:pPr>
        <w:pStyle w:val="FootnoteText"/>
        <w:spacing w:after="0"/>
        <w:rPr>
          <w:rFonts w:ascii="Times New Roman" w:hAnsi="Times New Roman"/>
        </w:rPr>
      </w:pPr>
      <w:r>
        <w:rPr>
          <w:rStyle w:val="FootnoteReference"/>
          <w:rFonts w:ascii="Times New Roman" w:hAnsi="Times New Roman"/>
        </w:rPr>
        <w:footnoteRef/>
      </w:r>
      <w:r>
        <w:rPr>
          <w:rStyle w:val="Hyperlink"/>
          <w:rFonts w:ascii="Times New Roman" w:hAnsi="Times New Roman"/>
        </w:rPr>
        <w:t>.</w:t>
      </w:r>
      <w:r>
        <w:rPr>
          <w:rStyle w:val="Hyperlink"/>
          <w:rFonts w:ascii="Times New Roman" w:hAnsi="Times New Roman"/>
        </w:rPr>
        <w:tab/>
        <w:t>https://erasmus-plus.ec.europa.eu/fr/programme-guide/part-b/jean-monnet-actions/education-training/learning-eu</w:t>
      </w:r>
    </w:p>
  </w:footnote>
  <w:footnote w:id="16">
    <w:p w14:paraId="1304C8F3" w14:textId="48770BFA" w:rsidR="00FD4DAB" w:rsidRPr="00206C89" w:rsidRDefault="00FD4DAB" w:rsidP="00DC6E10">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hyperlink r:id="rId12" w:history="1">
        <w:r>
          <w:rPr>
            <w:rStyle w:val="Hyperlink"/>
            <w:rFonts w:ascii="Times New Roman" w:hAnsi="Times New Roman"/>
          </w:rPr>
          <w:t>https://data.consilium.europa.eu/doc/document/ST-15738-2023-INIT/fr/pdf</w:t>
        </w:r>
      </w:hyperlink>
      <w:r>
        <w:rPr>
          <w:rFonts w:ascii="Times New Roman" w:hAnsi="Times New Roman"/>
        </w:rPr>
        <w:t xml:space="preserve"> </w:t>
      </w:r>
    </w:p>
  </w:footnote>
  <w:footnote w:id="17">
    <w:p w14:paraId="436B908E" w14:textId="107D799F" w:rsidR="00DC6E10" w:rsidRPr="00206C89" w:rsidRDefault="00DC6E10" w:rsidP="00DC6E10">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hyperlink r:id="rId13" w:history="1">
        <w:r>
          <w:rPr>
            <w:rStyle w:val="Hyperlink"/>
            <w:rFonts w:ascii="Times New Roman" w:hAnsi="Times New Roman"/>
          </w:rPr>
          <w:t>https://commission.europa.eu/news/no-place-hate-europe-united-against-hatred-2023-12-06_fr</w:t>
        </w:r>
      </w:hyperlink>
      <w:r>
        <w:rPr>
          <w:rFonts w:ascii="Times New Roman" w:hAnsi="Times New Roman"/>
        </w:rPr>
        <w:t xml:space="preserve"> </w:t>
      </w:r>
    </w:p>
  </w:footnote>
  <w:footnote w:id="18">
    <w:p w14:paraId="67F58038" w14:textId="64F8EA14" w:rsidR="00DC6E10" w:rsidRPr="00206C89" w:rsidRDefault="00DC6E10" w:rsidP="00DC6E10">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sz w:val="18"/>
        </w:rPr>
        <w:t xml:space="preserve"> </w:t>
      </w:r>
      <w:r>
        <w:rPr>
          <w:rFonts w:ascii="Times New Roman" w:hAnsi="Times New Roman"/>
          <w:sz w:val="18"/>
        </w:rPr>
        <w:tab/>
      </w:r>
      <w:hyperlink r:id="rId14" w:history="1">
        <w:r>
          <w:rPr>
            <w:rStyle w:val="Hyperlink"/>
            <w:rFonts w:ascii="Times New Roman" w:hAnsi="Times New Roman"/>
          </w:rPr>
          <w:t>https://erasmus-plus.ec.europa.eu/fr/programme-guide/part-b/key-action-1/discovereu-action</w:t>
        </w:r>
      </w:hyperlink>
      <w:r>
        <w:rPr>
          <w:rFonts w:ascii="Times New Roman" w:hAnsi="Times New Roman"/>
        </w:rPr>
        <w:t xml:space="preserve"> </w:t>
      </w:r>
    </w:p>
  </w:footnote>
  <w:footnote w:id="19">
    <w:p w14:paraId="60B0BC57" w14:textId="14BC79E6" w:rsidR="00FD4DAB" w:rsidRPr="00206C89" w:rsidRDefault="00FD4DAB" w:rsidP="00DC6E10">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hyperlink r:id="rId15" w:history="1">
        <w:r>
          <w:rPr>
            <w:rStyle w:val="cf01"/>
            <w:rFonts w:ascii="Times New Roman" w:hAnsi="Times New Roman"/>
            <w:color w:val="0000FF"/>
            <w:sz w:val="20"/>
            <w:u w:val="single"/>
          </w:rPr>
          <w:t>EUR-Lex - 52024DC0001 - FR - EUR-Lex (europa.eu)</w:t>
        </w:r>
      </w:hyperlink>
    </w:p>
  </w:footnote>
  <w:footnote w:id="20">
    <w:p w14:paraId="6A974883" w14:textId="3F0FB926" w:rsidR="00FD4DAB" w:rsidRPr="00206C89" w:rsidRDefault="00FD4DAB" w:rsidP="005B4869">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hyperlink w:history="1">
        <w:r>
          <w:rPr>
            <w:rStyle w:val="Hyperlink"/>
            <w:rFonts w:ascii="Times New Roman" w:hAnsi="Times New Roman"/>
          </w:rPr>
          <w:t>https://www.salto-youth.net/rc/participation/</w:t>
        </w:r>
      </w:hyperlink>
      <w:r>
        <w:rPr>
          <w:rFonts w:ascii="Times New Roman" w:hAnsi="Times New Roman"/>
        </w:rPr>
        <w:t xml:space="preserve"> </w:t>
      </w:r>
    </w:p>
  </w:footnote>
  <w:footnote w:id="21">
    <w:p w14:paraId="33B22E93" w14:textId="4543C8F2" w:rsidR="00FD4DAB" w:rsidRPr="00206C89" w:rsidRDefault="00FD4DAB" w:rsidP="005B4869">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w:t>
      </w:r>
      <w:r>
        <w:rPr>
          <w:rFonts w:ascii="Times New Roman" w:hAnsi="Times New Roman"/>
        </w:rPr>
        <w:tab/>
      </w:r>
      <w:hyperlink r:id="rId16" w:history="1">
        <w:r>
          <w:rPr>
            <w:rStyle w:val="Hyperlink"/>
            <w:rFonts w:ascii="Times New Roman" w:hAnsi="Times New Roman"/>
          </w:rPr>
          <w:t>https://www.consilium.europa.eu/fr/press/press-releases/2022/06/16/council-recommends-european-approach-to-micro-credentials/</w:t>
        </w:r>
      </w:hyperlink>
      <w:r>
        <w:rPr>
          <w:rFonts w:ascii="Times New Roman" w:hAnsi="Times New Roman"/>
        </w:rPr>
        <w:t xml:space="preserve"> </w:t>
      </w:r>
    </w:p>
  </w:footnote>
  <w:footnote w:id="22">
    <w:p w14:paraId="7DD0BA45" w14:textId="133F271B" w:rsidR="00FD4DAB" w:rsidRPr="00CA621C" w:rsidRDefault="00FD4DAB" w:rsidP="00EA51F1">
      <w:pPr>
        <w:pStyle w:val="FootnoteText"/>
        <w:spacing w:after="0"/>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hyperlink r:id="rId17" w:history="1">
        <w:r>
          <w:rPr>
            <w:rStyle w:val="Hyperlink"/>
            <w:rFonts w:ascii="Times New Roman" w:hAnsi="Times New Roman"/>
          </w:rPr>
          <w:t>https://eur-lex.europa.eu/legal-content/FR/TXT/?uri=celex%3A32022H0627%2803%29</w:t>
        </w:r>
      </w:hyperlink>
      <w:r>
        <w:t xml:space="preserve"> </w:t>
      </w:r>
    </w:p>
  </w:footnote>
  <w:footnote w:id="23">
    <w:p w14:paraId="49AE7128" w14:textId="1DFF3EE1" w:rsidR="005B4869" w:rsidRPr="00206C89" w:rsidRDefault="005B4869" w:rsidP="00DC6E10">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hyperlink r:id="rId18" w:history="1">
        <w:r>
          <w:rPr>
            <w:rStyle w:val="Hyperlink"/>
            <w:rFonts w:ascii="Times New Roman" w:hAnsi="Times New Roman"/>
          </w:rPr>
          <w:t>https://epale.ec.europa.eu/fr</w:t>
        </w:r>
      </w:hyperlink>
      <w:r>
        <w:rPr>
          <w:rFonts w:ascii="Times New Roman" w:hAnsi="Times New Roman"/>
        </w:rPr>
        <w:t xml:space="preserve"> </w:t>
      </w:r>
    </w:p>
  </w:footnote>
  <w:footnote w:id="24">
    <w:p w14:paraId="24340C9C" w14:textId="09496DDC" w:rsidR="00B012BD" w:rsidRPr="00206C89" w:rsidRDefault="00B012BD" w:rsidP="00DC6E10">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w:t>
      </w:r>
      <w:r>
        <w:rPr>
          <w:rFonts w:ascii="Times New Roman" w:hAnsi="Times New Roman"/>
        </w:rPr>
        <w:tab/>
      </w:r>
      <w:hyperlink r:id="rId19" w:history="1">
        <w:r>
          <w:rPr>
            <w:rStyle w:val="Hyperlink"/>
            <w:rFonts w:ascii="Times New Roman" w:hAnsi="Times New Roman"/>
          </w:rPr>
          <w:t>https://www.consilium.europa.eu/fr/press/press-releases/2023/11/23/digital-skills-and-competences-and-successful-digital-education-and-training-fit-for-the-digital-era/</w:t>
        </w:r>
      </w:hyperlink>
      <w:r>
        <w:rPr>
          <w:rFonts w:ascii="Times New Roman" w:hAnsi="Times New Roman"/>
        </w:rPr>
        <w:t xml:space="preserve"> </w:t>
      </w:r>
    </w:p>
  </w:footnote>
  <w:footnote w:id="25">
    <w:p w14:paraId="44C8D6A4" w14:textId="22F8BEA1" w:rsidR="00C64B35" w:rsidRPr="00CA621C" w:rsidRDefault="00C64B35" w:rsidP="00DC6E10">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hyperlink r:id="rId20" w:history="1">
        <w:r>
          <w:rPr>
            <w:rStyle w:val="Hyperlink"/>
            <w:rFonts w:ascii="Times New Roman" w:hAnsi="Times New Roman"/>
          </w:rPr>
          <w:t>https://data.consilium.europa.eu/doc/document/ST-15741-2023-INIT/fr/pdf</w:t>
        </w:r>
      </w:hyperlink>
      <w:r>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C5F6A" w14:textId="77777777" w:rsidR="00206C89" w:rsidRDefault="00206C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1CF00" w14:textId="77777777" w:rsidR="00206C89" w:rsidRDefault="00206C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15E6C" w14:textId="77777777" w:rsidR="00206C89" w:rsidRDefault="00206C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0D29D3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3" w15:restartNumberingAfterBreak="0">
    <w:nsid w:val="03C8321C"/>
    <w:multiLevelType w:val="hybridMultilevel"/>
    <w:tmpl w:val="E75EBFFA"/>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DA159C"/>
    <w:multiLevelType w:val="hybridMultilevel"/>
    <w:tmpl w:val="62EA216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8"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9"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2973D2"/>
    <w:multiLevelType w:val="hybridMultilevel"/>
    <w:tmpl w:val="7A44FFA2"/>
    <w:lvl w:ilvl="0" w:tplc="8D8E0ED0">
      <w:start w:val="1"/>
      <w:numFmt w:val="decimal"/>
      <w:lvlText w:val="%1."/>
      <w:lvlJc w:val="left"/>
      <w:pPr>
        <w:ind w:left="720" w:hanging="720"/>
      </w:pPr>
      <w:rPr>
        <w:rFonts w:ascii="Times New Roman" w:hAnsi="Times New Roman" w:cs="Times New Roman" w:hint="default"/>
        <w:b/>
        <w:i w:val="0"/>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19D23947"/>
    <w:multiLevelType w:val="hybridMultilevel"/>
    <w:tmpl w:val="A4003DA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2" w15:restartNumberingAfterBreak="0">
    <w:nsid w:val="1ADD40A3"/>
    <w:multiLevelType w:val="multilevel"/>
    <w:tmpl w:val="C8AAA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4" w15:restartNumberingAfterBreak="0">
    <w:nsid w:val="1FFE0E5C"/>
    <w:multiLevelType w:val="hybridMultilevel"/>
    <w:tmpl w:val="34ECC75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7" w15:restartNumberingAfterBreak="0">
    <w:nsid w:val="2BBE5D05"/>
    <w:multiLevelType w:val="hybridMultilevel"/>
    <w:tmpl w:val="F7FE6A86"/>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20"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FE90F64"/>
    <w:multiLevelType w:val="hybridMultilevel"/>
    <w:tmpl w:val="4DB20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393755"/>
    <w:multiLevelType w:val="hybridMultilevel"/>
    <w:tmpl w:val="2046894C"/>
    <w:lvl w:ilvl="0" w:tplc="08090001">
      <w:start w:val="1"/>
      <w:numFmt w:val="bullet"/>
      <w:lvlText w:val=""/>
      <w:lvlJc w:val="left"/>
      <w:pPr>
        <w:ind w:left="4680" w:hanging="360"/>
      </w:pPr>
      <w:rPr>
        <w:rFonts w:ascii="Symbol" w:hAnsi="Symbol"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23"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6" w15:restartNumberingAfterBreak="0">
    <w:nsid w:val="5D08C642"/>
    <w:multiLevelType w:val="hybridMultilevel"/>
    <w:tmpl w:val="F52AE408"/>
    <w:lvl w:ilvl="0" w:tplc="96E097C6">
      <w:start w:val="1"/>
      <w:numFmt w:val="bullet"/>
      <w:lvlText w:val="-"/>
      <w:lvlJc w:val="left"/>
      <w:pPr>
        <w:ind w:left="720" w:hanging="360"/>
      </w:pPr>
      <w:rPr>
        <w:rFonts w:ascii="Calibri" w:hAnsi="Calibri" w:hint="default"/>
      </w:rPr>
    </w:lvl>
    <w:lvl w:ilvl="1" w:tplc="EDF2FCB4">
      <w:start w:val="1"/>
      <w:numFmt w:val="bullet"/>
      <w:lvlText w:val="o"/>
      <w:lvlJc w:val="left"/>
      <w:pPr>
        <w:ind w:left="1440" w:hanging="360"/>
      </w:pPr>
      <w:rPr>
        <w:rFonts w:ascii="Courier New" w:hAnsi="Courier New" w:hint="default"/>
      </w:rPr>
    </w:lvl>
    <w:lvl w:ilvl="2" w:tplc="4D88A88A">
      <w:start w:val="1"/>
      <w:numFmt w:val="bullet"/>
      <w:lvlText w:val=""/>
      <w:lvlJc w:val="left"/>
      <w:pPr>
        <w:ind w:left="2160" w:hanging="360"/>
      </w:pPr>
      <w:rPr>
        <w:rFonts w:ascii="Wingdings" w:hAnsi="Wingdings" w:hint="default"/>
      </w:rPr>
    </w:lvl>
    <w:lvl w:ilvl="3" w:tplc="290034BE">
      <w:start w:val="1"/>
      <w:numFmt w:val="bullet"/>
      <w:lvlText w:val=""/>
      <w:lvlJc w:val="left"/>
      <w:pPr>
        <w:ind w:left="2880" w:hanging="360"/>
      </w:pPr>
      <w:rPr>
        <w:rFonts w:ascii="Symbol" w:hAnsi="Symbol" w:hint="default"/>
      </w:rPr>
    </w:lvl>
    <w:lvl w:ilvl="4" w:tplc="E9002516">
      <w:start w:val="1"/>
      <w:numFmt w:val="bullet"/>
      <w:lvlText w:val="o"/>
      <w:lvlJc w:val="left"/>
      <w:pPr>
        <w:ind w:left="3600" w:hanging="360"/>
      </w:pPr>
      <w:rPr>
        <w:rFonts w:ascii="Courier New" w:hAnsi="Courier New" w:hint="default"/>
      </w:rPr>
    </w:lvl>
    <w:lvl w:ilvl="5" w:tplc="145098EE">
      <w:start w:val="1"/>
      <w:numFmt w:val="bullet"/>
      <w:lvlText w:val=""/>
      <w:lvlJc w:val="left"/>
      <w:pPr>
        <w:ind w:left="4320" w:hanging="360"/>
      </w:pPr>
      <w:rPr>
        <w:rFonts w:ascii="Wingdings" w:hAnsi="Wingdings" w:hint="default"/>
      </w:rPr>
    </w:lvl>
    <w:lvl w:ilvl="6" w:tplc="72686CBC">
      <w:start w:val="1"/>
      <w:numFmt w:val="bullet"/>
      <w:lvlText w:val=""/>
      <w:lvlJc w:val="left"/>
      <w:pPr>
        <w:ind w:left="5040" w:hanging="360"/>
      </w:pPr>
      <w:rPr>
        <w:rFonts w:ascii="Symbol" w:hAnsi="Symbol" w:hint="default"/>
      </w:rPr>
    </w:lvl>
    <w:lvl w:ilvl="7" w:tplc="BF98C25A">
      <w:start w:val="1"/>
      <w:numFmt w:val="bullet"/>
      <w:lvlText w:val="o"/>
      <w:lvlJc w:val="left"/>
      <w:pPr>
        <w:ind w:left="5760" w:hanging="360"/>
      </w:pPr>
      <w:rPr>
        <w:rFonts w:ascii="Courier New" w:hAnsi="Courier New" w:hint="default"/>
      </w:rPr>
    </w:lvl>
    <w:lvl w:ilvl="8" w:tplc="9876588C">
      <w:start w:val="1"/>
      <w:numFmt w:val="bullet"/>
      <w:lvlText w:val=""/>
      <w:lvlJc w:val="left"/>
      <w:pPr>
        <w:ind w:left="6480" w:hanging="360"/>
      </w:pPr>
      <w:rPr>
        <w:rFonts w:ascii="Wingdings" w:hAnsi="Wingdings" w:hint="default"/>
      </w:rPr>
    </w:lvl>
  </w:abstractNum>
  <w:abstractNum w:abstractNumId="27" w15:restartNumberingAfterBreak="0">
    <w:nsid w:val="641002BF"/>
    <w:multiLevelType w:val="hybridMultilevel"/>
    <w:tmpl w:val="F1CEEE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B35EA8"/>
    <w:multiLevelType w:val="hybridMultilevel"/>
    <w:tmpl w:val="205E3B2C"/>
    <w:lvl w:ilvl="0" w:tplc="1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65BA0165"/>
    <w:multiLevelType w:val="hybridMultilevel"/>
    <w:tmpl w:val="FFFFFFFF"/>
    <w:lvl w:ilvl="0" w:tplc="1EB8F5F8">
      <w:start w:val="1"/>
      <w:numFmt w:val="bullet"/>
      <w:lvlText w:val="·"/>
      <w:lvlJc w:val="left"/>
      <w:pPr>
        <w:ind w:left="720" w:hanging="360"/>
      </w:pPr>
      <w:rPr>
        <w:rFonts w:ascii="Symbol" w:hAnsi="Symbol" w:hint="default"/>
      </w:rPr>
    </w:lvl>
    <w:lvl w:ilvl="1" w:tplc="D5FCA476">
      <w:start w:val="1"/>
      <w:numFmt w:val="bullet"/>
      <w:lvlText w:val="o"/>
      <w:lvlJc w:val="left"/>
      <w:pPr>
        <w:ind w:left="1440" w:hanging="360"/>
      </w:pPr>
      <w:rPr>
        <w:rFonts w:ascii="Courier New" w:hAnsi="Courier New" w:hint="default"/>
      </w:rPr>
    </w:lvl>
    <w:lvl w:ilvl="2" w:tplc="ACACB1D4">
      <w:start w:val="1"/>
      <w:numFmt w:val="bullet"/>
      <w:lvlText w:val=""/>
      <w:lvlJc w:val="left"/>
      <w:pPr>
        <w:ind w:left="2160" w:hanging="360"/>
      </w:pPr>
      <w:rPr>
        <w:rFonts w:ascii="Wingdings" w:hAnsi="Wingdings" w:hint="default"/>
      </w:rPr>
    </w:lvl>
    <w:lvl w:ilvl="3" w:tplc="C99E31EA">
      <w:start w:val="1"/>
      <w:numFmt w:val="bullet"/>
      <w:lvlText w:val=""/>
      <w:lvlJc w:val="left"/>
      <w:pPr>
        <w:ind w:left="2880" w:hanging="360"/>
      </w:pPr>
      <w:rPr>
        <w:rFonts w:ascii="Symbol" w:hAnsi="Symbol" w:hint="default"/>
      </w:rPr>
    </w:lvl>
    <w:lvl w:ilvl="4" w:tplc="4322DF24">
      <w:start w:val="1"/>
      <w:numFmt w:val="bullet"/>
      <w:lvlText w:val="o"/>
      <w:lvlJc w:val="left"/>
      <w:pPr>
        <w:ind w:left="3600" w:hanging="360"/>
      </w:pPr>
      <w:rPr>
        <w:rFonts w:ascii="Courier New" w:hAnsi="Courier New" w:hint="default"/>
      </w:rPr>
    </w:lvl>
    <w:lvl w:ilvl="5" w:tplc="EEACCCEE">
      <w:start w:val="1"/>
      <w:numFmt w:val="bullet"/>
      <w:lvlText w:val=""/>
      <w:lvlJc w:val="left"/>
      <w:pPr>
        <w:ind w:left="4320" w:hanging="360"/>
      </w:pPr>
      <w:rPr>
        <w:rFonts w:ascii="Wingdings" w:hAnsi="Wingdings" w:hint="default"/>
      </w:rPr>
    </w:lvl>
    <w:lvl w:ilvl="6" w:tplc="41B05198">
      <w:start w:val="1"/>
      <w:numFmt w:val="bullet"/>
      <w:lvlText w:val=""/>
      <w:lvlJc w:val="left"/>
      <w:pPr>
        <w:ind w:left="5040" w:hanging="360"/>
      </w:pPr>
      <w:rPr>
        <w:rFonts w:ascii="Symbol" w:hAnsi="Symbol" w:hint="default"/>
      </w:rPr>
    </w:lvl>
    <w:lvl w:ilvl="7" w:tplc="95F68BCC">
      <w:start w:val="1"/>
      <w:numFmt w:val="bullet"/>
      <w:lvlText w:val="o"/>
      <w:lvlJc w:val="left"/>
      <w:pPr>
        <w:ind w:left="5760" w:hanging="360"/>
      </w:pPr>
      <w:rPr>
        <w:rFonts w:ascii="Courier New" w:hAnsi="Courier New" w:hint="default"/>
      </w:rPr>
    </w:lvl>
    <w:lvl w:ilvl="8" w:tplc="A6382F66">
      <w:start w:val="1"/>
      <w:numFmt w:val="bullet"/>
      <w:lvlText w:val=""/>
      <w:lvlJc w:val="left"/>
      <w:pPr>
        <w:ind w:left="6480" w:hanging="360"/>
      </w:pPr>
      <w:rPr>
        <w:rFonts w:ascii="Wingdings" w:hAnsi="Wingdings" w:hint="default"/>
      </w:rPr>
    </w:lvl>
  </w:abstractNum>
  <w:abstractNum w:abstractNumId="30"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33" w15:restartNumberingAfterBreak="0">
    <w:nsid w:val="728475BA"/>
    <w:multiLevelType w:val="hybridMultilevel"/>
    <w:tmpl w:val="6B18EF24"/>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73C6D64A"/>
    <w:multiLevelType w:val="hybridMultilevel"/>
    <w:tmpl w:val="7ABCED22"/>
    <w:lvl w:ilvl="0" w:tplc="C3E6D970">
      <w:start w:val="1"/>
      <w:numFmt w:val="bullet"/>
      <w:lvlText w:val="·"/>
      <w:lvlJc w:val="left"/>
      <w:pPr>
        <w:ind w:left="720" w:hanging="360"/>
      </w:pPr>
      <w:rPr>
        <w:rFonts w:ascii="Symbol" w:hAnsi="Symbol" w:hint="default"/>
      </w:rPr>
    </w:lvl>
    <w:lvl w:ilvl="1" w:tplc="3D80EC3C">
      <w:start w:val="1"/>
      <w:numFmt w:val="bullet"/>
      <w:lvlText w:val="o"/>
      <w:lvlJc w:val="left"/>
      <w:pPr>
        <w:ind w:left="1440" w:hanging="360"/>
      </w:pPr>
      <w:rPr>
        <w:rFonts w:ascii="Courier New" w:hAnsi="Courier New" w:hint="default"/>
      </w:rPr>
    </w:lvl>
    <w:lvl w:ilvl="2" w:tplc="496C19B8">
      <w:start w:val="1"/>
      <w:numFmt w:val="bullet"/>
      <w:lvlText w:val=""/>
      <w:lvlJc w:val="left"/>
      <w:pPr>
        <w:ind w:left="2160" w:hanging="360"/>
      </w:pPr>
      <w:rPr>
        <w:rFonts w:ascii="Wingdings" w:hAnsi="Wingdings" w:hint="default"/>
      </w:rPr>
    </w:lvl>
    <w:lvl w:ilvl="3" w:tplc="2A10F03E">
      <w:start w:val="1"/>
      <w:numFmt w:val="bullet"/>
      <w:lvlText w:val=""/>
      <w:lvlJc w:val="left"/>
      <w:pPr>
        <w:ind w:left="2880" w:hanging="360"/>
      </w:pPr>
      <w:rPr>
        <w:rFonts w:ascii="Symbol" w:hAnsi="Symbol" w:hint="default"/>
      </w:rPr>
    </w:lvl>
    <w:lvl w:ilvl="4" w:tplc="F9BE735E">
      <w:start w:val="1"/>
      <w:numFmt w:val="bullet"/>
      <w:lvlText w:val="o"/>
      <w:lvlJc w:val="left"/>
      <w:pPr>
        <w:ind w:left="3600" w:hanging="360"/>
      </w:pPr>
      <w:rPr>
        <w:rFonts w:ascii="Courier New" w:hAnsi="Courier New" w:hint="default"/>
      </w:rPr>
    </w:lvl>
    <w:lvl w:ilvl="5" w:tplc="68CA89F0">
      <w:start w:val="1"/>
      <w:numFmt w:val="bullet"/>
      <w:lvlText w:val=""/>
      <w:lvlJc w:val="left"/>
      <w:pPr>
        <w:ind w:left="4320" w:hanging="360"/>
      </w:pPr>
      <w:rPr>
        <w:rFonts w:ascii="Wingdings" w:hAnsi="Wingdings" w:hint="default"/>
      </w:rPr>
    </w:lvl>
    <w:lvl w:ilvl="6" w:tplc="20B89C28">
      <w:start w:val="1"/>
      <w:numFmt w:val="bullet"/>
      <w:lvlText w:val=""/>
      <w:lvlJc w:val="left"/>
      <w:pPr>
        <w:ind w:left="5040" w:hanging="360"/>
      </w:pPr>
      <w:rPr>
        <w:rFonts w:ascii="Symbol" w:hAnsi="Symbol" w:hint="default"/>
      </w:rPr>
    </w:lvl>
    <w:lvl w:ilvl="7" w:tplc="369A1A44">
      <w:start w:val="1"/>
      <w:numFmt w:val="bullet"/>
      <w:lvlText w:val="o"/>
      <w:lvlJc w:val="left"/>
      <w:pPr>
        <w:ind w:left="5760" w:hanging="360"/>
      </w:pPr>
      <w:rPr>
        <w:rFonts w:ascii="Courier New" w:hAnsi="Courier New" w:hint="default"/>
      </w:rPr>
    </w:lvl>
    <w:lvl w:ilvl="8" w:tplc="0930CF2C">
      <w:start w:val="1"/>
      <w:numFmt w:val="bullet"/>
      <w:lvlText w:val=""/>
      <w:lvlJc w:val="left"/>
      <w:pPr>
        <w:ind w:left="6480" w:hanging="360"/>
      </w:pPr>
      <w:rPr>
        <w:rFonts w:ascii="Wingdings" w:hAnsi="Wingdings" w:hint="default"/>
      </w:rPr>
    </w:lvl>
  </w:abstractNum>
  <w:abstractNum w:abstractNumId="35" w15:restartNumberingAfterBreak="0">
    <w:nsid w:val="746C1691"/>
    <w:multiLevelType w:val="hybridMultilevel"/>
    <w:tmpl w:val="082CD174"/>
    <w:lvl w:ilvl="0" w:tplc="3228B35C">
      <w:start w:val="1"/>
      <w:numFmt w:val="bullet"/>
      <w:lvlText w:val="-"/>
      <w:lvlJc w:val="left"/>
      <w:pPr>
        <w:ind w:left="720" w:hanging="360"/>
      </w:pPr>
      <w:rPr>
        <w:rFonts w:ascii="Courier New" w:hAnsi="Courier New" w:hint="default"/>
      </w:rPr>
    </w:lvl>
    <w:lvl w:ilvl="1" w:tplc="F446BD72">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55933D9"/>
    <w:multiLevelType w:val="hybridMultilevel"/>
    <w:tmpl w:val="B9D46C0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67545DE"/>
    <w:multiLevelType w:val="hybridMultilevel"/>
    <w:tmpl w:val="2E307808"/>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387D4F"/>
    <w:multiLevelType w:val="hybridMultilevel"/>
    <w:tmpl w:val="48FE8F34"/>
    <w:lvl w:ilvl="0" w:tplc="FFFFFFFF">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1" w15:restartNumberingAfterBreak="0">
    <w:nsid w:val="777B832F"/>
    <w:multiLevelType w:val="hybridMultilevel"/>
    <w:tmpl w:val="2AF8EE08"/>
    <w:lvl w:ilvl="0" w:tplc="2C924D2C">
      <w:start w:val="1"/>
      <w:numFmt w:val="bullet"/>
      <w:lvlText w:val="·"/>
      <w:lvlJc w:val="left"/>
      <w:pPr>
        <w:ind w:left="720" w:hanging="360"/>
      </w:pPr>
      <w:rPr>
        <w:rFonts w:ascii="Symbol" w:hAnsi="Symbol" w:hint="default"/>
      </w:rPr>
    </w:lvl>
    <w:lvl w:ilvl="1" w:tplc="0A4E9484">
      <w:start w:val="1"/>
      <w:numFmt w:val="bullet"/>
      <w:lvlText w:val="o"/>
      <w:lvlJc w:val="left"/>
      <w:pPr>
        <w:ind w:left="1440" w:hanging="360"/>
      </w:pPr>
      <w:rPr>
        <w:rFonts w:ascii="Courier New" w:hAnsi="Courier New" w:hint="default"/>
      </w:rPr>
    </w:lvl>
    <w:lvl w:ilvl="2" w:tplc="2222D39E">
      <w:start w:val="1"/>
      <w:numFmt w:val="bullet"/>
      <w:lvlText w:val=""/>
      <w:lvlJc w:val="left"/>
      <w:pPr>
        <w:ind w:left="2160" w:hanging="360"/>
      </w:pPr>
      <w:rPr>
        <w:rFonts w:ascii="Wingdings" w:hAnsi="Wingdings" w:hint="default"/>
      </w:rPr>
    </w:lvl>
    <w:lvl w:ilvl="3" w:tplc="FBC2D2EE">
      <w:start w:val="1"/>
      <w:numFmt w:val="bullet"/>
      <w:lvlText w:val=""/>
      <w:lvlJc w:val="left"/>
      <w:pPr>
        <w:ind w:left="2880" w:hanging="360"/>
      </w:pPr>
      <w:rPr>
        <w:rFonts w:ascii="Symbol" w:hAnsi="Symbol" w:hint="default"/>
      </w:rPr>
    </w:lvl>
    <w:lvl w:ilvl="4" w:tplc="AB56B726">
      <w:start w:val="1"/>
      <w:numFmt w:val="bullet"/>
      <w:lvlText w:val="o"/>
      <w:lvlJc w:val="left"/>
      <w:pPr>
        <w:ind w:left="3600" w:hanging="360"/>
      </w:pPr>
      <w:rPr>
        <w:rFonts w:ascii="Courier New" w:hAnsi="Courier New" w:hint="default"/>
      </w:rPr>
    </w:lvl>
    <w:lvl w:ilvl="5" w:tplc="E3BE82EA">
      <w:start w:val="1"/>
      <w:numFmt w:val="bullet"/>
      <w:lvlText w:val=""/>
      <w:lvlJc w:val="left"/>
      <w:pPr>
        <w:ind w:left="4320" w:hanging="360"/>
      </w:pPr>
      <w:rPr>
        <w:rFonts w:ascii="Wingdings" w:hAnsi="Wingdings" w:hint="default"/>
      </w:rPr>
    </w:lvl>
    <w:lvl w:ilvl="6" w:tplc="EB7C9944">
      <w:start w:val="1"/>
      <w:numFmt w:val="bullet"/>
      <w:lvlText w:val=""/>
      <w:lvlJc w:val="left"/>
      <w:pPr>
        <w:ind w:left="5040" w:hanging="360"/>
      </w:pPr>
      <w:rPr>
        <w:rFonts w:ascii="Symbol" w:hAnsi="Symbol" w:hint="default"/>
      </w:rPr>
    </w:lvl>
    <w:lvl w:ilvl="7" w:tplc="45869536">
      <w:start w:val="1"/>
      <w:numFmt w:val="bullet"/>
      <w:lvlText w:val="o"/>
      <w:lvlJc w:val="left"/>
      <w:pPr>
        <w:ind w:left="5760" w:hanging="360"/>
      </w:pPr>
      <w:rPr>
        <w:rFonts w:ascii="Courier New" w:hAnsi="Courier New" w:hint="default"/>
      </w:rPr>
    </w:lvl>
    <w:lvl w:ilvl="8" w:tplc="D4AC7F60">
      <w:start w:val="1"/>
      <w:numFmt w:val="bullet"/>
      <w:lvlText w:val=""/>
      <w:lvlJc w:val="left"/>
      <w:pPr>
        <w:ind w:left="6480" w:hanging="360"/>
      </w:pPr>
      <w:rPr>
        <w:rFonts w:ascii="Wingdings" w:hAnsi="Wingdings" w:hint="default"/>
      </w:rPr>
    </w:lvl>
  </w:abstractNum>
  <w:abstractNum w:abstractNumId="42"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43"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44" w15:restartNumberingAfterBreak="0">
    <w:nsid w:val="7CF01952"/>
    <w:multiLevelType w:val="hybridMultilevel"/>
    <w:tmpl w:val="FFFFFFFF"/>
    <w:lvl w:ilvl="0" w:tplc="E3BAFB56">
      <w:start w:val="1"/>
      <w:numFmt w:val="bullet"/>
      <w:lvlText w:val="·"/>
      <w:lvlJc w:val="left"/>
      <w:pPr>
        <w:ind w:left="720" w:hanging="360"/>
      </w:pPr>
      <w:rPr>
        <w:rFonts w:ascii="Symbol" w:hAnsi="Symbol" w:hint="default"/>
      </w:rPr>
    </w:lvl>
    <w:lvl w:ilvl="1" w:tplc="D146E836">
      <w:start w:val="1"/>
      <w:numFmt w:val="bullet"/>
      <w:lvlText w:val="o"/>
      <w:lvlJc w:val="left"/>
      <w:pPr>
        <w:ind w:left="1440" w:hanging="360"/>
      </w:pPr>
      <w:rPr>
        <w:rFonts w:ascii="Courier New" w:hAnsi="Courier New" w:hint="default"/>
      </w:rPr>
    </w:lvl>
    <w:lvl w:ilvl="2" w:tplc="0750E862">
      <w:start w:val="1"/>
      <w:numFmt w:val="bullet"/>
      <w:lvlText w:val=""/>
      <w:lvlJc w:val="left"/>
      <w:pPr>
        <w:ind w:left="2160" w:hanging="360"/>
      </w:pPr>
      <w:rPr>
        <w:rFonts w:ascii="Wingdings" w:hAnsi="Wingdings" w:hint="default"/>
      </w:rPr>
    </w:lvl>
    <w:lvl w:ilvl="3" w:tplc="B912799E">
      <w:start w:val="1"/>
      <w:numFmt w:val="bullet"/>
      <w:lvlText w:val=""/>
      <w:lvlJc w:val="left"/>
      <w:pPr>
        <w:ind w:left="2880" w:hanging="360"/>
      </w:pPr>
      <w:rPr>
        <w:rFonts w:ascii="Symbol" w:hAnsi="Symbol" w:hint="default"/>
      </w:rPr>
    </w:lvl>
    <w:lvl w:ilvl="4" w:tplc="2FDEDAD0">
      <w:start w:val="1"/>
      <w:numFmt w:val="bullet"/>
      <w:lvlText w:val="o"/>
      <w:lvlJc w:val="left"/>
      <w:pPr>
        <w:ind w:left="3600" w:hanging="360"/>
      </w:pPr>
      <w:rPr>
        <w:rFonts w:ascii="Courier New" w:hAnsi="Courier New" w:hint="default"/>
      </w:rPr>
    </w:lvl>
    <w:lvl w:ilvl="5" w:tplc="EF9CE2B8">
      <w:start w:val="1"/>
      <w:numFmt w:val="bullet"/>
      <w:lvlText w:val=""/>
      <w:lvlJc w:val="left"/>
      <w:pPr>
        <w:ind w:left="4320" w:hanging="360"/>
      </w:pPr>
      <w:rPr>
        <w:rFonts w:ascii="Wingdings" w:hAnsi="Wingdings" w:hint="default"/>
      </w:rPr>
    </w:lvl>
    <w:lvl w:ilvl="6" w:tplc="582E5370">
      <w:start w:val="1"/>
      <w:numFmt w:val="bullet"/>
      <w:lvlText w:val=""/>
      <w:lvlJc w:val="left"/>
      <w:pPr>
        <w:ind w:left="5040" w:hanging="360"/>
      </w:pPr>
      <w:rPr>
        <w:rFonts w:ascii="Symbol" w:hAnsi="Symbol" w:hint="default"/>
      </w:rPr>
    </w:lvl>
    <w:lvl w:ilvl="7" w:tplc="4274BB42">
      <w:start w:val="1"/>
      <w:numFmt w:val="bullet"/>
      <w:lvlText w:val="o"/>
      <w:lvlJc w:val="left"/>
      <w:pPr>
        <w:ind w:left="5760" w:hanging="360"/>
      </w:pPr>
      <w:rPr>
        <w:rFonts w:ascii="Courier New" w:hAnsi="Courier New" w:hint="default"/>
      </w:rPr>
    </w:lvl>
    <w:lvl w:ilvl="8" w:tplc="86C247E8">
      <w:start w:val="1"/>
      <w:numFmt w:val="bullet"/>
      <w:lvlText w:val=""/>
      <w:lvlJc w:val="left"/>
      <w:pPr>
        <w:ind w:left="6480" w:hanging="360"/>
      </w:pPr>
      <w:rPr>
        <w:rFonts w:ascii="Wingdings" w:hAnsi="Wingdings" w:hint="default"/>
      </w:rPr>
    </w:lvl>
  </w:abstractNum>
  <w:abstractNum w:abstractNumId="45"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862405645">
    <w:abstractNumId w:val="41"/>
  </w:num>
  <w:num w:numId="2" w16cid:durableId="748504678">
    <w:abstractNumId w:val="44"/>
  </w:num>
  <w:num w:numId="3" w16cid:durableId="1547569351">
    <w:abstractNumId w:val="29"/>
  </w:num>
  <w:num w:numId="4" w16cid:durableId="1712221831">
    <w:abstractNumId w:val="26"/>
  </w:num>
  <w:num w:numId="5" w16cid:durableId="1182672168">
    <w:abstractNumId w:val="8"/>
  </w:num>
  <w:num w:numId="6" w16cid:durableId="1731419247">
    <w:abstractNumId w:val="2"/>
  </w:num>
  <w:num w:numId="7" w16cid:durableId="770929542">
    <w:abstractNumId w:val="43"/>
  </w:num>
  <w:num w:numId="8" w16cid:durableId="810947831">
    <w:abstractNumId w:val="16"/>
  </w:num>
  <w:num w:numId="9" w16cid:durableId="437523508">
    <w:abstractNumId w:val="32"/>
  </w:num>
  <w:num w:numId="10" w16cid:durableId="890962466">
    <w:abstractNumId w:val="13"/>
  </w:num>
  <w:num w:numId="11" w16cid:durableId="1927500062">
    <w:abstractNumId w:val="7"/>
  </w:num>
  <w:num w:numId="12" w16cid:durableId="634918359">
    <w:abstractNumId w:val="19"/>
  </w:num>
  <w:num w:numId="13" w16cid:durableId="828833886">
    <w:abstractNumId w:val="42"/>
  </w:num>
  <w:num w:numId="14" w16cid:durableId="1046027966">
    <w:abstractNumId w:val="25"/>
  </w:num>
  <w:num w:numId="15" w16cid:durableId="484664273">
    <w:abstractNumId w:val="30"/>
  </w:num>
  <w:num w:numId="16" w16cid:durableId="2092509106">
    <w:abstractNumId w:val="15"/>
  </w:num>
  <w:num w:numId="17" w16cid:durableId="368725495">
    <w:abstractNumId w:val="20"/>
  </w:num>
  <w:num w:numId="18" w16cid:durableId="479271977">
    <w:abstractNumId w:val="36"/>
  </w:num>
  <w:num w:numId="19" w16cid:durableId="1792741200">
    <w:abstractNumId w:val="18"/>
  </w:num>
  <w:num w:numId="20" w16cid:durableId="1227378138">
    <w:abstractNumId w:val="45"/>
  </w:num>
  <w:num w:numId="21" w16cid:durableId="718364123">
    <w:abstractNumId w:val="39"/>
  </w:num>
  <w:num w:numId="22" w16cid:durableId="668020715">
    <w:abstractNumId w:val="23"/>
  </w:num>
  <w:num w:numId="23" w16cid:durableId="818695808">
    <w:abstractNumId w:val="24"/>
  </w:num>
  <w:num w:numId="24" w16cid:durableId="947388835">
    <w:abstractNumId w:val="31"/>
  </w:num>
  <w:num w:numId="25" w16cid:durableId="1476097278">
    <w:abstractNumId w:val="4"/>
  </w:num>
  <w:num w:numId="26" w16cid:durableId="1353147744">
    <w:abstractNumId w:val="5"/>
  </w:num>
  <w:num w:numId="27" w16cid:durableId="1779593453">
    <w:abstractNumId w:val="22"/>
  </w:num>
  <w:num w:numId="28" w16cid:durableId="1889299408">
    <w:abstractNumId w:val="37"/>
  </w:num>
  <w:num w:numId="29" w16cid:durableId="501236151">
    <w:abstractNumId w:val="11"/>
  </w:num>
  <w:num w:numId="30" w16cid:durableId="517545695">
    <w:abstractNumId w:val="38"/>
  </w:num>
  <w:num w:numId="31" w16cid:durableId="635911546">
    <w:abstractNumId w:val="10"/>
  </w:num>
  <w:num w:numId="32" w16cid:durableId="1494223597">
    <w:abstractNumId w:val="3"/>
  </w:num>
  <w:num w:numId="33" w16cid:durableId="17315654">
    <w:abstractNumId w:val="17"/>
  </w:num>
  <w:num w:numId="34" w16cid:durableId="540897911">
    <w:abstractNumId w:val="27"/>
  </w:num>
  <w:num w:numId="35" w16cid:durableId="680593784">
    <w:abstractNumId w:val="43"/>
  </w:num>
  <w:num w:numId="36" w16cid:durableId="595482187">
    <w:abstractNumId w:val="35"/>
  </w:num>
  <w:num w:numId="37" w16cid:durableId="559101005">
    <w:abstractNumId w:val="40"/>
  </w:num>
  <w:num w:numId="38" w16cid:durableId="723258943">
    <w:abstractNumId w:val="34"/>
  </w:num>
  <w:num w:numId="39" w16cid:durableId="1432581839">
    <w:abstractNumId w:val="21"/>
  </w:num>
  <w:num w:numId="40" w16cid:durableId="1185939828">
    <w:abstractNumId w:val="6"/>
  </w:num>
  <w:num w:numId="41" w16cid:durableId="2045977000">
    <w:abstractNumId w:val="28"/>
  </w:num>
  <w:num w:numId="42" w16cid:durableId="1617250825">
    <w:abstractNumId w:val="0"/>
  </w:num>
  <w:num w:numId="43" w16cid:durableId="1724215058">
    <w:abstractNumId w:val="0"/>
  </w:num>
  <w:num w:numId="44" w16cid:durableId="1894854066">
    <w:abstractNumId w:val="0"/>
  </w:num>
  <w:num w:numId="45" w16cid:durableId="187333837">
    <w:abstractNumId w:val="0"/>
  </w:num>
  <w:num w:numId="46" w16cid:durableId="574357627">
    <w:abstractNumId w:val="33"/>
  </w:num>
  <w:num w:numId="47" w16cid:durableId="347830297">
    <w:abstractNumId w:val="12"/>
  </w:num>
  <w:num w:numId="48" w16cid:durableId="97068278">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TEL"/>
  </w:docVars>
  <w:rsids>
    <w:rsidRoot w:val="009A3DA0"/>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1E7A"/>
    <w:rsid w:val="000021E5"/>
    <w:rsid w:val="000023BA"/>
    <w:rsid w:val="000024E2"/>
    <w:rsid w:val="0000279C"/>
    <w:rsid w:val="00002CF6"/>
    <w:rsid w:val="000031B6"/>
    <w:rsid w:val="00003423"/>
    <w:rsid w:val="00003511"/>
    <w:rsid w:val="00003524"/>
    <w:rsid w:val="00003652"/>
    <w:rsid w:val="00003862"/>
    <w:rsid w:val="00003C85"/>
    <w:rsid w:val="00004288"/>
    <w:rsid w:val="0000450D"/>
    <w:rsid w:val="000046C1"/>
    <w:rsid w:val="000048D8"/>
    <w:rsid w:val="00004C3F"/>
    <w:rsid w:val="0000525F"/>
    <w:rsid w:val="000054A7"/>
    <w:rsid w:val="00005541"/>
    <w:rsid w:val="000058C9"/>
    <w:rsid w:val="00005961"/>
    <w:rsid w:val="00005D46"/>
    <w:rsid w:val="00005DE3"/>
    <w:rsid w:val="0000613E"/>
    <w:rsid w:val="00006304"/>
    <w:rsid w:val="000064C3"/>
    <w:rsid w:val="0000679D"/>
    <w:rsid w:val="000068F7"/>
    <w:rsid w:val="00006B10"/>
    <w:rsid w:val="00006C43"/>
    <w:rsid w:val="00006F0E"/>
    <w:rsid w:val="0000749B"/>
    <w:rsid w:val="000074BB"/>
    <w:rsid w:val="000075DF"/>
    <w:rsid w:val="000078A5"/>
    <w:rsid w:val="00007CED"/>
    <w:rsid w:val="00007ECC"/>
    <w:rsid w:val="000101A3"/>
    <w:rsid w:val="00010261"/>
    <w:rsid w:val="0001047E"/>
    <w:rsid w:val="0001064E"/>
    <w:rsid w:val="00010729"/>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5A2"/>
    <w:rsid w:val="00013716"/>
    <w:rsid w:val="00013997"/>
    <w:rsid w:val="000139D8"/>
    <w:rsid w:val="00013D92"/>
    <w:rsid w:val="00013EE5"/>
    <w:rsid w:val="00014307"/>
    <w:rsid w:val="0001448B"/>
    <w:rsid w:val="000145A2"/>
    <w:rsid w:val="000146F4"/>
    <w:rsid w:val="000149EF"/>
    <w:rsid w:val="00014A71"/>
    <w:rsid w:val="00014CE1"/>
    <w:rsid w:val="00015264"/>
    <w:rsid w:val="000152CA"/>
    <w:rsid w:val="00015341"/>
    <w:rsid w:val="00015452"/>
    <w:rsid w:val="0001589A"/>
    <w:rsid w:val="00015978"/>
    <w:rsid w:val="00015A65"/>
    <w:rsid w:val="00015B9E"/>
    <w:rsid w:val="00015C38"/>
    <w:rsid w:val="00015D0D"/>
    <w:rsid w:val="00015EB6"/>
    <w:rsid w:val="00015F13"/>
    <w:rsid w:val="0001612D"/>
    <w:rsid w:val="000162A0"/>
    <w:rsid w:val="000164BD"/>
    <w:rsid w:val="000166D5"/>
    <w:rsid w:val="00016A8D"/>
    <w:rsid w:val="00016C72"/>
    <w:rsid w:val="000170C1"/>
    <w:rsid w:val="00017265"/>
    <w:rsid w:val="0001730F"/>
    <w:rsid w:val="00017430"/>
    <w:rsid w:val="000174AF"/>
    <w:rsid w:val="0001776A"/>
    <w:rsid w:val="00017883"/>
    <w:rsid w:val="00017A67"/>
    <w:rsid w:val="00017AA9"/>
    <w:rsid w:val="00017C25"/>
    <w:rsid w:val="00017F27"/>
    <w:rsid w:val="00017F3D"/>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C78"/>
    <w:rsid w:val="00023E4D"/>
    <w:rsid w:val="000240AC"/>
    <w:rsid w:val="000241F9"/>
    <w:rsid w:val="00024204"/>
    <w:rsid w:val="000242C9"/>
    <w:rsid w:val="0002435B"/>
    <w:rsid w:val="0002435F"/>
    <w:rsid w:val="0002452D"/>
    <w:rsid w:val="00024671"/>
    <w:rsid w:val="00024685"/>
    <w:rsid w:val="000248D5"/>
    <w:rsid w:val="000249F6"/>
    <w:rsid w:val="00024BE2"/>
    <w:rsid w:val="00024C5F"/>
    <w:rsid w:val="00024F7A"/>
    <w:rsid w:val="000250B7"/>
    <w:rsid w:val="00025341"/>
    <w:rsid w:val="00025501"/>
    <w:rsid w:val="0002561D"/>
    <w:rsid w:val="000259E7"/>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8B1"/>
    <w:rsid w:val="00032DC3"/>
    <w:rsid w:val="00032E4F"/>
    <w:rsid w:val="00032EDB"/>
    <w:rsid w:val="000332FE"/>
    <w:rsid w:val="000337C2"/>
    <w:rsid w:val="000338A8"/>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2A7"/>
    <w:rsid w:val="00035357"/>
    <w:rsid w:val="000355A7"/>
    <w:rsid w:val="000356EC"/>
    <w:rsid w:val="00035905"/>
    <w:rsid w:val="00035B81"/>
    <w:rsid w:val="00035CE3"/>
    <w:rsid w:val="00035FDE"/>
    <w:rsid w:val="00036009"/>
    <w:rsid w:val="00036106"/>
    <w:rsid w:val="00036177"/>
    <w:rsid w:val="0003633B"/>
    <w:rsid w:val="00037004"/>
    <w:rsid w:val="00037224"/>
    <w:rsid w:val="000372EF"/>
    <w:rsid w:val="0003737B"/>
    <w:rsid w:val="0003745C"/>
    <w:rsid w:val="0003758E"/>
    <w:rsid w:val="000375BA"/>
    <w:rsid w:val="000375BF"/>
    <w:rsid w:val="00037990"/>
    <w:rsid w:val="00037E32"/>
    <w:rsid w:val="0004000B"/>
    <w:rsid w:val="00040060"/>
    <w:rsid w:val="00040281"/>
    <w:rsid w:val="00040A13"/>
    <w:rsid w:val="00040C7A"/>
    <w:rsid w:val="00040E6E"/>
    <w:rsid w:val="0004105D"/>
    <w:rsid w:val="00041310"/>
    <w:rsid w:val="0004146E"/>
    <w:rsid w:val="000414BC"/>
    <w:rsid w:val="0004189C"/>
    <w:rsid w:val="0004193F"/>
    <w:rsid w:val="0004195A"/>
    <w:rsid w:val="00041A87"/>
    <w:rsid w:val="00041DA3"/>
    <w:rsid w:val="00041F1F"/>
    <w:rsid w:val="0004209B"/>
    <w:rsid w:val="000420DB"/>
    <w:rsid w:val="000421A1"/>
    <w:rsid w:val="00042508"/>
    <w:rsid w:val="00042A8B"/>
    <w:rsid w:val="00042E93"/>
    <w:rsid w:val="00042F4E"/>
    <w:rsid w:val="000434BD"/>
    <w:rsid w:val="000436A8"/>
    <w:rsid w:val="00043B7B"/>
    <w:rsid w:val="00043E36"/>
    <w:rsid w:val="000443C3"/>
    <w:rsid w:val="0004455F"/>
    <w:rsid w:val="00044806"/>
    <w:rsid w:val="00044A42"/>
    <w:rsid w:val="00044AB8"/>
    <w:rsid w:val="000454B2"/>
    <w:rsid w:val="00045976"/>
    <w:rsid w:val="00045E41"/>
    <w:rsid w:val="00046550"/>
    <w:rsid w:val="000466E7"/>
    <w:rsid w:val="000468E2"/>
    <w:rsid w:val="00046A3E"/>
    <w:rsid w:val="00046C6A"/>
    <w:rsid w:val="00046D8E"/>
    <w:rsid w:val="0004701B"/>
    <w:rsid w:val="00047124"/>
    <w:rsid w:val="00047444"/>
    <w:rsid w:val="00047661"/>
    <w:rsid w:val="000476C0"/>
    <w:rsid w:val="00047734"/>
    <w:rsid w:val="000477CC"/>
    <w:rsid w:val="000477EA"/>
    <w:rsid w:val="00047936"/>
    <w:rsid w:val="0004798E"/>
    <w:rsid w:val="00047BB5"/>
    <w:rsid w:val="00047D53"/>
    <w:rsid w:val="00050001"/>
    <w:rsid w:val="000502A5"/>
    <w:rsid w:val="000504A8"/>
    <w:rsid w:val="0005052B"/>
    <w:rsid w:val="000506A1"/>
    <w:rsid w:val="000508EC"/>
    <w:rsid w:val="000509DA"/>
    <w:rsid w:val="00050AFA"/>
    <w:rsid w:val="00051333"/>
    <w:rsid w:val="00051E3C"/>
    <w:rsid w:val="00051E9E"/>
    <w:rsid w:val="000520B1"/>
    <w:rsid w:val="000521C6"/>
    <w:rsid w:val="00052241"/>
    <w:rsid w:val="00052672"/>
    <w:rsid w:val="00052814"/>
    <w:rsid w:val="000529E9"/>
    <w:rsid w:val="00053766"/>
    <w:rsid w:val="00053BE0"/>
    <w:rsid w:val="00053CB9"/>
    <w:rsid w:val="00053FAD"/>
    <w:rsid w:val="000541A5"/>
    <w:rsid w:val="0005422C"/>
    <w:rsid w:val="00054C6E"/>
    <w:rsid w:val="00054C6F"/>
    <w:rsid w:val="00054DF3"/>
    <w:rsid w:val="00055034"/>
    <w:rsid w:val="000550B3"/>
    <w:rsid w:val="0005513C"/>
    <w:rsid w:val="00055234"/>
    <w:rsid w:val="00055406"/>
    <w:rsid w:val="00055569"/>
    <w:rsid w:val="00055DF6"/>
    <w:rsid w:val="00055E8E"/>
    <w:rsid w:val="00055ED8"/>
    <w:rsid w:val="000568D7"/>
    <w:rsid w:val="000568F4"/>
    <w:rsid w:val="00056C02"/>
    <w:rsid w:val="00057006"/>
    <w:rsid w:val="00057285"/>
    <w:rsid w:val="0005742E"/>
    <w:rsid w:val="00057439"/>
    <w:rsid w:val="000574AC"/>
    <w:rsid w:val="0005753C"/>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857"/>
    <w:rsid w:val="0006396A"/>
    <w:rsid w:val="00063A60"/>
    <w:rsid w:val="00063AEF"/>
    <w:rsid w:val="00063B1D"/>
    <w:rsid w:val="00063C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567"/>
    <w:rsid w:val="00067C33"/>
    <w:rsid w:val="00067FB5"/>
    <w:rsid w:val="000703CB"/>
    <w:rsid w:val="000703FE"/>
    <w:rsid w:val="000705DD"/>
    <w:rsid w:val="000706D4"/>
    <w:rsid w:val="00070F60"/>
    <w:rsid w:val="000713EE"/>
    <w:rsid w:val="00071470"/>
    <w:rsid w:val="00071695"/>
    <w:rsid w:val="000717D6"/>
    <w:rsid w:val="00071956"/>
    <w:rsid w:val="00071BD3"/>
    <w:rsid w:val="00071DDA"/>
    <w:rsid w:val="00071E87"/>
    <w:rsid w:val="00071FC6"/>
    <w:rsid w:val="00072134"/>
    <w:rsid w:val="00072D12"/>
    <w:rsid w:val="00072D18"/>
    <w:rsid w:val="00072E6E"/>
    <w:rsid w:val="00072F6B"/>
    <w:rsid w:val="00073100"/>
    <w:rsid w:val="00073283"/>
    <w:rsid w:val="000732A8"/>
    <w:rsid w:val="00073445"/>
    <w:rsid w:val="0007349A"/>
    <w:rsid w:val="000735B6"/>
    <w:rsid w:val="000736A0"/>
    <w:rsid w:val="0007393D"/>
    <w:rsid w:val="00073BC2"/>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A69"/>
    <w:rsid w:val="00075C60"/>
    <w:rsid w:val="00077252"/>
    <w:rsid w:val="000776B1"/>
    <w:rsid w:val="000776D8"/>
    <w:rsid w:val="00077912"/>
    <w:rsid w:val="00077B88"/>
    <w:rsid w:val="00077BFB"/>
    <w:rsid w:val="00077E68"/>
    <w:rsid w:val="000800AF"/>
    <w:rsid w:val="00080191"/>
    <w:rsid w:val="0008029D"/>
    <w:rsid w:val="000804D5"/>
    <w:rsid w:val="000807AE"/>
    <w:rsid w:val="000807B5"/>
    <w:rsid w:val="00080AD9"/>
    <w:rsid w:val="00080B91"/>
    <w:rsid w:val="00080CE2"/>
    <w:rsid w:val="00080F35"/>
    <w:rsid w:val="000811A4"/>
    <w:rsid w:val="000811D4"/>
    <w:rsid w:val="00081259"/>
    <w:rsid w:val="000815B6"/>
    <w:rsid w:val="00081792"/>
    <w:rsid w:val="0008187A"/>
    <w:rsid w:val="0008189D"/>
    <w:rsid w:val="000820B5"/>
    <w:rsid w:val="0008216A"/>
    <w:rsid w:val="0008217D"/>
    <w:rsid w:val="000825F0"/>
    <w:rsid w:val="000827CD"/>
    <w:rsid w:val="00082B1C"/>
    <w:rsid w:val="00083121"/>
    <w:rsid w:val="00083469"/>
    <w:rsid w:val="000834CD"/>
    <w:rsid w:val="000835B0"/>
    <w:rsid w:val="000835F5"/>
    <w:rsid w:val="0008378A"/>
    <w:rsid w:val="00083B96"/>
    <w:rsid w:val="00083EAD"/>
    <w:rsid w:val="00084044"/>
    <w:rsid w:val="00084211"/>
    <w:rsid w:val="00084419"/>
    <w:rsid w:val="0008449C"/>
    <w:rsid w:val="000845D7"/>
    <w:rsid w:val="0008460A"/>
    <w:rsid w:val="000846F8"/>
    <w:rsid w:val="00084B71"/>
    <w:rsid w:val="00084D1E"/>
    <w:rsid w:val="00084DFB"/>
    <w:rsid w:val="0008526A"/>
    <w:rsid w:val="000853EB"/>
    <w:rsid w:val="00085484"/>
    <w:rsid w:val="00085847"/>
    <w:rsid w:val="00085BE8"/>
    <w:rsid w:val="00085E04"/>
    <w:rsid w:val="0008608A"/>
    <w:rsid w:val="000863ED"/>
    <w:rsid w:val="00086911"/>
    <w:rsid w:val="00086C30"/>
    <w:rsid w:val="00086D5D"/>
    <w:rsid w:val="00086DA6"/>
    <w:rsid w:val="00087537"/>
    <w:rsid w:val="000875DD"/>
    <w:rsid w:val="00087C2A"/>
    <w:rsid w:val="00087E0A"/>
    <w:rsid w:val="00090055"/>
    <w:rsid w:val="000901F1"/>
    <w:rsid w:val="00090530"/>
    <w:rsid w:val="0009096A"/>
    <w:rsid w:val="00090B6B"/>
    <w:rsid w:val="00090D4B"/>
    <w:rsid w:val="00090EA4"/>
    <w:rsid w:val="000910D7"/>
    <w:rsid w:val="0009166A"/>
    <w:rsid w:val="000918B2"/>
    <w:rsid w:val="00091CE2"/>
    <w:rsid w:val="0009205D"/>
    <w:rsid w:val="00092442"/>
    <w:rsid w:val="0009257A"/>
    <w:rsid w:val="00092B44"/>
    <w:rsid w:val="00092C2D"/>
    <w:rsid w:val="00092EB9"/>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343"/>
    <w:rsid w:val="00096552"/>
    <w:rsid w:val="00096607"/>
    <w:rsid w:val="00096700"/>
    <w:rsid w:val="0009691F"/>
    <w:rsid w:val="00096925"/>
    <w:rsid w:val="0009694F"/>
    <w:rsid w:val="00096B06"/>
    <w:rsid w:val="0009706D"/>
    <w:rsid w:val="00097551"/>
    <w:rsid w:val="000975A5"/>
    <w:rsid w:val="00097833"/>
    <w:rsid w:val="000978DD"/>
    <w:rsid w:val="00097A89"/>
    <w:rsid w:val="00097AE8"/>
    <w:rsid w:val="00097E80"/>
    <w:rsid w:val="00097F2B"/>
    <w:rsid w:val="000A0424"/>
    <w:rsid w:val="000A05BC"/>
    <w:rsid w:val="000A06AB"/>
    <w:rsid w:val="000A07D2"/>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4D4"/>
    <w:rsid w:val="000A4524"/>
    <w:rsid w:val="000A4554"/>
    <w:rsid w:val="000A4995"/>
    <w:rsid w:val="000A4A38"/>
    <w:rsid w:val="000A4B74"/>
    <w:rsid w:val="000A508F"/>
    <w:rsid w:val="000A52E7"/>
    <w:rsid w:val="000A5446"/>
    <w:rsid w:val="000A544B"/>
    <w:rsid w:val="000A591E"/>
    <w:rsid w:val="000A5A20"/>
    <w:rsid w:val="000A5A43"/>
    <w:rsid w:val="000A5D40"/>
    <w:rsid w:val="000A5DAF"/>
    <w:rsid w:val="000A5F27"/>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F9D"/>
    <w:rsid w:val="000B01AF"/>
    <w:rsid w:val="000B01E8"/>
    <w:rsid w:val="000B0467"/>
    <w:rsid w:val="000B055C"/>
    <w:rsid w:val="000B09D0"/>
    <w:rsid w:val="000B0F74"/>
    <w:rsid w:val="000B1471"/>
    <w:rsid w:val="000B16FC"/>
    <w:rsid w:val="000B1845"/>
    <w:rsid w:val="000B1A74"/>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8D"/>
    <w:rsid w:val="000B37E6"/>
    <w:rsid w:val="000B3BA4"/>
    <w:rsid w:val="000B3BBA"/>
    <w:rsid w:val="000B3BDA"/>
    <w:rsid w:val="000B3E6B"/>
    <w:rsid w:val="000B3FC1"/>
    <w:rsid w:val="000B414C"/>
    <w:rsid w:val="000B41C6"/>
    <w:rsid w:val="000B43C6"/>
    <w:rsid w:val="000B47A7"/>
    <w:rsid w:val="000B48FF"/>
    <w:rsid w:val="000B497E"/>
    <w:rsid w:val="000B4C66"/>
    <w:rsid w:val="000B4D57"/>
    <w:rsid w:val="000B4EBD"/>
    <w:rsid w:val="000B54AE"/>
    <w:rsid w:val="000B5534"/>
    <w:rsid w:val="000B58B6"/>
    <w:rsid w:val="000B595A"/>
    <w:rsid w:val="000B5C5B"/>
    <w:rsid w:val="000B5FF0"/>
    <w:rsid w:val="000B607D"/>
    <w:rsid w:val="000B6139"/>
    <w:rsid w:val="000B61F1"/>
    <w:rsid w:val="000B641A"/>
    <w:rsid w:val="000B64EA"/>
    <w:rsid w:val="000B66DF"/>
    <w:rsid w:val="000B67EE"/>
    <w:rsid w:val="000B6A5E"/>
    <w:rsid w:val="000B70BC"/>
    <w:rsid w:val="000B739A"/>
    <w:rsid w:val="000B73B7"/>
    <w:rsid w:val="000B751E"/>
    <w:rsid w:val="000B7631"/>
    <w:rsid w:val="000B776B"/>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098"/>
    <w:rsid w:val="000C2A98"/>
    <w:rsid w:val="000C2CC9"/>
    <w:rsid w:val="000C2E50"/>
    <w:rsid w:val="000C3067"/>
    <w:rsid w:val="000C30DD"/>
    <w:rsid w:val="000C323C"/>
    <w:rsid w:val="000C34F0"/>
    <w:rsid w:val="000C3512"/>
    <w:rsid w:val="000C3534"/>
    <w:rsid w:val="000C3BFA"/>
    <w:rsid w:val="000C3D3E"/>
    <w:rsid w:val="000C3E3B"/>
    <w:rsid w:val="000C4015"/>
    <w:rsid w:val="000C405D"/>
    <w:rsid w:val="000C4440"/>
    <w:rsid w:val="000C45D5"/>
    <w:rsid w:val="000C4733"/>
    <w:rsid w:val="000C4791"/>
    <w:rsid w:val="000C4804"/>
    <w:rsid w:val="000C486E"/>
    <w:rsid w:val="000C4BEC"/>
    <w:rsid w:val="000C4CD3"/>
    <w:rsid w:val="000C52B2"/>
    <w:rsid w:val="000C53D3"/>
    <w:rsid w:val="000C53D4"/>
    <w:rsid w:val="000C5518"/>
    <w:rsid w:val="000C5720"/>
    <w:rsid w:val="000C57B6"/>
    <w:rsid w:val="000C5898"/>
    <w:rsid w:val="000C61AB"/>
    <w:rsid w:val="000C628E"/>
    <w:rsid w:val="000C6577"/>
    <w:rsid w:val="000C6610"/>
    <w:rsid w:val="000C6902"/>
    <w:rsid w:val="000C69CA"/>
    <w:rsid w:val="000C71A3"/>
    <w:rsid w:val="000C728E"/>
    <w:rsid w:val="000C755B"/>
    <w:rsid w:val="000C7646"/>
    <w:rsid w:val="000C7708"/>
    <w:rsid w:val="000C7914"/>
    <w:rsid w:val="000C7A75"/>
    <w:rsid w:val="000C7BE4"/>
    <w:rsid w:val="000C7E7C"/>
    <w:rsid w:val="000D02D7"/>
    <w:rsid w:val="000D0312"/>
    <w:rsid w:val="000D0536"/>
    <w:rsid w:val="000D057B"/>
    <w:rsid w:val="000D0723"/>
    <w:rsid w:val="000D082B"/>
    <w:rsid w:val="000D0AEE"/>
    <w:rsid w:val="000D1461"/>
    <w:rsid w:val="000D1AFF"/>
    <w:rsid w:val="000D1C63"/>
    <w:rsid w:val="000D20A1"/>
    <w:rsid w:val="000D23CE"/>
    <w:rsid w:val="000D25EF"/>
    <w:rsid w:val="000D2718"/>
    <w:rsid w:val="000D280C"/>
    <w:rsid w:val="000D333F"/>
    <w:rsid w:val="000D34BD"/>
    <w:rsid w:val="000D3537"/>
    <w:rsid w:val="000D37F7"/>
    <w:rsid w:val="000D38B0"/>
    <w:rsid w:val="000D390C"/>
    <w:rsid w:val="000D3A17"/>
    <w:rsid w:val="000D414D"/>
    <w:rsid w:val="000D416D"/>
    <w:rsid w:val="000D4395"/>
    <w:rsid w:val="000D4534"/>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06"/>
    <w:rsid w:val="000D7836"/>
    <w:rsid w:val="000D7B79"/>
    <w:rsid w:val="000D7E48"/>
    <w:rsid w:val="000D7F97"/>
    <w:rsid w:val="000E0200"/>
    <w:rsid w:val="000E0223"/>
    <w:rsid w:val="000E0335"/>
    <w:rsid w:val="000E03A7"/>
    <w:rsid w:val="000E07F5"/>
    <w:rsid w:val="000E082D"/>
    <w:rsid w:val="000E09F3"/>
    <w:rsid w:val="000E0C92"/>
    <w:rsid w:val="000E0E67"/>
    <w:rsid w:val="000E1071"/>
    <w:rsid w:val="000E14F3"/>
    <w:rsid w:val="000E18B0"/>
    <w:rsid w:val="000E198B"/>
    <w:rsid w:val="000E1A41"/>
    <w:rsid w:val="000E1A9E"/>
    <w:rsid w:val="000E1BF8"/>
    <w:rsid w:val="000E1D21"/>
    <w:rsid w:val="000E1EE0"/>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2B9"/>
    <w:rsid w:val="000E4495"/>
    <w:rsid w:val="000E459D"/>
    <w:rsid w:val="000E4750"/>
    <w:rsid w:val="000E4788"/>
    <w:rsid w:val="000E4895"/>
    <w:rsid w:val="000E4C9D"/>
    <w:rsid w:val="000E4E61"/>
    <w:rsid w:val="000E51A0"/>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FD0"/>
    <w:rsid w:val="000F0118"/>
    <w:rsid w:val="000F023F"/>
    <w:rsid w:val="000F0582"/>
    <w:rsid w:val="000F0603"/>
    <w:rsid w:val="000F08AF"/>
    <w:rsid w:val="000F0B16"/>
    <w:rsid w:val="000F0B77"/>
    <w:rsid w:val="000F1404"/>
    <w:rsid w:val="000F1480"/>
    <w:rsid w:val="000F148A"/>
    <w:rsid w:val="000F1A32"/>
    <w:rsid w:val="000F1DFF"/>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B0A"/>
    <w:rsid w:val="000F4D76"/>
    <w:rsid w:val="000F4E7E"/>
    <w:rsid w:val="000F514F"/>
    <w:rsid w:val="000F52C9"/>
    <w:rsid w:val="000F54AD"/>
    <w:rsid w:val="000F5A73"/>
    <w:rsid w:val="000F5D0F"/>
    <w:rsid w:val="000F5F64"/>
    <w:rsid w:val="000F63D5"/>
    <w:rsid w:val="000F6650"/>
    <w:rsid w:val="000F6A66"/>
    <w:rsid w:val="000F6C35"/>
    <w:rsid w:val="000F6E53"/>
    <w:rsid w:val="000F7126"/>
    <w:rsid w:val="000F7275"/>
    <w:rsid w:val="000F77FE"/>
    <w:rsid w:val="000F7AFB"/>
    <w:rsid w:val="000F7BB0"/>
    <w:rsid w:val="000F7CDA"/>
    <w:rsid w:val="000F7D76"/>
    <w:rsid w:val="00100074"/>
    <w:rsid w:val="001002AB"/>
    <w:rsid w:val="00100669"/>
    <w:rsid w:val="0010068B"/>
    <w:rsid w:val="00100830"/>
    <w:rsid w:val="00100D89"/>
    <w:rsid w:val="00100F0B"/>
    <w:rsid w:val="0010104F"/>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CCA"/>
    <w:rsid w:val="00103DE9"/>
    <w:rsid w:val="00103FA7"/>
    <w:rsid w:val="00104198"/>
    <w:rsid w:val="0010440E"/>
    <w:rsid w:val="00104824"/>
    <w:rsid w:val="001048AE"/>
    <w:rsid w:val="00104CC5"/>
    <w:rsid w:val="00104E16"/>
    <w:rsid w:val="0010517D"/>
    <w:rsid w:val="0010525A"/>
    <w:rsid w:val="001054F9"/>
    <w:rsid w:val="00105568"/>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B42"/>
    <w:rsid w:val="00113E69"/>
    <w:rsid w:val="00113F1A"/>
    <w:rsid w:val="00114309"/>
    <w:rsid w:val="00114480"/>
    <w:rsid w:val="00114568"/>
    <w:rsid w:val="0011485F"/>
    <w:rsid w:val="001148C2"/>
    <w:rsid w:val="00114954"/>
    <w:rsid w:val="00114C21"/>
    <w:rsid w:val="00115521"/>
    <w:rsid w:val="0011582E"/>
    <w:rsid w:val="001158F2"/>
    <w:rsid w:val="00115B02"/>
    <w:rsid w:val="00115E85"/>
    <w:rsid w:val="00116169"/>
    <w:rsid w:val="001163D1"/>
    <w:rsid w:val="0011651B"/>
    <w:rsid w:val="00116539"/>
    <w:rsid w:val="001166A1"/>
    <w:rsid w:val="00116823"/>
    <w:rsid w:val="00116AC9"/>
    <w:rsid w:val="00116B75"/>
    <w:rsid w:val="00116BBC"/>
    <w:rsid w:val="001176DE"/>
    <w:rsid w:val="0011799C"/>
    <w:rsid w:val="00117E41"/>
    <w:rsid w:val="00117F86"/>
    <w:rsid w:val="0011F919"/>
    <w:rsid w:val="00120043"/>
    <w:rsid w:val="00120230"/>
    <w:rsid w:val="001202A2"/>
    <w:rsid w:val="00120411"/>
    <w:rsid w:val="0012079D"/>
    <w:rsid w:val="00120E34"/>
    <w:rsid w:val="00120E8D"/>
    <w:rsid w:val="00120EB5"/>
    <w:rsid w:val="0012121E"/>
    <w:rsid w:val="00121335"/>
    <w:rsid w:val="00121382"/>
    <w:rsid w:val="00121541"/>
    <w:rsid w:val="00121A87"/>
    <w:rsid w:val="00121B5E"/>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0BA"/>
    <w:rsid w:val="00125393"/>
    <w:rsid w:val="00125666"/>
    <w:rsid w:val="001257EB"/>
    <w:rsid w:val="00125882"/>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6C0"/>
    <w:rsid w:val="00127CE6"/>
    <w:rsid w:val="001304C4"/>
    <w:rsid w:val="00130541"/>
    <w:rsid w:val="00130719"/>
    <w:rsid w:val="00130B37"/>
    <w:rsid w:val="00130B64"/>
    <w:rsid w:val="00130E70"/>
    <w:rsid w:val="00130FF4"/>
    <w:rsid w:val="001312DE"/>
    <w:rsid w:val="001315A5"/>
    <w:rsid w:val="001315EB"/>
    <w:rsid w:val="00131B2B"/>
    <w:rsid w:val="00131B4D"/>
    <w:rsid w:val="00131BB3"/>
    <w:rsid w:val="00131F07"/>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AAE"/>
    <w:rsid w:val="00134DB4"/>
    <w:rsid w:val="00134E51"/>
    <w:rsid w:val="00134F5D"/>
    <w:rsid w:val="00134FA5"/>
    <w:rsid w:val="00135210"/>
    <w:rsid w:val="0013524C"/>
    <w:rsid w:val="001354C7"/>
    <w:rsid w:val="00135DC8"/>
    <w:rsid w:val="00135F3C"/>
    <w:rsid w:val="001361F1"/>
    <w:rsid w:val="001363F1"/>
    <w:rsid w:val="001364BC"/>
    <w:rsid w:val="00136660"/>
    <w:rsid w:val="001366A2"/>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485"/>
    <w:rsid w:val="0014296A"/>
    <w:rsid w:val="00142C48"/>
    <w:rsid w:val="00143061"/>
    <w:rsid w:val="00143335"/>
    <w:rsid w:val="00143391"/>
    <w:rsid w:val="001438FC"/>
    <w:rsid w:val="00143B6A"/>
    <w:rsid w:val="00143DDE"/>
    <w:rsid w:val="00143F3D"/>
    <w:rsid w:val="0014413D"/>
    <w:rsid w:val="00145AB8"/>
    <w:rsid w:val="00145BBD"/>
    <w:rsid w:val="00145D7D"/>
    <w:rsid w:val="001463CA"/>
    <w:rsid w:val="00146572"/>
    <w:rsid w:val="0014708A"/>
    <w:rsid w:val="00147197"/>
    <w:rsid w:val="001476D4"/>
    <w:rsid w:val="0014776E"/>
    <w:rsid w:val="00147784"/>
    <w:rsid w:val="00147791"/>
    <w:rsid w:val="001477F4"/>
    <w:rsid w:val="00147B3E"/>
    <w:rsid w:val="00147E99"/>
    <w:rsid w:val="00150056"/>
    <w:rsid w:val="0015007A"/>
    <w:rsid w:val="001501AF"/>
    <w:rsid w:val="0015036B"/>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E3C"/>
    <w:rsid w:val="00155050"/>
    <w:rsid w:val="00155265"/>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53D"/>
    <w:rsid w:val="00160A74"/>
    <w:rsid w:val="00160B1A"/>
    <w:rsid w:val="00160EB3"/>
    <w:rsid w:val="001616F0"/>
    <w:rsid w:val="00161826"/>
    <w:rsid w:val="00161B04"/>
    <w:rsid w:val="00161DD3"/>
    <w:rsid w:val="00162094"/>
    <w:rsid w:val="001623A4"/>
    <w:rsid w:val="001625B7"/>
    <w:rsid w:val="0016261F"/>
    <w:rsid w:val="001627FD"/>
    <w:rsid w:val="00162DAF"/>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21"/>
    <w:rsid w:val="001664C3"/>
    <w:rsid w:val="0016653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8EA"/>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EE"/>
    <w:rsid w:val="00175520"/>
    <w:rsid w:val="001755D6"/>
    <w:rsid w:val="001755FC"/>
    <w:rsid w:val="00175895"/>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116"/>
    <w:rsid w:val="001807A9"/>
    <w:rsid w:val="00180812"/>
    <w:rsid w:val="0018082C"/>
    <w:rsid w:val="00180AC3"/>
    <w:rsid w:val="00180C02"/>
    <w:rsid w:val="00180C73"/>
    <w:rsid w:val="00180CA5"/>
    <w:rsid w:val="00180DB8"/>
    <w:rsid w:val="00180DD5"/>
    <w:rsid w:val="001810AC"/>
    <w:rsid w:val="0018114C"/>
    <w:rsid w:val="00181350"/>
    <w:rsid w:val="0018161C"/>
    <w:rsid w:val="0018176E"/>
    <w:rsid w:val="001818CE"/>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A41"/>
    <w:rsid w:val="00183EF3"/>
    <w:rsid w:val="001843EF"/>
    <w:rsid w:val="001844BB"/>
    <w:rsid w:val="001844C3"/>
    <w:rsid w:val="00184870"/>
    <w:rsid w:val="00184950"/>
    <w:rsid w:val="00184FD0"/>
    <w:rsid w:val="00185069"/>
    <w:rsid w:val="001852B6"/>
    <w:rsid w:val="00185546"/>
    <w:rsid w:val="00185816"/>
    <w:rsid w:val="00185CCB"/>
    <w:rsid w:val="00185D07"/>
    <w:rsid w:val="001864D1"/>
    <w:rsid w:val="00186B84"/>
    <w:rsid w:val="00186BB3"/>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7D9"/>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A65"/>
    <w:rsid w:val="00193D1E"/>
    <w:rsid w:val="00193E17"/>
    <w:rsid w:val="00193FA0"/>
    <w:rsid w:val="0019484D"/>
    <w:rsid w:val="00194A0F"/>
    <w:rsid w:val="00194B51"/>
    <w:rsid w:val="00195512"/>
    <w:rsid w:val="00196088"/>
    <w:rsid w:val="001962D1"/>
    <w:rsid w:val="001966C7"/>
    <w:rsid w:val="00196902"/>
    <w:rsid w:val="00196AD8"/>
    <w:rsid w:val="00196BE4"/>
    <w:rsid w:val="00196CC1"/>
    <w:rsid w:val="00196E8F"/>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4A4"/>
    <w:rsid w:val="001A1572"/>
    <w:rsid w:val="001A183D"/>
    <w:rsid w:val="001A1A71"/>
    <w:rsid w:val="001A1CA7"/>
    <w:rsid w:val="001A1DC1"/>
    <w:rsid w:val="001A1E74"/>
    <w:rsid w:val="001A2019"/>
    <w:rsid w:val="001A2024"/>
    <w:rsid w:val="001A2787"/>
    <w:rsid w:val="001A2A80"/>
    <w:rsid w:val="001A2C40"/>
    <w:rsid w:val="001A2D05"/>
    <w:rsid w:val="001A2EA0"/>
    <w:rsid w:val="001A3205"/>
    <w:rsid w:val="001A332F"/>
    <w:rsid w:val="001A3653"/>
    <w:rsid w:val="001A3A1C"/>
    <w:rsid w:val="001A3A62"/>
    <w:rsid w:val="001A3C4B"/>
    <w:rsid w:val="001A4016"/>
    <w:rsid w:val="001A40E0"/>
    <w:rsid w:val="001A4259"/>
    <w:rsid w:val="001A446E"/>
    <w:rsid w:val="001A45AB"/>
    <w:rsid w:val="001A4C2D"/>
    <w:rsid w:val="001A4CFE"/>
    <w:rsid w:val="001A4D24"/>
    <w:rsid w:val="001A4FE4"/>
    <w:rsid w:val="001A5720"/>
    <w:rsid w:val="001A58FB"/>
    <w:rsid w:val="001A59BE"/>
    <w:rsid w:val="001A5EB0"/>
    <w:rsid w:val="001A5EFC"/>
    <w:rsid w:val="001A5FC1"/>
    <w:rsid w:val="001A602A"/>
    <w:rsid w:val="001A61A3"/>
    <w:rsid w:val="001A63A1"/>
    <w:rsid w:val="001A63A2"/>
    <w:rsid w:val="001A64A8"/>
    <w:rsid w:val="001A65C7"/>
    <w:rsid w:val="001A6768"/>
    <w:rsid w:val="001A6852"/>
    <w:rsid w:val="001A68DD"/>
    <w:rsid w:val="001A695B"/>
    <w:rsid w:val="001A6B5F"/>
    <w:rsid w:val="001A6BBB"/>
    <w:rsid w:val="001A6ED0"/>
    <w:rsid w:val="001A6F52"/>
    <w:rsid w:val="001A7123"/>
    <w:rsid w:val="001A7453"/>
    <w:rsid w:val="001A7460"/>
    <w:rsid w:val="001A7968"/>
    <w:rsid w:val="001A79CF"/>
    <w:rsid w:val="001A7A26"/>
    <w:rsid w:val="001A7BE8"/>
    <w:rsid w:val="001A7F9C"/>
    <w:rsid w:val="001B001A"/>
    <w:rsid w:val="001B0178"/>
    <w:rsid w:val="001B03A0"/>
    <w:rsid w:val="001B0427"/>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96B"/>
    <w:rsid w:val="001B2A14"/>
    <w:rsid w:val="001B31D0"/>
    <w:rsid w:val="001B31FB"/>
    <w:rsid w:val="001B35F9"/>
    <w:rsid w:val="001B3705"/>
    <w:rsid w:val="001B3734"/>
    <w:rsid w:val="001B38D0"/>
    <w:rsid w:val="001B3A7C"/>
    <w:rsid w:val="001B3EB5"/>
    <w:rsid w:val="001B400F"/>
    <w:rsid w:val="001B4075"/>
    <w:rsid w:val="001B42A3"/>
    <w:rsid w:val="001B43E8"/>
    <w:rsid w:val="001B4508"/>
    <w:rsid w:val="001B459A"/>
    <w:rsid w:val="001B4D25"/>
    <w:rsid w:val="001B4D98"/>
    <w:rsid w:val="001B5070"/>
    <w:rsid w:val="001B51CB"/>
    <w:rsid w:val="001B533B"/>
    <w:rsid w:val="001B54BE"/>
    <w:rsid w:val="001B572C"/>
    <w:rsid w:val="001B57D4"/>
    <w:rsid w:val="001B627A"/>
    <w:rsid w:val="001B6448"/>
    <w:rsid w:val="001B6B7E"/>
    <w:rsid w:val="001B6BAD"/>
    <w:rsid w:val="001B6F81"/>
    <w:rsid w:val="001B70A1"/>
    <w:rsid w:val="001B76B5"/>
    <w:rsid w:val="001B7802"/>
    <w:rsid w:val="001B7D87"/>
    <w:rsid w:val="001B7E7B"/>
    <w:rsid w:val="001C0463"/>
    <w:rsid w:val="001C04FE"/>
    <w:rsid w:val="001C0985"/>
    <w:rsid w:val="001C10DE"/>
    <w:rsid w:val="001C11EB"/>
    <w:rsid w:val="001C13D8"/>
    <w:rsid w:val="001C15ED"/>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4A99"/>
    <w:rsid w:val="001C5315"/>
    <w:rsid w:val="001C580F"/>
    <w:rsid w:val="001C58C0"/>
    <w:rsid w:val="001C5C8A"/>
    <w:rsid w:val="001C6197"/>
    <w:rsid w:val="001C680C"/>
    <w:rsid w:val="001C68EB"/>
    <w:rsid w:val="001C6B35"/>
    <w:rsid w:val="001C6E36"/>
    <w:rsid w:val="001C6ECF"/>
    <w:rsid w:val="001C7433"/>
    <w:rsid w:val="001C7691"/>
    <w:rsid w:val="001C77DB"/>
    <w:rsid w:val="001C7BBA"/>
    <w:rsid w:val="001C7C96"/>
    <w:rsid w:val="001C7CF5"/>
    <w:rsid w:val="001C7D9C"/>
    <w:rsid w:val="001D00BA"/>
    <w:rsid w:val="001D0217"/>
    <w:rsid w:val="001D03B9"/>
    <w:rsid w:val="001D0687"/>
    <w:rsid w:val="001D091B"/>
    <w:rsid w:val="001D0AC4"/>
    <w:rsid w:val="001D0D78"/>
    <w:rsid w:val="001D0FE7"/>
    <w:rsid w:val="001D112C"/>
    <w:rsid w:val="001D11F0"/>
    <w:rsid w:val="001D173E"/>
    <w:rsid w:val="001D27B6"/>
    <w:rsid w:val="001D2BA0"/>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70F"/>
    <w:rsid w:val="001D673E"/>
    <w:rsid w:val="001D68FE"/>
    <w:rsid w:val="001D6923"/>
    <w:rsid w:val="001D6C21"/>
    <w:rsid w:val="001D6DC1"/>
    <w:rsid w:val="001D6F5D"/>
    <w:rsid w:val="001D72EF"/>
    <w:rsid w:val="001D7541"/>
    <w:rsid w:val="001D7715"/>
    <w:rsid w:val="001E0259"/>
    <w:rsid w:val="001E035B"/>
    <w:rsid w:val="001E03CE"/>
    <w:rsid w:val="001E0A98"/>
    <w:rsid w:val="001E0B9A"/>
    <w:rsid w:val="001E0C41"/>
    <w:rsid w:val="001E0CEF"/>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E7CA5"/>
    <w:rsid w:val="001F0008"/>
    <w:rsid w:val="001F00BC"/>
    <w:rsid w:val="001F04D8"/>
    <w:rsid w:val="001F08E5"/>
    <w:rsid w:val="001F09AF"/>
    <w:rsid w:val="001F0A12"/>
    <w:rsid w:val="001F0C8D"/>
    <w:rsid w:val="001F1458"/>
    <w:rsid w:val="001F1A7E"/>
    <w:rsid w:val="001F1ACF"/>
    <w:rsid w:val="001F1F32"/>
    <w:rsid w:val="001F201C"/>
    <w:rsid w:val="001F219E"/>
    <w:rsid w:val="001F2403"/>
    <w:rsid w:val="001F25EF"/>
    <w:rsid w:val="001F28BF"/>
    <w:rsid w:val="001F28DC"/>
    <w:rsid w:val="001F320B"/>
    <w:rsid w:val="001F34E1"/>
    <w:rsid w:val="001F37CE"/>
    <w:rsid w:val="001F3B91"/>
    <w:rsid w:val="001F3D7C"/>
    <w:rsid w:val="001F4229"/>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851"/>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D57"/>
    <w:rsid w:val="00200EC8"/>
    <w:rsid w:val="00200EEE"/>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C8A"/>
    <w:rsid w:val="00203D52"/>
    <w:rsid w:val="00203E7E"/>
    <w:rsid w:val="002040C7"/>
    <w:rsid w:val="002044AA"/>
    <w:rsid w:val="00204709"/>
    <w:rsid w:val="00204843"/>
    <w:rsid w:val="00204B36"/>
    <w:rsid w:val="00204BAA"/>
    <w:rsid w:val="00204CEC"/>
    <w:rsid w:val="00205236"/>
    <w:rsid w:val="0020559E"/>
    <w:rsid w:val="00205B3A"/>
    <w:rsid w:val="0020610A"/>
    <w:rsid w:val="002064C9"/>
    <w:rsid w:val="00206676"/>
    <w:rsid w:val="0020687E"/>
    <w:rsid w:val="00206A85"/>
    <w:rsid w:val="00206C89"/>
    <w:rsid w:val="00206CA4"/>
    <w:rsid w:val="00207016"/>
    <w:rsid w:val="002070EA"/>
    <w:rsid w:val="002070F6"/>
    <w:rsid w:val="0020739B"/>
    <w:rsid w:val="00207700"/>
    <w:rsid w:val="00207853"/>
    <w:rsid w:val="002079D9"/>
    <w:rsid w:val="00207F7C"/>
    <w:rsid w:val="00210269"/>
    <w:rsid w:val="002105BF"/>
    <w:rsid w:val="00210C8D"/>
    <w:rsid w:val="00210F5F"/>
    <w:rsid w:val="00210FDF"/>
    <w:rsid w:val="00210FF4"/>
    <w:rsid w:val="002111C6"/>
    <w:rsid w:val="00211279"/>
    <w:rsid w:val="002118CB"/>
    <w:rsid w:val="0021193D"/>
    <w:rsid w:val="0021199C"/>
    <w:rsid w:val="00211B2F"/>
    <w:rsid w:val="00211B32"/>
    <w:rsid w:val="00211D11"/>
    <w:rsid w:val="00211D71"/>
    <w:rsid w:val="00211FFF"/>
    <w:rsid w:val="00212222"/>
    <w:rsid w:val="00212706"/>
    <w:rsid w:val="002128AE"/>
    <w:rsid w:val="00212B11"/>
    <w:rsid w:val="00212BEC"/>
    <w:rsid w:val="00212FD8"/>
    <w:rsid w:val="0021304A"/>
    <w:rsid w:val="002130AE"/>
    <w:rsid w:val="002134DA"/>
    <w:rsid w:val="0021353E"/>
    <w:rsid w:val="002135B7"/>
    <w:rsid w:val="0021365E"/>
    <w:rsid w:val="002136AD"/>
    <w:rsid w:val="0021393D"/>
    <w:rsid w:val="00213A2B"/>
    <w:rsid w:val="00213AA0"/>
    <w:rsid w:val="00213D55"/>
    <w:rsid w:val="00213F32"/>
    <w:rsid w:val="002141CA"/>
    <w:rsid w:val="002142D3"/>
    <w:rsid w:val="0021443E"/>
    <w:rsid w:val="002144DE"/>
    <w:rsid w:val="002146CF"/>
    <w:rsid w:val="002147CD"/>
    <w:rsid w:val="002147D6"/>
    <w:rsid w:val="00214A3D"/>
    <w:rsid w:val="00214E34"/>
    <w:rsid w:val="00215065"/>
    <w:rsid w:val="002150B5"/>
    <w:rsid w:val="00215329"/>
    <w:rsid w:val="0021540F"/>
    <w:rsid w:val="00215442"/>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741"/>
    <w:rsid w:val="00221B95"/>
    <w:rsid w:val="00221CDB"/>
    <w:rsid w:val="00221CDE"/>
    <w:rsid w:val="00221D83"/>
    <w:rsid w:val="00221FFB"/>
    <w:rsid w:val="0022201F"/>
    <w:rsid w:val="0022203A"/>
    <w:rsid w:val="00222570"/>
    <w:rsid w:val="00222764"/>
    <w:rsid w:val="00222E0F"/>
    <w:rsid w:val="0022357E"/>
    <w:rsid w:val="00223715"/>
    <w:rsid w:val="002238D6"/>
    <w:rsid w:val="002239BC"/>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5C97"/>
    <w:rsid w:val="0022613D"/>
    <w:rsid w:val="002263AF"/>
    <w:rsid w:val="0022658F"/>
    <w:rsid w:val="00226668"/>
    <w:rsid w:val="002267B2"/>
    <w:rsid w:val="002268EA"/>
    <w:rsid w:val="00226C21"/>
    <w:rsid w:val="00227056"/>
    <w:rsid w:val="00227511"/>
    <w:rsid w:val="002276B7"/>
    <w:rsid w:val="00227749"/>
    <w:rsid w:val="00227750"/>
    <w:rsid w:val="00227794"/>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54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D88"/>
    <w:rsid w:val="00240F12"/>
    <w:rsid w:val="0024116F"/>
    <w:rsid w:val="00241806"/>
    <w:rsid w:val="002419E1"/>
    <w:rsid w:val="00241AD7"/>
    <w:rsid w:val="00241BC3"/>
    <w:rsid w:val="002422D1"/>
    <w:rsid w:val="00242379"/>
    <w:rsid w:val="002425C0"/>
    <w:rsid w:val="00242766"/>
    <w:rsid w:val="00242878"/>
    <w:rsid w:val="00242CCC"/>
    <w:rsid w:val="00242EB7"/>
    <w:rsid w:val="00242F96"/>
    <w:rsid w:val="00243051"/>
    <w:rsid w:val="002432D1"/>
    <w:rsid w:val="0024360E"/>
    <w:rsid w:val="00243799"/>
    <w:rsid w:val="002437AD"/>
    <w:rsid w:val="002437F7"/>
    <w:rsid w:val="00243AFA"/>
    <w:rsid w:val="00243D04"/>
    <w:rsid w:val="00243E8B"/>
    <w:rsid w:val="00243F0D"/>
    <w:rsid w:val="00243F8F"/>
    <w:rsid w:val="0024431C"/>
    <w:rsid w:val="0024456F"/>
    <w:rsid w:val="00244969"/>
    <w:rsid w:val="00244EA6"/>
    <w:rsid w:val="00244EAE"/>
    <w:rsid w:val="00245424"/>
    <w:rsid w:val="0024573A"/>
    <w:rsid w:val="002457C1"/>
    <w:rsid w:val="0024588B"/>
    <w:rsid w:val="00245BF1"/>
    <w:rsid w:val="00245F0C"/>
    <w:rsid w:val="00245F73"/>
    <w:rsid w:val="00246120"/>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A58"/>
    <w:rsid w:val="00253F47"/>
    <w:rsid w:val="00253F7D"/>
    <w:rsid w:val="00253FB8"/>
    <w:rsid w:val="00254470"/>
    <w:rsid w:val="002544C2"/>
    <w:rsid w:val="0025459C"/>
    <w:rsid w:val="002546A9"/>
    <w:rsid w:val="00254775"/>
    <w:rsid w:val="00255137"/>
    <w:rsid w:val="0025526A"/>
    <w:rsid w:val="00255578"/>
    <w:rsid w:val="002556B3"/>
    <w:rsid w:val="002556E1"/>
    <w:rsid w:val="00255834"/>
    <w:rsid w:val="00255A78"/>
    <w:rsid w:val="00255BF8"/>
    <w:rsid w:val="00255C80"/>
    <w:rsid w:val="0025616F"/>
    <w:rsid w:val="002563EC"/>
    <w:rsid w:val="0025664F"/>
    <w:rsid w:val="0025668E"/>
    <w:rsid w:val="002566AB"/>
    <w:rsid w:val="002568E7"/>
    <w:rsid w:val="00256ADD"/>
    <w:rsid w:val="00256BE4"/>
    <w:rsid w:val="00256D78"/>
    <w:rsid w:val="00256F77"/>
    <w:rsid w:val="00256F85"/>
    <w:rsid w:val="002571BB"/>
    <w:rsid w:val="002576C5"/>
    <w:rsid w:val="00257D10"/>
    <w:rsid w:val="00257D45"/>
    <w:rsid w:val="00257D71"/>
    <w:rsid w:val="00257F05"/>
    <w:rsid w:val="00260264"/>
    <w:rsid w:val="00260320"/>
    <w:rsid w:val="00260441"/>
    <w:rsid w:val="0026086F"/>
    <w:rsid w:val="00260B9E"/>
    <w:rsid w:val="00260BDC"/>
    <w:rsid w:val="00260BE4"/>
    <w:rsid w:val="00260DDA"/>
    <w:rsid w:val="00261102"/>
    <w:rsid w:val="00261486"/>
    <w:rsid w:val="002614A0"/>
    <w:rsid w:val="00261624"/>
    <w:rsid w:val="0026196C"/>
    <w:rsid w:val="00261B14"/>
    <w:rsid w:val="00261C78"/>
    <w:rsid w:val="00261D2F"/>
    <w:rsid w:val="00261DD1"/>
    <w:rsid w:val="00261FEE"/>
    <w:rsid w:val="002625B1"/>
    <w:rsid w:val="002625CD"/>
    <w:rsid w:val="0026269C"/>
    <w:rsid w:val="00262AC3"/>
    <w:rsid w:val="00262ACD"/>
    <w:rsid w:val="00262BA1"/>
    <w:rsid w:val="00262DD9"/>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504"/>
    <w:rsid w:val="002656F4"/>
    <w:rsid w:val="002658EF"/>
    <w:rsid w:val="00265BA7"/>
    <w:rsid w:val="00265CD1"/>
    <w:rsid w:val="00266140"/>
    <w:rsid w:val="0026615E"/>
    <w:rsid w:val="002664D5"/>
    <w:rsid w:val="00266567"/>
    <w:rsid w:val="00266588"/>
    <w:rsid w:val="002667CA"/>
    <w:rsid w:val="0026689A"/>
    <w:rsid w:val="002668EB"/>
    <w:rsid w:val="00266B0F"/>
    <w:rsid w:val="002670EA"/>
    <w:rsid w:val="00267147"/>
    <w:rsid w:val="002671AB"/>
    <w:rsid w:val="0026730F"/>
    <w:rsid w:val="002673CC"/>
    <w:rsid w:val="00267B57"/>
    <w:rsid w:val="00267C0D"/>
    <w:rsid w:val="00267DD8"/>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28D"/>
    <w:rsid w:val="00275370"/>
    <w:rsid w:val="002756D4"/>
    <w:rsid w:val="00275BAA"/>
    <w:rsid w:val="00275E50"/>
    <w:rsid w:val="00276574"/>
    <w:rsid w:val="00276944"/>
    <w:rsid w:val="00276AF9"/>
    <w:rsid w:val="00276CAD"/>
    <w:rsid w:val="00277003"/>
    <w:rsid w:val="0027701F"/>
    <w:rsid w:val="00277198"/>
    <w:rsid w:val="002772F2"/>
    <w:rsid w:val="00277399"/>
    <w:rsid w:val="002777D6"/>
    <w:rsid w:val="0027789B"/>
    <w:rsid w:val="00277C97"/>
    <w:rsid w:val="00277DBC"/>
    <w:rsid w:val="00277F8B"/>
    <w:rsid w:val="00280616"/>
    <w:rsid w:val="002806D9"/>
    <w:rsid w:val="0028080A"/>
    <w:rsid w:val="00280966"/>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B0F"/>
    <w:rsid w:val="00283C63"/>
    <w:rsid w:val="00283D7F"/>
    <w:rsid w:val="00283DD8"/>
    <w:rsid w:val="00283ED5"/>
    <w:rsid w:val="00284207"/>
    <w:rsid w:val="00284491"/>
    <w:rsid w:val="00284886"/>
    <w:rsid w:val="00284928"/>
    <w:rsid w:val="00284D1A"/>
    <w:rsid w:val="00284D97"/>
    <w:rsid w:val="00284DD3"/>
    <w:rsid w:val="0028579B"/>
    <w:rsid w:val="00285BB1"/>
    <w:rsid w:val="00285CB4"/>
    <w:rsid w:val="00285E08"/>
    <w:rsid w:val="00285E27"/>
    <w:rsid w:val="00286398"/>
    <w:rsid w:val="0028663E"/>
    <w:rsid w:val="0028681D"/>
    <w:rsid w:val="0028691E"/>
    <w:rsid w:val="00286980"/>
    <w:rsid w:val="00286B16"/>
    <w:rsid w:val="00286D51"/>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9C5"/>
    <w:rsid w:val="00291DA7"/>
    <w:rsid w:val="002922CA"/>
    <w:rsid w:val="002924ED"/>
    <w:rsid w:val="0029256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5F3"/>
    <w:rsid w:val="002937EF"/>
    <w:rsid w:val="00293B9E"/>
    <w:rsid w:val="002940C3"/>
    <w:rsid w:val="0029415D"/>
    <w:rsid w:val="00294170"/>
    <w:rsid w:val="00294327"/>
    <w:rsid w:val="00294809"/>
    <w:rsid w:val="00294A66"/>
    <w:rsid w:val="00294E7D"/>
    <w:rsid w:val="002952D8"/>
    <w:rsid w:val="00295404"/>
    <w:rsid w:val="00295489"/>
    <w:rsid w:val="002954EC"/>
    <w:rsid w:val="002957C4"/>
    <w:rsid w:val="0029582E"/>
    <w:rsid w:val="00295995"/>
    <w:rsid w:val="00295A12"/>
    <w:rsid w:val="00295A33"/>
    <w:rsid w:val="00295B63"/>
    <w:rsid w:val="00295D26"/>
    <w:rsid w:val="00296014"/>
    <w:rsid w:val="002962E6"/>
    <w:rsid w:val="00296D2B"/>
    <w:rsid w:val="002972E1"/>
    <w:rsid w:val="0029741B"/>
    <w:rsid w:val="00297829"/>
    <w:rsid w:val="00297A99"/>
    <w:rsid w:val="00297B82"/>
    <w:rsid w:val="00297E5E"/>
    <w:rsid w:val="002A0317"/>
    <w:rsid w:val="002A03DE"/>
    <w:rsid w:val="002A0656"/>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A49"/>
    <w:rsid w:val="002A3CFD"/>
    <w:rsid w:val="002A3EA2"/>
    <w:rsid w:val="002A4132"/>
    <w:rsid w:val="002A4221"/>
    <w:rsid w:val="002A4626"/>
    <w:rsid w:val="002A466C"/>
    <w:rsid w:val="002A46B9"/>
    <w:rsid w:val="002A4EA4"/>
    <w:rsid w:val="002A5068"/>
    <w:rsid w:val="002A52D1"/>
    <w:rsid w:val="002A5B34"/>
    <w:rsid w:val="002A5BCC"/>
    <w:rsid w:val="002A648C"/>
    <w:rsid w:val="002A6A37"/>
    <w:rsid w:val="002A728E"/>
    <w:rsid w:val="002A7347"/>
    <w:rsid w:val="002A75AE"/>
    <w:rsid w:val="002A7744"/>
    <w:rsid w:val="002A7A3E"/>
    <w:rsid w:val="002A7B9D"/>
    <w:rsid w:val="002A7F12"/>
    <w:rsid w:val="002B038F"/>
    <w:rsid w:val="002B0486"/>
    <w:rsid w:val="002B0499"/>
    <w:rsid w:val="002B0BA4"/>
    <w:rsid w:val="002B0E1C"/>
    <w:rsid w:val="002B0FE7"/>
    <w:rsid w:val="002B165A"/>
    <w:rsid w:val="002B1709"/>
    <w:rsid w:val="002B1740"/>
    <w:rsid w:val="002B1820"/>
    <w:rsid w:val="002B1903"/>
    <w:rsid w:val="002B19FE"/>
    <w:rsid w:val="002B1A67"/>
    <w:rsid w:val="002B1BA3"/>
    <w:rsid w:val="002B1C24"/>
    <w:rsid w:val="002B2485"/>
    <w:rsid w:val="002B2627"/>
    <w:rsid w:val="002B26A2"/>
    <w:rsid w:val="002B2751"/>
    <w:rsid w:val="002B2DB4"/>
    <w:rsid w:val="002B3151"/>
    <w:rsid w:val="002B366D"/>
    <w:rsid w:val="002B3BD7"/>
    <w:rsid w:val="002B3C56"/>
    <w:rsid w:val="002B3D3B"/>
    <w:rsid w:val="002B3E4F"/>
    <w:rsid w:val="002B3F77"/>
    <w:rsid w:val="002B4078"/>
    <w:rsid w:val="002B45F9"/>
    <w:rsid w:val="002B4722"/>
    <w:rsid w:val="002B47A1"/>
    <w:rsid w:val="002B5080"/>
    <w:rsid w:val="002B534A"/>
    <w:rsid w:val="002B558F"/>
    <w:rsid w:val="002B5875"/>
    <w:rsid w:val="002B5C23"/>
    <w:rsid w:val="002B606D"/>
    <w:rsid w:val="002B60CB"/>
    <w:rsid w:val="002B627D"/>
    <w:rsid w:val="002B649E"/>
    <w:rsid w:val="002B64A3"/>
    <w:rsid w:val="002B65C7"/>
    <w:rsid w:val="002B6882"/>
    <w:rsid w:val="002B6B4F"/>
    <w:rsid w:val="002B6C64"/>
    <w:rsid w:val="002B6CFB"/>
    <w:rsid w:val="002B6D3A"/>
    <w:rsid w:val="002B6E97"/>
    <w:rsid w:val="002B6FC7"/>
    <w:rsid w:val="002B7AD5"/>
    <w:rsid w:val="002B7BAF"/>
    <w:rsid w:val="002B7BEB"/>
    <w:rsid w:val="002B7CCD"/>
    <w:rsid w:val="002C0046"/>
    <w:rsid w:val="002C00E0"/>
    <w:rsid w:val="002C05F0"/>
    <w:rsid w:val="002C0661"/>
    <w:rsid w:val="002C069C"/>
    <w:rsid w:val="002C085E"/>
    <w:rsid w:val="002C089B"/>
    <w:rsid w:val="002C093A"/>
    <w:rsid w:val="002C0C05"/>
    <w:rsid w:val="002C0FF0"/>
    <w:rsid w:val="002C149E"/>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36B"/>
    <w:rsid w:val="002D6976"/>
    <w:rsid w:val="002D6CF0"/>
    <w:rsid w:val="002D6FFE"/>
    <w:rsid w:val="002D7047"/>
    <w:rsid w:val="002D70C1"/>
    <w:rsid w:val="002D784E"/>
    <w:rsid w:val="002D7930"/>
    <w:rsid w:val="002D7B18"/>
    <w:rsid w:val="002D7B49"/>
    <w:rsid w:val="002E031E"/>
    <w:rsid w:val="002E090F"/>
    <w:rsid w:val="002E0967"/>
    <w:rsid w:val="002E0F16"/>
    <w:rsid w:val="002E0FA2"/>
    <w:rsid w:val="002E13A0"/>
    <w:rsid w:val="002E185A"/>
    <w:rsid w:val="002E1C42"/>
    <w:rsid w:val="002E1E26"/>
    <w:rsid w:val="002E2748"/>
    <w:rsid w:val="002E2A70"/>
    <w:rsid w:val="002E2B77"/>
    <w:rsid w:val="002E33BF"/>
    <w:rsid w:val="002E37B5"/>
    <w:rsid w:val="002E380E"/>
    <w:rsid w:val="002E3B41"/>
    <w:rsid w:val="002E3DF0"/>
    <w:rsid w:val="002E4608"/>
    <w:rsid w:val="002E4671"/>
    <w:rsid w:val="002E4C6D"/>
    <w:rsid w:val="002E4E82"/>
    <w:rsid w:val="002E4EE2"/>
    <w:rsid w:val="002E5335"/>
    <w:rsid w:val="002E5734"/>
    <w:rsid w:val="002E5811"/>
    <w:rsid w:val="002E5AF7"/>
    <w:rsid w:val="002E5CF2"/>
    <w:rsid w:val="002E5F3B"/>
    <w:rsid w:val="002E660A"/>
    <w:rsid w:val="002E6799"/>
    <w:rsid w:val="002E6C40"/>
    <w:rsid w:val="002E6CCF"/>
    <w:rsid w:val="002E6E72"/>
    <w:rsid w:val="002E706B"/>
    <w:rsid w:val="002E7523"/>
    <w:rsid w:val="002E7AA9"/>
    <w:rsid w:val="002E7ABC"/>
    <w:rsid w:val="002E7BCD"/>
    <w:rsid w:val="002E7D0A"/>
    <w:rsid w:val="002F0567"/>
    <w:rsid w:val="002F077D"/>
    <w:rsid w:val="002F08DC"/>
    <w:rsid w:val="002F0A6D"/>
    <w:rsid w:val="002F1017"/>
    <w:rsid w:val="002F121B"/>
    <w:rsid w:val="002F1306"/>
    <w:rsid w:val="002F13EB"/>
    <w:rsid w:val="002F140F"/>
    <w:rsid w:val="002F182E"/>
    <w:rsid w:val="002F1B67"/>
    <w:rsid w:val="002F24D4"/>
    <w:rsid w:val="002F2568"/>
    <w:rsid w:val="002F2624"/>
    <w:rsid w:val="002F29CB"/>
    <w:rsid w:val="002F2B44"/>
    <w:rsid w:val="002F2B8F"/>
    <w:rsid w:val="002F2EEA"/>
    <w:rsid w:val="002F3437"/>
    <w:rsid w:val="002F3659"/>
    <w:rsid w:val="002F3BAD"/>
    <w:rsid w:val="002F3E3D"/>
    <w:rsid w:val="002F4034"/>
    <w:rsid w:val="002F4122"/>
    <w:rsid w:val="002F41C9"/>
    <w:rsid w:val="002F476D"/>
    <w:rsid w:val="002F47C6"/>
    <w:rsid w:val="002F4893"/>
    <w:rsid w:val="002F4A47"/>
    <w:rsid w:val="002F4BDF"/>
    <w:rsid w:val="002F4C97"/>
    <w:rsid w:val="002F4FC1"/>
    <w:rsid w:val="002F50A4"/>
    <w:rsid w:val="002F538A"/>
    <w:rsid w:val="002F6268"/>
    <w:rsid w:val="002F644B"/>
    <w:rsid w:val="002F688E"/>
    <w:rsid w:val="002F6B0D"/>
    <w:rsid w:val="002F6B84"/>
    <w:rsid w:val="002F6D2F"/>
    <w:rsid w:val="002F6D5F"/>
    <w:rsid w:val="002F7492"/>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5FD"/>
    <w:rsid w:val="0030679B"/>
    <w:rsid w:val="003067B0"/>
    <w:rsid w:val="00306914"/>
    <w:rsid w:val="00306DA0"/>
    <w:rsid w:val="00306FB2"/>
    <w:rsid w:val="00306FED"/>
    <w:rsid w:val="003076A7"/>
    <w:rsid w:val="003078FC"/>
    <w:rsid w:val="00307C81"/>
    <w:rsid w:val="003100B4"/>
    <w:rsid w:val="00310475"/>
    <w:rsid w:val="003107E7"/>
    <w:rsid w:val="00310AF2"/>
    <w:rsid w:val="00310C10"/>
    <w:rsid w:val="00310CE4"/>
    <w:rsid w:val="0031100E"/>
    <w:rsid w:val="00311194"/>
    <w:rsid w:val="0031125F"/>
    <w:rsid w:val="0031136C"/>
    <w:rsid w:val="0031177F"/>
    <w:rsid w:val="003118EC"/>
    <w:rsid w:val="00311B7B"/>
    <w:rsid w:val="00311ED9"/>
    <w:rsid w:val="00311F51"/>
    <w:rsid w:val="003122E8"/>
    <w:rsid w:val="00312635"/>
    <w:rsid w:val="00312B96"/>
    <w:rsid w:val="00312BA3"/>
    <w:rsid w:val="00313B7C"/>
    <w:rsid w:val="00313C32"/>
    <w:rsid w:val="00314017"/>
    <w:rsid w:val="00314034"/>
    <w:rsid w:val="00314397"/>
    <w:rsid w:val="003144BA"/>
    <w:rsid w:val="00314523"/>
    <w:rsid w:val="00314645"/>
    <w:rsid w:val="003149A3"/>
    <w:rsid w:val="00314B2A"/>
    <w:rsid w:val="00315000"/>
    <w:rsid w:val="003153D9"/>
    <w:rsid w:val="0031550B"/>
    <w:rsid w:val="00315540"/>
    <w:rsid w:val="00315A9D"/>
    <w:rsid w:val="00315E08"/>
    <w:rsid w:val="00316755"/>
    <w:rsid w:val="003169B6"/>
    <w:rsid w:val="00316C69"/>
    <w:rsid w:val="003171CB"/>
    <w:rsid w:val="00317261"/>
    <w:rsid w:val="0031736F"/>
    <w:rsid w:val="00317766"/>
    <w:rsid w:val="003179CF"/>
    <w:rsid w:val="00317E3D"/>
    <w:rsid w:val="00320010"/>
    <w:rsid w:val="003201FF"/>
    <w:rsid w:val="00320587"/>
    <w:rsid w:val="00320682"/>
    <w:rsid w:val="00320862"/>
    <w:rsid w:val="00320881"/>
    <w:rsid w:val="00320FB8"/>
    <w:rsid w:val="003214CE"/>
    <w:rsid w:val="00321665"/>
    <w:rsid w:val="00321A5B"/>
    <w:rsid w:val="00321D00"/>
    <w:rsid w:val="00321D56"/>
    <w:rsid w:val="00321F48"/>
    <w:rsid w:val="00321FB7"/>
    <w:rsid w:val="00321FD7"/>
    <w:rsid w:val="003220F3"/>
    <w:rsid w:val="0032220B"/>
    <w:rsid w:val="0032238A"/>
    <w:rsid w:val="00322A19"/>
    <w:rsid w:val="00322B6A"/>
    <w:rsid w:val="00322CD0"/>
    <w:rsid w:val="00322ED9"/>
    <w:rsid w:val="00322FA3"/>
    <w:rsid w:val="00323450"/>
    <w:rsid w:val="0032350B"/>
    <w:rsid w:val="00323BC5"/>
    <w:rsid w:val="00323BEB"/>
    <w:rsid w:val="00324673"/>
    <w:rsid w:val="00324B9B"/>
    <w:rsid w:val="00324D46"/>
    <w:rsid w:val="00324DE1"/>
    <w:rsid w:val="003250DD"/>
    <w:rsid w:val="003257CD"/>
    <w:rsid w:val="00325B0D"/>
    <w:rsid w:val="00325B56"/>
    <w:rsid w:val="00325DF1"/>
    <w:rsid w:val="0032655A"/>
    <w:rsid w:val="003268E8"/>
    <w:rsid w:val="00326A92"/>
    <w:rsid w:val="00326C01"/>
    <w:rsid w:val="00326D93"/>
    <w:rsid w:val="003273F4"/>
    <w:rsid w:val="0032744B"/>
    <w:rsid w:val="00327607"/>
    <w:rsid w:val="00327618"/>
    <w:rsid w:val="00327764"/>
    <w:rsid w:val="003279D2"/>
    <w:rsid w:val="00327A62"/>
    <w:rsid w:val="00327C5F"/>
    <w:rsid w:val="00327FFA"/>
    <w:rsid w:val="00330315"/>
    <w:rsid w:val="003308CB"/>
    <w:rsid w:val="00330BBF"/>
    <w:rsid w:val="00330F5F"/>
    <w:rsid w:val="003313FF"/>
    <w:rsid w:val="00331867"/>
    <w:rsid w:val="00331871"/>
    <w:rsid w:val="003319F5"/>
    <w:rsid w:val="00331AB5"/>
    <w:rsid w:val="00331DB9"/>
    <w:rsid w:val="0033227C"/>
    <w:rsid w:val="003322F4"/>
    <w:rsid w:val="0033265D"/>
    <w:rsid w:val="003326E2"/>
    <w:rsid w:val="0033272D"/>
    <w:rsid w:val="003328DC"/>
    <w:rsid w:val="00332BE1"/>
    <w:rsid w:val="00332D95"/>
    <w:rsid w:val="00333302"/>
    <w:rsid w:val="00333407"/>
    <w:rsid w:val="00333880"/>
    <w:rsid w:val="0033389B"/>
    <w:rsid w:val="003338D8"/>
    <w:rsid w:val="0033391C"/>
    <w:rsid w:val="00333CAD"/>
    <w:rsid w:val="00333F29"/>
    <w:rsid w:val="0033435C"/>
    <w:rsid w:val="003346C2"/>
    <w:rsid w:val="00334AA7"/>
    <w:rsid w:val="0033504D"/>
    <w:rsid w:val="00335190"/>
    <w:rsid w:val="003351D9"/>
    <w:rsid w:val="0033532E"/>
    <w:rsid w:val="00335BDA"/>
    <w:rsid w:val="00335CE3"/>
    <w:rsid w:val="00335E9E"/>
    <w:rsid w:val="00336146"/>
    <w:rsid w:val="003364E2"/>
    <w:rsid w:val="00336662"/>
    <w:rsid w:val="003366AE"/>
    <w:rsid w:val="003369EE"/>
    <w:rsid w:val="00336A2E"/>
    <w:rsid w:val="00336A91"/>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D25"/>
    <w:rsid w:val="00341EF2"/>
    <w:rsid w:val="003420BF"/>
    <w:rsid w:val="003423CA"/>
    <w:rsid w:val="003425BE"/>
    <w:rsid w:val="0034287B"/>
    <w:rsid w:val="00342965"/>
    <w:rsid w:val="003429B5"/>
    <w:rsid w:val="00342BA1"/>
    <w:rsid w:val="00342BE0"/>
    <w:rsid w:val="00342FDE"/>
    <w:rsid w:val="0034313B"/>
    <w:rsid w:val="003431AA"/>
    <w:rsid w:val="003431F1"/>
    <w:rsid w:val="003436C3"/>
    <w:rsid w:val="003439D1"/>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820"/>
    <w:rsid w:val="00347A1E"/>
    <w:rsid w:val="00347C45"/>
    <w:rsid w:val="00347D45"/>
    <w:rsid w:val="00347DF7"/>
    <w:rsid w:val="00347F2F"/>
    <w:rsid w:val="00347FD5"/>
    <w:rsid w:val="003502F1"/>
    <w:rsid w:val="003503E7"/>
    <w:rsid w:val="00350557"/>
    <w:rsid w:val="00350967"/>
    <w:rsid w:val="00350A35"/>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2FF3"/>
    <w:rsid w:val="003530CF"/>
    <w:rsid w:val="003530D4"/>
    <w:rsid w:val="00353333"/>
    <w:rsid w:val="00353907"/>
    <w:rsid w:val="00353C8B"/>
    <w:rsid w:val="00353DCC"/>
    <w:rsid w:val="00353E7D"/>
    <w:rsid w:val="003542D4"/>
    <w:rsid w:val="003543DA"/>
    <w:rsid w:val="00354514"/>
    <w:rsid w:val="0035483F"/>
    <w:rsid w:val="00354B65"/>
    <w:rsid w:val="00354B6B"/>
    <w:rsid w:val="00354B7A"/>
    <w:rsid w:val="00354F05"/>
    <w:rsid w:val="00355439"/>
    <w:rsid w:val="003555F5"/>
    <w:rsid w:val="0035577E"/>
    <w:rsid w:val="00355B3F"/>
    <w:rsid w:val="0035616C"/>
    <w:rsid w:val="00356450"/>
    <w:rsid w:val="00356A2D"/>
    <w:rsid w:val="00356ADE"/>
    <w:rsid w:val="00356DB8"/>
    <w:rsid w:val="00356EF5"/>
    <w:rsid w:val="00357466"/>
    <w:rsid w:val="0035798B"/>
    <w:rsid w:val="00357999"/>
    <w:rsid w:val="00357A18"/>
    <w:rsid w:val="00357EF9"/>
    <w:rsid w:val="00357FCD"/>
    <w:rsid w:val="00360101"/>
    <w:rsid w:val="00360125"/>
    <w:rsid w:val="00360258"/>
    <w:rsid w:val="00360655"/>
    <w:rsid w:val="0036088E"/>
    <w:rsid w:val="003608DB"/>
    <w:rsid w:val="00360D85"/>
    <w:rsid w:val="00360F07"/>
    <w:rsid w:val="00361109"/>
    <w:rsid w:val="00361A6B"/>
    <w:rsid w:val="0036202E"/>
    <w:rsid w:val="00362166"/>
    <w:rsid w:val="003623F6"/>
    <w:rsid w:val="00362556"/>
    <w:rsid w:val="00362709"/>
    <w:rsid w:val="0036283F"/>
    <w:rsid w:val="00362C3D"/>
    <w:rsid w:val="00362CBC"/>
    <w:rsid w:val="00362F6B"/>
    <w:rsid w:val="00362F78"/>
    <w:rsid w:val="00363328"/>
    <w:rsid w:val="0036335B"/>
    <w:rsid w:val="003636C9"/>
    <w:rsid w:val="00363D41"/>
    <w:rsid w:val="00363D5D"/>
    <w:rsid w:val="00363F44"/>
    <w:rsid w:val="003641FE"/>
    <w:rsid w:val="003642E2"/>
    <w:rsid w:val="003644C1"/>
    <w:rsid w:val="0036461E"/>
    <w:rsid w:val="0036495E"/>
    <w:rsid w:val="00364B70"/>
    <w:rsid w:val="00364DAF"/>
    <w:rsid w:val="00364F6F"/>
    <w:rsid w:val="003652AD"/>
    <w:rsid w:val="0036554A"/>
    <w:rsid w:val="00365630"/>
    <w:rsid w:val="003656AA"/>
    <w:rsid w:val="00365C98"/>
    <w:rsid w:val="00365EE8"/>
    <w:rsid w:val="00365F42"/>
    <w:rsid w:val="00365F6D"/>
    <w:rsid w:val="00366965"/>
    <w:rsid w:val="00366C5D"/>
    <w:rsid w:val="003671D4"/>
    <w:rsid w:val="00367403"/>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10C"/>
    <w:rsid w:val="00373254"/>
    <w:rsid w:val="003733D9"/>
    <w:rsid w:val="003734B6"/>
    <w:rsid w:val="00373684"/>
    <w:rsid w:val="003738DA"/>
    <w:rsid w:val="00373990"/>
    <w:rsid w:val="00373AFB"/>
    <w:rsid w:val="00373CCC"/>
    <w:rsid w:val="00373F24"/>
    <w:rsid w:val="0037417E"/>
    <w:rsid w:val="00374622"/>
    <w:rsid w:val="0037480E"/>
    <w:rsid w:val="00374E3A"/>
    <w:rsid w:val="00374FE9"/>
    <w:rsid w:val="003752DC"/>
    <w:rsid w:val="0037539C"/>
    <w:rsid w:val="00375424"/>
    <w:rsid w:val="003754E1"/>
    <w:rsid w:val="00375597"/>
    <w:rsid w:val="00375630"/>
    <w:rsid w:val="00375BF6"/>
    <w:rsid w:val="00375EE8"/>
    <w:rsid w:val="00375FDA"/>
    <w:rsid w:val="00376585"/>
    <w:rsid w:val="00376651"/>
    <w:rsid w:val="003767E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D8B"/>
    <w:rsid w:val="00381E30"/>
    <w:rsid w:val="0038251C"/>
    <w:rsid w:val="0038264C"/>
    <w:rsid w:val="00382880"/>
    <w:rsid w:val="00382A18"/>
    <w:rsid w:val="00382AA2"/>
    <w:rsid w:val="00382ACB"/>
    <w:rsid w:val="00382B3E"/>
    <w:rsid w:val="00382DAE"/>
    <w:rsid w:val="00382E5F"/>
    <w:rsid w:val="00382F65"/>
    <w:rsid w:val="003830FC"/>
    <w:rsid w:val="003839CE"/>
    <w:rsid w:val="00383B86"/>
    <w:rsid w:val="00383C9A"/>
    <w:rsid w:val="00383D49"/>
    <w:rsid w:val="00383F4D"/>
    <w:rsid w:val="00384125"/>
    <w:rsid w:val="003843D7"/>
    <w:rsid w:val="0038452B"/>
    <w:rsid w:val="0038459E"/>
    <w:rsid w:val="00384611"/>
    <w:rsid w:val="00384ABB"/>
    <w:rsid w:val="00384AE0"/>
    <w:rsid w:val="00384C20"/>
    <w:rsid w:val="00384E52"/>
    <w:rsid w:val="0038500C"/>
    <w:rsid w:val="00385295"/>
    <w:rsid w:val="0038532C"/>
    <w:rsid w:val="0038556F"/>
    <w:rsid w:val="0038578E"/>
    <w:rsid w:val="003857DB"/>
    <w:rsid w:val="00385CB4"/>
    <w:rsid w:val="00385D1A"/>
    <w:rsid w:val="00385D43"/>
    <w:rsid w:val="00385DBC"/>
    <w:rsid w:val="00385E39"/>
    <w:rsid w:val="0038630D"/>
    <w:rsid w:val="003864AE"/>
    <w:rsid w:val="003865A8"/>
    <w:rsid w:val="003866AF"/>
    <w:rsid w:val="00386A36"/>
    <w:rsid w:val="00386B20"/>
    <w:rsid w:val="00386B7F"/>
    <w:rsid w:val="00386B82"/>
    <w:rsid w:val="00386BB5"/>
    <w:rsid w:val="00386D61"/>
    <w:rsid w:val="00386D7C"/>
    <w:rsid w:val="00386F24"/>
    <w:rsid w:val="00386FED"/>
    <w:rsid w:val="00387056"/>
    <w:rsid w:val="0038739C"/>
    <w:rsid w:val="003874E6"/>
    <w:rsid w:val="0038755D"/>
    <w:rsid w:val="003879BE"/>
    <w:rsid w:val="00387AA7"/>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A29"/>
    <w:rsid w:val="00391CD1"/>
    <w:rsid w:val="003922BF"/>
    <w:rsid w:val="00392A69"/>
    <w:rsid w:val="00392E4E"/>
    <w:rsid w:val="003930EB"/>
    <w:rsid w:val="003931D8"/>
    <w:rsid w:val="00393229"/>
    <w:rsid w:val="00393509"/>
    <w:rsid w:val="00393569"/>
    <w:rsid w:val="00393C42"/>
    <w:rsid w:val="00393EFB"/>
    <w:rsid w:val="003942F1"/>
    <w:rsid w:val="00394705"/>
    <w:rsid w:val="0039480F"/>
    <w:rsid w:val="00394B28"/>
    <w:rsid w:val="00394B89"/>
    <w:rsid w:val="00395151"/>
    <w:rsid w:val="0039525E"/>
    <w:rsid w:val="00395514"/>
    <w:rsid w:val="0039554E"/>
    <w:rsid w:val="003957BB"/>
    <w:rsid w:val="00395C25"/>
    <w:rsid w:val="00395C2B"/>
    <w:rsid w:val="00395C4B"/>
    <w:rsid w:val="00395C7A"/>
    <w:rsid w:val="00395CC6"/>
    <w:rsid w:val="00395E22"/>
    <w:rsid w:val="00395FEF"/>
    <w:rsid w:val="003961B5"/>
    <w:rsid w:val="003962D6"/>
    <w:rsid w:val="0039638D"/>
    <w:rsid w:val="00396828"/>
    <w:rsid w:val="00396E02"/>
    <w:rsid w:val="00397119"/>
    <w:rsid w:val="0039723A"/>
    <w:rsid w:val="003975C0"/>
    <w:rsid w:val="0039776D"/>
    <w:rsid w:val="00397D6F"/>
    <w:rsid w:val="003A0146"/>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264"/>
    <w:rsid w:val="003A4296"/>
    <w:rsid w:val="003A42CC"/>
    <w:rsid w:val="003A4319"/>
    <w:rsid w:val="003A4523"/>
    <w:rsid w:val="003A4954"/>
    <w:rsid w:val="003A4AA7"/>
    <w:rsid w:val="003A4AD7"/>
    <w:rsid w:val="003A4D30"/>
    <w:rsid w:val="003A50F8"/>
    <w:rsid w:val="003A52C4"/>
    <w:rsid w:val="003A5735"/>
    <w:rsid w:val="003A58C7"/>
    <w:rsid w:val="003A599F"/>
    <w:rsid w:val="003A5ACF"/>
    <w:rsid w:val="003A5FDB"/>
    <w:rsid w:val="003A618E"/>
    <w:rsid w:val="003A66D7"/>
    <w:rsid w:val="003A6CDC"/>
    <w:rsid w:val="003A6CE9"/>
    <w:rsid w:val="003A7265"/>
    <w:rsid w:val="003A7367"/>
    <w:rsid w:val="003A797C"/>
    <w:rsid w:val="003A7A6F"/>
    <w:rsid w:val="003A7FF6"/>
    <w:rsid w:val="003B03F4"/>
    <w:rsid w:val="003B0413"/>
    <w:rsid w:val="003B0677"/>
    <w:rsid w:val="003B083A"/>
    <w:rsid w:val="003B0A0F"/>
    <w:rsid w:val="003B0B9C"/>
    <w:rsid w:val="003B0D40"/>
    <w:rsid w:val="003B0EC1"/>
    <w:rsid w:val="003B11DD"/>
    <w:rsid w:val="003B12DD"/>
    <w:rsid w:val="003B16D2"/>
    <w:rsid w:val="003B192B"/>
    <w:rsid w:val="003B1B21"/>
    <w:rsid w:val="003B1C17"/>
    <w:rsid w:val="003B1CB6"/>
    <w:rsid w:val="003B202F"/>
    <w:rsid w:val="003B206D"/>
    <w:rsid w:val="003B209A"/>
    <w:rsid w:val="003B20B8"/>
    <w:rsid w:val="003B2198"/>
    <w:rsid w:val="003B2498"/>
    <w:rsid w:val="003B28BC"/>
    <w:rsid w:val="003B29FE"/>
    <w:rsid w:val="003B2F17"/>
    <w:rsid w:val="003B32F5"/>
    <w:rsid w:val="003B38CD"/>
    <w:rsid w:val="003B3A56"/>
    <w:rsid w:val="003B3D10"/>
    <w:rsid w:val="003B3F0A"/>
    <w:rsid w:val="003B44FE"/>
    <w:rsid w:val="003B454F"/>
    <w:rsid w:val="003B46B5"/>
    <w:rsid w:val="003B4849"/>
    <w:rsid w:val="003B4A40"/>
    <w:rsid w:val="003B4A70"/>
    <w:rsid w:val="003B4D62"/>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6FE1"/>
    <w:rsid w:val="003B7014"/>
    <w:rsid w:val="003B76BF"/>
    <w:rsid w:val="003B7716"/>
    <w:rsid w:val="003B7A53"/>
    <w:rsid w:val="003B7B24"/>
    <w:rsid w:val="003B7BB9"/>
    <w:rsid w:val="003B7BEB"/>
    <w:rsid w:val="003B7D26"/>
    <w:rsid w:val="003B7ECE"/>
    <w:rsid w:val="003B7F7F"/>
    <w:rsid w:val="003C00AB"/>
    <w:rsid w:val="003C041C"/>
    <w:rsid w:val="003C0F40"/>
    <w:rsid w:val="003C0F54"/>
    <w:rsid w:val="003C0FEF"/>
    <w:rsid w:val="003C10D0"/>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F26"/>
    <w:rsid w:val="003C40A4"/>
    <w:rsid w:val="003C44E3"/>
    <w:rsid w:val="003C45A6"/>
    <w:rsid w:val="003C4DC1"/>
    <w:rsid w:val="003C4ED1"/>
    <w:rsid w:val="003C4EEA"/>
    <w:rsid w:val="003C511B"/>
    <w:rsid w:val="003C53A9"/>
    <w:rsid w:val="003C53B5"/>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0F57"/>
    <w:rsid w:val="003D1331"/>
    <w:rsid w:val="003D1515"/>
    <w:rsid w:val="003D1730"/>
    <w:rsid w:val="003D184B"/>
    <w:rsid w:val="003D1C0A"/>
    <w:rsid w:val="003D1C91"/>
    <w:rsid w:val="003D21F7"/>
    <w:rsid w:val="003D228D"/>
    <w:rsid w:val="003D23EE"/>
    <w:rsid w:val="003D2589"/>
    <w:rsid w:val="003D25F4"/>
    <w:rsid w:val="003D26D5"/>
    <w:rsid w:val="003D26F7"/>
    <w:rsid w:val="003D2CD5"/>
    <w:rsid w:val="003D2CEE"/>
    <w:rsid w:val="003D2F99"/>
    <w:rsid w:val="003D30D6"/>
    <w:rsid w:val="003D34E8"/>
    <w:rsid w:val="003D37D4"/>
    <w:rsid w:val="003D3A0C"/>
    <w:rsid w:val="003D3DE1"/>
    <w:rsid w:val="003D3E70"/>
    <w:rsid w:val="003D41F2"/>
    <w:rsid w:val="003D4398"/>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A1"/>
    <w:rsid w:val="003D6EE8"/>
    <w:rsid w:val="003D6F6F"/>
    <w:rsid w:val="003D70AA"/>
    <w:rsid w:val="003D728F"/>
    <w:rsid w:val="003D7461"/>
    <w:rsid w:val="003D746B"/>
    <w:rsid w:val="003D754B"/>
    <w:rsid w:val="003D76CD"/>
    <w:rsid w:val="003D76F9"/>
    <w:rsid w:val="003D7B0C"/>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860"/>
    <w:rsid w:val="003E3A1D"/>
    <w:rsid w:val="003E3A8B"/>
    <w:rsid w:val="003E3B82"/>
    <w:rsid w:val="003E3CC2"/>
    <w:rsid w:val="003E404F"/>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E7E8B"/>
    <w:rsid w:val="003F006A"/>
    <w:rsid w:val="003F01F6"/>
    <w:rsid w:val="003F020C"/>
    <w:rsid w:val="003F033C"/>
    <w:rsid w:val="003F03C4"/>
    <w:rsid w:val="003F04C5"/>
    <w:rsid w:val="003F066F"/>
    <w:rsid w:val="003F072D"/>
    <w:rsid w:val="003F07C3"/>
    <w:rsid w:val="003F0C9B"/>
    <w:rsid w:val="003F110B"/>
    <w:rsid w:val="003F1299"/>
    <w:rsid w:val="003F1C0F"/>
    <w:rsid w:val="003F1F1D"/>
    <w:rsid w:val="003F27CB"/>
    <w:rsid w:val="003F2A8C"/>
    <w:rsid w:val="003F2CEF"/>
    <w:rsid w:val="003F2DEE"/>
    <w:rsid w:val="003F307C"/>
    <w:rsid w:val="003F31AE"/>
    <w:rsid w:val="003F325F"/>
    <w:rsid w:val="003F3282"/>
    <w:rsid w:val="003F34C8"/>
    <w:rsid w:val="003F3650"/>
    <w:rsid w:val="003F3733"/>
    <w:rsid w:val="003F3919"/>
    <w:rsid w:val="003F3982"/>
    <w:rsid w:val="003F39F1"/>
    <w:rsid w:val="003F3B8F"/>
    <w:rsid w:val="003F3CE3"/>
    <w:rsid w:val="003F416F"/>
    <w:rsid w:val="003F41F2"/>
    <w:rsid w:val="003F441C"/>
    <w:rsid w:val="003F443F"/>
    <w:rsid w:val="003F44C8"/>
    <w:rsid w:val="003F45EB"/>
    <w:rsid w:val="003F46B8"/>
    <w:rsid w:val="003F4D21"/>
    <w:rsid w:val="003F4DA7"/>
    <w:rsid w:val="003F5277"/>
    <w:rsid w:val="003F576C"/>
    <w:rsid w:val="003F57F4"/>
    <w:rsid w:val="003F5BB3"/>
    <w:rsid w:val="003F5C88"/>
    <w:rsid w:val="003F5E4A"/>
    <w:rsid w:val="003F62DB"/>
    <w:rsid w:val="003F62DE"/>
    <w:rsid w:val="003F62ED"/>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9FC"/>
    <w:rsid w:val="00401A04"/>
    <w:rsid w:val="00401A6B"/>
    <w:rsid w:val="00401C60"/>
    <w:rsid w:val="00401FCB"/>
    <w:rsid w:val="0040203A"/>
    <w:rsid w:val="00402B30"/>
    <w:rsid w:val="00402C69"/>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E5B"/>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0F60"/>
    <w:rsid w:val="004112AE"/>
    <w:rsid w:val="00411903"/>
    <w:rsid w:val="00411CCB"/>
    <w:rsid w:val="00411E7E"/>
    <w:rsid w:val="00411F4F"/>
    <w:rsid w:val="00412042"/>
    <w:rsid w:val="004124B3"/>
    <w:rsid w:val="00412535"/>
    <w:rsid w:val="00412A7B"/>
    <w:rsid w:val="00412B5E"/>
    <w:rsid w:val="00412C90"/>
    <w:rsid w:val="00412D0B"/>
    <w:rsid w:val="0041303A"/>
    <w:rsid w:val="00413097"/>
    <w:rsid w:val="004134C0"/>
    <w:rsid w:val="00413B2E"/>
    <w:rsid w:val="00413C08"/>
    <w:rsid w:val="00413FFE"/>
    <w:rsid w:val="00414299"/>
    <w:rsid w:val="004145B4"/>
    <w:rsid w:val="00414967"/>
    <w:rsid w:val="00414B5B"/>
    <w:rsid w:val="00414C19"/>
    <w:rsid w:val="00414CAD"/>
    <w:rsid w:val="004150F4"/>
    <w:rsid w:val="00415BC5"/>
    <w:rsid w:val="00415DB8"/>
    <w:rsid w:val="00415EE3"/>
    <w:rsid w:val="00415F40"/>
    <w:rsid w:val="0041604E"/>
    <w:rsid w:val="004161DD"/>
    <w:rsid w:val="00416341"/>
    <w:rsid w:val="00416DBA"/>
    <w:rsid w:val="004173EB"/>
    <w:rsid w:val="00417B31"/>
    <w:rsid w:val="00417C3E"/>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6BA4"/>
    <w:rsid w:val="00427022"/>
    <w:rsid w:val="00427696"/>
    <w:rsid w:val="00427865"/>
    <w:rsid w:val="00427876"/>
    <w:rsid w:val="004278E6"/>
    <w:rsid w:val="00430012"/>
    <w:rsid w:val="004302B7"/>
    <w:rsid w:val="0043054F"/>
    <w:rsid w:val="00430567"/>
    <w:rsid w:val="004308E5"/>
    <w:rsid w:val="004309E8"/>
    <w:rsid w:val="00430DFD"/>
    <w:rsid w:val="00431096"/>
    <w:rsid w:val="004322D4"/>
    <w:rsid w:val="00432570"/>
    <w:rsid w:val="0043269D"/>
    <w:rsid w:val="00432A76"/>
    <w:rsid w:val="00432F05"/>
    <w:rsid w:val="004330BC"/>
    <w:rsid w:val="00433783"/>
    <w:rsid w:val="0043396B"/>
    <w:rsid w:val="00433C0B"/>
    <w:rsid w:val="00434174"/>
    <w:rsid w:val="0043417D"/>
    <w:rsid w:val="00434627"/>
    <w:rsid w:val="0043479C"/>
    <w:rsid w:val="00434A59"/>
    <w:rsid w:val="00434AE8"/>
    <w:rsid w:val="00434D4B"/>
    <w:rsid w:val="00434E88"/>
    <w:rsid w:val="00435099"/>
    <w:rsid w:val="004350A2"/>
    <w:rsid w:val="00435101"/>
    <w:rsid w:val="00435175"/>
    <w:rsid w:val="004351AE"/>
    <w:rsid w:val="00435632"/>
    <w:rsid w:val="00435734"/>
    <w:rsid w:val="0043584E"/>
    <w:rsid w:val="00435873"/>
    <w:rsid w:val="004358C5"/>
    <w:rsid w:val="0043594B"/>
    <w:rsid w:val="00435D10"/>
    <w:rsid w:val="004362BB"/>
    <w:rsid w:val="004368AE"/>
    <w:rsid w:val="004369C6"/>
    <w:rsid w:val="00436CDF"/>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B2E"/>
    <w:rsid w:val="00442BD9"/>
    <w:rsid w:val="00442D21"/>
    <w:rsid w:val="00443182"/>
    <w:rsid w:val="004431E9"/>
    <w:rsid w:val="00443287"/>
    <w:rsid w:val="00443392"/>
    <w:rsid w:val="004433C5"/>
    <w:rsid w:val="00443630"/>
    <w:rsid w:val="0044365B"/>
    <w:rsid w:val="0044368D"/>
    <w:rsid w:val="00443ADC"/>
    <w:rsid w:val="004443AF"/>
    <w:rsid w:val="004443C8"/>
    <w:rsid w:val="0044455D"/>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38F"/>
    <w:rsid w:val="0044680C"/>
    <w:rsid w:val="00446A40"/>
    <w:rsid w:val="00446CE8"/>
    <w:rsid w:val="004477EF"/>
    <w:rsid w:val="00447895"/>
    <w:rsid w:val="00447A16"/>
    <w:rsid w:val="00447A38"/>
    <w:rsid w:val="00447BCF"/>
    <w:rsid w:val="00450446"/>
    <w:rsid w:val="004504D6"/>
    <w:rsid w:val="004507E5"/>
    <w:rsid w:val="00450AC0"/>
    <w:rsid w:val="00450D71"/>
    <w:rsid w:val="004512E4"/>
    <w:rsid w:val="004516D6"/>
    <w:rsid w:val="004516F2"/>
    <w:rsid w:val="004519F1"/>
    <w:rsid w:val="00451ED2"/>
    <w:rsid w:val="00452324"/>
    <w:rsid w:val="004525C1"/>
    <w:rsid w:val="004526DF"/>
    <w:rsid w:val="00452A17"/>
    <w:rsid w:val="00452C4A"/>
    <w:rsid w:val="00452E1E"/>
    <w:rsid w:val="00452E70"/>
    <w:rsid w:val="00453037"/>
    <w:rsid w:val="00453106"/>
    <w:rsid w:val="00453314"/>
    <w:rsid w:val="0045334B"/>
    <w:rsid w:val="00453771"/>
    <w:rsid w:val="00453A19"/>
    <w:rsid w:val="00453ABF"/>
    <w:rsid w:val="00453B7D"/>
    <w:rsid w:val="00453FF4"/>
    <w:rsid w:val="0045437C"/>
    <w:rsid w:val="004543BB"/>
    <w:rsid w:val="00454739"/>
    <w:rsid w:val="00454A14"/>
    <w:rsid w:val="00454A30"/>
    <w:rsid w:val="00454D6E"/>
    <w:rsid w:val="00454F63"/>
    <w:rsid w:val="00454F87"/>
    <w:rsid w:val="0045588B"/>
    <w:rsid w:val="00455C64"/>
    <w:rsid w:val="00455F9E"/>
    <w:rsid w:val="004563D6"/>
    <w:rsid w:val="00456654"/>
    <w:rsid w:val="00456C43"/>
    <w:rsid w:val="00456EC9"/>
    <w:rsid w:val="00456EF5"/>
    <w:rsid w:val="004577BF"/>
    <w:rsid w:val="0045781E"/>
    <w:rsid w:val="00457AFC"/>
    <w:rsid w:val="00457CFF"/>
    <w:rsid w:val="004600CC"/>
    <w:rsid w:val="00460494"/>
    <w:rsid w:val="004605BC"/>
    <w:rsid w:val="00460AD1"/>
    <w:rsid w:val="00461003"/>
    <w:rsid w:val="004618B8"/>
    <w:rsid w:val="00461B72"/>
    <w:rsid w:val="00462001"/>
    <w:rsid w:val="00462117"/>
    <w:rsid w:val="0046220F"/>
    <w:rsid w:val="004622B3"/>
    <w:rsid w:val="00462400"/>
    <w:rsid w:val="004624B9"/>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4D"/>
    <w:rsid w:val="00465877"/>
    <w:rsid w:val="00465A90"/>
    <w:rsid w:val="00465AEB"/>
    <w:rsid w:val="00465CC2"/>
    <w:rsid w:val="00466357"/>
    <w:rsid w:val="004665D2"/>
    <w:rsid w:val="0046689D"/>
    <w:rsid w:val="00466AB7"/>
    <w:rsid w:val="00466B35"/>
    <w:rsid w:val="00466C93"/>
    <w:rsid w:val="00466D14"/>
    <w:rsid w:val="00466DE0"/>
    <w:rsid w:val="00466DF8"/>
    <w:rsid w:val="00467357"/>
    <w:rsid w:val="00467610"/>
    <w:rsid w:val="004677AB"/>
    <w:rsid w:val="00467906"/>
    <w:rsid w:val="00467B7D"/>
    <w:rsid w:val="00467CFF"/>
    <w:rsid w:val="00467E58"/>
    <w:rsid w:val="00467FAA"/>
    <w:rsid w:val="00467FFC"/>
    <w:rsid w:val="00470031"/>
    <w:rsid w:val="004700AF"/>
    <w:rsid w:val="0047012A"/>
    <w:rsid w:val="0047030E"/>
    <w:rsid w:val="0047041D"/>
    <w:rsid w:val="00470608"/>
    <w:rsid w:val="004707D6"/>
    <w:rsid w:val="00470B1D"/>
    <w:rsid w:val="00470D18"/>
    <w:rsid w:val="00470F57"/>
    <w:rsid w:val="0047102C"/>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C41"/>
    <w:rsid w:val="00472D9E"/>
    <w:rsid w:val="00473214"/>
    <w:rsid w:val="00473405"/>
    <w:rsid w:val="0047349E"/>
    <w:rsid w:val="00473717"/>
    <w:rsid w:val="004738CB"/>
    <w:rsid w:val="004738F7"/>
    <w:rsid w:val="00473935"/>
    <w:rsid w:val="00473994"/>
    <w:rsid w:val="00473A0E"/>
    <w:rsid w:val="00473D60"/>
    <w:rsid w:val="00473EC6"/>
    <w:rsid w:val="00474437"/>
    <w:rsid w:val="0047457D"/>
    <w:rsid w:val="00474709"/>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631"/>
    <w:rsid w:val="00477975"/>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7CB"/>
    <w:rsid w:val="00484937"/>
    <w:rsid w:val="00484A58"/>
    <w:rsid w:val="004852F4"/>
    <w:rsid w:val="004854A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8E5"/>
    <w:rsid w:val="004909B7"/>
    <w:rsid w:val="00490BC4"/>
    <w:rsid w:val="00490E8E"/>
    <w:rsid w:val="00491088"/>
    <w:rsid w:val="00491432"/>
    <w:rsid w:val="0049143C"/>
    <w:rsid w:val="0049183B"/>
    <w:rsid w:val="00491A0A"/>
    <w:rsid w:val="00491E7D"/>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34"/>
    <w:rsid w:val="00493CCF"/>
    <w:rsid w:val="0049439A"/>
    <w:rsid w:val="00494683"/>
    <w:rsid w:val="004949AD"/>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A4F"/>
    <w:rsid w:val="004A2F7C"/>
    <w:rsid w:val="004A3254"/>
    <w:rsid w:val="004A3261"/>
    <w:rsid w:val="004A34F8"/>
    <w:rsid w:val="004A3878"/>
    <w:rsid w:val="004A3E7B"/>
    <w:rsid w:val="004A3FB2"/>
    <w:rsid w:val="004A4356"/>
    <w:rsid w:val="004A4627"/>
    <w:rsid w:val="004A4629"/>
    <w:rsid w:val="004A4774"/>
    <w:rsid w:val="004A4B32"/>
    <w:rsid w:val="004A4CFD"/>
    <w:rsid w:val="004A537E"/>
    <w:rsid w:val="004A545D"/>
    <w:rsid w:val="004A549D"/>
    <w:rsid w:val="004A5541"/>
    <w:rsid w:val="004A5660"/>
    <w:rsid w:val="004A5E07"/>
    <w:rsid w:val="004A5F03"/>
    <w:rsid w:val="004A5F07"/>
    <w:rsid w:val="004A6334"/>
    <w:rsid w:val="004A643D"/>
    <w:rsid w:val="004A69E1"/>
    <w:rsid w:val="004A6C66"/>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77F"/>
    <w:rsid w:val="004B28A2"/>
    <w:rsid w:val="004B28E1"/>
    <w:rsid w:val="004B2BFD"/>
    <w:rsid w:val="004B33B9"/>
    <w:rsid w:val="004B340E"/>
    <w:rsid w:val="004B3420"/>
    <w:rsid w:val="004B37E4"/>
    <w:rsid w:val="004B399F"/>
    <w:rsid w:val="004B39D5"/>
    <w:rsid w:val="004B39F4"/>
    <w:rsid w:val="004B42FD"/>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B7EC1"/>
    <w:rsid w:val="004C0571"/>
    <w:rsid w:val="004C093C"/>
    <w:rsid w:val="004C0BC9"/>
    <w:rsid w:val="004C0DF1"/>
    <w:rsid w:val="004C0DF8"/>
    <w:rsid w:val="004C0E96"/>
    <w:rsid w:val="004C0EF6"/>
    <w:rsid w:val="004C1479"/>
    <w:rsid w:val="004C14A0"/>
    <w:rsid w:val="004C1697"/>
    <w:rsid w:val="004C1747"/>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BC"/>
    <w:rsid w:val="004C6ADB"/>
    <w:rsid w:val="004C6BE0"/>
    <w:rsid w:val="004C6D24"/>
    <w:rsid w:val="004C7154"/>
    <w:rsid w:val="004C7503"/>
    <w:rsid w:val="004C76F3"/>
    <w:rsid w:val="004C776E"/>
    <w:rsid w:val="004C77D9"/>
    <w:rsid w:val="004C7921"/>
    <w:rsid w:val="004C7B8C"/>
    <w:rsid w:val="004C7F3E"/>
    <w:rsid w:val="004D05F3"/>
    <w:rsid w:val="004D08BF"/>
    <w:rsid w:val="004D0B9F"/>
    <w:rsid w:val="004D0C77"/>
    <w:rsid w:val="004D0DD6"/>
    <w:rsid w:val="004D0FF1"/>
    <w:rsid w:val="004D1027"/>
    <w:rsid w:val="004D13B6"/>
    <w:rsid w:val="004D156A"/>
    <w:rsid w:val="004D19E2"/>
    <w:rsid w:val="004D1B28"/>
    <w:rsid w:val="004D1D5E"/>
    <w:rsid w:val="004D1E00"/>
    <w:rsid w:val="004D1FEF"/>
    <w:rsid w:val="004D238F"/>
    <w:rsid w:val="004D323C"/>
    <w:rsid w:val="004D35C6"/>
    <w:rsid w:val="004D378E"/>
    <w:rsid w:val="004D3797"/>
    <w:rsid w:val="004D3A2C"/>
    <w:rsid w:val="004D3B94"/>
    <w:rsid w:val="004D3BF7"/>
    <w:rsid w:val="004D3E24"/>
    <w:rsid w:val="004D3FDF"/>
    <w:rsid w:val="004D4312"/>
    <w:rsid w:val="004D4544"/>
    <w:rsid w:val="004D4560"/>
    <w:rsid w:val="004D4647"/>
    <w:rsid w:val="004D4C47"/>
    <w:rsid w:val="004D5477"/>
    <w:rsid w:val="004D5745"/>
    <w:rsid w:val="004D5CD9"/>
    <w:rsid w:val="004D5E82"/>
    <w:rsid w:val="004D5F42"/>
    <w:rsid w:val="004D602D"/>
    <w:rsid w:val="004D6687"/>
    <w:rsid w:val="004D6CF4"/>
    <w:rsid w:val="004D6E44"/>
    <w:rsid w:val="004D6EDA"/>
    <w:rsid w:val="004D6EE2"/>
    <w:rsid w:val="004D6F65"/>
    <w:rsid w:val="004D76BF"/>
    <w:rsid w:val="004D771F"/>
    <w:rsid w:val="004D7841"/>
    <w:rsid w:val="004D79F3"/>
    <w:rsid w:val="004D7B81"/>
    <w:rsid w:val="004E008B"/>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3ED"/>
    <w:rsid w:val="004E3543"/>
    <w:rsid w:val="004E366E"/>
    <w:rsid w:val="004E39FA"/>
    <w:rsid w:val="004E3AE0"/>
    <w:rsid w:val="004E3C70"/>
    <w:rsid w:val="004E3EFB"/>
    <w:rsid w:val="004E4161"/>
    <w:rsid w:val="004E438B"/>
    <w:rsid w:val="004E443C"/>
    <w:rsid w:val="004E451A"/>
    <w:rsid w:val="004E45E7"/>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B53"/>
    <w:rsid w:val="004F3D83"/>
    <w:rsid w:val="004F3E85"/>
    <w:rsid w:val="004F4071"/>
    <w:rsid w:val="004F41DE"/>
    <w:rsid w:val="004F4638"/>
    <w:rsid w:val="004F4655"/>
    <w:rsid w:val="004F481D"/>
    <w:rsid w:val="004F498B"/>
    <w:rsid w:val="004F4A76"/>
    <w:rsid w:val="004F4C1A"/>
    <w:rsid w:val="004F514F"/>
    <w:rsid w:val="004F58C9"/>
    <w:rsid w:val="004F5A1A"/>
    <w:rsid w:val="004F5AA1"/>
    <w:rsid w:val="004F5AE3"/>
    <w:rsid w:val="004F5B97"/>
    <w:rsid w:val="004F6187"/>
    <w:rsid w:val="004F68F7"/>
    <w:rsid w:val="004F6C03"/>
    <w:rsid w:val="004F6E44"/>
    <w:rsid w:val="004F7090"/>
    <w:rsid w:val="004F7584"/>
    <w:rsid w:val="004F7A0A"/>
    <w:rsid w:val="004F7A21"/>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99B"/>
    <w:rsid w:val="00501B32"/>
    <w:rsid w:val="00501B6C"/>
    <w:rsid w:val="00501CE9"/>
    <w:rsid w:val="00501E42"/>
    <w:rsid w:val="00501E71"/>
    <w:rsid w:val="0050214A"/>
    <w:rsid w:val="00502387"/>
    <w:rsid w:val="00502D0D"/>
    <w:rsid w:val="00502D67"/>
    <w:rsid w:val="00502F22"/>
    <w:rsid w:val="0050310D"/>
    <w:rsid w:val="0050345A"/>
    <w:rsid w:val="005035BF"/>
    <w:rsid w:val="0050397D"/>
    <w:rsid w:val="0050461E"/>
    <w:rsid w:val="005049A3"/>
    <w:rsid w:val="005052B3"/>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267"/>
    <w:rsid w:val="00512314"/>
    <w:rsid w:val="005123D3"/>
    <w:rsid w:val="00512733"/>
    <w:rsid w:val="00512A6D"/>
    <w:rsid w:val="00512BA1"/>
    <w:rsid w:val="00513395"/>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D9F"/>
    <w:rsid w:val="00516DBA"/>
    <w:rsid w:val="00516E9F"/>
    <w:rsid w:val="00516F49"/>
    <w:rsid w:val="00516FE4"/>
    <w:rsid w:val="0051702A"/>
    <w:rsid w:val="00517357"/>
    <w:rsid w:val="005175AE"/>
    <w:rsid w:val="0051783B"/>
    <w:rsid w:val="00517B20"/>
    <w:rsid w:val="00517CB7"/>
    <w:rsid w:val="00520154"/>
    <w:rsid w:val="005202BD"/>
    <w:rsid w:val="005204F4"/>
    <w:rsid w:val="005207FC"/>
    <w:rsid w:val="00520BE0"/>
    <w:rsid w:val="00520D7C"/>
    <w:rsid w:val="00521034"/>
    <w:rsid w:val="005214ED"/>
    <w:rsid w:val="0052164E"/>
    <w:rsid w:val="0052187E"/>
    <w:rsid w:val="005219B7"/>
    <w:rsid w:val="00521A6B"/>
    <w:rsid w:val="00521AB9"/>
    <w:rsid w:val="0052209B"/>
    <w:rsid w:val="005221B2"/>
    <w:rsid w:val="005223A5"/>
    <w:rsid w:val="0052243A"/>
    <w:rsid w:val="00522464"/>
    <w:rsid w:val="0052299E"/>
    <w:rsid w:val="00522DDE"/>
    <w:rsid w:val="0052304E"/>
    <w:rsid w:val="00523157"/>
    <w:rsid w:val="0052349A"/>
    <w:rsid w:val="005235CB"/>
    <w:rsid w:val="005236AB"/>
    <w:rsid w:val="005237B8"/>
    <w:rsid w:val="005237BA"/>
    <w:rsid w:val="00523843"/>
    <w:rsid w:val="00523A83"/>
    <w:rsid w:val="00523AEC"/>
    <w:rsid w:val="00523E19"/>
    <w:rsid w:val="00523F25"/>
    <w:rsid w:val="00524136"/>
    <w:rsid w:val="00524150"/>
    <w:rsid w:val="00524370"/>
    <w:rsid w:val="005244C5"/>
    <w:rsid w:val="00524693"/>
    <w:rsid w:val="005246B0"/>
    <w:rsid w:val="0052474E"/>
    <w:rsid w:val="00524C6A"/>
    <w:rsid w:val="00524EF5"/>
    <w:rsid w:val="00524F60"/>
    <w:rsid w:val="005256E5"/>
    <w:rsid w:val="00525992"/>
    <w:rsid w:val="00525A0D"/>
    <w:rsid w:val="00525D4D"/>
    <w:rsid w:val="005260C5"/>
    <w:rsid w:val="0052615C"/>
    <w:rsid w:val="00526293"/>
    <w:rsid w:val="005262DC"/>
    <w:rsid w:val="0052643B"/>
    <w:rsid w:val="005267DC"/>
    <w:rsid w:val="00526827"/>
    <w:rsid w:val="00526BD8"/>
    <w:rsid w:val="00526CA2"/>
    <w:rsid w:val="00526CA8"/>
    <w:rsid w:val="00526CCF"/>
    <w:rsid w:val="00526D49"/>
    <w:rsid w:val="00526E1F"/>
    <w:rsid w:val="00526EBD"/>
    <w:rsid w:val="005272D7"/>
    <w:rsid w:val="0052734A"/>
    <w:rsid w:val="005273F0"/>
    <w:rsid w:val="00527995"/>
    <w:rsid w:val="00527B51"/>
    <w:rsid w:val="00527CA2"/>
    <w:rsid w:val="0053006E"/>
    <w:rsid w:val="005300DA"/>
    <w:rsid w:val="00530140"/>
    <w:rsid w:val="00530157"/>
    <w:rsid w:val="00530208"/>
    <w:rsid w:val="00530472"/>
    <w:rsid w:val="005308E1"/>
    <w:rsid w:val="00530A79"/>
    <w:rsid w:val="00530CAC"/>
    <w:rsid w:val="00531062"/>
    <w:rsid w:val="00531595"/>
    <w:rsid w:val="00531B26"/>
    <w:rsid w:val="00531ED0"/>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8B3"/>
    <w:rsid w:val="00535B25"/>
    <w:rsid w:val="00535C32"/>
    <w:rsid w:val="00535D4D"/>
    <w:rsid w:val="00536069"/>
    <w:rsid w:val="0053639C"/>
    <w:rsid w:val="005365AA"/>
    <w:rsid w:val="00536692"/>
    <w:rsid w:val="00536975"/>
    <w:rsid w:val="0053698E"/>
    <w:rsid w:val="00536B68"/>
    <w:rsid w:val="00536B76"/>
    <w:rsid w:val="00536BB9"/>
    <w:rsid w:val="00536D4D"/>
    <w:rsid w:val="00537035"/>
    <w:rsid w:val="0053779B"/>
    <w:rsid w:val="00537854"/>
    <w:rsid w:val="005378AA"/>
    <w:rsid w:val="005378EB"/>
    <w:rsid w:val="00537C42"/>
    <w:rsid w:val="00537C61"/>
    <w:rsid w:val="00537CF6"/>
    <w:rsid w:val="00537D43"/>
    <w:rsid w:val="00537E7F"/>
    <w:rsid w:val="005400BC"/>
    <w:rsid w:val="00540304"/>
    <w:rsid w:val="00540437"/>
    <w:rsid w:val="00540AF1"/>
    <w:rsid w:val="00540D35"/>
    <w:rsid w:val="00540F30"/>
    <w:rsid w:val="00540F4B"/>
    <w:rsid w:val="00541032"/>
    <w:rsid w:val="0054144C"/>
    <w:rsid w:val="00541B3F"/>
    <w:rsid w:val="00541CB8"/>
    <w:rsid w:val="00542476"/>
    <w:rsid w:val="005427AE"/>
    <w:rsid w:val="005427D7"/>
    <w:rsid w:val="0054283A"/>
    <w:rsid w:val="005428BB"/>
    <w:rsid w:val="00542B93"/>
    <w:rsid w:val="00543466"/>
    <w:rsid w:val="00543717"/>
    <w:rsid w:val="00543A8D"/>
    <w:rsid w:val="00543B2D"/>
    <w:rsid w:val="00543F46"/>
    <w:rsid w:val="00543F92"/>
    <w:rsid w:val="00544082"/>
    <w:rsid w:val="00544918"/>
    <w:rsid w:val="00544928"/>
    <w:rsid w:val="0054498D"/>
    <w:rsid w:val="005449A7"/>
    <w:rsid w:val="00544B77"/>
    <w:rsid w:val="00544E23"/>
    <w:rsid w:val="00545062"/>
    <w:rsid w:val="0054534A"/>
    <w:rsid w:val="00545374"/>
    <w:rsid w:val="0054540D"/>
    <w:rsid w:val="005459D3"/>
    <w:rsid w:val="00545C38"/>
    <w:rsid w:val="00545D61"/>
    <w:rsid w:val="005462CB"/>
    <w:rsid w:val="00546375"/>
    <w:rsid w:val="0054653E"/>
    <w:rsid w:val="00546B02"/>
    <w:rsid w:val="00546D0E"/>
    <w:rsid w:val="00546D78"/>
    <w:rsid w:val="00546F30"/>
    <w:rsid w:val="0054707A"/>
    <w:rsid w:val="005473EA"/>
    <w:rsid w:val="005475E1"/>
    <w:rsid w:val="0054763F"/>
    <w:rsid w:val="00547671"/>
    <w:rsid w:val="00547841"/>
    <w:rsid w:val="00547A50"/>
    <w:rsid w:val="00547CDB"/>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FED"/>
    <w:rsid w:val="00552C21"/>
    <w:rsid w:val="00552DB9"/>
    <w:rsid w:val="00552E5E"/>
    <w:rsid w:val="00553081"/>
    <w:rsid w:val="005535AA"/>
    <w:rsid w:val="0055362B"/>
    <w:rsid w:val="005536A7"/>
    <w:rsid w:val="005537A2"/>
    <w:rsid w:val="00553DAD"/>
    <w:rsid w:val="00554758"/>
    <w:rsid w:val="00554ACD"/>
    <w:rsid w:val="00554C20"/>
    <w:rsid w:val="00554D72"/>
    <w:rsid w:val="00554DAD"/>
    <w:rsid w:val="00554FA2"/>
    <w:rsid w:val="00555012"/>
    <w:rsid w:val="005550E6"/>
    <w:rsid w:val="0055520C"/>
    <w:rsid w:val="005554BC"/>
    <w:rsid w:val="005558D9"/>
    <w:rsid w:val="00555B72"/>
    <w:rsid w:val="00555BD7"/>
    <w:rsid w:val="00555CF6"/>
    <w:rsid w:val="00556168"/>
    <w:rsid w:val="00556361"/>
    <w:rsid w:val="005564B8"/>
    <w:rsid w:val="005569FC"/>
    <w:rsid w:val="00556A21"/>
    <w:rsid w:val="00556CB1"/>
    <w:rsid w:val="00556E35"/>
    <w:rsid w:val="00556F11"/>
    <w:rsid w:val="00556FD5"/>
    <w:rsid w:val="005570F7"/>
    <w:rsid w:val="0055711F"/>
    <w:rsid w:val="00557270"/>
    <w:rsid w:val="00557359"/>
    <w:rsid w:val="00557827"/>
    <w:rsid w:val="00557B9E"/>
    <w:rsid w:val="00557DE4"/>
    <w:rsid w:val="00557F82"/>
    <w:rsid w:val="00560102"/>
    <w:rsid w:val="005606D2"/>
    <w:rsid w:val="005606DA"/>
    <w:rsid w:val="005608ED"/>
    <w:rsid w:val="005609D2"/>
    <w:rsid w:val="00560A3D"/>
    <w:rsid w:val="00560A95"/>
    <w:rsid w:val="00560F0F"/>
    <w:rsid w:val="005610A0"/>
    <w:rsid w:val="005612D0"/>
    <w:rsid w:val="00561631"/>
    <w:rsid w:val="0056185C"/>
    <w:rsid w:val="00561C9E"/>
    <w:rsid w:val="00561E6D"/>
    <w:rsid w:val="00561F9C"/>
    <w:rsid w:val="005621A6"/>
    <w:rsid w:val="005623E8"/>
    <w:rsid w:val="005625F4"/>
    <w:rsid w:val="005626BF"/>
    <w:rsid w:val="005629B1"/>
    <w:rsid w:val="00562BBA"/>
    <w:rsid w:val="00563426"/>
    <w:rsid w:val="0056371A"/>
    <w:rsid w:val="00563955"/>
    <w:rsid w:val="005639FD"/>
    <w:rsid w:val="00563B74"/>
    <w:rsid w:val="00563D08"/>
    <w:rsid w:val="00563DFF"/>
    <w:rsid w:val="00563E54"/>
    <w:rsid w:val="00563F47"/>
    <w:rsid w:val="00563F55"/>
    <w:rsid w:val="00564021"/>
    <w:rsid w:val="005643B1"/>
    <w:rsid w:val="005643D7"/>
    <w:rsid w:val="005647DB"/>
    <w:rsid w:val="005648E4"/>
    <w:rsid w:val="005651A2"/>
    <w:rsid w:val="00565272"/>
    <w:rsid w:val="0056570A"/>
    <w:rsid w:val="00565791"/>
    <w:rsid w:val="00565921"/>
    <w:rsid w:val="00565D02"/>
    <w:rsid w:val="00565F56"/>
    <w:rsid w:val="0056610C"/>
    <w:rsid w:val="0056637F"/>
    <w:rsid w:val="00566803"/>
    <w:rsid w:val="005668BB"/>
    <w:rsid w:val="0056697E"/>
    <w:rsid w:val="00566A91"/>
    <w:rsid w:val="00566AB4"/>
    <w:rsid w:val="00566CC5"/>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0F97"/>
    <w:rsid w:val="005712A4"/>
    <w:rsid w:val="005718A8"/>
    <w:rsid w:val="00571942"/>
    <w:rsid w:val="00571B5A"/>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D66"/>
    <w:rsid w:val="00574E2E"/>
    <w:rsid w:val="00575284"/>
    <w:rsid w:val="0057546D"/>
    <w:rsid w:val="0057554A"/>
    <w:rsid w:val="00575822"/>
    <w:rsid w:val="00575973"/>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A7"/>
    <w:rsid w:val="005779D6"/>
    <w:rsid w:val="00577DE7"/>
    <w:rsid w:val="0058007E"/>
    <w:rsid w:val="0058019F"/>
    <w:rsid w:val="00580408"/>
    <w:rsid w:val="00580CCE"/>
    <w:rsid w:val="005814E6"/>
    <w:rsid w:val="0058172C"/>
    <w:rsid w:val="00581958"/>
    <w:rsid w:val="00581A42"/>
    <w:rsid w:val="00581C03"/>
    <w:rsid w:val="00581D7D"/>
    <w:rsid w:val="005821CC"/>
    <w:rsid w:val="00582D68"/>
    <w:rsid w:val="00582E7D"/>
    <w:rsid w:val="00582E8D"/>
    <w:rsid w:val="005833D3"/>
    <w:rsid w:val="00583454"/>
    <w:rsid w:val="00583944"/>
    <w:rsid w:val="00583E5F"/>
    <w:rsid w:val="00584205"/>
    <w:rsid w:val="00584757"/>
    <w:rsid w:val="00584838"/>
    <w:rsid w:val="00584BFE"/>
    <w:rsid w:val="00584D23"/>
    <w:rsid w:val="00584D98"/>
    <w:rsid w:val="00584EC4"/>
    <w:rsid w:val="00585172"/>
    <w:rsid w:val="00585537"/>
    <w:rsid w:val="005855E7"/>
    <w:rsid w:val="00585692"/>
    <w:rsid w:val="00585CF3"/>
    <w:rsid w:val="00585F57"/>
    <w:rsid w:val="00586025"/>
    <w:rsid w:val="005860DE"/>
    <w:rsid w:val="00586302"/>
    <w:rsid w:val="005864D9"/>
    <w:rsid w:val="0058654F"/>
    <w:rsid w:val="0058662C"/>
    <w:rsid w:val="0058693D"/>
    <w:rsid w:val="00586ACB"/>
    <w:rsid w:val="00586E61"/>
    <w:rsid w:val="00586F26"/>
    <w:rsid w:val="00587122"/>
    <w:rsid w:val="00587E8E"/>
    <w:rsid w:val="00590248"/>
    <w:rsid w:val="005903E0"/>
    <w:rsid w:val="005903FA"/>
    <w:rsid w:val="005906DF"/>
    <w:rsid w:val="0059077C"/>
    <w:rsid w:val="00590885"/>
    <w:rsid w:val="00591000"/>
    <w:rsid w:val="0059119C"/>
    <w:rsid w:val="005911E2"/>
    <w:rsid w:val="005912F6"/>
    <w:rsid w:val="005916D5"/>
    <w:rsid w:val="005918AF"/>
    <w:rsid w:val="00591940"/>
    <w:rsid w:val="00591C6E"/>
    <w:rsid w:val="00591CC1"/>
    <w:rsid w:val="00591EF0"/>
    <w:rsid w:val="005926E2"/>
    <w:rsid w:val="00592AA8"/>
    <w:rsid w:val="005931F5"/>
    <w:rsid w:val="00593202"/>
    <w:rsid w:val="0059340C"/>
    <w:rsid w:val="00593546"/>
    <w:rsid w:val="005940A3"/>
    <w:rsid w:val="00594376"/>
    <w:rsid w:val="00594451"/>
    <w:rsid w:val="0059465D"/>
    <w:rsid w:val="005949B6"/>
    <w:rsid w:val="00594A50"/>
    <w:rsid w:val="005951D7"/>
    <w:rsid w:val="0059526A"/>
    <w:rsid w:val="005958A4"/>
    <w:rsid w:val="00595993"/>
    <w:rsid w:val="00595CF0"/>
    <w:rsid w:val="00595ECA"/>
    <w:rsid w:val="0059622C"/>
    <w:rsid w:val="0059629E"/>
    <w:rsid w:val="005967D4"/>
    <w:rsid w:val="0059681A"/>
    <w:rsid w:val="00596B26"/>
    <w:rsid w:val="00596B65"/>
    <w:rsid w:val="00596CA5"/>
    <w:rsid w:val="00596DEF"/>
    <w:rsid w:val="00597096"/>
    <w:rsid w:val="0059734D"/>
    <w:rsid w:val="00597394"/>
    <w:rsid w:val="0059741D"/>
    <w:rsid w:val="00597771"/>
    <w:rsid w:val="0059783C"/>
    <w:rsid w:val="00597C14"/>
    <w:rsid w:val="005A00C3"/>
    <w:rsid w:val="005A03EA"/>
    <w:rsid w:val="005A049F"/>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487"/>
    <w:rsid w:val="005A4977"/>
    <w:rsid w:val="005A4A3A"/>
    <w:rsid w:val="005A4ECB"/>
    <w:rsid w:val="005A5135"/>
    <w:rsid w:val="005A54D4"/>
    <w:rsid w:val="005A5B14"/>
    <w:rsid w:val="005A5BDE"/>
    <w:rsid w:val="005A602F"/>
    <w:rsid w:val="005A60E0"/>
    <w:rsid w:val="005A633C"/>
    <w:rsid w:val="005A6BF6"/>
    <w:rsid w:val="005A6C43"/>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CBF"/>
    <w:rsid w:val="005B31C8"/>
    <w:rsid w:val="005B3204"/>
    <w:rsid w:val="005B363A"/>
    <w:rsid w:val="005B4458"/>
    <w:rsid w:val="005B466D"/>
    <w:rsid w:val="005B4869"/>
    <w:rsid w:val="005B4BB9"/>
    <w:rsid w:val="005B4EE9"/>
    <w:rsid w:val="005B4F48"/>
    <w:rsid w:val="005B5615"/>
    <w:rsid w:val="005B56F3"/>
    <w:rsid w:val="005B5751"/>
    <w:rsid w:val="005B57A5"/>
    <w:rsid w:val="005B5CB2"/>
    <w:rsid w:val="005B60C7"/>
    <w:rsid w:val="005B60D6"/>
    <w:rsid w:val="005B636A"/>
    <w:rsid w:val="005B640F"/>
    <w:rsid w:val="005B6763"/>
    <w:rsid w:val="005B69F0"/>
    <w:rsid w:val="005B6A18"/>
    <w:rsid w:val="005B7207"/>
    <w:rsid w:val="005B76B4"/>
    <w:rsid w:val="005B780A"/>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22C3"/>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69E"/>
    <w:rsid w:val="005C4877"/>
    <w:rsid w:val="005C4892"/>
    <w:rsid w:val="005C4922"/>
    <w:rsid w:val="005C495A"/>
    <w:rsid w:val="005C49EE"/>
    <w:rsid w:val="005C4EAA"/>
    <w:rsid w:val="005C5095"/>
    <w:rsid w:val="005C53DD"/>
    <w:rsid w:val="005C58FD"/>
    <w:rsid w:val="005C5A7E"/>
    <w:rsid w:val="005C5B7B"/>
    <w:rsid w:val="005C5BE0"/>
    <w:rsid w:val="005C5DF6"/>
    <w:rsid w:val="005C5EE0"/>
    <w:rsid w:val="005C6425"/>
    <w:rsid w:val="005C65AB"/>
    <w:rsid w:val="005C684A"/>
    <w:rsid w:val="005C69BE"/>
    <w:rsid w:val="005C6A03"/>
    <w:rsid w:val="005C6ADA"/>
    <w:rsid w:val="005C6C3D"/>
    <w:rsid w:val="005C6DDF"/>
    <w:rsid w:val="005C71A6"/>
    <w:rsid w:val="005C71EA"/>
    <w:rsid w:val="005C730E"/>
    <w:rsid w:val="005C74DA"/>
    <w:rsid w:val="005C78FE"/>
    <w:rsid w:val="005C7BF3"/>
    <w:rsid w:val="005C7DFF"/>
    <w:rsid w:val="005D0215"/>
    <w:rsid w:val="005D027C"/>
    <w:rsid w:val="005D02B0"/>
    <w:rsid w:val="005D077F"/>
    <w:rsid w:val="005D10A9"/>
    <w:rsid w:val="005D1144"/>
    <w:rsid w:val="005D19AC"/>
    <w:rsid w:val="005D1C5B"/>
    <w:rsid w:val="005D1EF4"/>
    <w:rsid w:val="005D2007"/>
    <w:rsid w:val="005D2072"/>
    <w:rsid w:val="005D221A"/>
    <w:rsid w:val="005D2333"/>
    <w:rsid w:val="005D234F"/>
    <w:rsid w:val="005D246D"/>
    <w:rsid w:val="005D24AF"/>
    <w:rsid w:val="005D289E"/>
    <w:rsid w:val="005D297B"/>
    <w:rsid w:val="005D2A4F"/>
    <w:rsid w:val="005D2A97"/>
    <w:rsid w:val="005D2D3B"/>
    <w:rsid w:val="005D2F3A"/>
    <w:rsid w:val="005D3430"/>
    <w:rsid w:val="005D360C"/>
    <w:rsid w:val="005D36CE"/>
    <w:rsid w:val="005D39EF"/>
    <w:rsid w:val="005D3B50"/>
    <w:rsid w:val="005D3E72"/>
    <w:rsid w:val="005D4028"/>
    <w:rsid w:val="005D4997"/>
    <w:rsid w:val="005D4CC4"/>
    <w:rsid w:val="005D51F0"/>
    <w:rsid w:val="005D5298"/>
    <w:rsid w:val="005D52A1"/>
    <w:rsid w:val="005D532B"/>
    <w:rsid w:val="005D5392"/>
    <w:rsid w:val="005D54EF"/>
    <w:rsid w:val="005D5533"/>
    <w:rsid w:val="005D55A7"/>
    <w:rsid w:val="005D55D2"/>
    <w:rsid w:val="005D56BC"/>
    <w:rsid w:val="005D5C1F"/>
    <w:rsid w:val="005D603E"/>
    <w:rsid w:val="005D60C9"/>
    <w:rsid w:val="005D6198"/>
    <w:rsid w:val="005D660C"/>
    <w:rsid w:val="005D678B"/>
    <w:rsid w:val="005D6C8E"/>
    <w:rsid w:val="005D73A6"/>
    <w:rsid w:val="005D7574"/>
    <w:rsid w:val="005D77C7"/>
    <w:rsid w:val="005D790D"/>
    <w:rsid w:val="005D7951"/>
    <w:rsid w:val="005E018B"/>
    <w:rsid w:val="005E0660"/>
    <w:rsid w:val="005E07EA"/>
    <w:rsid w:val="005E0815"/>
    <w:rsid w:val="005E08AB"/>
    <w:rsid w:val="005E0A1F"/>
    <w:rsid w:val="005E0D4F"/>
    <w:rsid w:val="005E0E6C"/>
    <w:rsid w:val="005E1480"/>
    <w:rsid w:val="005E1512"/>
    <w:rsid w:val="005E15E3"/>
    <w:rsid w:val="005E1A55"/>
    <w:rsid w:val="005E1E55"/>
    <w:rsid w:val="005E2005"/>
    <w:rsid w:val="005E224F"/>
    <w:rsid w:val="005E2460"/>
    <w:rsid w:val="005E262C"/>
    <w:rsid w:val="005E2A6D"/>
    <w:rsid w:val="005E2B08"/>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EC2"/>
    <w:rsid w:val="005E6F07"/>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37C"/>
    <w:rsid w:val="005F14F7"/>
    <w:rsid w:val="005F1558"/>
    <w:rsid w:val="005F188D"/>
    <w:rsid w:val="005F1D8D"/>
    <w:rsid w:val="005F21C9"/>
    <w:rsid w:val="005F241F"/>
    <w:rsid w:val="005F247D"/>
    <w:rsid w:val="005F26B1"/>
    <w:rsid w:val="005F29A3"/>
    <w:rsid w:val="005F2BDB"/>
    <w:rsid w:val="005F2EF6"/>
    <w:rsid w:val="005F30BF"/>
    <w:rsid w:val="005F372C"/>
    <w:rsid w:val="005F3739"/>
    <w:rsid w:val="005F3E71"/>
    <w:rsid w:val="005F3FB8"/>
    <w:rsid w:val="005F4312"/>
    <w:rsid w:val="005F4523"/>
    <w:rsid w:val="005F4642"/>
    <w:rsid w:val="005F4788"/>
    <w:rsid w:val="005F4821"/>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73C6"/>
    <w:rsid w:val="005F7421"/>
    <w:rsid w:val="005F7DB6"/>
    <w:rsid w:val="005F7E7B"/>
    <w:rsid w:val="005F7ECA"/>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6AC"/>
    <w:rsid w:val="006026E6"/>
    <w:rsid w:val="00602BEF"/>
    <w:rsid w:val="00602E57"/>
    <w:rsid w:val="00603012"/>
    <w:rsid w:val="00603098"/>
    <w:rsid w:val="006030BB"/>
    <w:rsid w:val="006030BD"/>
    <w:rsid w:val="00603678"/>
    <w:rsid w:val="00603808"/>
    <w:rsid w:val="00603C02"/>
    <w:rsid w:val="00603C48"/>
    <w:rsid w:val="006047B1"/>
    <w:rsid w:val="006047D4"/>
    <w:rsid w:val="00604C70"/>
    <w:rsid w:val="00604DE8"/>
    <w:rsid w:val="00605261"/>
    <w:rsid w:val="0060548A"/>
    <w:rsid w:val="006054D2"/>
    <w:rsid w:val="006055B8"/>
    <w:rsid w:val="0060563D"/>
    <w:rsid w:val="00605BE0"/>
    <w:rsid w:val="00605BE6"/>
    <w:rsid w:val="00605FAA"/>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98E"/>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266"/>
    <w:rsid w:val="00613534"/>
    <w:rsid w:val="0061373D"/>
    <w:rsid w:val="0061388C"/>
    <w:rsid w:val="006139BA"/>
    <w:rsid w:val="00613A9B"/>
    <w:rsid w:val="00613B66"/>
    <w:rsid w:val="00613CCA"/>
    <w:rsid w:val="00613ECD"/>
    <w:rsid w:val="00614424"/>
    <w:rsid w:val="00614C5D"/>
    <w:rsid w:val="00614D6C"/>
    <w:rsid w:val="00614E47"/>
    <w:rsid w:val="0061530F"/>
    <w:rsid w:val="006154AB"/>
    <w:rsid w:val="0061557B"/>
    <w:rsid w:val="00615F49"/>
    <w:rsid w:val="006160C4"/>
    <w:rsid w:val="00616265"/>
    <w:rsid w:val="0061626F"/>
    <w:rsid w:val="006163CF"/>
    <w:rsid w:val="0061668C"/>
    <w:rsid w:val="00616B95"/>
    <w:rsid w:val="00616D29"/>
    <w:rsid w:val="00617344"/>
    <w:rsid w:val="00617401"/>
    <w:rsid w:val="006176D6"/>
    <w:rsid w:val="00617784"/>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2A"/>
    <w:rsid w:val="00626A30"/>
    <w:rsid w:val="00626CEC"/>
    <w:rsid w:val="0062703F"/>
    <w:rsid w:val="006270A1"/>
    <w:rsid w:val="006270A7"/>
    <w:rsid w:val="006272A4"/>
    <w:rsid w:val="006274FA"/>
    <w:rsid w:val="00627705"/>
    <w:rsid w:val="0062773E"/>
    <w:rsid w:val="0062796F"/>
    <w:rsid w:val="006279C8"/>
    <w:rsid w:val="00627D4A"/>
    <w:rsid w:val="006300E3"/>
    <w:rsid w:val="0063013E"/>
    <w:rsid w:val="00630683"/>
    <w:rsid w:val="006306A9"/>
    <w:rsid w:val="006307DF"/>
    <w:rsid w:val="00630A60"/>
    <w:rsid w:val="00630EB3"/>
    <w:rsid w:val="006312D6"/>
    <w:rsid w:val="0063139E"/>
    <w:rsid w:val="006314DF"/>
    <w:rsid w:val="00631605"/>
    <w:rsid w:val="0063176C"/>
    <w:rsid w:val="00631A71"/>
    <w:rsid w:val="00631DA7"/>
    <w:rsid w:val="00631FF6"/>
    <w:rsid w:val="00632021"/>
    <w:rsid w:val="0063274C"/>
    <w:rsid w:val="00632A39"/>
    <w:rsid w:val="00632C15"/>
    <w:rsid w:val="00632EE5"/>
    <w:rsid w:val="006334FA"/>
    <w:rsid w:val="00633969"/>
    <w:rsid w:val="00633A06"/>
    <w:rsid w:val="00633A5F"/>
    <w:rsid w:val="00633CAE"/>
    <w:rsid w:val="00633E70"/>
    <w:rsid w:val="006340AF"/>
    <w:rsid w:val="00634101"/>
    <w:rsid w:val="006341F7"/>
    <w:rsid w:val="00634297"/>
    <w:rsid w:val="00634C12"/>
    <w:rsid w:val="00634C5F"/>
    <w:rsid w:val="00634CB5"/>
    <w:rsid w:val="00634ECD"/>
    <w:rsid w:val="00634F72"/>
    <w:rsid w:val="00635127"/>
    <w:rsid w:val="006351D3"/>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877"/>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0E32"/>
    <w:rsid w:val="00641298"/>
    <w:rsid w:val="0064145C"/>
    <w:rsid w:val="00641D5F"/>
    <w:rsid w:val="00641F9C"/>
    <w:rsid w:val="0064200B"/>
    <w:rsid w:val="0064202D"/>
    <w:rsid w:val="0064226C"/>
    <w:rsid w:val="00642325"/>
    <w:rsid w:val="0064238B"/>
    <w:rsid w:val="00642990"/>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553"/>
    <w:rsid w:val="00644986"/>
    <w:rsid w:val="00644E7A"/>
    <w:rsid w:val="00644E7E"/>
    <w:rsid w:val="00644E87"/>
    <w:rsid w:val="0064511E"/>
    <w:rsid w:val="00645339"/>
    <w:rsid w:val="00645512"/>
    <w:rsid w:val="006457C8"/>
    <w:rsid w:val="00645D23"/>
    <w:rsid w:val="00646231"/>
    <w:rsid w:val="00646235"/>
    <w:rsid w:val="00646259"/>
    <w:rsid w:val="0064625A"/>
    <w:rsid w:val="006469BA"/>
    <w:rsid w:val="00646B6E"/>
    <w:rsid w:val="00646E88"/>
    <w:rsid w:val="00646EE8"/>
    <w:rsid w:val="00646FE0"/>
    <w:rsid w:val="00647064"/>
    <w:rsid w:val="0064706F"/>
    <w:rsid w:val="0064732A"/>
    <w:rsid w:val="006474B3"/>
    <w:rsid w:val="006474F2"/>
    <w:rsid w:val="00647726"/>
    <w:rsid w:val="006479C7"/>
    <w:rsid w:val="00647EB2"/>
    <w:rsid w:val="00647FD7"/>
    <w:rsid w:val="0065008E"/>
    <w:rsid w:val="00650092"/>
    <w:rsid w:val="006505F6"/>
    <w:rsid w:val="006506EC"/>
    <w:rsid w:val="0065098C"/>
    <w:rsid w:val="00650D8F"/>
    <w:rsid w:val="00651340"/>
    <w:rsid w:val="006513A5"/>
    <w:rsid w:val="006513C3"/>
    <w:rsid w:val="00651686"/>
    <w:rsid w:val="0065172C"/>
    <w:rsid w:val="00651740"/>
    <w:rsid w:val="0065180D"/>
    <w:rsid w:val="006518F7"/>
    <w:rsid w:val="00651A4F"/>
    <w:rsid w:val="00651C93"/>
    <w:rsid w:val="00651CD7"/>
    <w:rsid w:val="00651E14"/>
    <w:rsid w:val="00651F55"/>
    <w:rsid w:val="00651FF6"/>
    <w:rsid w:val="006520E3"/>
    <w:rsid w:val="006522EC"/>
    <w:rsid w:val="006527D6"/>
    <w:rsid w:val="00652939"/>
    <w:rsid w:val="0065299B"/>
    <w:rsid w:val="00652AA8"/>
    <w:rsid w:val="00652CC1"/>
    <w:rsid w:val="0065326D"/>
    <w:rsid w:val="0065343C"/>
    <w:rsid w:val="0065343E"/>
    <w:rsid w:val="006534B1"/>
    <w:rsid w:val="0065373D"/>
    <w:rsid w:val="00653842"/>
    <w:rsid w:val="006539EE"/>
    <w:rsid w:val="00653E17"/>
    <w:rsid w:val="00654090"/>
    <w:rsid w:val="00654280"/>
    <w:rsid w:val="006542F2"/>
    <w:rsid w:val="006543E4"/>
    <w:rsid w:val="006546BB"/>
    <w:rsid w:val="0065481D"/>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0A8"/>
    <w:rsid w:val="0066015F"/>
    <w:rsid w:val="00660361"/>
    <w:rsid w:val="006604B7"/>
    <w:rsid w:val="00660675"/>
    <w:rsid w:val="00660BE4"/>
    <w:rsid w:val="00660D14"/>
    <w:rsid w:val="00660E89"/>
    <w:rsid w:val="00660EFE"/>
    <w:rsid w:val="00661804"/>
    <w:rsid w:val="006619C8"/>
    <w:rsid w:val="006621A6"/>
    <w:rsid w:val="0066224E"/>
    <w:rsid w:val="006626D9"/>
    <w:rsid w:val="00662883"/>
    <w:rsid w:val="00662EDB"/>
    <w:rsid w:val="0066301F"/>
    <w:rsid w:val="006631F7"/>
    <w:rsid w:val="006632BD"/>
    <w:rsid w:val="006633C0"/>
    <w:rsid w:val="006635CF"/>
    <w:rsid w:val="0066376F"/>
    <w:rsid w:val="006637E3"/>
    <w:rsid w:val="0066384C"/>
    <w:rsid w:val="00663AFC"/>
    <w:rsid w:val="00663FB6"/>
    <w:rsid w:val="00664205"/>
    <w:rsid w:val="006646A5"/>
    <w:rsid w:val="00664883"/>
    <w:rsid w:val="00664975"/>
    <w:rsid w:val="00664ADF"/>
    <w:rsid w:val="00664CFD"/>
    <w:rsid w:val="006653CF"/>
    <w:rsid w:val="00665A2E"/>
    <w:rsid w:val="00665AD4"/>
    <w:rsid w:val="00665C42"/>
    <w:rsid w:val="00665C96"/>
    <w:rsid w:val="00666084"/>
    <w:rsid w:val="006661EA"/>
    <w:rsid w:val="00666215"/>
    <w:rsid w:val="00666499"/>
    <w:rsid w:val="0066655F"/>
    <w:rsid w:val="006665CB"/>
    <w:rsid w:val="0066661F"/>
    <w:rsid w:val="00666B90"/>
    <w:rsid w:val="006675B0"/>
    <w:rsid w:val="00667961"/>
    <w:rsid w:val="00667D30"/>
    <w:rsid w:val="0067002B"/>
    <w:rsid w:val="00670147"/>
    <w:rsid w:val="00670179"/>
    <w:rsid w:val="0067029D"/>
    <w:rsid w:val="00670403"/>
    <w:rsid w:val="006704C3"/>
    <w:rsid w:val="006709C4"/>
    <w:rsid w:val="00670B0C"/>
    <w:rsid w:val="00670F2F"/>
    <w:rsid w:val="00671028"/>
    <w:rsid w:val="00671299"/>
    <w:rsid w:val="006713DF"/>
    <w:rsid w:val="0067143B"/>
    <w:rsid w:val="0067146F"/>
    <w:rsid w:val="00671487"/>
    <w:rsid w:val="00671D6A"/>
    <w:rsid w:val="00672129"/>
    <w:rsid w:val="0067231C"/>
    <w:rsid w:val="0067253E"/>
    <w:rsid w:val="00672583"/>
    <w:rsid w:val="00672736"/>
    <w:rsid w:val="006729B7"/>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3E7"/>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77CC5"/>
    <w:rsid w:val="006800E7"/>
    <w:rsid w:val="00680197"/>
    <w:rsid w:val="006804C4"/>
    <w:rsid w:val="00680500"/>
    <w:rsid w:val="006806CA"/>
    <w:rsid w:val="00680ED3"/>
    <w:rsid w:val="00680F0D"/>
    <w:rsid w:val="00680F69"/>
    <w:rsid w:val="00681293"/>
    <w:rsid w:val="006813DB"/>
    <w:rsid w:val="006816AC"/>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3E2A"/>
    <w:rsid w:val="006840C6"/>
    <w:rsid w:val="006840EA"/>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C7F"/>
    <w:rsid w:val="00686E9C"/>
    <w:rsid w:val="0068775A"/>
    <w:rsid w:val="00687BC0"/>
    <w:rsid w:val="00687E54"/>
    <w:rsid w:val="00690013"/>
    <w:rsid w:val="0069026C"/>
    <w:rsid w:val="0069071A"/>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32C"/>
    <w:rsid w:val="006945B4"/>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1C7"/>
    <w:rsid w:val="00697310"/>
    <w:rsid w:val="00697441"/>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99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5EF"/>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DBE"/>
    <w:rsid w:val="006A7F52"/>
    <w:rsid w:val="006A7FF0"/>
    <w:rsid w:val="006B028F"/>
    <w:rsid w:val="006B07C7"/>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2F96"/>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4EAC"/>
    <w:rsid w:val="006B570A"/>
    <w:rsid w:val="006B5715"/>
    <w:rsid w:val="006B5A61"/>
    <w:rsid w:val="006B648C"/>
    <w:rsid w:val="006B6546"/>
    <w:rsid w:val="006B65A0"/>
    <w:rsid w:val="006B6728"/>
    <w:rsid w:val="006B6CB7"/>
    <w:rsid w:val="006B6D0B"/>
    <w:rsid w:val="006B6ED5"/>
    <w:rsid w:val="006B6F1F"/>
    <w:rsid w:val="006B6F7D"/>
    <w:rsid w:val="006B7082"/>
    <w:rsid w:val="006B709A"/>
    <w:rsid w:val="006B7122"/>
    <w:rsid w:val="006B7254"/>
    <w:rsid w:val="006B7408"/>
    <w:rsid w:val="006B7501"/>
    <w:rsid w:val="006B7513"/>
    <w:rsid w:val="006B760E"/>
    <w:rsid w:val="006B7837"/>
    <w:rsid w:val="006B785A"/>
    <w:rsid w:val="006B7910"/>
    <w:rsid w:val="006B7A59"/>
    <w:rsid w:val="006B7C0F"/>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550"/>
    <w:rsid w:val="006C2678"/>
    <w:rsid w:val="006C29F9"/>
    <w:rsid w:val="006C2A20"/>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ED"/>
    <w:rsid w:val="006C61F8"/>
    <w:rsid w:val="006C64D5"/>
    <w:rsid w:val="006C67DA"/>
    <w:rsid w:val="006C6D0C"/>
    <w:rsid w:val="006C6E6D"/>
    <w:rsid w:val="006C7242"/>
    <w:rsid w:val="006C74DD"/>
    <w:rsid w:val="006C79A8"/>
    <w:rsid w:val="006C7AE2"/>
    <w:rsid w:val="006C7CC7"/>
    <w:rsid w:val="006D077B"/>
    <w:rsid w:val="006D0974"/>
    <w:rsid w:val="006D09D2"/>
    <w:rsid w:val="006D0A72"/>
    <w:rsid w:val="006D0C8A"/>
    <w:rsid w:val="006D0D92"/>
    <w:rsid w:val="006D121E"/>
    <w:rsid w:val="006D13F9"/>
    <w:rsid w:val="006D176E"/>
    <w:rsid w:val="006D1BD4"/>
    <w:rsid w:val="006D1EE5"/>
    <w:rsid w:val="006D2145"/>
    <w:rsid w:val="006D2ED4"/>
    <w:rsid w:val="006D2FF8"/>
    <w:rsid w:val="006D302A"/>
    <w:rsid w:val="006D30B2"/>
    <w:rsid w:val="006D35FD"/>
    <w:rsid w:val="006D380C"/>
    <w:rsid w:val="006D3811"/>
    <w:rsid w:val="006D3872"/>
    <w:rsid w:val="006D3F34"/>
    <w:rsid w:val="006D40E7"/>
    <w:rsid w:val="006D447B"/>
    <w:rsid w:val="006D4954"/>
    <w:rsid w:val="006D496A"/>
    <w:rsid w:val="006D49C4"/>
    <w:rsid w:val="006D4ACE"/>
    <w:rsid w:val="006D4BE1"/>
    <w:rsid w:val="006D4C73"/>
    <w:rsid w:val="006D4D3F"/>
    <w:rsid w:val="006D4F23"/>
    <w:rsid w:val="006D5154"/>
    <w:rsid w:val="006D517D"/>
    <w:rsid w:val="006D518F"/>
    <w:rsid w:val="006D5268"/>
    <w:rsid w:val="006D53F9"/>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D7E31"/>
    <w:rsid w:val="006E0258"/>
    <w:rsid w:val="006E0356"/>
    <w:rsid w:val="006E06B3"/>
    <w:rsid w:val="006E09ED"/>
    <w:rsid w:val="006E0BB8"/>
    <w:rsid w:val="006E0D37"/>
    <w:rsid w:val="006E0FB9"/>
    <w:rsid w:val="006E14B3"/>
    <w:rsid w:val="006E175D"/>
    <w:rsid w:val="006E17B1"/>
    <w:rsid w:val="006E191C"/>
    <w:rsid w:val="006E1963"/>
    <w:rsid w:val="006E1EAC"/>
    <w:rsid w:val="006E1F52"/>
    <w:rsid w:val="006E22E1"/>
    <w:rsid w:val="006E2653"/>
    <w:rsid w:val="006E27DA"/>
    <w:rsid w:val="006E2875"/>
    <w:rsid w:val="006E2D3E"/>
    <w:rsid w:val="006E2F18"/>
    <w:rsid w:val="006E329A"/>
    <w:rsid w:val="006E3477"/>
    <w:rsid w:val="006E358D"/>
    <w:rsid w:val="006E3A90"/>
    <w:rsid w:val="006E3CC7"/>
    <w:rsid w:val="006E4585"/>
    <w:rsid w:val="006E4900"/>
    <w:rsid w:val="006E4923"/>
    <w:rsid w:val="006E4960"/>
    <w:rsid w:val="006E4C15"/>
    <w:rsid w:val="006E4DC4"/>
    <w:rsid w:val="006E4FEC"/>
    <w:rsid w:val="006E5332"/>
    <w:rsid w:val="006E533F"/>
    <w:rsid w:val="006E53A3"/>
    <w:rsid w:val="006E54CF"/>
    <w:rsid w:val="006E5696"/>
    <w:rsid w:val="006E5BBA"/>
    <w:rsid w:val="006E6338"/>
    <w:rsid w:val="006E66A7"/>
    <w:rsid w:val="006E68C1"/>
    <w:rsid w:val="006E6EAF"/>
    <w:rsid w:val="006E6F14"/>
    <w:rsid w:val="006E79B9"/>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ED9"/>
    <w:rsid w:val="006F2F10"/>
    <w:rsid w:val="006F344B"/>
    <w:rsid w:val="006F3664"/>
    <w:rsid w:val="006F40BA"/>
    <w:rsid w:val="006F42AE"/>
    <w:rsid w:val="006F4507"/>
    <w:rsid w:val="006F5608"/>
    <w:rsid w:val="006F560B"/>
    <w:rsid w:val="006F604B"/>
    <w:rsid w:val="006F6337"/>
    <w:rsid w:val="006F6502"/>
    <w:rsid w:val="006F6847"/>
    <w:rsid w:val="006F6A32"/>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7AF"/>
    <w:rsid w:val="00701D18"/>
    <w:rsid w:val="00701F44"/>
    <w:rsid w:val="007027F8"/>
    <w:rsid w:val="00702AAC"/>
    <w:rsid w:val="00702C97"/>
    <w:rsid w:val="00702D7E"/>
    <w:rsid w:val="00702E1B"/>
    <w:rsid w:val="00702E87"/>
    <w:rsid w:val="007030C7"/>
    <w:rsid w:val="0070343A"/>
    <w:rsid w:val="007035D6"/>
    <w:rsid w:val="007035E8"/>
    <w:rsid w:val="007039BA"/>
    <w:rsid w:val="00703AFB"/>
    <w:rsid w:val="00703B56"/>
    <w:rsid w:val="00703EFD"/>
    <w:rsid w:val="00703F9F"/>
    <w:rsid w:val="007040E6"/>
    <w:rsid w:val="007044BB"/>
    <w:rsid w:val="00704F73"/>
    <w:rsid w:val="00705306"/>
    <w:rsid w:val="007053A6"/>
    <w:rsid w:val="007054E5"/>
    <w:rsid w:val="00705812"/>
    <w:rsid w:val="00705A75"/>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5A6"/>
    <w:rsid w:val="00715797"/>
    <w:rsid w:val="00715927"/>
    <w:rsid w:val="00715A9A"/>
    <w:rsid w:val="00715B97"/>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5E0"/>
    <w:rsid w:val="0072282B"/>
    <w:rsid w:val="0072283D"/>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A3"/>
    <w:rsid w:val="007265FA"/>
    <w:rsid w:val="00726997"/>
    <w:rsid w:val="00726A2C"/>
    <w:rsid w:val="00726F50"/>
    <w:rsid w:val="00726FA4"/>
    <w:rsid w:val="007276BE"/>
    <w:rsid w:val="00727856"/>
    <w:rsid w:val="00727AD4"/>
    <w:rsid w:val="00727BD2"/>
    <w:rsid w:val="00730286"/>
    <w:rsid w:val="007306DC"/>
    <w:rsid w:val="007309B3"/>
    <w:rsid w:val="00730C79"/>
    <w:rsid w:val="007312CA"/>
    <w:rsid w:val="007317E5"/>
    <w:rsid w:val="0073183B"/>
    <w:rsid w:val="00731859"/>
    <w:rsid w:val="007318DD"/>
    <w:rsid w:val="00731D48"/>
    <w:rsid w:val="00731DB2"/>
    <w:rsid w:val="00732583"/>
    <w:rsid w:val="00732779"/>
    <w:rsid w:val="007327E5"/>
    <w:rsid w:val="00732854"/>
    <w:rsid w:val="00732C89"/>
    <w:rsid w:val="00732C99"/>
    <w:rsid w:val="00732DFE"/>
    <w:rsid w:val="00732FCA"/>
    <w:rsid w:val="007330EB"/>
    <w:rsid w:val="007334CA"/>
    <w:rsid w:val="007334CC"/>
    <w:rsid w:val="007335B6"/>
    <w:rsid w:val="007336DE"/>
    <w:rsid w:val="0073402E"/>
    <w:rsid w:val="00734033"/>
    <w:rsid w:val="007344BB"/>
    <w:rsid w:val="00734545"/>
    <w:rsid w:val="007346F5"/>
    <w:rsid w:val="0073489F"/>
    <w:rsid w:val="007349EC"/>
    <w:rsid w:val="00734C92"/>
    <w:rsid w:val="00734ED8"/>
    <w:rsid w:val="007352FB"/>
    <w:rsid w:val="0073538B"/>
    <w:rsid w:val="00735467"/>
    <w:rsid w:val="007354B7"/>
    <w:rsid w:val="00735528"/>
    <w:rsid w:val="00735A18"/>
    <w:rsid w:val="00735BA3"/>
    <w:rsid w:val="00735BDB"/>
    <w:rsid w:val="00736037"/>
    <w:rsid w:val="0073605C"/>
    <w:rsid w:val="007364DE"/>
    <w:rsid w:val="007365B7"/>
    <w:rsid w:val="00736924"/>
    <w:rsid w:val="00736971"/>
    <w:rsid w:val="00736A21"/>
    <w:rsid w:val="007371C1"/>
    <w:rsid w:val="007371F5"/>
    <w:rsid w:val="007373D9"/>
    <w:rsid w:val="00737595"/>
    <w:rsid w:val="0073765E"/>
    <w:rsid w:val="00737925"/>
    <w:rsid w:val="00737C55"/>
    <w:rsid w:val="00737D5E"/>
    <w:rsid w:val="0074002E"/>
    <w:rsid w:val="00740045"/>
    <w:rsid w:val="007401CE"/>
    <w:rsid w:val="00740251"/>
    <w:rsid w:val="00740260"/>
    <w:rsid w:val="0074028F"/>
    <w:rsid w:val="007402F4"/>
    <w:rsid w:val="00740B5A"/>
    <w:rsid w:val="0074107F"/>
    <w:rsid w:val="0074122F"/>
    <w:rsid w:val="00741684"/>
    <w:rsid w:val="00741714"/>
    <w:rsid w:val="007417A9"/>
    <w:rsid w:val="0074188B"/>
    <w:rsid w:val="007418E5"/>
    <w:rsid w:val="00741A20"/>
    <w:rsid w:val="00741B43"/>
    <w:rsid w:val="00741C60"/>
    <w:rsid w:val="00741F41"/>
    <w:rsid w:val="00741FFB"/>
    <w:rsid w:val="00742016"/>
    <w:rsid w:val="00742242"/>
    <w:rsid w:val="00742245"/>
    <w:rsid w:val="007423BB"/>
    <w:rsid w:val="00742666"/>
    <w:rsid w:val="00742862"/>
    <w:rsid w:val="00742A2D"/>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7B"/>
    <w:rsid w:val="007460AE"/>
    <w:rsid w:val="00746214"/>
    <w:rsid w:val="007463AA"/>
    <w:rsid w:val="00746512"/>
    <w:rsid w:val="007468D5"/>
    <w:rsid w:val="007469E9"/>
    <w:rsid w:val="00746F46"/>
    <w:rsid w:val="007471F8"/>
    <w:rsid w:val="00747516"/>
    <w:rsid w:val="0074755D"/>
    <w:rsid w:val="007476F0"/>
    <w:rsid w:val="00747949"/>
    <w:rsid w:val="00747BB2"/>
    <w:rsid w:val="00747D86"/>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8D"/>
    <w:rsid w:val="00752E92"/>
    <w:rsid w:val="00752EC6"/>
    <w:rsid w:val="00752FB3"/>
    <w:rsid w:val="00752FD3"/>
    <w:rsid w:val="007532EE"/>
    <w:rsid w:val="007536E9"/>
    <w:rsid w:val="0075393B"/>
    <w:rsid w:val="00753A31"/>
    <w:rsid w:val="00754589"/>
    <w:rsid w:val="00754F4E"/>
    <w:rsid w:val="00754F9F"/>
    <w:rsid w:val="00755089"/>
    <w:rsid w:val="00755223"/>
    <w:rsid w:val="00755262"/>
    <w:rsid w:val="007555BA"/>
    <w:rsid w:val="007555DD"/>
    <w:rsid w:val="007555F5"/>
    <w:rsid w:val="00755851"/>
    <w:rsid w:val="00755910"/>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2D0"/>
    <w:rsid w:val="007604D5"/>
    <w:rsid w:val="007604FB"/>
    <w:rsid w:val="007606EE"/>
    <w:rsid w:val="00760711"/>
    <w:rsid w:val="00760715"/>
    <w:rsid w:val="00760F11"/>
    <w:rsid w:val="0076101C"/>
    <w:rsid w:val="0076146C"/>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F2D"/>
    <w:rsid w:val="00764135"/>
    <w:rsid w:val="00764194"/>
    <w:rsid w:val="0076445A"/>
    <w:rsid w:val="0076446C"/>
    <w:rsid w:val="00764490"/>
    <w:rsid w:val="007646AC"/>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3EB"/>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08"/>
    <w:rsid w:val="00772723"/>
    <w:rsid w:val="00772BB8"/>
    <w:rsid w:val="00772E41"/>
    <w:rsid w:val="00772FCF"/>
    <w:rsid w:val="0077313D"/>
    <w:rsid w:val="007735A3"/>
    <w:rsid w:val="007735FD"/>
    <w:rsid w:val="0077367E"/>
    <w:rsid w:val="007736A6"/>
    <w:rsid w:val="00773830"/>
    <w:rsid w:val="007738D3"/>
    <w:rsid w:val="00773FF9"/>
    <w:rsid w:val="00774581"/>
    <w:rsid w:val="00774779"/>
    <w:rsid w:val="00774A0D"/>
    <w:rsid w:val="00774AAA"/>
    <w:rsid w:val="00774FCC"/>
    <w:rsid w:val="0077510C"/>
    <w:rsid w:val="00775284"/>
    <w:rsid w:val="00775886"/>
    <w:rsid w:val="00775934"/>
    <w:rsid w:val="00775974"/>
    <w:rsid w:val="00775CBC"/>
    <w:rsid w:val="00775F0A"/>
    <w:rsid w:val="00776257"/>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660"/>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4F3"/>
    <w:rsid w:val="00783A1E"/>
    <w:rsid w:val="00783B53"/>
    <w:rsid w:val="00784389"/>
    <w:rsid w:val="0078447B"/>
    <w:rsid w:val="0078476D"/>
    <w:rsid w:val="007847CD"/>
    <w:rsid w:val="00784840"/>
    <w:rsid w:val="00784C02"/>
    <w:rsid w:val="00784C1B"/>
    <w:rsid w:val="00784D76"/>
    <w:rsid w:val="00784E22"/>
    <w:rsid w:val="00784FC2"/>
    <w:rsid w:val="00785562"/>
    <w:rsid w:val="00785A27"/>
    <w:rsid w:val="00785F6D"/>
    <w:rsid w:val="0078660B"/>
    <w:rsid w:val="00786A73"/>
    <w:rsid w:val="00786ACC"/>
    <w:rsid w:val="00786B12"/>
    <w:rsid w:val="00786CE9"/>
    <w:rsid w:val="00786D0E"/>
    <w:rsid w:val="00786D77"/>
    <w:rsid w:val="0078744B"/>
    <w:rsid w:val="00787634"/>
    <w:rsid w:val="0078784E"/>
    <w:rsid w:val="00787999"/>
    <w:rsid w:val="0079035A"/>
    <w:rsid w:val="007906A1"/>
    <w:rsid w:val="007906F9"/>
    <w:rsid w:val="007907BA"/>
    <w:rsid w:val="00790A2F"/>
    <w:rsid w:val="00790E92"/>
    <w:rsid w:val="00791077"/>
    <w:rsid w:val="0079139D"/>
    <w:rsid w:val="00791536"/>
    <w:rsid w:val="007915C8"/>
    <w:rsid w:val="007915DD"/>
    <w:rsid w:val="00791AC8"/>
    <w:rsid w:val="0079224B"/>
    <w:rsid w:val="0079229A"/>
    <w:rsid w:val="0079230E"/>
    <w:rsid w:val="00792366"/>
    <w:rsid w:val="00792514"/>
    <w:rsid w:val="007925DE"/>
    <w:rsid w:val="00792683"/>
    <w:rsid w:val="007926C8"/>
    <w:rsid w:val="007926E9"/>
    <w:rsid w:val="00792813"/>
    <w:rsid w:val="00792AAC"/>
    <w:rsid w:val="00792D38"/>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10A"/>
    <w:rsid w:val="007962E0"/>
    <w:rsid w:val="00796386"/>
    <w:rsid w:val="007966B4"/>
    <w:rsid w:val="00796862"/>
    <w:rsid w:val="00796BA9"/>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1EFE"/>
    <w:rsid w:val="007A2072"/>
    <w:rsid w:val="007A2162"/>
    <w:rsid w:val="007A216C"/>
    <w:rsid w:val="007A23D6"/>
    <w:rsid w:val="007A242A"/>
    <w:rsid w:val="007A2553"/>
    <w:rsid w:val="007A29CF"/>
    <w:rsid w:val="007A2A3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5D"/>
    <w:rsid w:val="007A64CF"/>
    <w:rsid w:val="007A6708"/>
    <w:rsid w:val="007A685F"/>
    <w:rsid w:val="007A6ED6"/>
    <w:rsid w:val="007A71D7"/>
    <w:rsid w:val="007A7600"/>
    <w:rsid w:val="007A7960"/>
    <w:rsid w:val="007B0002"/>
    <w:rsid w:val="007B017D"/>
    <w:rsid w:val="007B01AF"/>
    <w:rsid w:val="007B075C"/>
    <w:rsid w:val="007B083D"/>
    <w:rsid w:val="007B09B4"/>
    <w:rsid w:val="007B09D1"/>
    <w:rsid w:val="007B1265"/>
    <w:rsid w:val="007B1682"/>
    <w:rsid w:val="007B1A21"/>
    <w:rsid w:val="007B1ACD"/>
    <w:rsid w:val="007B1DF1"/>
    <w:rsid w:val="007B21B1"/>
    <w:rsid w:val="007B234D"/>
    <w:rsid w:val="007B2840"/>
    <w:rsid w:val="007B28B4"/>
    <w:rsid w:val="007B2980"/>
    <w:rsid w:val="007B2D93"/>
    <w:rsid w:val="007B2E6D"/>
    <w:rsid w:val="007B2E7A"/>
    <w:rsid w:val="007B2FDF"/>
    <w:rsid w:val="007B30EA"/>
    <w:rsid w:val="007B33D2"/>
    <w:rsid w:val="007B354B"/>
    <w:rsid w:val="007B36CE"/>
    <w:rsid w:val="007B3A86"/>
    <w:rsid w:val="007B3DE7"/>
    <w:rsid w:val="007B4246"/>
    <w:rsid w:val="007B4330"/>
    <w:rsid w:val="007B43A1"/>
    <w:rsid w:val="007B4499"/>
    <w:rsid w:val="007B473D"/>
    <w:rsid w:val="007B4BFD"/>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279"/>
    <w:rsid w:val="007B7331"/>
    <w:rsid w:val="007B74C2"/>
    <w:rsid w:val="007B7837"/>
    <w:rsid w:val="007B7A69"/>
    <w:rsid w:val="007B7A82"/>
    <w:rsid w:val="007B7DF3"/>
    <w:rsid w:val="007B7E46"/>
    <w:rsid w:val="007B7F1B"/>
    <w:rsid w:val="007C056D"/>
    <w:rsid w:val="007C05EB"/>
    <w:rsid w:val="007C0F4F"/>
    <w:rsid w:val="007C1743"/>
    <w:rsid w:val="007C1AA2"/>
    <w:rsid w:val="007C1F3A"/>
    <w:rsid w:val="007C2114"/>
    <w:rsid w:val="007C231D"/>
    <w:rsid w:val="007C23AE"/>
    <w:rsid w:val="007C261E"/>
    <w:rsid w:val="007C2806"/>
    <w:rsid w:val="007C2AEF"/>
    <w:rsid w:val="007C2DEB"/>
    <w:rsid w:val="007C2E74"/>
    <w:rsid w:val="007C34BA"/>
    <w:rsid w:val="007C3946"/>
    <w:rsid w:val="007C3A53"/>
    <w:rsid w:val="007C3A83"/>
    <w:rsid w:val="007C3C2C"/>
    <w:rsid w:val="007C4201"/>
    <w:rsid w:val="007C463C"/>
    <w:rsid w:val="007C46BA"/>
    <w:rsid w:val="007C4ABD"/>
    <w:rsid w:val="007C4B44"/>
    <w:rsid w:val="007C5217"/>
    <w:rsid w:val="007C5273"/>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A42"/>
    <w:rsid w:val="007D1A5A"/>
    <w:rsid w:val="007D1AFC"/>
    <w:rsid w:val="007D1DE9"/>
    <w:rsid w:val="007D221D"/>
    <w:rsid w:val="007D269C"/>
    <w:rsid w:val="007D26D0"/>
    <w:rsid w:val="007D2B58"/>
    <w:rsid w:val="007D2B94"/>
    <w:rsid w:val="007D2CAF"/>
    <w:rsid w:val="007D31A0"/>
    <w:rsid w:val="007D34B9"/>
    <w:rsid w:val="007D35B2"/>
    <w:rsid w:val="007D3AEC"/>
    <w:rsid w:val="007D3FD8"/>
    <w:rsid w:val="007D4CA9"/>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616"/>
    <w:rsid w:val="007D67A4"/>
    <w:rsid w:val="007D69BC"/>
    <w:rsid w:val="007D6AFB"/>
    <w:rsid w:val="007D6BAA"/>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43D"/>
    <w:rsid w:val="007E187D"/>
    <w:rsid w:val="007E1915"/>
    <w:rsid w:val="007E2202"/>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462"/>
    <w:rsid w:val="007E55BE"/>
    <w:rsid w:val="007E572F"/>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FC"/>
    <w:rsid w:val="007F142B"/>
    <w:rsid w:val="007F190C"/>
    <w:rsid w:val="007F1911"/>
    <w:rsid w:val="007F19AA"/>
    <w:rsid w:val="007F2272"/>
    <w:rsid w:val="007F2306"/>
    <w:rsid w:val="007F26DB"/>
    <w:rsid w:val="007F2C18"/>
    <w:rsid w:val="007F2DF4"/>
    <w:rsid w:val="007F2F43"/>
    <w:rsid w:val="007F2F4D"/>
    <w:rsid w:val="007F37AD"/>
    <w:rsid w:val="007F38D3"/>
    <w:rsid w:val="007F3C73"/>
    <w:rsid w:val="007F42CF"/>
    <w:rsid w:val="007F4331"/>
    <w:rsid w:val="007F4344"/>
    <w:rsid w:val="007F47C2"/>
    <w:rsid w:val="007F48BB"/>
    <w:rsid w:val="007F48ED"/>
    <w:rsid w:val="007F4D56"/>
    <w:rsid w:val="007F4D74"/>
    <w:rsid w:val="007F4F16"/>
    <w:rsid w:val="007F53A9"/>
    <w:rsid w:val="007F55F1"/>
    <w:rsid w:val="007F5C43"/>
    <w:rsid w:val="007F5D52"/>
    <w:rsid w:val="007F5EAD"/>
    <w:rsid w:val="007F5EDF"/>
    <w:rsid w:val="007F5F33"/>
    <w:rsid w:val="007F67A9"/>
    <w:rsid w:val="007F691E"/>
    <w:rsid w:val="007F6E0C"/>
    <w:rsid w:val="007F727C"/>
    <w:rsid w:val="007F73E2"/>
    <w:rsid w:val="007F748F"/>
    <w:rsid w:val="007F7624"/>
    <w:rsid w:val="007F76BB"/>
    <w:rsid w:val="007F7E2B"/>
    <w:rsid w:val="007F7F74"/>
    <w:rsid w:val="0080043A"/>
    <w:rsid w:val="00800555"/>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86A"/>
    <w:rsid w:val="0080298A"/>
    <w:rsid w:val="0080298B"/>
    <w:rsid w:val="008029A5"/>
    <w:rsid w:val="00802A07"/>
    <w:rsid w:val="00802C75"/>
    <w:rsid w:val="00802DA5"/>
    <w:rsid w:val="00803046"/>
    <w:rsid w:val="00803776"/>
    <w:rsid w:val="008037DB"/>
    <w:rsid w:val="008038C5"/>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C7D"/>
    <w:rsid w:val="00805FB9"/>
    <w:rsid w:val="00806141"/>
    <w:rsid w:val="00806932"/>
    <w:rsid w:val="00806B10"/>
    <w:rsid w:val="00806BF8"/>
    <w:rsid w:val="00806D54"/>
    <w:rsid w:val="00807252"/>
    <w:rsid w:val="00807383"/>
    <w:rsid w:val="00807419"/>
    <w:rsid w:val="008076A5"/>
    <w:rsid w:val="008077B2"/>
    <w:rsid w:val="0080780B"/>
    <w:rsid w:val="008078B7"/>
    <w:rsid w:val="00807CE2"/>
    <w:rsid w:val="00807CE5"/>
    <w:rsid w:val="008111F2"/>
    <w:rsid w:val="0081147E"/>
    <w:rsid w:val="008120A6"/>
    <w:rsid w:val="00812128"/>
    <w:rsid w:val="00812176"/>
    <w:rsid w:val="00812AF2"/>
    <w:rsid w:val="00812D5C"/>
    <w:rsid w:val="00812E06"/>
    <w:rsid w:val="00813274"/>
    <w:rsid w:val="00813288"/>
    <w:rsid w:val="00813315"/>
    <w:rsid w:val="008133B2"/>
    <w:rsid w:val="008136B2"/>
    <w:rsid w:val="00813804"/>
    <w:rsid w:val="00813855"/>
    <w:rsid w:val="00813888"/>
    <w:rsid w:val="008141D2"/>
    <w:rsid w:val="0081445E"/>
    <w:rsid w:val="0081457A"/>
    <w:rsid w:val="008145BC"/>
    <w:rsid w:val="00814855"/>
    <w:rsid w:val="00814AC5"/>
    <w:rsid w:val="00814AF0"/>
    <w:rsid w:val="00814D42"/>
    <w:rsid w:val="00814F0E"/>
    <w:rsid w:val="00815556"/>
    <w:rsid w:val="00815A27"/>
    <w:rsid w:val="00816359"/>
    <w:rsid w:val="00816442"/>
    <w:rsid w:val="008164CF"/>
    <w:rsid w:val="0081656D"/>
    <w:rsid w:val="0081659C"/>
    <w:rsid w:val="00816884"/>
    <w:rsid w:val="00816F05"/>
    <w:rsid w:val="00817166"/>
    <w:rsid w:val="00817469"/>
    <w:rsid w:val="008174E0"/>
    <w:rsid w:val="008177C2"/>
    <w:rsid w:val="00817A33"/>
    <w:rsid w:val="00817C17"/>
    <w:rsid w:val="0081A3ED"/>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2F"/>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789"/>
    <w:rsid w:val="008268CA"/>
    <w:rsid w:val="00826994"/>
    <w:rsid w:val="008269A8"/>
    <w:rsid w:val="00826A2F"/>
    <w:rsid w:val="00826EB4"/>
    <w:rsid w:val="008270CD"/>
    <w:rsid w:val="008273FF"/>
    <w:rsid w:val="0082748B"/>
    <w:rsid w:val="008275F5"/>
    <w:rsid w:val="008276E7"/>
    <w:rsid w:val="00827733"/>
    <w:rsid w:val="00827924"/>
    <w:rsid w:val="00827A1B"/>
    <w:rsid w:val="00827ACF"/>
    <w:rsid w:val="00827F8D"/>
    <w:rsid w:val="00830030"/>
    <w:rsid w:val="008300C9"/>
    <w:rsid w:val="00830447"/>
    <w:rsid w:val="008306D8"/>
    <w:rsid w:val="00830920"/>
    <w:rsid w:val="00830AC8"/>
    <w:rsid w:val="00830C27"/>
    <w:rsid w:val="008313BB"/>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715"/>
    <w:rsid w:val="00836E03"/>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F90"/>
    <w:rsid w:val="0084348B"/>
    <w:rsid w:val="00843591"/>
    <w:rsid w:val="00843761"/>
    <w:rsid w:val="008438B6"/>
    <w:rsid w:val="00843AA6"/>
    <w:rsid w:val="00843E2B"/>
    <w:rsid w:val="00843FFE"/>
    <w:rsid w:val="0084406B"/>
    <w:rsid w:val="008443BA"/>
    <w:rsid w:val="0084458D"/>
    <w:rsid w:val="00844606"/>
    <w:rsid w:val="008446F6"/>
    <w:rsid w:val="00844AA5"/>
    <w:rsid w:val="00844C5F"/>
    <w:rsid w:val="00844C63"/>
    <w:rsid w:val="00845780"/>
    <w:rsid w:val="008458D1"/>
    <w:rsid w:val="00845939"/>
    <w:rsid w:val="00845AEA"/>
    <w:rsid w:val="00845C2E"/>
    <w:rsid w:val="00845D3D"/>
    <w:rsid w:val="00846069"/>
    <w:rsid w:val="008460AE"/>
    <w:rsid w:val="008462C7"/>
    <w:rsid w:val="0084644F"/>
    <w:rsid w:val="008464D2"/>
    <w:rsid w:val="008465E1"/>
    <w:rsid w:val="008465E6"/>
    <w:rsid w:val="00846905"/>
    <w:rsid w:val="00846A7E"/>
    <w:rsid w:val="00847223"/>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1FCF"/>
    <w:rsid w:val="00852052"/>
    <w:rsid w:val="00852113"/>
    <w:rsid w:val="00852141"/>
    <w:rsid w:val="008522AE"/>
    <w:rsid w:val="0085294E"/>
    <w:rsid w:val="00852A01"/>
    <w:rsid w:val="00852BFE"/>
    <w:rsid w:val="00852F8B"/>
    <w:rsid w:val="00853100"/>
    <w:rsid w:val="0085396A"/>
    <w:rsid w:val="00853A2E"/>
    <w:rsid w:val="00853BC0"/>
    <w:rsid w:val="00853D05"/>
    <w:rsid w:val="00853D12"/>
    <w:rsid w:val="00853F0F"/>
    <w:rsid w:val="00853F97"/>
    <w:rsid w:val="008540EB"/>
    <w:rsid w:val="0085431B"/>
    <w:rsid w:val="0085444A"/>
    <w:rsid w:val="008544B5"/>
    <w:rsid w:val="00854566"/>
    <w:rsid w:val="00854AC2"/>
    <w:rsid w:val="00854BC0"/>
    <w:rsid w:val="00854C05"/>
    <w:rsid w:val="008558EF"/>
    <w:rsid w:val="008559A4"/>
    <w:rsid w:val="008559FD"/>
    <w:rsid w:val="00855C66"/>
    <w:rsid w:val="00855D46"/>
    <w:rsid w:val="008560CE"/>
    <w:rsid w:val="008561F9"/>
    <w:rsid w:val="00856992"/>
    <w:rsid w:val="00856A09"/>
    <w:rsid w:val="00856AA3"/>
    <w:rsid w:val="00857DEE"/>
    <w:rsid w:val="00857DF4"/>
    <w:rsid w:val="008607F2"/>
    <w:rsid w:val="00860AD4"/>
    <w:rsid w:val="00860C63"/>
    <w:rsid w:val="00860DB7"/>
    <w:rsid w:val="00860DD6"/>
    <w:rsid w:val="00860F8F"/>
    <w:rsid w:val="00860F9B"/>
    <w:rsid w:val="00861272"/>
    <w:rsid w:val="00861477"/>
    <w:rsid w:val="008614CA"/>
    <w:rsid w:val="00861639"/>
    <w:rsid w:val="0086179E"/>
    <w:rsid w:val="00862226"/>
    <w:rsid w:val="00862837"/>
    <w:rsid w:val="00862902"/>
    <w:rsid w:val="00862C4F"/>
    <w:rsid w:val="00862CD3"/>
    <w:rsid w:val="00862DAC"/>
    <w:rsid w:val="00862DF4"/>
    <w:rsid w:val="00862F25"/>
    <w:rsid w:val="00863378"/>
    <w:rsid w:val="008637E9"/>
    <w:rsid w:val="00863958"/>
    <w:rsid w:val="00863D7C"/>
    <w:rsid w:val="00863DF7"/>
    <w:rsid w:val="00863E90"/>
    <w:rsid w:val="00863EF6"/>
    <w:rsid w:val="0086409B"/>
    <w:rsid w:val="00864660"/>
    <w:rsid w:val="00864B33"/>
    <w:rsid w:val="00864B88"/>
    <w:rsid w:val="0086511E"/>
    <w:rsid w:val="0086530E"/>
    <w:rsid w:val="00865464"/>
    <w:rsid w:val="008654CA"/>
    <w:rsid w:val="00865506"/>
    <w:rsid w:val="0086566F"/>
    <w:rsid w:val="008656F8"/>
    <w:rsid w:val="008658AA"/>
    <w:rsid w:val="00865B87"/>
    <w:rsid w:val="00865D6C"/>
    <w:rsid w:val="00865DC7"/>
    <w:rsid w:val="00865FE9"/>
    <w:rsid w:val="00866341"/>
    <w:rsid w:val="00866B94"/>
    <w:rsid w:val="00866EB5"/>
    <w:rsid w:val="00866EEF"/>
    <w:rsid w:val="00867014"/>
    <w:rsid w:val="00867290"/>
    <w:rsid w:val="008672FE"/>
    <w:rsid w:val="00867459"/>
    <w:rsid w:val="00867703"/>
    <w:rsid w:val="00867833"/>
    <w:rsid w:val="00867B08"/>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0C99"/>
    <w:rsid w:val="00871095"/>
    <w:rsid w:val="008714E6"/>
    <w:rsid w:val="0087151E"/>
    <w:rsid w:val="00871A9E"/>
    <w:rsid w:val="00871AF3"/>
    <w:rsid w:val="00871B95"/>
    <w:rsid w:val="00872461"/>
    <w:rsid w:val="008724E3"/>
    <w:rsid w:val="0087271B"/>
    <w:rsid w:val="00872CC7"/>
    <w:rsid w:val="00872DB3"/>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8C"/>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2CA"/>
    <w:rsid w:val="00880355"/>
    <w:rsid w:val="0088051A"/>
    <w:rsid w:val="00880668"/>
    <w:rsid w:val="008807B4"/>
    <w:rsid w:val="00880834"/>
    <w:rsid w:val="00880CBB"/>
    <w:rsid w:val="00880FD7"/>
    <w:rsid w:val="0088127C"/>
    <w:rsid w:val="0088159C"/>
    <w:rsid w:val="00881887"/>
    <w:rsid w:val="008818E4"/>
    <w:rsid w:val="008819B2"/>
    <w:rsid w:val="00881D73"/>
    <w:rsid w:val="00881FA5"/>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4163"/>
    <w:rsid w:val="00884233"/>
    <w:rsid w:val="008842DF"/>
    <w:rsid w:val="00884465"/>
    <w:rsid w:val="008845A0"/>
    <w:rsid w:val="0088477C"/>
    <w:rsid w:val="0088484D"/>
    <w:rsid w:val="00884CE8"/>
    <w:rsid w:val="00884EF2"/>
    <w:rsid w:val="008852AB"/>
    <w:rsid w:val="0088545A"/>
    <w:rsid w:val="00885671"/>
    <w:rsid w:val="00885A7C"/>
    <w:rsid w:val="00885D54"/>
    <w:rsid w:val="00885E17"/>
    <w:rsid w:val="008863A6"/>
    <w:rsid w:val="008865E3"/>
    <w:rsid w:val="008865F9"/>
    <w:rsid w:val="008866E0"/>
    <w:rsid w:val="00886F5E"/>
    <w:rsid w:val="008872C2"/>
    <w:rsid w:val="008872C6"/>
    <w:rsid w:val="00887B15"/>
    <w:rsid w:val="00887CAB"/>
    <w:rsid w:val="0088AE73"/>
    <w:rsid w:val="0089021A"/>
    <w:rsid w:val="008902C1"/>
    <w:rsid w:val="00890481"/>
    <w:rsid w:val="00890B56"/>
    <w:rsid w:val="00890ED1"/>
    <w:rsid w:val="00891182"/>
    <w:rsid w:val="008911CD"/>
    <w:rsid w:val="00891206"/>
    <w:rsid w:val="008912F8"/>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ED7"/>
    <w:rsid w:val="00897A0E"/>
    <w:rsid w:val="00897ED1"/>
    <w:rsid w:val="00897F20"/>
    <w:rsid w:val="008A0301"/>
    <w:rsid w:val="008A0453"/>
    <w:rsid w:val="008A061D"/>
    <w:rsid w:val="008A07CE"/>
    <w:rsid w:val="008A07F0"/>
    <w:rsid w:val="008A0B68"/>
    <w:rsid w:val="008A0C4D"/>
    <w:rsid w:val="008A0C6E"/>
    <w:rsid w:val="008A0C6F"/>
    <w:rsid w:val="008A1609"/>
    <w:rsid w:val="008A1BAA"/>
    <w:rsid w:val="008A1BC1"/>
    <w:rsid w:val="008A1E72"/>
    <w:rsid w:val="008A1EB6"/>
    <w:rsid w:val="008A2413"/>
    <w:rsid w:val="008A25A6"/>
    <w:rsid w:val="008A2904"/>
    <w:rsid w:val="008A291F"/>
    <w:rsid w:val="008A29ED"/>
    <w:rsid w:val="008A2E0C"/>
    <w:rsid w:val="008A34E0"/>
    <w:rsid w:val="008A368E"/>
    <w:rsid w:val="008A36F0"/>
    <w:rsid w:val="008A37E5"/>
    <w:rsid w:val="008A401D"/>
    <w:rsid w:val="008A4256"/>
    <w:rsid w:val="008A451C"/>
    <w:rsid w:val="008A47DC"/>
    <w:rsid w:val="008A4824"/>
    <w:rsid w:val="008A49B1"/>
    <w:rsid w:val="008A4F1E"/>
    <w:rsid w:val="008A529E"/>
    <w:rsid w:val="008A56DC"/>
    <w:rsid w:val="008A5771"/>
    <w:rsid w:val="008A5E33"/>
    <w:rsid w:val="008A5ED4"/>
    <w:rsid w:val="008A63B0"/>
    <w:rsid w:val="008A65AB"/>
    <w:rsid w:val="008A6623"/>
    <w:rsid w:val="008A663D"/>
    <w:rsid w:val="008A680F"/>
    <w:rsid w:val="008A6A40"/>
    <w:rsid w:val="008A728F"/>
    <w:rsid w:val="008A73C1"/>
    <w:rsid w:val="008A74D2"/>
    <w:rsid w:val="008A76A5"/>
    <w:rsid w:val="008B007B"/>
    <w:rsid w:val="008B052D"/>
    <w:rsid w:val="008B0B57"/>
    <w:rsid w:val="008B0CB1"/>
    <w:rsid w:val="008B1089"/>
    <w:rsid w:val="008B1146"/>
    <w:rsid w:val="008B114F"/>
    <w:rsid w:val="008B1150"/>
    <w:rsid w:val="008B1161"/>
    <w:rsid w:val="008B1293"/>
    <w:rsid w:val="008B13DE"/>
    <w:rsid w:val="008B1813"/>
    <w:rsid w:val="008B1870"/>
    <w:rsid w:val="008B20A9"/>
    <w:rsid w:val="008B21B6"/>
    <w:rsid w:val="008B2236"/>
    <w:rsid w:val="008B226B"/>
    <w:rsid w:val="008B22DB"/>
    <w:rsid w:val="008B2616"/>
    <w:rsid w:val="008B297A"/>
    <w:rsid w:val="008B29CB"/>
    <w:rsid w:val="008B2FAB"/>
    <w:rsid w:val="008B31D5"/>
    <w:rsid w:val="008B3498"/>
    <w:rsid w:val="008B39AC"/>
    <w:rsid w:val="008B3A18"/>
    <w:rsid w:val="008B3A4A"/>
    <w:rsid w:val="008B3D66"/>
    <w:rsid w:val="008B411F"/>
    <w:rsid w:val="008B4175"/>
    <w:rsid w:val="008B4397"/>
    <w:rsid w:val="008B444E"/>
    <w:rsid w:val="008B44D0"/>
    <w:rsid w:val="008B4626"/>
    <w:rsid w:val="008B47A9"/>
    <w:rsid w:val="008B47CA"/>
    <w:rsid w:val="008B48B7"/>
    <w:rsid w:val="008B4976"/>
    <w:rsid w:val="008B4FC7"/>
    <w:rsid w:val="008B5035"/>
    <w:rsid w:val="008B5102"/>
    <w:rsid w:val="008B548D"/>
    <w:rsid w:val="008B58E7"/>
    <w:rsid w:val="008B5E20"/>
    <w:rsid w:val="008B615E"/>
    <w:rsid w:val="008B63D6"/>
    <w:rsid w:val="008B67BC"/>
    <w:rsid w:val="008B6AC7"/>
    <w:rsid w:val="008B6E48"/>
    <w:rsid w:val="008B6FC0"/>
    <w:rsid w:val="008B7102"/>
    <w:rsid w:val="008B723D"/>
    <w:rsid w:val="008B76EE"/>
    <w:rsid w:val="008B7721"/>
    <w:rsid w:val="008B77E9"/>
    <w:rsid w:val="008B781A"/>
    <w:rsid w:val="008B7AEB"/>
    <w:rsid w:val="008B7B26"/>
    <w:rsid w:val="008B7CB2"/>
    <w:rsid w:val="008C0597"/>
    <w:rsid w:val="008C081E"/>
    <w:rsid w:val="008C0BCD"/>
    <w:rsid w:val="008C0E6B"/>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55"/>
    <w:rsid w:val="008C4DF2"/>
    <w:rsid w:val="008C4F20"/>
    <w:rsid w:val="008C5008"/>
    <w:rsid w:val="008C525B"/>
    <w:rsid w:val="008C5B5B"/>
    <w:rsid w:val="008C5E64"/>
    <w:rsid w:val="008C65CC"/>
    <w:rsid w:val="008C6796"/>
    <w:rsid w:val="008C6D97"/>
    <w:rsid w:val="008C6FA4"/>
    <w:rsid w:val="008C7015"/>
    <w:rsid w:val="008C7160"/>
    <w:rsid w:val="008C73AC"/>
    <w:rsid w:val="008C7674"/>
    <w:rsid w:val="008C770D"/>
    <w:rsid w:val="008C7741"/>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22C"/>
    <w:rsid w:val="008D1351"/>
    <w:rsid w:val="008D1B09"/>
    <w:rsid w:val="008D1B67"/>
    <w:rsid w:val="008D1DA5"/>
    <w:rsid w:val="008D204F"/>
    <w:rsid w:val="008D20E2"/>
    <w:rsid w:val="008D2521"/>
    <w:rsid w:val="008D2C41"/>
    <w:rsid w:val="008D3301"/>
    <w:rsid w:val="008D3347"/>
    <w:rsid w:val="008D394B"/>
    <w:rsid w:val="008D3AC8"/>
    <w:rsid w:val="008D48E9"/>
    <w:rsid w:val="008D4E81"/>
    <w:rsid w:val="008D4F44"/>
    <w:rsid w:val="008D5053"/>
    <w:rsid w:val="008D51EC"/>
    <w:rsid w:val="008D5326"/>
    <w:rsid w:val="008D53DC"/>
    <w:rsid w:val="008D5517"/>
    <w:rsid w:val="008D5530"/>
    <w:rsid w:val="008D582A"/>
    <w:rsid w:val="008D5960"/>
    <w:rsid w:val="008D5A82"/>
    <w:rsid w:val="008D5C2B"/>
    <w:rsid w:val="008D5EA9"/>
    <w:rsid w:val="008D6132"/>
    <w:rsid w:val="008D6163"/>
    <w:rsid w:val="008D644F"/>
    <w:rsid w:val="008D64F3"/>
    <w:rsid w:val="008D6627"/>
    <w:rsid w:val="008D684F"/>
    <w:rsid w:val="008D6B42"/>
    <w:rsid w:val="008D6B6B"/>
    <w:rsid w:val="008D6C57"/>
    <w:rsid w:val="008D6CA4"/>
    <w:rsid w:val="008D6CCB"/>
    <w:rsid w:val="008D6EF6"/>
    <w:rsid w:val="008D71C6"/>
    <w:rsid w:val="008D754B"/>
    <w:rsid w:val="008D7579"/>
    <w:rsid w:val="008D7731"/>
    <w:rsid w:val="008D77CB"/>
    <w:rsid w:val="008D7911"/>
    <w:rsid w:val="008D79D7"/>
    <w:rsid w:val="008D7B61"/>
    <w:rsid w:val="008D7FB4"/>
    <w:rsid w:val="008E05F9"/>
    <w:rsid w:val="008E0629"/>
    <w:rsid w:val="008E06C1"/>
    <w:rsid w:val="008E089A"/>
    <w:rsid w:val="008E0967"/>
    <w:rsid w:val="008E0AE2"/>
    <w:rsid w:val="008E0F86"/>
    <w:rsid w:val="008E116D"/>
    <w:rsid w:val="008E14A9"/>
    <w:rsid w:val="008E1615"/>
    <w:rsid w:val="008E171E"/>
    <w:rsid w:val="008E1816"/>
    <w:rsid w:val="008E1A26"/>
    <w:rsid w:val="008E1CA0"/>
    <w:rsid w:val="008E2A23"/>
    <w:rsid w:val="008E2ABF"/>
    <w:rsid w:val="008E2C87"/>
    <w:rsid w:val="008E37BC"/>
    <w:rsid w:val="008E3A51"/>
    <w:rsid w:val="008E3D95"/>
    <w:rsid w:val="008E3EDB"/>
    <w:rsid w:val="008E3FEB"/>
    <w:rsid w:val="008E4256"/>
    <w:rsid w:val="008E453F"/>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0FD"/>
    <w:rsid w:val="008E7163"/>
    <w:rsid w:val="008E72F9"/>
    <w:rsid w:val="008E7B49"/>
    <w:rsid w:val="008E7B51"/>
    <w:rsid w:val="008E7CC6"/>
    <w:rsid w:val="008F0202"/>
    <w:rsid w:val="008F03B6"/>
    <w:rsid w:val="008F054C"/>
    <w:rsid w:val="008F0CE6"/>
    <w:rsid w:val="008F0D78"/>
    <w:rsid w:val="008F0FAA"/>
    <w:rsid w:val="008F122E"/>
    <w:rsid w:val="008F1286"/>
    <w:rsid w:val="008F1311"/>
    <w:rsid w:val="008F1584"/>
    <w:rsid w:val="008F164F"/>
    <w:rsid w:val="008F1693"/>
    <w:rsid w:val="008F179B"/>
    <w:rsid w:val="008F18EC"/>
    <w:rsid w:val="008F1A55"/>
    <w:rsid w:val="008F1AF6"/>
    <w:rsid w:val="008F1F72"/>
    <w:rsid w:val="008F274F"/>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7D5"/>
    <w:rsid w:val="008F389C"/>
    <w:rsid w:val="008F4055"/>
    <w:rsid w:val="008F45B6"/>
    <w:rsid w:val="008F45F2"/>
    <w:rsid w:val="008F46DA"/>
    <w:rsid w:val="008F4920"/>
    <w:rsid w:val="008F4C85"/>
    <w:rsid w:val="008F4E07"/>
    <w:rsid w:val="008F4F30"/>
    <w:rsid w:val="008F4F8E"/>
    <w:rsid w:val="008F55E8"/>
    <w:rsid w:val="008F56EA"/>
    <w:rsid w:val="008F596E"/>
    <w:rsid w:val="008F5F8F"/>
    <w:rsid w:val="008F68DC"/>
    <w:rsid w:val="008F6AFF"/>
    <w:rsid w:val="008F7036"/>
    <w:rsid w:val="008F71E8"/>
    <w:rsid w:val="008F725B"/>
    <w:rsid w:val="008F726F"/>
    <w:rsid w:val="008F7C31"/>
    <w:rsid w:val="008F7CB3"/>
    <w:rsid w:val="008F7EA1"/>
    <w:rsid w:val="00900351"/>
    <w:rsid w:val="00900429"/>
    <w:rsid w:val="0090044B"/>
    <w:rsid w:val="009005A2"/>
    <w:rsid w:val="00900775"/>
    <w:rsid w:val="00900C94"/>
    <w:rsid w:val="009010AA"/>
    <w:rsid w:val="009011E6"/>
    <w:rsid w:val="009011E8"/>
    <w:rsid w:val="009014A7"/>
    <w:rsid w:val="0090153F"/>
    <w:rsid w:val="009019CB"/>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1EF"/>
    <w:rsid w:val="009046B5"/>
    <w:rsid w:val="00904B8D"/>
    <w:rsid w:val="00905201"/>
    <w:rsid w:val="00905396"/>
    <w:rsid w:val="009054A3"/>
    <w:rsid w:val="00905775"/>
    <w:rsid w:val="00905939"/>
    <w:rsid w:val="0090594B"/>
    <w:rsid w:val="009059C1"/>
    <w:rsid w:val="009059F1"/>
    <w:rsid w:val="00905A22"/>
    <w:rsid w:val="00905DB4"/>
    <w:rsid w:val="00906310"/>
    <w:rsid w:val="009064A7"/>
    <w:rsid w:val="00906817"/>
    <w:rsid w:val="009069DA"/>
    <w:rsid w:val="00906C6F"/>
    <w:rsid w:val="009070A1"/>
    <w:rsid w:val="00907123"/>
    <w:rsid w:val="00907197"/>
    <w:rsid w:val="009073ED"/>
    <w:rsid w:val="00907604"/>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7DC"/>
    <w:rsid w:val="0091195A"/>
    <w:rsid w:val="00911A9D"/>
    <w:rsid w:val="00911BBF"/>
    <w:rsid w:val="009124D9"/>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64F"/>
    <w:rsid w:val="009157B2"/>
    <w:rsid w:val="00915A63"/>
    <w:rsid w:val="00915EF3"/>
    <w:rsid w:val="00915FC6"/>
    <w:rsid w:val="009168D4"/>
    <w:rsid w:val="00916CF7"/>
    <w:rsid w:val="00916EB2"/>
    <w:rsid w:val="00917175"/>
    <w:rsid w:val="0091762D"/>
    <w:rsid w:val="0091779D"/>
    <w:rsid w:val="009177D8"/>
    <w:rsid w:val="009178CE"/>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CAD"/>
    <w:rsid w:val="00922481"/>
    <w:rsid w:val="009226FB"/>
    <w:rsid w:val="00922ECF"/>
    <w:rsid w:val="00923092"/>
    <w:rsid w:val="009231BC"/>
    <w:rsid w:val="009231DC"/>
    <w:rsid w:val="0092330D"/>
    <w:rsid w:val="009234A1"/>
    <w:rsid w:val="00923881"/>
    <w:rsid w:val="00923A7F"/>
    <w:rsid w:val="00923B39"/>
    <w:rsid w:val="00923CAC"/>
    <w:rsid w:val="00923D1C"/>
    <w:rsid w:val="00924208"/>
    <w:rsid w:val="009246EF"/>
    <w:rsid w:val="00924761"/>
    <w:rsid w:val="0092498B"/>
    <w:rsid w:val="009249A3"/>
    <w:rsid w:val="00924D43"/>
    <w:rsid w:val="00924F9A"/>
    <w:rsid w:val="0092510C"/>
    <w:rsid w:val="009251E1"/>
    <w:rsid w:val="009252F0"/>
    <w:rsid w:val="009258C3"/>
    <w:rsid w:val="00925946"/>
    <w:rsid w:val="00925AD5"/>
    <w:rsid w:val="00925E17"/>
    <w:rsid w:val="00925FBF"/>
    <w:rsid w:val="0092606F"/>
    <w:rsid w:val="009263BA"/>
    <w:rsid w:val="0092657E"/>
    <w:rsid w:val="00926837"/>
    <w:rsid w:val="00926A86"/>
    <w:rsid w:val="00926CEE"/>
    <w:rsid w:val="009270A0"/>
    <w:rsid w:val="00927126"/>
    <w:rsid w:val="009276B5"/>
    <w:rsid w:val="00927913"/>
    <w:rsid w:val="00927987"/>
    <w:rsid w:val="00927B2F"/>
    <w:rsid w:val="00927C80"/>
    <w:rsid w:val="00927F58"/>
    <w:rsid w:val="00930063"/>
    <w:rsid w:val="009304E0"/>
    <w:rsid w:val="009305F1"/>
    <w:rsid w:val="0093065A"/>
    <w:rsid w:val="00930D85"/>
    <w:rsid w:val="00930F3E"/>
    <w:rsid w:val="00931144"/>
    <w:rsid w:val="009312FC"/>
    <w:rsid w:val="009315BA"/>
    <w:rsid w:val="0093175F"/>
    <w:rsid w:val="00931AB8"/>
    <w:rsid w:val="00931BC2"/>
    <w:rsid w:val="00931DB3"/>
    <w:rsid w:val="00931E9E"/>
    <w:rsid w:val="00931F0B"/>
    <w:rsid w:val="00932106"/>
    <w:rsid w:val="009326FE"/>
    <w:rsid w:val="00932746"/>
    <w:rsid w:val="009328DF"/>
    <w:rsid w:val="00932CA3"/>
    <w:rsid w:val="0093322F"/>
    <w:rsid w:val="00933350"/>
    <w:rsid w:val="00933379"/>
    <w:rsid w:val="009337AC"/>
    <w:rsid w:val="00933813"/>
    <w:rsid w:val="009339B7"/>
    <w:rsid w:val="00933BCC"/>
    <w:rsid w:val="00933BF6"/>
    <w:rsid w:val="00933D05"/>
    <w:rsid w:val="00933E0F"/>
    <w:rsid w:val="00933F4A"/>
    <w:rsid w:val="009342D9"/>
    <w:rsid w:val="009342F2"/>
    <w:rsid w:val="00934309"/>
    <w:rsid w:val="0093463D"/>
    <w:rsid w:val="00934709"/>
    <w:rsid w:val="009347AC"/>
    <w:rsid w:val="00934800"/>
    <w:rsid w:val="0093481E"/>
    <w:rsid w:val="0093485C"/>
    <w:rsid w:val="00934C2A"/>
    <w:rsid w:val="00934E49"/>
    <w:rsid w:val="00934F9A"/>
    <w:rsid w:val="009353B9"/>
    <w:rsid w:val="00935410"/>
    <w:rsid w:val="009355EC"/>
    <w:rsid w:val="009355F5"/>
    <w:rsid w:val="00935B2B"/>
    <w:rsid w:val="00935B74"/>
    <w:rsid w:val="00935F85"/>
    <w:rsid w:val="00936658"/>
    <w:rsid w:val="00936CCE"/>
    <w:rsid w:val="00936CF4"/>
    <w:rsid w:val="00936D6F"/>
    <w:rsid w:val="00936E80"/>
    <w:rsid w:val="009370A1"/>
    <w:rsid w:val="00937175"/>
    <w:rsid w:val="00937760"/>
    <w:rsid w:val="009377E4"/>
    <w:rsid w:val="00937BB5"/>
    <w:rsid w:val="0094008E"/>
    <w:rsid w:val="00940266"/>
    <w:rsid w:val="00940488"/>
    <w:rsid w:val="00940537"/>
    <w:rsid w:val="009406DE"/>
    <w:rsid w:val="009407CC"/>
    <w:rsid w:val="00940CDC"/>
    <w:rsid w:val="00940EBC"/>
    <w:rsid w:val="00940F49"/>
    <w:rsid w:val="0094112C"/>
    <w:rsid w:val="009412BE"/>
    <w:rsid w:val="009413F8"/>
    <w:rsid w:val="00941920"/>
    <w:rsid w:val="009419EE"/>
    <w:rsid w:val="00941C50"/>
    <w:rsid w:val="00941D68"/>
    <w:rsid w:val="00941FAC"/>
    <w:rsid w:val="00942270"/>
    <w:rsid w:val="009427AB"/>
    <w:rsid w:val="009429B6"/>
    <w:rsid w:val="0094321B"/>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937"/>
    <w:rsid w:val="00950AD0"/>
    <w:rsid w:val="00950AEF"/>
    <w:rsid w:val="009510C4"/>
    <w:rsid w:val="0095114E"/>
    <w:rsid w:val="0095147A"/>
    <w:rsid w:val="009516C4"/>
    <w:rsid w:val="009519AD"/>
    <w:rsid w:val="009519DA"/>
    <w:rsid w:val="00951B64"/>
    <w:rsid w:val="00951CE5"/>
    <w:rsid w:val="00952202"/>
    <w:rsid w:val="009525CB"/>
    <w:rsid w:val="009529F3"/>
    <w:rsid w:val="00952A1B"/>
    <w:rsid w:val="00952BB2"/>
    <w:rsid w:val="00952E5F"/>
    <w:rsid w:val="00952F3A"/>
    <w:rsid w:val="0095313A"/>
    <w:rsid w:val="009532AC"/>
    <w:rsid w:val="00953322"/>
    <w:rsid w:val="009537A7"/>
    <w:rsid w:val="00953A4C"/>
    <w:rsid w:val="00953A7E"/>
    <w:rsid w:val="00953CF4"/>
    <w:rsid w:val="00953F73"/>
    <w:rsid w:val="00953FA1"/>
    <w:rsid w:val="009541AC"/>
    <w:rsid w:val="00954263"/>
    <w:rsid w:val="00954286"/>
    <w:rsid w:val="009542A8"/>
    <w:rsid w:val="009542C1"/>
    <w:rsid w:val="00954501"/>
    <w:rsid w:val="00954847"/>
    <w:rsid w:val="00954892"/>
    <w:rsid w:val="009549F9"/>
    <w:rsid w:val="00954ADB"/>
    <w:rsid w:val="00954BF0"/>
    <w:rsid w:val="009552EA"/>
    <w:rsid w:val="0095582B"/>
    <w:rsid w:val="009559B6"/>
    <w:rsid w:val="00955DDE"/>
    <w:rsid w:val="00956793"/>
    <w:rsid w:val="00956827"/>
    <w:rsid w:val="009568F4"/>
    <w:rsid w:val="00956C96"/>
    <w:rsid w:val="00956E87"/>
    <w:rsid w:val="00956FD3"/>
    <w:rsid w:val="009571A6"/>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B"/>
    <w:rsid w:val="0096203D"/>
    <w:rsid w:val="00962117"/>
    <w:rsid w:val="0096215D"/>
    <w:rsid w:val="009621C5"/>
    <w:rsid w:val="00962243"/>
    <w:rsid w:val="00962362"/>
    <w:rsid w:val="00962A49"/>
    <w:rsid w:val="00962AF0"/>
    <w:rsid w:val="00962CC0"/>
    <w:rsid w:val="00962DA1"/>
    <w:rsid w:val="00962F80"/>
    <w:rsid w:val="00963025"/>
    <w:rsid w:val="00963187"/>
    <w:rsid w:val="009635A2"/>
    <w:rsid w:val="009635A6"/>
    <w:rsid w:val="00963885"/>
    <w:rsid w:val="00963AC8"/>
    <w:rsid w:val="00963EC6"/>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6C"/>
    <w:rsid w:val="009676C2"/>
    <w:rsid w:val="00967754"/>
    <w:rsid w:val="0096777C"/>
    <w:rsid w:val="009678A2"/>
    <w:rsid w:val="00967B58"/>
    <w:rsid w:val="00967EF5"/>
    <w:rsid w:val="00970039"/>
    <w:rsid w:val="009702C1"/>
    <w:rsid w:val="00970389"/>
    <w:rsid w:val="0097041A"/>
    <w:rsid w:val="00970687"/>
    <w:rsid w:val="00970793"/>
    <w:rsid w:val="0097083A"/>
    <w:rsid w:val="00970879"/>
    <w:rsid w:val="00970CD4"/>
    <w:rsid w:val="00970F19"/>
    <w:rsid w:val="00971146"/>
    <w:rsid w:val="009711A9"/>
    <w:rsid w:val="009711CD"/>
    <w:rsid w:val="0097195B"/>
    <w:rsid w:val="00971E6E"/>
    <w:rsid w:val="00971FDE"/>
    <w:rsid w:val="00972316"/>
    <w:rsid w:val="0097242F"/>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A01"/>
    <w:rsid w:val="00981C16"/>
    <w:rsid w:val="00981D00"/>
    <w:rsid w:val="00981D20"/>
    <w:rsid w:val="00981E67"/>
    <w:rsid w:val="00981E6F"/>
    <w:rsid w:val="00981F41"/>
    <w:rsid w:val="00982465"/>
    <w:rsid w:val="009824A2"/>
    <w:rsid w:val="009824D5"/>
    <w:rsid w:val="00982534"/>
    <w:rsid w:val="00982B80"/>
    <w:rsid w:val="00982CBB"/>
    <w:rsid w:val="00982E2B"/>
    <w:rsid w:val="00982E47"/>
    <w:rsid w:val="009830E6"/>
    <w:rsid w:val="0098325C"/>
    <w:rsid w:val="00983580"/>
    <w:rsid w:val="00983B10"/>
    <w:rsid w:val="00983C70"/>
    <w:rsid w:val="00983DC3"/>
    <w:rsid w:val="0098408A"/>
    <w:rsid w:val="00984240"/>
    <w:rsid w:val="00984369"/>
    <w:rsid w:val="0098449E"/>
    <w:rsid w:val="0098464F"/>
    <w:rsid w:val="0098480B"/>
    <w:rsid w:val="00985149"/>
    <w:rsid w:val="0098516E"/>
    <w:rsid w:val="0098543D"/>
    <w:rsid w:val="00985488"/>
    <w:rsid w:val="009854FA"/>
    <w:rsid w:val="009855A9"/>
    <w:rsid w:val="009855E2"/>
    <w:rsid w:val="009857E4"/>
    <w:rsid w:val="00985C21"/>
    <w:rsid w:val="00985C48"/>
    <w:rsid w:val="00985E24"/>
    <w:rsid w:val="0098673A"/>
    <w:rsid w:val="00986DA8"/>
    <w:rsid w:val="00986E12"/>
    <w:rsid w:val="009873BE"/>
    <w:rsid w:val="009875AA"/>
    <w:rsid w:val="009877AD"/>
    <w:rsid w:val="009877BF"/>
    <w:rsid w:val="009878FA"/>
    <w:rsid w:val="00987C88"/>
    <w:rsid w:val="00987CE0"/>
    <w:rsid w:val="00990461"/>
    <w:rsid w:val="00990698"/>
    <w:rsid w:val="00990790"/>
    <w:rsid w:val="0099095D"/>
    <w:rsid w:val="00990A5D"/>
    <w:rsid w:val="00990BE4"/>
    <w:rsid w:val="00990C54"/>
    <w:rsid w:val="0099135D"/>
    <w:rsid w:val="0099168F"/>
    <w:rsid w:val="009918EC"/>
    <w:rsid w:val="00991D3C"/>
    <w:rsid w:val="00991D93"/>
    <w:rsid w:val="0099234E"/>
    <w:rsid w:val="00992394"/>
    <w:rsid w:val="0099264F"/>
    <w:rsid w:val="00992B2B"/>
    <w:rsid w:val="00992B68"/>
    <w:rsid w:val="00992D80"/>
    <w:rsid w:val="00993183"/>
    <w:rsid w:val="009932C9"/>
    <w:rsid w:val="00993329"/>
    <w:rsid w:val="0099366C"/>
    <w:rsid w:val="00993A2A"/>
    <w:rsid w:val="00993B08"/>
    <w:rsid w:val="00993B7C"/>
    <w:rsid w:val="00993CC2"/>
    <w:rsid w:val="00993DF8"/>
    <w:rsid w:val="009940FF"/>
    <w:rsid w:val="0099414F"/>
    <w:rsid w:val="00994284"/>
    <w:rsid w:val="0099455C"/>
    <w:rsid w:val="009945D8"/>
    <w:rsid w:val="0099470F"/>
    <w:rsid w:val="00994959"/>
    <w:rsid w:val="00994B76"/>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86"/>
    <w:rsid w:val="00996FA9"/>
    <w:rsid w:val="00996FC8"/>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1F"/>
    <w:rsid w:val="009B018C"/>
    <w:rsid w:val="009B094D"/>
    <w:rsid w:val="009B09D9"/>
    <w:rsid w:val="009B0A3C"/>
    <w:rsid w:val="009B0CA1"/>
    <w:rsid w:val="009B0F4B"/>
    <w:rsid w:val="009B0FBC"/>
    <w:rsid w:val="009B106D"/>
    <w:rsid w:val="009B1547"/>
    <w:rsid w:val="009B1561"/>
    <w:rsid w:val="009B15F1"/>
    <w:rsid w:val="009B172E"/>
    <w:rsid w:val="009B1742"/>
    <w:rsid w:val="009B1BCA"/>
    <w:rsid w:val="009B1CD1"/>
    <w:rsid w:val="009B1E2D"/>
    <w:rsid w:val="009B27A2"/>
    <w:rsid w:val="009B296B"/>
    <w:rsid w:val="009B2B38"/>
    <w:rsid w:val="009B2F1C"/>
    <w:rsid w:val="009B33C7"/>
    <w:rsid w:val="009B3615"/>
    <w:rsid w:val="009B3B3A"/>
    <w:rsid w:val="009B4268"/>
    <w:rsid w:val="009B433D"/>
    <w:rsid w:val="009B46AF"/>
    <w:rsid w:val="009B4797"/>
    <w:rsid w:val="009B47BE"/>
    <w:rsid w:val="009B4951"/>
    <w:rsid w:val="009B4CFD"/>
    <w:rsid w:val="009B4D72"/>
    <w:rsid w:val="009B4E72"/>
    <w:rsid w:val="009B504B"/>
    <w:rsid w:val="009B5165"/>
    <w:rsid w:val="009B52CB"/>
    <w:rsid w:val="009B53BD"/>
    <w:rsid w:val="009B57EC"/>
    <w:rsid w:val="009B5BA4"/>
    <w:rsid w:val="009B5DE9"/>
    <w:rsid w:val="009B5E8D"/>
    <w:rsid w:val="009B5F42"/>
    <w:rsid w:val="009B5FC2"/>
    <w:rsid w:val="009B61B8"/>
    <w:rsid w:val="009B6596"/>
    <w:rsid w:val="009B65AD"/>
    <w:rsid w:val="009B6752"/>
    <w:rsid w:val="009B6B3D"/>
    <w:rsid w:val="009B6DA1"/>
    <w:rsid w:val="009B6F81"/>
    <w:rsid w:val="009B7003"/>
    <w:rsid w:val="009B730E"/>
    <w:rsid w:val="009B782C"/>
    <w:rsid w:val="009B7E72"/>
    <w:rsid w:val="009B7EC9"/>
    <w:rsid w:val="009C024F"/>
    <w:rsid w:val="009C056C"/>
    <w:rsid w:val="009C0732"/>
    <w:rsid w:val="009C0A90"/>
    <w:rsid w:val="009C0BE8"/>
    <w:rsid w:val="009C11F9"/>
    <w:rsid w:val="009C1250"/>
    <w:rsid w:val="009C1251"/>
    <w:rsid w:val="009C1551"/>
    <w:rsid w:val="009C1694"/>
    <w:rsid w:val="009C181E"/>
    <w:rsid w:val="009C18C4"/>
    <w:rsid w:val="009C1A28"/>
    <w:rsid w:val="009C1CDC"/>
    <w:rsid w:val="009C1D89"/>
    <w:rsid w:val="009C1E4E"/>
    <w:rsid w:val="009C20FD"/>
    <w:rsid w:val="009C22B2"/>
    <w:rsid w:val="009C22E7"/>
    <w:rsid w:val="009C235B"/>
    <w:rsid w:val="009C28FD"/>
    <w:rsid w:val="009C2E33"/>
    <w:rsid w:val="009C2F12"/>
    <w:rsid w:val="009C3222"/>
    <w:rsid w:val="009C33D9"/>
    <w:rsid w:val="009C34D0"/>
    <w:rsid w:val="009C3526"/>
    <w:rsid w:val="009C3623"/>
    <w:rsid w:val="009C387C"/>
    <w:rsid w:val="009C3A20"/>
    <w:rsid w:val="009C3CD6"/>
    <w:rsid w:val="009C3E2F"/>
    <w:rsid w:val="009C3E4E"/>
    <w:rsid w:val="009C3E87"/>
    <w:rsid w:val="009C40AA"/>
    <w:rsid w:val="009C40EF"/>
    <w:rsid w:val="009C46AC"/>
    <w:rsid w:val="009C4B49"/>
    <w:rsid w:val="009C4BBB"/>
    <w:rsid w:val="009C4C6C"/>
    <w:rsid w:val="009C5039"/>
    <w:rsid w:val="009C5067"/>
    <w:rsid w:val="009C50A7"/>
    <w:rsid w:val="009C55B8"/>
    <w:rsid w:val="009C5634"/>
    <w:rsid w:val="009C565D"/>
    <w:rsid w:val="009C56E0"/>
    <w:rsid w:val="009C57B3"/>
    <w:rsid w:val="009C5864"/>
    <w:rsid w:val="009C5BBE"/>
    <w:rsid w:val="009C5D3E"/>
    <w:rsid w:val="009C5F69"/>
    <w:rsid w:val="009C5FD2"/>
    <w:rsid w:val="009C6193"/>
    <w:rsid w:val="009C6265"/>
    <w:rsid w:val="009C626B"/>
    <w:rsid w:val="009C6BDC"/>
    <w:rsid w:val="009C6F03"/>
    <w:rsid w:val="009C6F24"/>
    <w:rsid w:val="009C7016"/>
    <w:rsid w:val="009C704D"/>
    <w:rsid w:val="009C7070"/>
    <w:rsid w:val="009C7289"/>
    <w:rsid w:val="009C72D9"/>
    <w:rsid w:val="009C7315"/>
    <w:rsid w:val="009C7770"/>
    <w:rsid w:val="009C7C5D"/>
    <w:rsid w:val="009C7D03"/>
    <w:rsid w:val="009C7F56"/>
    <w:rsid w:val="009D011E"/>
    <w:rsid w:val="009D0161"/>
    <w:rsid w:val="009D019B"/>
    <w:rsid w:val="009D05BF"/>
    <w:rsid w:val="009D08F6"/>
    <w:rsid w:val="009D09B5"/>
    <w:rsid w:val="009D0DF0"/>
    <w:rsid w:val="009D15AE"/>
    <w:rsid w:val="009D17EA"/>
    <w:rsid w:val="009D17FA"/>
    <w:rsid w:val="009D18AC"/>
    <w:rsid w:val="009D1A01"/>
    <w:rsid w:val="009D1F0C"/>
    <w:rsid w:val="009D1F29"/>
    <w:rsid w:val="009D203F"/>
    <w:rsid w:val="009D268F"/>
    <w:rsid w:val="009D2740"/>
    <w:rsid w:val="009D2B9C"/>
    <w:rsid w:val="009D2BD0"/>
    <w:rsid w:val="009D2DE3"/>
    <w:rsid w:val="009D38C0"/>
    <w:rsid w:val="009D3A3D"/>
    <w:rsid w:val="009D3B39"/>
    <w:rsid w:val="009D3C12"/>
    <w:rsid w:val="009D3D89"/>
    <w:rsid w:val="009D4016"/>
    <w:rsid w:val="009D4291"/>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D7E93"/>
    <w:rsid w:val="009E0625"/>
    <w:rsid w:val="009E0768"/>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16E"/>
    <w:rsid w:val="009E2245"/>
    <w:rsid w:val="009E22DA"/>
    <w:rsid w:val="009E2369"/>
    <w:rsid w:val="009E276A"/>
    <w:rsid w:val="009E27E3"/>
    <w:rsid w:val="009E29A1"/>
    <w:rsid w:val="009E2BAE"/>
    <w:rsid w:val="009E2D74"/>
    <w:rsid w:val="009E2FE1"/>
    <w:rsid w:val="009E2FF2"/>
    <w:rsid w:val="009E3297"/>
    <w:rsid w:val="009E3E52"/>
    <w:rsid w:val="009E3EBA"/>
    <w:rsid w:val="009E430F"/>
    <w:rsid w:val="009E449A"/>
    <w:rsid w:val="009E44BB"/>
    <w:rsid w:val="009E4A53"/>
    <w:rsid w:val="009E4CA1"/>
    <w:rsid w:val="009E4CC5"/>
    <w:rsid w:val="009E4F89"/>
    <w:rsid w:val="009E5394"/>
    <w:rsid w:val="009E5549"/>
    <w:rsid w:val="009E55D5"/>
    <w:rsid w:val="009E560C"/>
    <w:rsid w:val="009E5721"/>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BAF"/>
    <w:rsid w:val="009E6CDE"/>
    <w:rsid w:val="009E71F8"/>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8D2"/>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00A"/>
    <w:rsid w:val="009F410E"/>
    <w:rsid w:val="009F4261"/>
    <w:rsid w:val="009F4450"/>
    <w:rsid w:val="009F48C0"/>
    <w:rsid w:val="009F4955"/>
    <w:rsid w:val="009F4E2E"/>
    <w:rsid w:val="009F4E3D"/>
    <w:rsid w:val="009F50A4"/>
    <w:rsid w:val="009F52C4"/>
    <w:rsid w:val="009F5447"/>
    <w:rsid w:val="009F554D"/>
    <w:rsid w:val="009F557B"/>
    <w:rsid w:val="009F568B"/>
    <w:rsid w:val="009F5828"/>
    <w:rsid w:val="009F5A08"/>
    <w:rsid w:val="009F5A25"/>
    <w:rsid w:val="009F5A79"/>
    <w:rsid w:val="009F5E73"/>
    <w:rsid w:val="009F6177"/>
    <w:rsid w:val="009F662B"/>
    <w:rsid w:val="009F68E2"/>
    <w:rsid w:val="009F6B10"/>
    <w:rsid w:val="009F6B62"/>
    <w:rsid w:val="009F6BD0"/>
    <w:rsid w:val="009F6E3A"/>
    <w:rsid w:val="009F72B0"/>
    <w:rsid w:val="009F7403"/>
    <w:rsid w:val="009F7419"/>
    <w:rsid w:val="009F741C"/>
    <w:rsid w:val="009F7500"/>
    <w:rsid w:val="009F758F"/>
    <w:rsid w:val="009F7626"/>
    <w:rsid w:val="009F768E"/>
    <w:rsid w:val="009F76E7"/>
    <w:rsid w:val="009F76F9"/>
    <w:rsid w:val="009F7A94"/>
    <w:rsid w:val="009F7D59"/>
    <w:rsid w:val="009F7D5D"/>
    <w:rsid w:val="00A0080B"/>
    <w:rsid w:val="00A010DC"/>
    <w:rsid w:val="00A011D8"/>
    <w:rsid w:val="00A012C7"/>
    <w:rsid w:val="00A01540"/>
    <w:rsid w:val="00A01677"/>
    <w:rsid w:val="00A01B12"/>
    <w:rsid w:val="00A01E2A"/>
    <w:rsid w:val="00A01E81"/>
    <w:rsid w:val="00A022D4"/>
    <w:rsid w:val="00A023B0"/>
    <w:rsid w:val="00A029F2"/>
    <w:rsid w:val="00A02A02"/>
    <w:rsid w:val="00A02D43"/>
    <w:rsid w:val="00A02D4C"/>
    <w:rsid w:val="00A038E0"/>
    <w:rsid w:val="00A03ADC"/>
    <w:rsid w:val="00A03AE3"/>
    <w:rsid w:val="00A03CB8"/>
    <w:rsid w:val="00A03DE6"/>
    <w:rsid w:val="00A042BE"/>
    <w:rsid w:val="00A0454F"/>
    <w:rsid w:val="00A0458F"/>
    <w:rsid w:val="00A04690"/>
    <w:rsid w:val="00A046FB"/>
    <w:rsid w:val="00A04711"/>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3C9"/>
    <w:rsid w:val="00A06598"/>
    <w:rsid w:val="00A06D7F"/>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AC4"/>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1B"/>
    <w:rsid w:val="00A156D3"/>
    <w:rsid w:val="00A15C50"/>
    <w:rsid w:val="00A15CF5"/>
    <w:rsid w:val="00A15F89"/>
    <w:rsid w:val="00A1649C"/>
    <w:rsid w:val="00A1660F"/>
    <w:rsid w:val="00A16616"/>
    <w:rsid w:val="00A167EB"/>
    <w:rsid w:val="00A16B1D"/>
    <w:rsid w:val="00A16C9D"/>
    <w:rsid w:val="00A16EBB"/>
    <w:rsid w:val="00A1735A"/>
    <w:rsid w:val="00A174E3"/>
    <w:rsid w:val="00A1785B"/>
    <w:rsid w:val="00A178CF"/>
    <w:rsid w:val="00A17926"/>
    <w:rsid w:val="00A17D9B"/>
    <w:rsid w:val="00A17DAE"/>
    <w:rsid w:val="00A203C1"/>
    <w:rsid w:val="00A203E2"/>
    <w:rsid w:val="00A20603"/>
    <w:rsid w:val="00A20A4E"/>
    <w:rsid w:val="00A20C1B"/>
    <w:rsid w:val="00A21277"/>
    <w:rsid w:val="00A212EF"/>
    <w:rsid w:val="00A21569"/>
    <w:rsid w:val="00A217EC"/>
    <w:rsid w:val="00A21900"/>
    <w:rsid w:val="00A21AE9"/>
    <w:rsid w:val="00A21B58"/>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A78"/>
    <w:rsid w:val="00A25ACB"/>
    <w:rsid w:val="00A25B9E"/>
    <w:rsid w:val="00A2642F"/>
    <w:rsid w:val="00A26B77"/>
    <w:rsid w:val="00A26E28"/>
    <w:rsid w:val="00A26E31"/>
    <w:rsid w:val="00A272CE"/>
    <w:rsid w:val="00A273F2"/>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0F2B"/>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5DD4"/>
    <w:rsid w:val="00A35F7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EC7"/>
    <w:rsid w:val="00A41F51"/>
    <w:rsid w:val="00A42067"/>
    <w:rsid w:val="00A42165"/>
    <w:rsid w:val="00A42213"/>
    <w:rsid w:val="00A42463"/>
    <w:rsid w:val="00A427B3"/>
    <w:rsid w:val="00A429F6"/>
    <w:rsid w:val="00A42AC6"/>
    <w:rsid w:val="00A42B71"/>
    <w:rsid w:val="00A42B99"/>
    <w:rsid w:val="00A43042"/>
    <w:rsid w:val="00A4317B"/>
    <w:rsid w:val="00A43463"/>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5ED"/>
    <w:rsid w:val="00A46772"/>
    <w:rsid w:val="00A467B3"/>
    <w:rsid w:val="00A46BD1"/>
    <w:rsid w:val="00A46FB6"/>
    <w:rsid w:val="00A4708A"/>
    <w:rsid w:val="00A4723A"/>
    <w:rsid w:val="00A47B6C"/>
    <w:rsid w:val="00A47CB5"/>
    <w:rsid w:val="00A47E64"/>
    <w:rsid w:val="00A50335"/>
    <w:rsid w:val="00A511D6"/>
    <w:rsid w:val="00A516D5"/>
    <w:rsid w:val="00A5191C"/>
    <w:rsid w:val="00A51C53"/>
    <w:rsid w:val="00A51CEB"/>
    <w:rsid w:val="00A520B6"/>
    <w:rsid w:val="00A5217E"/>
    <w:rsid w:val="00A522FF"/>
    <w:rsid w:val="00A523E0"/>
    <w:rsid w:val="00A52402"/>
    <w:rsid w:val="00A52580"/>
    <w:rsid w:val="00A525D8"/>
    <w:rsid w:val="00A528BA"/>
    <w:rsid w:val="00A52943"/>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E4D"/>
    <w:rsid w:val="00A54E64"/>
    <w:rsid w:val="00A54FC0"/>
    <w:rsid w:val="00A55157"/>
    <w:rsid w:val="00A554D2"/>
    <w:rsid w:val="00A55722"/>
    <w:rsid w:val="00A55779"/>
    <w:rsid w:val="00A55837"/>
    <w:rsid w:val="00A55A7B"/>
    <w:rsid w:val="00A55ECB"/>
    <w:rsid w:val="00A55FD9"/>
    <w:rsid w:val="00A5668D"/>
    <w:rsid w:val="00A56B05"/>
    <w:rsid w:val="00A56B33"/>
    <w:rsid w:val="00A56CC0"/>
    <w:rsid w:val="00A57103"/>
    <w:rsid w:val="00A5715D"/>
    <w:rsid w:val="00A57162"/>
    <w:rsid w:val="00A571C1"/>
    <w:rsid w:val="00A57935"/>
    <w:rsid w:val="00A579BB"/>
    <w:rsid w:val="00A57B78"/>
    <w:rsid w:val="00A57CF9"/>
    <w:rsid w:val="00A602AD"/>
    <w:rsid w:val="00A60708"/>
    <w:rsid w:val="00A6086C"/>
    <w:rsid w:val="00A60BFE"/>
    <w:rsid w:val="00A60DF7"/>
    <w:rsid w:val="00A60EEA"/>
    <w:rsid w:val="00A612B7"/>
    <w:rsid w:val="00A61D48"/>
    <w:rsid w:val="00A62533"/>
    <w:rsid w:val="00A6254E"/>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E27"/>
    <w:rsid w:val="00A64FEF"/>
    <w:rsid w:val="00A65018"/>
    <w:rsid w:val="00A6514D"/>
    <w:rsid w:val="00A65683"/>
    <w:rsid w:val="00A65BE7"/>
    <w:rsid w:val="00A65D68"/>
    <w:rsid w:val="00A65DDF"/>
    <w:rsid w:val="00A66005"/>
    <w:rsid w:val="00A6607F"/>
    <w:rsid w:val="00A6632C"/>
    <w:rsid w:val="00A6636C"/>
    <w:rsid w:val="00A6637C"/>
    <w:rsid w:val="00A66431"/>
    <w:rsid w:val="00A664E3"/>
    <w:rsid w:val="00A6659E"/>
    <w:rsid w:val="00A668DD"/>
    <w:rsid w:val="00A66C3D"/>
    <w:rsid w:val="00A66C8C"/>
    <w:rsid w:val="00A671FA"/>
    <w:rsid w:val="00A67383"/>
    <w:rsid w:val="00A67710"/>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C84"/>
    <w:rsid w:val="00A71DB5"/>
    <w:rsid w:val="00A71E21"/>
    <w:rsid w:val="00A71E6D"/>
    <w:rsid w:val="00A7208A"/>
    <w:rsid w:val="00A721AB"/>
    <w:rsid w:val="00A728E1"/>
    <w:rsid w:val="00A72A58"/>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1EF"/>
    <w:rsid w:val="00A752D8"/>
    <w:rsid w:val="00A75423"/>
    <w:rsid w:val="00A75C6B"/>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24"/>
    <w:rsid w:val="00A813B1"/>
    <w:rsid w:val="00A81D11"/>
    <w:rsid w:val="00A81EFB"/>
    <w:rsid w:val="00A8210E"/>
    <w:rsid w:val="00A8212E"/>
    <w:rsid w:val="00A8236D"/>
    <w:rsid w:val="00A823E1"/>
    <w:rsid w:val="00A824B4"/>
    <w:rsid w:val="00A82730"/>
    <w:rsid w:val="00A82770"/>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2C5"/>
    <w:rsid w:val="00A86418"/>
    <w:rsid w:val="00A86617"/>
    <w:rsid w:val="00A86E24"/>
    <w:rsid w:val="00A86F95"/>
    <w:rsid w:val="00A870D1"/>
    <w:rsid w:val="00A87180"/>
    <w:rsid w:val="00A87261"/>
    <w:rsid w:val="00A87648"/>
    <w:rsid w:val="00A878D1"/>
    <w:rsid w:val="00A87CC9"/>
    <w:rsid w:val="00A9016A"/>
    <w:rsid w:val="00A90272"/>
    <w:rsid w:val="00A90657"/>
    <w:rsid w:val="00A906FA"/>
    <w:rsid w:val="00A90944"/>
    <w:rsid w:val="00A90A7F"/>
    <w:rsid w:val="00A90AAD"/>
    <w:rsid w:val="00A90B82"/>
    <w:rsid w:val="00A91051"/>
    <w:rsid w:val="00A91215"/>
    <w:rsid w:val="00A9132A"/>
    <w:rsid w:val="00A9134F"/>
    <w:rsid w:val="00A91BCE"/>
    <w:rsid w:val="00A91E60"/>
    <w:rsid w:val="00A9216C"/>
    <w:rsid w:val="00A92480"/>
    <w:rsid w:val="00A928CC"/>
    <w:rsid w:val="00A92B1E"/>
    <w:rsid w:val="00A92DBF"/>
    <w:rsid w:val="00A9343B"/>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E92"/>
    <w:rsid w:val="00AA0FDB"/>
    <w:rsid w:val="00AA1092"/>
    <w:rsid w:val="00AA13DA"/>
    <w:rsid w:val="00AA1531"/>
    <w:rsid w:val="00AA1532"/>
    <w:rsid w:val="00AA181B"/>
    <w:rsid w:val="00AA1907"/>
    <w:rsid w:val="00AA1B55"/>
    <w:rsid w:val="00AA2221"/>
    <w:rsid w:val="00AA2801"/>
    <w:rsid w:val="00AA29BD"/>
    <w:rsid w:val="00AA2BE2"/>
    <w:rsid w:val="00AA32B9"/>
    <w:rsid w:val="00AA3671"/>
    <w:rsid w:val="00AA3A33"/>
    <w:rsid w:val="00AA3AFC"/>
    <w:rsid w:val="00AA3CC0"/>
    <w:rsid w:val="00AA3EF2"/>
    <w:rsid w:val="00AA42AC"/>
    <w:rsid w:val="00AA450F"/>
    <w:rsid w:val="00AA467D"/>
    <w:rsid w:val="00AA47BA"/>
    <w:rsid w:val="00AA4802"/>
    <w:rsid w:val="00AA4BF2"/>
    <w:rsid w:val="00AA4C11"/>
    <w:rsid w:val="00AA4C22"/>
    <w:rsid w:val="00AA4D65"/>
    <w:rsid w:val="00AA4D66"/>
    <w:rsid w:val="00AA4DF6"/>
    <w:rsid w:val="00AA5118"/>
    <w:rsid w:val="00AA54C6"/>
    <w:rsid w:val="00AA56B0"/>
    <w:rsid w:val="00AA575C"/>
    <w:rsid w:val="00AA5A3C"/>
    <w:rsid w:val="00AA5BC6"/>
    <w:rsid w:val="00AA5D47"/>
    <w:rsid w:val="00AA6163"/>
    <w:rsid w:val="00AA61F2"/>
    <w:rsid w:val="00AA6616"/>
    <w:rsid w:val="00AA667E"/>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B3"/>
    <w:rsid w:val="00AB3A69"/>
    <w:rsid w:val="00AB3B56"/>
    <w:rsid w:val="00AB3E86"/>
    <w:rsid w:val="00AB4299"/>
    <w:rsid w:val="00AB44AC"/>
    <w:rsid w:val="00AB4865"/>
    <w:rsid w:val="00AB4D93"/>
    <w:rsid w:val="00AB4DA2"/>
    <w:rsid w:val="00AB52DD"/>
    <w:rsid w:val="00AB56A2"/>
    <w:rsid w:val="00AB58D2"/>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B7FF0"/>
    <w:rsid w:val="00AC00F3"/>
    <w:rsid w:val="00AC0222"/>
    <w:rsid w:val="00AC04C8"/>
    <w:rsid w:val="00AC0AB1"/>
    <w:rsid w:val="00AC1217"/>
    <w:rsid w:val="00AC1346"/>
    <w:rsid w:val="00AC18D9"/>
    <w:rsid w:val="00AC2487"/>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557"/>
    <w:rsid w:val="00AC49CF"/>
    <w:rsid w:val="00AC4B2B"/>
    <w:rsid w:val="00AC527B"/>
    <w:rsid w:val="00AC53F6"/>
    <w:rsid w:val="00AC542C"/>
    <w:rsid w:val="00AC59A7"/>
    <w:rsid w:val="00AC5B6C"/>
    <w:rsid w:val="00AC5BE8"/>
    <w:rsid w:val="00AC5C06"/>
    <w:rsid w:val="00AC5EFE"/>
    <w:rsid w:val="00AC60ED"/>
    <w:rsid w:val="00AC68C8"/>
    <w:rsid w:val="00AC6955"/>
    <w:rsid w:val="00AC6AFA"/>
    <w:rsid w:val="00AC6F35"/>
    <w:rsid w:val="00AC717A"/>
    <w:rsid w:val="00AC77CB"/>
    <w:rsid w:val="00AC782D"/>
    <w:rsid w:val="00AC79A0"/>
    <w:rsid w:val="00AC7A16"/>
    <w:rsid w:val="00AC7B50"/>
    <w:rsid w:val="00AC7C5A"/>
    <w:rsid w:val="00AC7E54"/>
    <w:rsid w:val="00AD0009"/>
    <w:rsid w:val="00AD012E"/>
    <w:rsid w:val="00AD069D"/>
    <w:rsid w:val="00AD081B"/>
    <w:rsid w:val="00AD084B"/>
    <w:rsid w:val="00AD0A4D"/>
    <w:rsid w:val="00AD0A55"/>
    <w:rsid w:val="00AD101C"/>
    <w:rsid w:val="00AD1295"/>
    <w:rsid w:val="00AD14C1"/>
    <w:rsid w:val="00AD16FC"/>
    <w:rsid w:val="00AD1A5C"/>
    <w:rsid w:val="00AD1A5D"/>
    <w:rsid w:val="00AD1C9D"/>
    <w:rsid w:val="00AD1E58"/>
    <w:rsid w:val="00AD1F54"/>
    <w:rsid w:val="00AD2058"/>
    <w:rsid w:val="00AD2113"/>
    <w:rsid w:val="00AD212F"/>
    <w:rsid w:val="00AD22EF"/>
    <w:rsid w:val="00AD27DF"/>
    <w:rsid w:val="00AD2DAC"/>
    <w:rsid w:val="00AD2E1C"/>
    <w:rsid w:val="00AD2E79"/>
    <w:rsid w:val="00AD2EC5"/>
    <w:rsid w:val="00AD323C"/>
    <w:rsid w:val="00AD36E0"/>
    <w:rsid w:val="00AD38A2"/>
    <w:rsid w:val="00AD38EF"/>
    <w:rsid w:val="00AD3A52"/>
    <w:rsid w:val="00AD3A59"/>
    <w:rsid w:val="00AD3F62"/>
    <w:rsid w:val="00AD4035"/>
    <w:rsid w:val="00AD44DE"/>
    <w:rsid w:val="00AD4872"/>
    <w:rsid w:val="00AD4DB2"/>
    <w:rsid w:val="00AD4F00"/>
    <w:rsid w:val="00AD4FEF"/>
    <w:rsid w:val="00AD500B"/>
    <w:rsid w:val="00AD51AB"/>
    <w:rsid w:val="00AD5205"/>
    <w:rsid w:val="00AD5708"/>
    <w:rsid w:val="00AD5852"/>
    <w:rsid w:val="00AD598B"/>
    <w:rsid w:val="00AD5E0C"/>
    <w:rsid w:val="00AD6123"/>
    <w:rsid w:val="00AD6845"/>
    <w:rsid w:val="00AD68C1"/>
    <w:rsid w:val="00AD6C00"/>
    <w:rsid w:val="00AD6C74"/>
    <w:rsid w:val="00AD7053"/>
    <w:rsid w:val="00AD748B"/>
    <w:rsid w:val="00AD7659"/>
    <w:rsid w:val="00AD7895"/>
    <w:rsid w:val="00AD79F1"/>
    <w:rsid w:val="00AD79F4"/>
    <w:rsid w:val="00AD7B27"/>
    <w:rsid w:val="00AD7B8E"/>
    <w:rsid w:val="00AE00E2"/>
    <w:rsid w:val="00AE01CF"/>
    <w:rsid w:val="00AE01E4"/>
    <w:rsid w:val="00AE0677"/>
    <w:rsid w:val="00AE0A3A"/>
    <w:rsid w:val="00AE0C87"/>
    <w:rsid w:val="00AE0DCC"/>
    <w:rsid w:val="00AE109B"/>
    <w:rsid w:val="00AE1315"/>
    <w:rsid w:val="00AE1842"/>
    <w:rsid w:val="00AE1C39"/>
    <w:rsid w:val="00AE2025"/>
    <w:rsid w:val="00AE2421"/>
    <w:rsid w:val="00AE26DD"/>
    <w:rsid w:val="00AE2A19"/>
    <w:rsid w:val="00AE2E4E"/>
    <w:rsid w:val="00AE2EA0"/>
    <w:rsid w:val="00AE368F"/>
    <w:rsid w:val="00AE386E"/>
    <w:rsid w:val="00AE41B1"/>
    <w:rsid w:val="00AE4240"/>
    <w:rsid w:val="00AE43E9"/>
    <w:rsid w:val="00AE45D5"/>
    <w:rsid w:val="00AE46C8"/>
    <w:rsid w:val="00AE475B"/>
    <w:rsid w:val="00AE4902"/>
    <w:rsid w:val="00AE4955"/>
    <w:rsid w:val="00AE4BE6"/>
    <w:rsid w:val="00AE4C04"/>
    <w:rsid w:val="00AE4E68"/>
    <w:rsid w:val="00AE4E9D"/>
    <w:rsid w:val="00AE527A"/>
    <w:rsid w:val="00AE52F6"/>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B7E"/>
    <w:rsid w:val="00AE7C82"/>
    <w:rsid w:val="00AE7D10"/>
    <w:rsid w:val="00AF025C"/>
    <w:rsid w:val="00AF043A"/>
    <w:rsid w:val="00AF05B0"/>
    <w:rsid w:val="00AF0E17"/>
    <w:rsid w:val="00AF10B2"/>
    <w:rsid w:val="00AF112A"/>
    <w:rsid w:val="00AF11C4"/>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27"/>
    <w:rsid w:val="00AF5337"/>
    <w:rsid w:val="00AF540E"/>
    <w:rsid w:val="00AF57F7"/>
    <w:rsid w:val="00AF5C5D"/>
    <w:rsid w:val="00AF64B6"/>
    <w:rsid w:val="00AF64C5"/>
    <w:rsid w:val="00AF659E"/>
    <w:rsid w:val="00AF6681"/>
    <w:rsid w:val="00AF66A9"/>
    <w:rsid w:val="00AF67DD"/>
    <w:rsid w:val="00AF692A"/>
    <w:rsid w:val="00AF6CF2"/>
    <w:rsid w:val="00AF7005"/>
    <w:rsid w:val="00AF744E"/>
    <w:rsid w:val="00AF74C2"/>
    <w:rsid w:val="00AF79E5"/>
    <w:rsid w:val="00AF7A9B"/>
    <w:rsid w:val="00AF7E92"/>
    <w:rsid w:val="00B00018"/>
    <w:rsid w:val="00B000BE"/>
    <w:rsid w:val="00B00295"/>
    <w:rsid w:val="00B0030E"/>
    <w:rsid w:val="00B00879"/>
    <w:rsid w:val="00B00938"/>
    <w:rsid w:val="00B00C29"/>
    <w:rsid w:val="00B00D80"/>
    <w:rsid w:val="00B012BD"/>
    <w:rsid w:val="00B012CA"/>
    <w:rsid w:val="00B01369"/>
    <w:rsid w:val="00B01D56"/>
    <w:rsid w:val="00B01E3F"/>
    <w:rsid w:val="00B023FD"/>
    <w:rsid w:val="00B0249F"/>
    <w:rsid w:val="00B02584"/>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4EA7"/>
    <w:rsid w:val="00B0510E"/>
    <w:rsid w:val="00B05139"/>
    <w:rsid w:val="00B052F6"/>
    <w:rsid w:val="00B05423"/>
    <w:rsid w:val="00B05D68"/>
    <w:rsid w:val="00B05FEC"/>
    <w:rsid w:val="00B06248"/>
    <w:rsid w:val="00B0627F"/>
    <w:rsid w:val="00B062B1"/>
    <w:rsid w:val="00B064DB"/>
    <w:rsid w:val="00B066FD"/>
    <w:rsid w:val="00B06898"/>
    <w:rsid w:val="00B0726C"/>
    <w:rsid w:val="00B073B7"/>
    <w:rsid w:val="00B073DD"/>
    <w:rsid w:val="00B07491"/>
    <w:rsid w:val="00B07527"/>
    <w:rsid w:val="00B07569"/>
    <w:rsid w:val="00B07601"/>
    <w:rsid w:val="00B076A4"/>
    <w:rsid w:val="00B078B5"/>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5F"/>
    <w:rsid w:val="00B11BD3"/>
    <w:rsid w:val="00B11F81"/>
    <w:rsid w:val="00B121CA"/>
    <w:rsid w:val="00B12319"/>
    <w:rsid w:val="00B1265F"/>
    <w:rsid w:val="00B127A9"/>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0AC"/>
    <w:rsid w:val="00B1412C"/>
    <w:rsid w:val="00B144A8"/>
    <w:rsid w:val="00B14578"/>
    <w:rsid w:val="00B14A35"/>
    <w:rsid w:val="00B14F54"/>
    <w:rsid w:val="00B15302"/>
    <w:rsid w:val="00B1535C"/>
    <w:rsid w:val="00B1536C"/>
    <w:rsid w:val="00B15397"/>
    <w:rsid w:val="00B15581"/>
    <w:rsid w:val="00B155AE"/>
    <w:rsid w:val="00B15833"/>
    <w:rsid w:val="00B15A59"/>
    <w:rsid w:val="00B161E9"/>
    <w:rsid w:val="00B16354"/>
    <w:rsid w:val="00B164F0"/>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BC"/>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8F"/>
    <w:rsid w:val="00B23DBD"/>
    <w:rsid w:val="00B24082"/>
    <w:rsid w:val="00B241F9"/>
    <w:rsid w:val="00B24238"/>
    <w:rsid w:val="00B24CD7"/>
    <w:rsid w:val="00B24F22"/>
    <w:rsid w:val="00B24F96"/>
    <w:rsid w:val="00B25579"/>
    <w:rsid w:val="00B256D1"/>
    <w:rsid w:val="00B25994"/>
    <w:rsid w:val="00B259BD"/>
    <w:rsid w:val="00B259CD"/>
    <w:rsid w:val="00B25D80"/>
    <w:rsid w:val="00B25F06"/>
    <w:rsid w:val="00B25F50"/>
    <w:rsid w:val="00B25F52"/>
    <w:rsid w:val="00B261AA"/>
    <w:rsid w:val="00B261DE"/>
    <w:rsid w:val="00B2621B"/>
    <w:rsid w:val="00B2623A"/>
    <w:rsid w:val="00B2633F"/>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2ADFF"/>
    <w:rsid w:val="00B302ED"/>
    <w:rsid w:val="00B305A8"/>
    <w:rsid w:val="00B3087F"/>
    <w:rsid w:val="00B30929"/>
    <w:rsid w:val="00B31128"/>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44"/>
    <w:rsid w:val="00B33C54"/>
    <w:rsid w:val="00B33E67"/>
    <w:rsid w:val="00B33F8B"/>
    <w:rsid w:val="00B3400C"/>
    <w:rsid w:val="00B34194"/>
    <w:rsid w:val="00B342C0"/>
    <w:rsid w:val="00B3452F"/>
    <w:rsid w:val="00B34564"/>
    <w:rsid w:val="00B34AF9"/>
    <w:rsid w:val="00B34F0D"/>
    <w:rsid w:val="00B34F20"/>
    <w:rsid w:val="00B352C0"/>
    <w:rsid w:val="00B3533D"/>
    <w:rsid w:val="00B35523"/>
    <w:rsid w:val="00B358D9"/>
    <w:rsid w:val="00B35BF4"/>
    <w:rsid w:val="00B35E70"/>
    <w:rsid w:val="00B3614B"/>
    <w:rsid w:val="00B36749"/>
    <w:rsid w:val="00B36803"/>
    <w:rsid w:val="00B36921"/>
    <w:rsid w:val="00B369B4"/>
    <w:rsid w:val="00B36DE3"/>
    <w:rsid w:val="00B37757"/>
    <w:rsid w:val="00B37DE1"/>
    <w:rsid w:val="00B37DFC"/>
    <w:rsid w:val="00B37EA2"/>
    <w:rsid w:val="00B37EF4"/>
    <w:rsid w:val="00B40529"/>
    <w:rsid w:val="00B40760"/>
    <w:rsid w:val="00B409C0"/>
    <w:rsid w:val="00B409F4"/>
    <w:rsid w:val="00B40CD0"/>
    <w:rsid w:val="00B40E39"/>
    <w:rsid w:val="00B4135A"/>
    <w:rsid w:val="00B4141A"/>
    <w:rsid w:val="00B41471"/>
    <w:rsid w:val="00B414BD"/>
    <w:rsid w:val="00B414F6"/>
    <w:rsid w:val="00B4159C"/>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915"/>
    <w:rsid w:val="00B44A64"/>
    <w:rsid w:val="00B44C24"/>
    <w:rsid w:val="00B45079"/>
    <w:rsid w:val="00B4556A"/>
    <w:rsid w:val="00B45626"/>
    <w:rsid w:val="00B45AF9"/>
    <w:rsid w:val="00B45B79"/>
    <w:rsid w:val="00B45B7A"/>
    <w:rsid w:val="00B46B64"/>
    <w:rsid w:val="00B46BDD"/>
    <w:rsid w:val="00B46CC1"/>
    <w:rsid w:val="00B46DBE"/>
    <w:rsid w:val="00B46FCC"/>
    <w:rsid w:val="00B470EA"/>
    <w:rsid w:val="00B47394"/>
    <w:rsid w:val="00B475A9"/>
    <w:rsid w:val="00B4799D"/>
    <w:rsid w:val="00B47A89"/>
    <w:rsid w:val="00B47D66"/>
    <w:rsid w:val="00B47E4F"/>
    <w:rsid w:val="00B47F0C"/>
    <w:rsid w:val="00B4A65A"/>
    <w:rsid w:val="00B50331"/>
    <w:rsid w:val="00B50334"/>
    <w:rsid w:val="00B50C5A"/>
    <w:rsid w:val="00B50D1D"/>
    <w:rsid w:val="00B50DBD"/>
    <w:rsid w:val="00B50EB7"/>
    <w:rsid w:val="00B50EBE"/>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30DC"/>
    <w:rsid w:val="00B5313E"/>
    <w:rsid w:val="00B53267"/>
    <w:rsid w:val="00B53387"/>
    <w:rsid w:val="00B5344A"/>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575"/>
    <w:rsid w:val="00B566BA"/>
    <w:rsid w:val="00B568D7"/>
    <w:rsid w:val="00B569A4"/>
    <w:rsid w:val="00B569B8"/>
    <w:rsid w:val="00B56BAD"/>
    <w:rsid w:val="00B570F1"/>
    <w:rsid w:val="00B57A1C"/>
    <w:rsid w:val="00B57DC9"/>
    <w:rsid w:val="00B57E2F"/>
    <w:rsid w:val="00B601AA"/>
    <w:rsid w:val="00B6050E"/>
    <w:rsid w:val="00B60670"/>
    <w:rsid w:val="00B60689"/>
    <w:rsid w:val="00B60930"/>
    <w:rsid w:val="00B60950"/>
    <w:rsid w:val="00B609BB"/>
    <w:rsid w:val="00B60D86"/>
    <w:rsid w:val="00B60DEB"/>
    <w:rsid w:val="00B6114D"/>
    <w:rsid w:val="00B6132E"/>
    <w:rsid w:val="00B613EC"/>
    <w:rsid w:val="00B615D3"/>
    <w:rsid w:val="00B61650"/>
    <w:rsid w:val="00B61EB6"/>
    <w:rsid w:val="00B62148"/>
    <w:rsid w:val="00B62226"/>
    <w:rsid w:val="00B626A3"/>
    <w:rsid w:val="00B62746"/>
    <w:rsid w:val="00B62954"/>
    <w:rsid w:val="00B62DAF"/>
    <w:rsid w:val="00B62E1E"/>
    <w:rsid w:val="00B62FE1"/>
    <w:rsid w:val="00B6392E"/>
    <w:rsid w:val="00B63BA9"/>
    <w:rsid w:val="00B63C03"/>
    <w:rsid w:val="00B63F04"/>
    <w:rsid w:val="00B64103"/>
    <w:rsid w:val="00B641A2"/>
    <w:rsid w:val="00B6429C"/>
    <w:rsid w:val="00B64AB2"/>
    <w:rsid w:val="00B651B0"/>
    <w:rsid w:val="00B651FC"/>
    <w:rsid w:val="00B65207"/>
    <w:rsid w:val="00B6522F"/>
    <w:rsid w:val="00B65343"/>
    <w:rsid w:val="00B6535F"/>
    <w:rsid w:val="00B654FC"/>
    <w:rsid w:val="00B65BE6"/>
    <w:rsid w:val="00B65C8F"/>
    <w:rsid w:val="00B65EDD"/>
    <w:rsid w:val="00B65FEF"/>
    <w:rsid w:val="00B6648B"/>
    <w:rsid w:val="00B665B6"/>
    <w:rsid w:val="00B66615"/>
    <w:rsid w:val="00B667B3"/>
    <w:rsid w:val="00B66886"/>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0B8C"/>
    <w:rsid w:val="00B71015"/>
    <w:rsid w:val="00B71248"/>
    <w:rsid w:val="00B7127C"/>
    <w:rsid w:val="00B71B61"/>
    <w:rsid w:val="00B72018"/>
    <w:rsid w:val="00B72633"/>
    <w:rsid w:val="00B7295F"/>
    <w:rsid w:val="00B72965"/>
    <w:rsid w:val="00B72A38"/>
    <w:rsid w:val="00B72A3E"/>
    <w:rsid w:val="00B72DF7"/>
    <w:rsid w:val="00B72E6C"/>
    <w:rsid w:val="00B72F50"/>
    <w:rsid w:val="00B7302D"/>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5C1"/>
    <w:rsid w:val="00B7570D"/>
    <w:rsid w:val="00B757AA"/>
    <w:rsid w:val="00B758A5"/>
    <w:rsid w:val="00B75A8C"/>
    <w:rsid w:val="00B75E18"/>
    <w:rsid w:val="00B76067"/>
    <w:rsid w:val="00B76260"/>
    <w:rsid w:val="00B76399"/>
    <w:rsid w:val="00B76706"/>
    <w:rsid w:val="00B76E0E"/>
    <w:rsid w:val="00B76EBD"/>
    <w:rsid w:val="00B76ECE"/>
    <w:rsid w:val="00B77545"/>
    <w:rsid w:val="00B775BE"/>
    <w:rsid w:val="00B776CD"/>
    <w:rsid w:val="00B77801"/>
    <w:rsid w:val="00B80197"/>
    <w:rsid w:val="00B801A8"/>
    <w:rsid w:val="00B80214"/>
    <w:rsid w:val="00B80476"/>
    <w:rsid w:val="00B804E8"/>
    <w:rsid w:val="00B8064C"/>
    <w:rsid w:val="00B806CB"/>
    <w:rsid w:val="00B808E4"/>
    <w:rsid w:val="00B80A92"/>
    <w:rsid w:val="00B80C40"/>
    <w:rsid w:val="00B80E47"/>
    <w:rsid w:val="00B81052"/>
    <w:rsid w:val="00B81156"/>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E46"/>
    <w:rsid w:val="00B843B6"/>
    <w:rsid w:val="00B84689"/>
    <w:rsid w:val="00B849C9"/>
    <w:rsid w:val="00B84A62"/>
    <w:rsid w:val="00B84ED3"/>
    <w:rsid w:val="00B84F34"/>
    <w:rsid w:val="00B84F7F"/>
    <w:rsid w:val="00B853C7"/>
    <w:rsid w:val="00B85414"/>
    <w:rsid w:val="00B85465"/>
    <w:rsid w:val="00B85747"/>
    <w:rsid w:val="00B85D09"/>
    <w:rsid w:val="00B8645C"/>
    <w:rsid w:val="00B86801"/>
    <w:rsid w:val="00B86933"/>
    <w:rsid w:val="00B86BB1"/>
    <w:rsid w:val="00B86C48"/>
    <w:rsid w:val="00B87258"/>
    <w:rsid w:val="00B8747D"/>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1B0"/>
    <w:rsid w:val="00B9229E"/>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1EA"/>
    <w:rsid w:val="00B952F6"/>
    <w:rsid w:val="00B953B9"/>
    <w:rsid w:val="00B95491"/>
    <w:rsid w:val="00B95568"/>
    <w:rsid w:val="00B9557F"/>
    <w:rsid w:val="00B95AB2"/>
    <w:rsid w:val="00B95D4B"/>
    <w:rsid w:val="00B95D73"/>
    <w:rsid w:val="00B9607E"/>
    <w:rsid w:val="00B96316"/>
    <w:rsid w:val="00B963DB"/>
    <w:rsid w:val="00B964E1"/>
    <w:rsid w:val="00B9652D"/>
    <w:rsid w:val="00B965FD"/>
    <w:rsid w:val="00B96766"/>
    <w:rsid w:val="00B96C7F"/>
    <w:rsid w:val="00B96E51"/>
    <w:rsid w:val="00B970A0"/>
    <w:rsid w:val="00B97189"/>
    <w:rsid w:val="00B972E1"/>
    <w:rsid w:val="00B972F6"/>
    <w:rsid w:val="00B973EA"/>
    <w:rsid w:val="00B97429"/>
    <w:rsid w:val="00B977E4"/>
    <w:rsid w:val="00B978A5"/>
    <w:rsid w:val="00B97A18"/>
    <w:rsid w:val="00B97B3D"/>
    <w:rsid w:val="00BA015D"/>
    <w:rsid w:val="00BA0229"/>
    <w:rsid w:val="00BA0610"/>
    <w:rsid w:val="00BA0860"/>
    <w:rsid w:val="00BA0A8E"/>
    <w:rsid w:val="00BA0C83"/>
    <w:rsid w:val="00BA0ECC"/>
    <w:rsid w:val="00BA139E"/>
    <w:rsid w:val="00BA17E4"/>
    <w:rsid w:val="00BA1A10"/>
    <w:rsid w:val="00BA1B35"/>
    <w:rsid w:val="00BA1B99"/>
    <w:rsid w:val="00BA1BDF"/>
    <w:rsid w:val="00BA1C72"/>
    <w:rsid w:val="00BA2652"/>
    <w:rsid w:val="00BA2914"/>
    <w:rsid w:val="00BA2B6F"/>
    <w:rsid w:val="00BA2DD7"/>
    <w:rsid w:val="00BA3072"/>
    <w:rsid w:val="00BA30C7"/>
    <w:rsid w:val="00BA35C5"/>
    <w:rsid w:val="00BA3857"/>
    <w:rsid w:val="00BA3A00"/>
    <w:rsid w:val="00BA3CB8"/>
    <w:rsid w:val="00BA3CFD"/>
    <w:rsid w:val="00BA3D55"/>
    <w:rsid w:val="00BA4183"/>
    <w:rsid w:val="00BA449D"/>
    <w:rsid w:val="00BA45D8"/>
    <w:rsid w:val="00BA464C"/>
    <w:rsid w:val="00BA52B6"/>
    <w:rsid w:val="00BA5320"/>
    <w:rsid w:val="00BA532E"/>
    <w:rsid w:val="00BA5820"/>
    <w:rsid w:val="00BA5982"/>
    <w:rsid w:val="00BA5B32"/>
    <w:rsid w:val="00BA5B52"/>
    <w:rsid w:val="00BA5B9A"/>
    <w:rsid w:val="00BA5E53"/>
    <w:rsid w:val="00BA5ED7"/>
    <w:rsid w:val="00BA613A"/>
    <w:rsid w:val="00BA6226"/>
    <w:rsid w:val="00BA6510"/>
    <w:rsid w:val="00BA65AB"/>
    <w:rsid w:val="00BA688B"/>
    <w:rsid w:val="00BA6C06"/>
    <w:rsid w:val="00BA6DF7"/>
    <w:rsid w:val="00BA6F40"/>
    <w:rsid w:val="00BA7246"/>
    <w:rsid w:val="00BA7262"/>
    <w:rsid w:val="00BA7269"/>
    <w:rsid w:val="00BA757B"/>
    <w:rsid w:val="00BA7A42"/>
    <w:rsid w:val="00BA7AAD"/>
    <w:rsid w:val="00BA7AB6"/>
    <w:rsid w:val="00BA7B74"/>
    <w:rsid w:val="00BA7D3A"/>
    <w:rsid w:val="00BB0E11"/>
    <w:rsid w:val="00BB0F25"/>
    <w:rsid w:val="00BB0F4D"/>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5CA"/>
    <w:rsid w:val="00BB5673"/>
    <w:rsid w:val="00BB5741"/>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C0455"/>
    <w:rsid w:val="00BC0974"/>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73C"/>
    <w:rsid w:val="00BC4B45"/>
    <w:rsid w:val="00BC4B70"/>
    <w:rsid w:val="00BC555E"/>
    <w:rsid w:val="00BC575C"/>
    <w:rsid w:val="00BC5923"/>
    <w:rsid w:val="00BC5A95"/>
    <w:rsid w:val="00BC5AD6"/>
    <w:rsid w:val="00BC5E56"/>
    <w:rsid w:val="00BC61C4"/>
    <w:rsid w:val="00BC65D9"/>
    <w:rsid w:val="00BC683D"/>
    <w:rsid w:val="00BC69AA"/>
    <w:rsid w:val="00BC6B48"/>
    <w:rsid w:val="00BC6CC5"/>
    <w:rsid w:val="00BC6D68"/>
    <w:rsid w:val="00BC6DC4"/>
    <w:rsid w:val="00BC7240"/>
    <w:rsid w:val="00BC74D6"/>
    <w:rsid w:val="00BC76EA"/>
    <w:rsid w:val="00BC77EF"/>
    <w:rsid w:val="00BC79A6"/>
    <w:rsid w:val="00BC79B3"/>
    <w:rsid w:val="00BC7C7C"/>
    <w:rsid w:val="00BC7E8E"/>
    <w:rsid w:val="00BD0202"/>
    <w:rsid w:val="00BD0322"/>
    <w:rsid w:val="00BD05D8"/>
    <w:rsid w:val="00BD06E7"/>
    <w:rsid w:val="00BD0A2B"/>
    <w:rsid w:val="00BD0C7F"/>
    <w:rsid w:val="00BD0CAD"/>
    <w:rsid w:val="00BD1838"/>
    <w:rsid w:val="00BD1BAB"/>
    <w:rsid w:val="00BD1CFD"/>
    <w:rsid w:val="00BD20C3"/>
    <w:rsid w:val="00BD216D"/>
    <w:rsid w:val="00BD2C72"/>
    <w:rsid w:val="00BD2CF3"/>
    <w:rsid w:val="00BD2FA7"/>
    <w:rsid w:val="00BD3003"/>
    <w:rsid w:val="00BD30D1"/>
    <w:rsid w:val="00BD33D9"/>
    <w:rsid w:val="00BD36DF"/>
    <w:rsid w:val="00BD3784"/>
    <w:rsid w:val="00BD3886"/>
    <w:rsid w:val="00BD3A20"/>
    <w:rsid w:val="00BD3C13"/>
    <w:rsid w:val="00BD3D49"/>
    <w:rsid w:val="00BD3E51"/>
    <w:rsid w:val="00BD3E6C"/>
    <w:rsid w:val="00BD3EC7"/>
    <w:rsid w:val="00BD3F08"/>
    <w:rsid w:val="00BD3F85"/>
    <w:rsid w:val="00BD4202"/>
    <w:rsid w:val="00BD4222"/>
    <w:rsid w:val="00BD446A"/>
    <w:rsid w:val="00BD460A"/>
    <w:rsid w:val="00BD47E4"/>
    <w:rsid w:val="00BD4D9A"/>
    <w:rsid w:val="00BD4FEC"/>
    <w:rsid w:val="00BD503E"/>
    <w:rsid w:val="00BD5550"/>
    <w:rsid w:val="00BD559C"/>
    <w:rsid w:val="00BD56B8"/>
    <w:rsid w:val="00BD5802"/>
    <w:rsid w:val="00BD618C"/>
    <w:rsid w:val="00BD6441"/>
    <w:rsid w:val="00BD64BE"/>
    <w:rsid w:val="00BD6593"/>
    <w:rsid w:val="00BD6630"/>
    <w:rsid w:val="00BD6C37"/>
    <w:rsid w:val="00BD6DFD"/>
    <w:rsid w:val="00BD6FDD"/>
    <w:rsid w:val="00BD7460"/>
    <w:rsid w:val="00BD74BF"/>
    <w:rsid w:val="00BD7AF8"/>
    <w:rsid w:val="00BE00E1"/>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550"/>
    <w:rsid w:val="00BE2748"/>
    <w:rsid w:val="00BE2A26"/>
    <w:rsid w:val="00BE2A83"/>
    <w:rsid w:val="00BE2A90"/>
    <w:rsid w:val="00BE2B6A"/>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B6A"/>
    <w:rsid w:val="00BE5B9D"/>
    <w:rsid w:val="00BE5DD0"/>
    <w:rsid w:val="00BE5E4E"/>
    <w:rsid w:val="00BE5FB1"/>
    <w:rsid w:val="00BE6458"/>
    <w:rsid w:val="00BE6628"/>
    <w:rsid w:val="00BE6892"/>
    <w:rsid w:val="00BE6C18"/>
    <w:rsid w:val="00BE6CE4"/>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60B"/>
    <w:rsid w:val="00BF2632"/>
    <w:rsid w:val="00BF27F2"/>
    <w:rsid w:val="00BF2B0D"/>
    <w:rsid w:val="00BF2C55"/>
    <w:rsid w:val="00BF3073"/>
    <w:rsid w:val="00BF322D"/>
    <w:rsid w:val="00BF325C"/>
    <w:rsid w:val="00BF32B7"/>
    <w:rsid w:val="00BF330A"/>
    <w:rsid w:val="00BF3655"/>
    <w:rsid w:val="00BF3715"/>
    <w:rsid w:val="00BF38CD"/>
    <w:rsid w:val="00BF3B82"/>
    <w:rsid w:val="00BF3E3F"/>
    <w:rsid w:val="00BF4775"/>
    <w:rsid w:val="00BF4860"/>
    <w:rsid w:val="00BF48E2"/>
    <w:rsid w:val="00BF4BF3"/>
    <w:rsid w:val="00BF4ED5"/>
    <w:rsid w:val="00BF4EE4"/>
    <w:rsid w:val="00BF4F5D"/>
    <w:rsid w:val="00BF5122"/>
    <w:rsid w:val="00BF5455"/>
    <w:rsid w:val="00BF5B8E"/>
    <w:rsid w:val="00BF62E6"/>
    <w:rsid w:val="00BF63B6"/>
    <w:rsid w:val="00BF653F"/>
    <w:rsid w:val="00BF65A5"/>
    <w:rsid w:val="00BF676E"/>
    <w:rsid w:val="00BF6A44"/>
    <w:rsid w:val="00BF6B2D"/>
    <w:rsid w:val="00BF6CE3"/>
    <w:rsid w:val="00BF6E21"/>
    <w:rsid w:val="00BF6FD1"/>
    <w:rsid w:val="00BF73DC"/>
    <w:rsid w:val="00BF7598"/>
    <w:rsid w:val="00BF7886"/>
    <w:rsid w:val="00C000A3"/>
    <w:rsid w:val="00C0042E"/>
    <w:rsid w:val="00C006A0"/>
    <w:rsid w:val="00C008E5"/>
    <w:rsid w:val="00C00E0A"/>
    <w:rsid w:val="00C00EDF"/>
    <w:rsid w:val="00C01169"/>
    <w:rsid w:val="00C012AF"/>
    <w:rsid w:val="00C01844"/>
    <w:rsid w:val="00C01876"/>
    <w:rsid w:val="00C018AE"/>
    <w:rsid w:val="00C01B16"/>
    <w:rsid w:val="00C0208B"/>
    <w:rsid w:val="00C024A0"/>
    <w:rsid w:val="00C0297F"/>
    <w:rsid w:val="00C029D7"/>
    <w:rsid w:val="00C02BD0"/>
    <w:rsid w:val="00C02D1E"/>
    <w:rsid w:val="00C030FE"/>
    <w:rsid w:val="00C03530"/>
    <w:rsid w:val="00C036B9"/>
    <w:rsid w:val="00C0370B"/>
    <w:rsid w:val="00C03C18"/>
    <w:rsid w:val="00C03F43"/>
    <w:rsid w:val="00C03F48"/>
    <w:rsid w:val="00C03FD8"/>
    <w:rsid w:val="00C04513"/>
    <w:rsid w:val="00C04557"/>
    <w:rsid w:val="00C04DD1"/>
    <w:rsid w:val="00C0502A"/>
    <w:rsid w:val="00C05121"/>
    <w:rsid w:val="00C05248"/>
    <w:rsid w:val="00C056C9"/>
    <w:rsid w:val="00C057EB"/>
    <w:rsid w:val="00C05900"/>
    <w:rsid w:val="00C05AE7"/>
    <w:rsid w:val="00C05EFF"/>
    <w:rsid w:val="00C05FFB"/>
    <w:rsid w:val="00C06179"/>
    <w:rsid w:val="00C06186"/>
    <w:rsid w:val="00C0645D"/>
    <w:rsid w:val="00C0691E"/>
    <w:rsid w:val="00C069F1"/>
    <w:rsid w:val="00C06BCE"/>
    <w:rsid w:val="00C06DB4"/>
    <w:rsid w:val="00C06F28"/>
    <w:rsid w:val="00C06FD0"/>
    <w:rsid w:val="00C0707C"/>
    <w:rsid w:val="00C07267"/>
    <w:rsid w:val="00C0747B"/>
    <w:rsid w:val="00C076C2"/>
    <w:rsid w:val="00C07972"/>
    <w:rsid w:val="00C07B45"/>
    <w:rsid w:val="00C07E81"/>
    <w:rsid w:val="00C07ED2"/>
    <w:rsid w:val="00C10448"/>
    <w:rsid w:val="00C105C2"/>
    <w:rsid w:val="00C109CB"/>
    <w:rsid w:val="00C10C9B"/>
    <w:rsid w:val="00C10CC1"/>
    <w:rsid w:val="00C10F6E"/>
    <w:rsid w:val="00C10F78"/>
    <w:rsid w:val="00C11561"/>
    <w:rsid w:val="00C117BA"/>
    <w:rsid w:val="00C119B3"/>
    <w:rsid w:val="00C1200C"/>
    <w:rsid w:val="00C1249E"/>
    <w:rsid w:val="00C124C9"/>
    <w:rsid w:val="00C12554"/>
    <w:rsid w:val="00C1256A"/>
    <w:rsid w:val="00C127B6"/>
    <w:rsid w:val="00C12A64"/>
    <w:rsid w:val="00C12DD6"/>
    <w:rsid w:val="00C1360F"/>
    <w:rsid w:val="00C1376A"/>
    <w:rsid w:val="00C138AF"/>
    <w:rsid w:val="00C13C42"/>
    <w:rsid w:val="00C146E8"/>
    <w:rsid w:val="00C14C63"/>
    <w:rsid w:val="00C14F48"/>
    <w:rsid w:val="00C151E3"/>
    <w:rsid w:val="00C152E3"/>
    <w:rsid w:val="00C154CD"/>
    <w:rsid w:val="00C15507"/>
    <w:rsid w:val="00C15671"/>
    <w:rsid w:val="00C158D3"/>
    <w:rsid w:val="00C158DA"/>
    <w:rsid w:val="00C160CD"/>
    <w:rsid w:val="00C165B2"/>
    <w:rsid w:val="00C16703"/>
    <w:rsid w:val="00C16AB2"/>
    <w:rsid w:val="00C16C05"/>
    <w:rsid w:val="00C16F46"/>
    <w:rsid w:val="00C17036"/>
    <w:rsid w:val="00C17215"/>
    <w:rsid w:val="00C173AD"/>
    <w:rsid w:val="00C1758F"/>
    <w:rsid w:val="00C176CB"/>
    <w:rsid w:val="00C177E3"/>
    <w:rsid w:val="00C17B66"/>
    <w:rsid w:val="00C17DE5"/>
    <w:rsid w:val="00C17E68"/>
    <w:rsid w:val="00C17EC0"/>
    <w:rsid w:val="00C17F3E"/>
    <w:rsid w:val="00C208D5"/>
    <w:rsid w:val="00C20B43"/>
    <w:rsid w:val="00C20CAB"/>
    <w:rsid w:val="00C20F7A"/>
    <w:rsid w:val="00C21163"/>
    <w:rsid w:val="00C2128A"/>
    <w:rsid w:val="00C214C5"/>
    <w:rsid w:val="00C214E6"/>
    <w:rsid w:val="00C2151A"/>
    <w:rsid w:val="00C21818"/>
    <w:rsid w:val="00C219FD"/>
    <w:rsid w:val="00C21A38"/>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40BF"/>
    <w:rsid w:val="00C24245"/>
    <w:rsid w:val="00C246F0"/>
    <w:rsid w:val="00C2479D"/>
    <w:rsid w:val="00C247BF"/>
    <w:rsid w:val="00C249C7"/>
    <w:rsid w:val="00C24BE2"/>
    <w:rsid w:val="00C24ED1"/>
    <w:rsid w:val="00C24F1D"/>
    <w:rsid w:val="00C24F6C"/>
    <w:rsid w:val="00C25159"/>
    <w:rsid w:val="00C253E2"/>
    <w:rsid w:val="00C25A23"/>
    <w:rsid w:val="00C25D5F"/>
    <w:rsid w:val="00C26040"/>
    <w:rsid w:val="00C2662E"/>
    <w:rsid w:val="00C267C6"/>
    <w:rsid w:val="00C26CC7"/>
    <w:rsid w:val="00C27030"/>
    <w:rsid w:val="00C271E2"/>
    <w:rsid w:val="00C27518"/>
    <w:rsid w:val="00C2784F"/>
    <w:rsid w:val="00C27D1D"/>
    <w:rsid w:val="00C27F24"/>
    <w:rsid w:val="00C301B8"/>
    <w:rsid w:val="00C3023F"/>
    <w:rsid w:val="00C30438"/>
    <w:rsid w:val="00C304C5"/>
    <w:rsid w:val="00C30511"/>
    <w:rsid w:val="00C30873"/>
    <w:rsid w:val="00C30902"/>
    <w:rsid w:val="00C30E82"/>
    <w:rsid w:val="00C3105A"/>
    <w:rsid w:val="00C31313"/>
    <w:rsid w:val="00C313F4"/>
    <w:rsid w:val="00C3143C"/>
    <w:rsid w:val="00C31610"/>
    <w:rsid w:val="00C31810"/>
    <w:rsid w:val="00C3184B"/>
    <w:rsid w:val="00C318E5"/>
    <w:rsid w:val="00C31D95"/>
    <w:rsid w:val="00C31DE4"/>
    <w:rsid w:val="00C31FBA"/>
    <w:rsid w:val="00C323D1"/>
    <w:rsid w:val="00C32576"/>
    <w:rsid w:val="00C325F9"/>
    <w:rsid w:val="00C32AFA"/>
    <w:rsid w:val="00C32C12"/>
    <w:rsid w:val="00C32C39"/>
    <w:rsid w:val="00C32E32"/>
    <w:rsid w:val="00C33DAD"/>
    <w:rsid w:val="00C348C9"/>
    <w:rsid w:val="00C34A49"/>
    <w:rsid w:val="00C34BAA"/>
    <w:rsid w:val="00C34F1C"/>
    <w:rsid w:val="00C3531C"/>
    <w:rsid w:val="00C35415"/>
    <w:rsid w:val="00C354E3"/>
    <w:rsid w:val="00C355EB"/>
    <w:rsid w:val="00C35967"/>
    <w:rsid w:val="00C359A9"/>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CDB"/>
    <w:rsid w:val="00C40F89"/>
    <w:rsid w:val="00C4126B"/>
    <w:rsid w:val="00C41695"/>
    <w:rsid w:val="00C41B04"/>
    <w:rsid w:val="00C41D69"/>
    <w:rsid w:val="00C41F7A"/>
    <w:rsid w:val="00C42042"/>
    <w:rsid w:val="00C423DB"/>
    <w:rsid w:val="00C4265D"/>
    <w:rsid w:val="00C42674"/>
    <w:rsid w:val="00C428A6"/>
    <w:rsid w:val="00C42D3F"/>
    <w:rsid w:val="00C43908"/>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51E"/>
    <w:rsid w:val="00C4751F"/>
    <w:rsid w:val="00C47594"/>
    <w:rsid w:val="00C47A2C"/>
    <w:rsid w:val="00C47AA1"/>
    <w:rsid w:val="00C47C2D"/>
    <w:rsid w:val="00C47F41"/>
    <w:rsid w:val="00C50676"/>
    <w:rsid w:val="00C50A03"/>
    <w:rsid w:val="00C5100D"/>
    <w:rsid w:val="00C51307"/>
    <w:rsid w:val="00C51415"/>
    <w:rsid w:val="00C5156D"/>
    <w:rsid w:val="00C517CA"/>
    <w:rsid w:val="00C51864"/>
    <w:rsid w:val="00C51878"/>
    <w:rsid w:val="00C51A6C"/>
    <w:rsid w:val="00C523B3"/>
    <w:rsid w:val="00C524BE"/>
    <w:rsid w:val="00C5277B"/>
    <w:rsid w:val="00C52BF3"/>
    <w:rsid w:val="00C52DED"/>
    <w:rsid w:val="00C52F8C"/>
    <w:rsid w:val="00C531B8"/>
    <w:rsid w:val="00C53708"/>
    <w:rsid w:val="00C53728"/>
    <w:rsid w:val="00C53955"/>
    <w:rsid w:val="00C53A76"/>
    <w:rsid w:val="00C53BAC"/>
    <w:rsid w:val="00C53C99"/>
    <w:rsid w:val="00C53ED9"/>
    <w:rsid w:val="00C53F6B"/>
    <w:rsid w:val="00C540EA"/>
    <w:rsid w:val="00C54667"/>
    <w:rsid w:val="00C54668"/>
    <w:rsid w:val="00C546C6"/>
    <w:rsid w:val="00C5472E"/>
    <w:rsid w:val="00C548E5"/>
    <w:rsid w:val="00C54BD9"/>
    <w:rsid w:val="00C54C19"/>
    <w:rsid w:val="00C54D0C"/>
    <w:rsid w:val="00C54DFB"/>
    <w:rsid w:val="00C55032"/>
    <w:rsid w:val="00C55124"/>
    <w:rsid w:val="00C552C8"/>
    <w:rsid w:val="00C5537A"/>
    <w:rsid w:val="00C55395"/>
    <w:rsid w:val="00C55402"/>
    <w:rsid w:val="00C5552B"/>
    <w:rsid w:val="00C5579F"/>
    <w:rsid w:val="00C5599F"/>
    <w:rsid w:val="00C55A42"/>
    <w:rsid w:val="00C55BED"/>
    <w:rsid w:val="00C55BF7"/>
    <w:rsid w:val="00C55D4D"/>
    <w:rsid w:val="00C55D66"/>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0C90"/>
    <w:rsid w:val="00C60E86"/>
    <w:rsid w:val="00C612E0"/>
    <w:rsid w:val="00C61516"/>
    <w:rsid w:val="00C61646"/>
    <w:rsid w:val="00C616E3"/>
    <w:rsid w:val="00C61856"/>
    <w:rsid w:val="00C618C3"/>
    <w:rsid w:val="00C61916"/>
    <w:rsid w:val="00C619ED"/>
    <w:rsid w:val="00C61ACE"/>
    <w:rsid w:val="00C61E6A"/>
    <w:rsid w:val="00C62091"/>
    <w:rsid w:val="00C62171"/>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1E9"/>
    <w:rsid w:val="00C646E0"/>
    <w:rsid w:val="00C646F0"/>
    <w:rsid w:val="00C647CC"/>
    <w:rsid w:val="00C6492D"/>
    <w:rsid w:val="00C64AF1"/>
    <w:rsid w:val="00C64B35"/>
    <w:rsid w:val="00C64B75"/>
    <w:rsid w:val="00C64CA8"/>
    <w:rsid w:val="00C64E07"/>
    <w:rsid w:val="00C652DA"/>
    <w:rsid w:val="00C65572"/>
    <w:rsid w:val="00C65655"/>
    <w:rsid w:val="00C657DD"/>
    <w:rsid w:val="00C658F4"/>
    <w:rsid w:val="00C65A5E"/>
    <w:rsid w:val="00C65A69"/>
    <w:rsid w:val="00C65A6A"/>
    <w:rsid w:val="00C65D4F"/>
    <w:rsid w:val="00C6607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6787B"/>
    <w:rsid w:val="00C70017"/>
    <w:rsid w:val="00C7026C"/>
    <w:rsid w:val="00C702CB"/>
    <w:rsid w:val="00C7031D"/>
    <w:rsid w:val="00C704C0"/>
    <w:rsid w:val="00C704C9"/>
    <w:rsid w:val="00C70720"/>
    <w:rsid w:val="00C7089A"/>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B3C"/>
    <w:rsid w:val="00C73DD4"/>
    <w:rsid w:val="00C74147"/>
    <w:rsid w:val="00C741B4"/>
    <w:rsid w:val="00C74327"/>
    <w:rsid w:val="00C75517"/>
    <w:rsid w:val="00C75619"/>
    <w:rsid w:val="00C75861"/>
    <w:rsid w:val="00C75A74"/>
    <w:rsid w:val="00C75C38"/>
    <w:rsid w:val="00C75FB2"/>
    <w:rsid w:val="00C76077"/>
    <w:rsid w:val="00C76228"/>
    <w:rsid w:val="00C764E4"/>
    <w:rsid w:val="00C76BB9"/>
    <w:rsid w:val="00C76C31"/>
    <w:rsid w:val="00C76E57"/>
    <w:rsid w:val="00C770CE"/>
    <w:rsid w:val="00C7724F"/>
    <w:rsid w:val="00C77281"/>
    <w:rsid w:val="00C777A7"/>
    <w:rsid w:val="00C777E9"/>
    <w:rsid w:val="00C77804"/>
    <w:rsid w:val="00C805D9"/>
    <w:rsid w:val="00C80A72"/>
    <w:rsid w:val="00C80AF3"/>
    <w:rsid w:val="00C8110D"/>
    <w:rsid w:val="00C81331"/>
    <w:rsid w:val="00C81975"/>
    <w:rsid w:val="00C81BF0"/>
    <w:rsid w:val="00C82166"/>
    <w:rsid w:val="00C82540"/>
    <w:rsid w:val="00C82624"/>
    <w:rsid w:val="00C82EBF"/>
    <w:rsid w:val="00C82ED3"/>
    <w:rsid w:val="00C82FB5"/>
    <w:rsid w:val="00C8330B"/>
    <w:rsid w:val="00C83405"/>
    <w:rsid w:val="00C83593"/>
    <w:rsid w:val="00C83613"/>
    <w:rsid w:val="00C83958"/>
    <w:rsid w:val="00C83F9A"/>
    <w:rsid w:val="00C83FEA"/>
    <w:rsid w:val="00C84324"/>
    <w:rsid w:val="00C8434D"/>
    <w:rsid w:val="00C84898"/>
    <w:rsid w:val="00C848A0"/>
    <w:rsid w:val="00C84A98"/>
    <w:rsid w:val="00C84AE5"/>
    <w:rsid w:val="00C84D61"/>
    <w:rsid w:val="00C850F8"/>
    <w:rsid w:val="00C85145"/>
    <w:rsid w:val="00C85608"/>
    <w:rsid w:val="00C859B5"/>
    <w:rsid w:val="00C85B6F"/>
    <w:rsid w:val="00C86183"/>
    <w:rsid w:val="00C86245"/>
    <w:rsid w:val="00C86370"/>
    <w:rsid w:val="00C867AE"/>
    <w:rsid w:val="00C867E1"/>
    <w:rsid w:val="00C86D7B"/>
    <w:rsid w:val="00C86EEC"/>
    <w:rsid w:val="00C87318"/>
    <w:rsid w:val="00C875F0"/>
    <w:rsid w:val="00C8771A"/>
    <w:rsid w:val="00C904A8"/>
    <w:rsid w:val="00C90603"/>
    <w:rsid w:val="00C906D1"/>
    <w:rsid w:val="00C9087F"/>
    <w:rsid w:val="00C90DA1"/>
    <w:rsid w:val="00C90F11"/>
    <w:rsid w:val="00C9131E"/>
    <w:rsid w:val="00C915A0"/>
    <w:rsid w:val="00C9184E"/>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334"/>
    <w:rsid w:val="00C93579"/>
    <w:rsid w:val="00C937E9"/>
    <w:rsid w:val="00C93A91"/>
    <w:rsid w:val="00C93CB0"/>
    <w:rsid w:val="00C941E2"/>
    <w:rsid w:val="00C942CD"/>
    <w:rsid w:val="00C945E1"/>
    <w:rsid w:val="00C95083"/>
    <w:rsid w:val="00C953CB"/>
    <w:rsid w:val="00C95639"/>
    <w:rsid w:val="00C95761"/>
    <w:rsid w:val="00C95ED5"/>
    <w:rsid w:val="00C9653E"/>
    <w:rsid w:val="00C966AC"/>
    <w:rsid w:val="00C969DE"/>
    <w:rsid w:val="00C96B91"/>
    <w:rsid w:val="00C96FEF"/>
    <w:rsid w:val="00C9742B"/>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4"/>
    <w:rsid w:val="00CA114E"/>
    <w:rsid w:val="00CA19B2"/>
    <w:rsid w:val="00CA1B6B"/>
    <w:rsid w:val="00CA1C6C"/>
    <w:rsid w:val="00CA1C94"/>
    <w:rsid w:val="00CA23ED"/>
    <w:rsid w:val="00CA24D9"/>
    <w:rsid w:val="00CA2EE2"/>
    <w:rsid w:val="00CA326D"/>
    <w:rsid w:val="00CA3AD1"/>
    <w:rsid w:val="00CA3CDD"/>
    <w:rsid w:val="00CA3DCC"/>
    <w:rsid w:val="00CA404F"/>
    <w:rsid w:val="00CA463C"/>
    <w:rsid w:val="00CA474B"/>
    <w:rsid w:val="00CA4760"/>
    <w:rsid w:val="00CA4863"/>
    <w:rsid w:val="00CA4C2D"/>
    <w:rsid w:val="00CA4C6A"/>
    <w:rsid w:val="00CA51C3"/>
    <w:rsid w:val="00CA5B28"/>
    <w:rsid w:val="00CA5CEA"/>
    <w:rsid w:val="00CA5D19"/>
    <w:rsid w:val="00CA621C"/>
    <w:rsid w:val="00CA633D"/>
    <w:rsid w:val="00CA63D9"/>
    <w:rsid w:val="00CA6759"/>
    <w:rsid w:val="00CA6CB0"/>
    <w:rsid w:val="00CA76F9"/>
    <w:rsid w:val="00CA7700"/>
    <w:rsid w:val="00CA7755"/>
    <w:rsid w:val="00CA776B"/>
    <w:rsid w:val="00CA7A40"/>
    <w:rsid w:val="00CA7A68"/>
    <w:rsid w:val="00CA7AA0"/>
    <w:rsid w:val="00CA7BAC"/>
    <w:rsid w:val="00CB0237"/>
    <w:rsid w:val="00CB0447"/>
    <w:rsid w:val="00CB053B"/>
    <w:rsid w:val="00CB0729"/>
    <w:rsid w:val="00CB074A"/>
    <w:rsid w:val="00CB07C6"/>
    <w:rsid w:val="00CB07D9"/>
    <w:rsid w:val="00CB07F3"/>
    <w:rsid w:val="00CB08CA"/>
    <w:rsid w:val="00CB09B7"/>
    <w:rsid w:val="00CB0F1F"/>
    <w:rsid w:val="00CB0F7E"/>
    <w:rsid w:val="00CB102A"/>
    <w:rsid w:val="00CB1792"/>
    <w:rsid w:val="00CB184E"/>
    <w:rsid w:val="00CB202F"/>
    <w:rsid w:val="00CB224B"/>
    <w:rsid w:val="00CB228E"/>
    <w:rsid w:val="00CB23AB"/>
    <w:rsid w:val="00CB23F7"/>
    <w:rsid w:val="00CB257A"/>
    <w:rsid w:val="00CB2643"/>
    <w:rsid w:val="00CB2775"/>
    <w:rsid w:val="00CB2EB3"/>
    <w:rsid w:val="00CB346D"/>
    <w:rsid w:val="00CB34E4"/>
    <w:rsid w:val="00CB3621"/>
    <w:rsid w:val="00CB373A"/>
    <w:rsid w:val="00CB3881"/>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50"/>
    <w:rsid w:val="00CB5B93"/>
    <w:rsid w:val="00CB5E6C"/>
    <w:rsid w:val="00CB5F55"/>
    <w:rsid w:val="00CB6027"/>
    <w:rsid w:val="00CB623C"/>
    <w:rsid w:val="00CB6733"/>
    <w:rsid w:val="00CB6737"/>
    <w:rsid w:val="00CB6A01"/>
    <w:rsid w:val="00CB6FA6"/>
    <w:rsid w:val="00CB7274"/>
    <w:rsid w:val="00CB72C9"/>
    <w:rsid w:val="00CB73A0"/>
    <w:rsid w:val="00CB740D"/>
    <w:rsid w:val="00CB7483"/>
    <w:rsid w:val="00CB78B6"/>
    <w:rsid w:val="00CB7B22"/>
    <w:rsid w:val="00CB7C5C"/>
    <w:rsid w:val="00CB7DE0"/>
    <w:rsid w:val="00CC0543"/>
    <w:rsid w:val="00CC05D3"/>
    <w:rsid w:val="00CC0609"/>
    <w:rsid w:val="00CC071E"/>
    <w:rsid w:val="00CC083E"/>
    <w:rsid w:val="00CC0F71"/>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E0"/>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832"/>
    <w:rsid w:val="00CC783C"/>
    <w:rsid w:val="00CC7E1E"/>
    <w:rsid w:val="00CC7E5C"/>
    <w:rsid w:val="00CC7FD7"/>
    <w:rsid w:val="00CD0113"/>
    <w:rsid w:val="00CD0127"/>
    <w:rsid w:val="00CD018C"/>
    <w:rsid w:val="00CD028A"/>
    <w:rsid w:val="00CD052F"/>
    <w:rsid w:val="00CD05A1"/>
    <w:rsid w:val="00CD0667"/>
    <w:rsid w:val="00CD06E4"/>
    <w:rsid w:val="00CD076C"/>
    <w:rsid w:val="00CD07A1"/>
    <w:rsid w:val="00CD087F"/>
    <w:rsid w:val="00CD0AD1"/>
    <w:rsid w:val="00CD0E95"/>
    <w:rsid w:val="00CD1147"/>
    <w:rsid w:val="00CD13A4"/>
    <w:rsid w:val="00CD18D9"/>
    <w:rsid w:val="00CD19EB"/>
    <w:rsid w:val="00CD1B28"/>
    <w:rsid w:val="00CD1B29"/>
    <w:rsid w:val="00CD1C40"/>
    <w:rsid w:val="00CD1E87"/>
    <w:rsid w:val="00CD2013"/>
    <w:rsid w:val="00CD205C"/>
    <w:rsid w:val="00CD208C"/>
    <w:rsid w:val="00CD2242"/>
    <w:rsid w:val="00CD22BE"/>
    <w:rsid w:val="00CD249B"/>
    <w:rsid w:val="00CD2523"/>
    <w:rsid w:val="00CD2912"/>
    <w:rsid w:val="00CD291D"/>
    <w:rsid w:val="00CD2E1F"/>
    <w:rsid w:val="00CD2EB3"/>
    <w:rsid w:val="00CD30ED"/>
    <w:rsid w:val="00CD3197"/>
    <w:rsid w:val="00CD34DD"/>
    <w:rsid w:val="00CD34FA"/>
    <w:rsid w:val="00CD3544"/>
    <w:rsid w:val="00CD35C8"/>
    <w:rsid w:val="00CD3623"/>
    <w:rsid w:val="00CD3E8B"/>
    <w:rsid w:val="00CD41DD"/>
    <w:rsid w:val="00CD47F2"/>
    <w:rsid w:val="00CD4E1C"/>
    <w:rsid w:val="00CD4EBB"/>
    <w:rsid w:val="00CD5571"/>
    <w:rsid w:val="00CD5991"/>
    <w:rsid w:val="00CD5AC0"/>
    <w:rsid w:val="00CD5DA8"/>
    <w:rsid w:val="00CD5DAA"/>
    <w:rsid w:val="00CD5F0A"/>
    <w:rsid w:val="00CD5F4D"/>
    <w:rsid w:val="00CD6331"/>
    <w:rsid w:val="00CD64C9"/>
    <w:rsid w:val="00CD6540"/>
    <w:rsid w:val="00CD6703"/>
    <w:rsid w:val="00CD67B2"/>
    <w:rsid w:val="00CD6A12"/>
    <w:rsid w:val="00CD6DD4"/>
    <w:rsid w:val="00CD730B"/>
    <w:rsid w:val="00CD7314"/>
    <w:rsid w:val="00CD7479"/>
    <w:rsid w:val="00CD756A"/>
    <w:rsid w:val="00CD7AB0"/>
    <w:rsid w:val="00CD7C05"/>
    <w:rsid w:val="00CD7C10"/>
    <w:rsid w:val="00CD7D8D"/>
    <w:rsid w:val="00CD7EA8"/>
    <w:rsid w:val="00CE00CD"/>
    <w:rsid w:val="00CE014C"/>
    <w:rsid w:val="00CE04C8"/>
    <w:rsid w:val="00CE0627"/>
    <w:rsid w:val="00CE091F"/>
    <w:rsid w:val="00CE09C2"/>
    <w:rsid w:val="00CE0A3E"/>
    <w:rsid w:val="00CE0BE4"/>
    <w:rsid w:val="00CE1128"/>
    <w:rsid w:val="00CE1253"/>
    <w:rsid w:val="00CE1636"/>
    <w:rsid w:val="00CE185B"/>
    <w:rsid w:val="00CE19D8"/>
    <w:rsid w:val="00CE1A54"/>
    <w:rsid w:val="00CE1A6A"/>
    <w:rsid w:val="00CE1BFB"/>
    <w:rsid w:val="00CE1EF2"/>
    <w:rsid w:val="00CE1FA2"/>
    <w:rsid w:val="00CE1FBD"/>
    <w:rsid w:val="00CE2001"/>
    <w:rsid w:val="00CE20D4"/>
    <w:rsid w:val="00CE2C4C"/>
    <w:rsid w:val="00CE2FEC"/>
    <w:rsid w:val="00CE3343"/>
    <w:rsid w:val="00CE3589"/>
    <w:rsid w:val="00CE3A05"/>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7412"/>
    <w:rsid w:val="00CE7572"/>
    <w:rsid w:val="00CE7695"/>
    <w:rsid w:val="00CE76EE"/>
    <w:rsid w:val="00CE7B52"/>
    <w:rsid w:val="00CE7E70"/>
    <w:rsid w:val="00CF0243"/>
    <w:rsid w:val="00CF02A7"/>
    <w:rsid w:val="00CF02FB"/>
    <w:rsid w:val="00CF0607"/>
    <w:rsid w:val="00CF0E85"/>
    <w:rsid w:val="00CF0FAC"/>
    <w:rsid w:val="00CF0FFE"/>
    <w:rsid w:val="00CF101F"/>
    <w:rsid w:val="00CF132F"/>
    <w:rsid w:val="00CF1390"/>
    <w:rsid w:val="00CF1558"/>
    <w:rsid w:val="00CF1565"/>
    <w:rsid w:val="00CF162A"/>
    <w:rsid w:val="00CF177B"/>
    <w:rsid w:val="00CF192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C30"/>
    <w:rsid w:val="00CF4CA9"/>
    <w:rsid w:val="00CF5003"/>
    <w:rsid w:val="00CF547E"/>
    <w:rsid w:val="00CF5895"/>
    <w:rsid w:val="00CF5954"/>
    <w:rsid w:val="00CF5A41"/>
    <w:rsid w:val="00CF5B65"/>
    <w:rsid w:val="00CF5BD9"/>
    <w:rsid w:val="00CF5D8A"/>
    <w:rsid w:val="00CF5D99"/>
    <w:rsid w:val="00CF5F23"/>
    <w:rsid w:val="00CF6013"/>
    <w:rsid w:val="00CF62EA"/>
    <w:rsid w:val="00CF64BB"/>
    <w:rsid w:val="00CF650A"/>
    <w:rsid w:val="00CF675A"/>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64D"/>
    <w:rsid w:val="00D00664"/>
    <w:rsid w:val="00D0075D"/>
    <w:rsid w:val="00D007E4"/>
    <w:rsid w:val="00D008E3"/>
    <w:rsid w:val="00D00993"/>
    <w:rsid w:val="00D0099E"/>
    <w:rsid w:val="00D009AA"/>
    <w:rsid w:val="00D009BA"/>
    <w:rsid w:val="00D00C3D"/>
    <w:rsid w:val="00D00CA9"/>
    <w:rsid w:val="00D00DC1"/>
    <w:rsid w:val="00D00E64"/>
    <w:rsid w:val="00D0114A"/>
    <w:rsid w:val="00D015EF"/>
    <w:rsid w:val="00D01688"/>
    <w:rsid w:val="00D016DD"/>
    <w:rsid w:val="00D01865"/>
    <w:rsid w:val="00D01AD7"/>
    <w:rsid w:val="00D01DEF"/>
    <w:rsid w:val="00D01E2C"/>
    <w:rsid w:val="00D01E95"/>
    <w:rsid w:val="00D01F9A"/>
    <w:rsid w:val="00D02198"/>
    <w:rsid w:val="00D0238E"/>
    <w:rsid w:val="00D0239F"/>
    <w:rsid w:val="00D02DA2"/>
    <w:rsid w:val="00D0325B"/>
    <w:rsid w:val="00D03C0A"/>
    <w:rsid w:val="00D03C56"/>
    <w:rsid w:val="00D03E40"/>
    <w:rsid w:val="00D04064"/>
    <w:rsid w:val="00D04154"/>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9C"/>
    <w:rsid w:val="00D077B3"/>
    <w:rsid w:val="00D07841"/>
    <w:rsid w:val="00D07984"/>
    <w:rsid w:val="00D07C5D"/>
    <w:rsid w:val="00D07D37"/>
    <w:rsid w:val="00D07D5C"/>
    <w:rsid w:val="00D07F1F"/>
    <w:rsid w:val="00D10049"/>
    <w:rsid w:val="00D1010F"/>
    <w:rsid w:val="00D102D3"/>
    <w:rsid w:val="00D102E3"/>
    <w:rsid w:val="00D1065D"/>
    <w:rsid w:val="00D1082E"/>
    <w:rsid w:val="00D108FD"/>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A10"/>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555"/>
    <w:rsid w:val="00D1788B"/>
    <w:rsid w:val="00D178EB"/>
    <w:rsid w:val="00D17923"/>
    <w:rsid w:val="00D179CA"/>
    <w:rsid w:val="00D17A8C"/>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848"/>
    <w:rsid w:val="00D23A25"/>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1BF"/>
    <w:rsid w:val="00D256E6"/>
    <w:rsid w:val="00D25773"/>
    <w:rsid w:val="00D257D5"/>
    <w:rsid w:val="00D25CBB"/>
    <w:rsid w:val="00D25CCA"/>
    <w:rsid w:val="00D26150"/>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2151"/>
    <w:rsid w:val="00D324FC"/>
    <w:rsid w:val="00D32558"/>
    <w:rsid w:val="00D32912"/>
    <w:rsid w:val="00D32A27"/>
    <w:rsid w:val="00D32BBE"/>
    <w:rsid w:val="00D32F54"/>
    <w:rsid w:val="00D3320F"/>
    <w:rsid w:val="00D3343E"/>
    <w:rsid w:val="00D334D5"/>
    <w:rsid w:val="00D33919"/>
    <w:rsid w:val="00D33AAD"/>
    <w:rsid w:val="00D33B8B"/>
    <w:rsid w:val="00D34189"/>
    <w:rsid w:val="00D342B0"/>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B46"/>
    <w:rsid w:val="00D400B0"/>
    <w:rsid w:val="00D403C0"/>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531"/>
    <w:rsid w:val="00D4291D"/>
    <w:rsid w:val="00D42928"/>
    <w:rsid w:val="00D42AB7"/>
    <w:rsid w:val="00D42D74"/>
    <w:rsid w:val="00D42FF7"/>
    <w:rsid w:val="00D43376"/>
    <w:rsid w:val="00D43385"/>
    <w:rsid w:val="00D4340D"/>
    <w:rsid w:val="00D43521"/>
    <w:rsid w:val="00D435F9"/>
    <w:rsid w:val="00D43693"/>
    <w:rsid w:val="00D43856"/>
    <w:rsid w:val="00D438FB"/>
    <w:rsid w:val="00D43EFA"/>
    <w:rsid w:val="00D44230"/>
    <w:rsid w:val="00D442C7"/>
    <w:rsid w:val="00D446BC"/>
    <w:rsid w:val="00D44B15"/>
    <w:rsid w:val="00D44B2B"/>
    <w:rsid w:val="00D44B5D"/>
    <w:rsid w:val="00D4517E"/>
    <w:rsid w:val="00D45438"/>
    <w:rsid w:val="00D4543F"/>
    <w:rsid w:val="00D45502"/>
    <w:rsid w:val="00D45508"/>
    <w:rsid w:val="00D4589B"/>
    <w:rsid w:val="00D45EFB"/>
    <w:rsid w:val="00D460EB"/>
    <w:rsid w:val="00D463E2"/>
    <w:rsid w:val="00D4659C"/>
    <w:rsid w:val="00D46635"/>
    <w:rsid w:val="00D468D0"/>
    <w:rsid w:val="00D46AE2"/>
    <w:rsid w:val="00D46C8F"/>
    <w:rsid w:val="00D47073"/>
    <w:rsid w:val="00D47454"/>
    <w:rsid w:val="00D479E4"/>
    <w:rsid w:val="00D47AEB"/>
    <w:rsid w:val="00D47CBD"/>
    <w:rsid w:val="00D47FFE"/>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878"/>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68E"/>
    <w:rsid w:val="00D5468F"/>
    <w:rsid w:val="00D54BF9"/>
    <w:rsid w:val="00D54E5B"/>
    <w:rsid w:val="00D5500B"/>
    <w:rsid w:val="00D5547D"/>
    <w:rsid w:val="00D55572"/>
    <w:rsid w:val="00D5560D"/>
    <w:rsid w:val="00D557C6"/>
    <w:rsid w:val="00D557EE"/>
    <w:rsid w:val="00D5583B"/>
    <w:rsid w:val="00D55AA4"/>
    <w:rsid w:val="00D55AB3"/>
    <w:rsid w:val="00D5640B"/>
    <w:rsid w:val="00D56986"/>
    <w:rsid w:val="00D56C12"/>
    <w:rsid w:val="00D57040"/>
    <w:rsid w:val="00D57446"/>
    <w:rsid w:val="00D57479"/>
    <w:rsid w:val="00D57696"/>
    <w:rsid w:val="00D576BC"/>
    <w:rsid w:val="00D579A6"/>
    <w:rsid w:val="00D579CC"/>
    <w:rsid w:val="00D57A73"/>
    <w:rsid w:val="00D57D22"/>
    <w:rsid w:val="00D60235"/>
    <w:rsid w:val="00D60339"/>
    <w:rsid w:val="00D6035A"/>
    <w:rsid w:val="00D6053E"/>
    <w:rsid w:val="00D60564"/>
    <w:rsid w:val="00D6058C"/>
    <w:rsid w:val="00D6083C"/>
    <w:rsid w:val="00D60870"/>
    <w:rsid w:val="00D6088B"/>
    <w:rsid w:val="00D60C5B"/>
    <w:rsid w:val="00D60EED"/>
    <w:rsid w:val="00D60F21"/>
    <w:rsid w:val="00D615AD"/>
    <w:rsid w:val="00D617CC"/>
    <w:rsid w:val="00D6183D"/>
    <w:rsid w:val="00D61A02"/>
    <w:rsid w:val="00D62208"/>
    <w:rsid w:val="00D625F2"/>
    <w:rsid w:val="00D62AAF"/>
    <w:rsid w:val="00D62B8A"/>
    <w:rsid w:val="00D62EEA"/>
    <w:rsid w:val="00D634A7"/>
    <w:rsid w:val="00D634E9"/>
    <w:rsid w:val="00D636AA"/>
    <w:rsid w:val="00D63CDA"/>
    <w:rsid w:val="00D643C5"/>
    <w:rsid w:val="00D64791"/>
    <w:rsid w:val="00D64A46"/>
    <w:rsid w:val="00D64B5A"/>
    <w:rsid w:val="00D64CE8"/>
    <w:rsid w:val="00D64F53"/>
    <w:rsid w:val="00D65064"/>
    <w:rsid w:val="00D6563A"/>
    <w:rsid w:val="00D656B9"/>
    <w:rsid w:val="00D65BA6"/>
    <w:rsid w:val="00D65E4D"/>
    <w:rsid w:val="00D66132"/>
    <w:rsid w:val="00D66287"/>
    <w:rsid w:val="00D662C9"/>
    <w:rsid w:val="00D665A3"/>
    <w:rsid w:val="00D66C87"/>
    <w:rsid w:val="00D66CDA"/>
    <w:rsid w:val="00D66CDB"/>
    <w:rsid w:val="00D66EFF"/>
    <w:rsid w:val="00D66F39"/>
    <w:rsid w:val="00D67377"/>
    <w:rsid w:val="00D67710"/>
    <w:rsid w:val="00D677CA"/>
    <w:rsid w:val="00D67C18"/>
    <w:rsid w:val="00D70039"/>
    <w:rsid w:val="00D70174"/>
    <w:rsid w:val="00D70318"/>
    <w:rsid w:val="00D70545"/>
    <w:rsid w:val="00D70604"/>
    <w:rsid w:val="00D70631"/>
    <w:rsid w:val="00D708BC"/>
    <w:rsid w:val="00D709D6"/>
    <w:rsid w:val="00D70B9C"/>
    <w:rsid w:val="00D70C68"/>
    <w:rsid w:val="00D70C6E"/>
    <w:rsid w:val="00D70E1F"/>
    <w:rsid w:val="00D70EFA"/>
    <w:rsid w:val="00D711FF"/>
    <w:rsid w:val="00D714AE"/>
    <w:rsid w:val="00D7165F"/>
    <w:rsid w:val="00D71759"/>
    <w:rsid w:val="00D717C5"/>
    <w:rsid w:val="00D71A98"/>
    <w:rsid w:val="00D71AC2"/>
    <w:rsid w:val="00D724E2"/>
    <w:rsid w:val="00D72500"/>
    <w:rsid w:val="00D72826"/>
    <w:rsid w:val="00D728E2"/>
    <w:rsid w:val="00D729DC"/>
    <w:rsid w:val="00D72B1F"/>
    <w:rsid w:val="00D72D1D"/>
    <w:rsid w:val="00D73108"/>
    <w:rsid w:val="00D731EB"/>
    <w:rsid w:val="00D73231"/>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8DD"/>
    <w:rsid w:val="00D81B3A"/>
    <w:rsid w:val="00D81DF1"/>
    <w:rsid w:val="00D820EF"/>
    <w:rsid w:val="00D8231D"/>
    <w:rsid w:val="00D82569"/>
    <w:rsid w:val="00D825DD"/>
    <w:rsid w:val="00D82658"/>
    <w:rsid w:val="00D8297C"/>
    <w:rsid w:val="00D82A80"/>
    <w:rsid w:val="00D831DD"/>
    <w:rsid w:val="00D832A1"/>
    <w:rsid w:val="00D832D6"/>
    <w:rsid w:val="00D83420"/>
    <w:rsid w:val="00D834ED"/>
    <w:rsid w:val="00D83753"/>
    <w:rsid w:val="00D83BC6"/>
    <w:rsid w:val="00D84463"/>
    <w:rsid w:val="00D8455B"/>
    <w:rsid w:val="00D845B3"/>
    <w:rsid w:val="00D849DC"/>
    <w:rsid w:val="00D84A7E"/>
    <w:rsid w:val="00D84BCD"/>
    <w:rsid w:val="00D84C1F"/>
    <w:rsid w:val="00D84E7E"/>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6E"/>
    <w:rsid w:val="00D87EAA"/>
    <w:rsid w:val="00D900EF"/>
    <w:rsid w:val="00D90555"/>
    <w:rsid w:val="00D907B3"/>
    <w:rsid w:val="00D9089A"/>
    <w:rsid w:val="00D90932"/>
    <w:rsid w:val="00D90C91"/>
    <w:rsid w:val="00D90CD2"/>
    <w:rsid w:val="00D911AF"/>
    <w:rsid w:val="00D912E6"/>
    <w:rsid w:val="00D913F5"/>
    <w:rsid w:val="00D915EE"/>
    <w:rsid w:val="00D91A3A"/>
    <w:rsid w:val="00D91D74"/>
    <w:rsid w:val="00D91E68"/>
    <w:rsid w:val="00D9201D"/>
    <w:rsid w:val="00D925AB"/>
    <w:rsid w:val="00D92877"/>
    <w:rsid w:val="00D9294C"/>
    <w:rsid w:val="00D92A24"/>
    <w:rsid w:val="00D92AB6"/>
    <w:rsid w:val="00D92BFF"/>
    <w:rsid w:val="00D92DE5"/>
    <w:rsid w:val="00D92F09"/>
    <w:rsid w:val="00D930B9"/>
    <w:rsid w:val="00D93630"/>
    <w:rsid w:val="00D937F1"/>
    <w:rsid w:val="00D93FD0"/>
    <w:rsid w:val="00D940D6"/>
    <w:rsid w:val="00D941A4"/>
    <w:rsid w:val="00D942BE"/>
    <w:rsid w:val="00D944F1"/>
    <w:rsid w:val="00D9471D"/>
    <w:rsid w:val="00D94A2A"/>
    <w:rsid w:val="00D94A4A"/>
    <w:rsid w:val="00D94A8C"/>
    <w:rsid w:val="00D94BA6"/>
    <w:rsid w:val="00D94C8A"/>
    <w:rsid w:val="00D94E8F"/>
    <w:rsid w:val="00D94F9F"/>
    <w:rsid w:val="00D95051"/>
    <w:rsid w:val="00D9508E"/>
    <w:rsid w:val="00D953A3"/>
    <w:rsid w:val="00D95460"/>
    <w:rsid w:val="00D95963"/>
    <w:rsid w:val="00D95B84"/>
    <w:rsid w:val="00D95CB4"/>
    <w:rsid w:val="00D95E94"/>
    <w:rsid w:val="00D95EEE"/>
    <w:rsid w:val="00D95F9E"/>
    <w:rsid w:val="00D96231"/>
    <w:rsid w:val="00D96714"/>
    <w:rsid w:val="00D969F4"/>
    <w:rsid w:val="00D96AFE"/>
    <w:rsid w:val="00D96DE9"/>
    <w:rsid w:val="00D96EA9"/>
    <w:rsid w:val="00D97320"/>
    <w:rsid w:val="00D97686"/>
    <w:rsid w:val="00D976E2"/>
    <w:rsid w:val="00D9784A"/>
    <w:rsid w:val="00D978E5"/>
    <w:rsid w:val="00D97D00"/>
    <w:rsid w:val="00D97EFE"/>
    <w:rsid w:val="00DA008F"/>
    <w:rsid w:val="00DA01BF"/>
    <w:rsid w:val="00DA0815"/>
    <w:rsid w:val="00DA08BB"/>
    <w:rsid w:val="00DA09AF"/>
    <w:rsid w:val="00DA09D2"/>
    <w:rsid w:val="00DA0B44"/>
    <w:rsid w:val="00DA10CD"/>
    <w:rsid w:val="00DA14F6"/>
    <w:rsid w:val="00DA1801"/>
    <w:rsid w:val="00DA1803"/>
    <w:rsid w:val="00DA1F2D"/>
    <w:rsid w:val="00DA1F83"/>
    <w:rsid w:val="00DA2176"/>
    <w:rsid w:val="00DA2223"/>
    <w:rsid w:val="00DA22ED"/>
    <w:rsid w:val="00DA26FA"/>
    <w:rsid w:val="00DA2720"/>
    <w:rsid w:val="00DA2838"/>
    <w:rsid w:val="00DA2885"/>
    <w:rsid w:val="00DA2A5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446"/>
    <w:rsid w:val="00DA5E4B"/>
    <w:rsid w:val="00DA6189"/>
    <w:rsid w:val="00DA6A3D"/>
    <w:rsid w:val="00DA75F8"/>
    <w:rsid w:val="00DA7613"/>
    <w:rsid w:val="00DA7622"/>
    <w:rsid w:val="00DA7637"/>
    <w:rsid w:val="00DA77EB"/>
    <w:rsid w:val="00DA7BE9"/>
    <w:rsid w:val="00DA7C43"/>
    <w:rsid w:val="00DA7D70"/>
    <w:rsid w:val="00DA7E37"/>
    <w:rsid w:val="00DA7FD7"/>
    <w:rsid w:val="00DB0259"/>
    <w:rsid w:val="00DB072F"/>
    <w:rsid w:val="00DB0930"/>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507"/>
    <w:rsid w:val="00DB37CD"/>
    <w:rsid w:val="00DB39D1"/>
    <w:rsid w:val="00DB3E96"/>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95"/>
    <w:rsid w:val="00DB61F1"/>
    <w:rsid w:val="00DB65C3"/>
    <w:rsid w:val="00DB67B6"/>
    <w:rsid w:val="00DB68DD"/>
    <w:rsid w:val="00DB6958"/>
    <w:rsid w:val="00DB6B9B"/>
    <w:rsid w:val="00DB6BDA"/>
    <w:rsid w:val="00DB6E0A"/>
    <w:rsid w:val="00DB6F45"/>
    <w:rsid w:val="00DB7168"/>
    <w:rsid w:val="00DB76E4"/>
    <w:rsid w:val="00DB7A6D"/>
    <w:rsid w:val="00DB7C25"/>
    <w:rsid w:val="00DB7ECF"/>
    <w:rsid w:val="00DB7FA0"/>
    <w:rsid w:val="00DB7FF4"/>
    <w:rsid w:val="00DC00FF"/>
    <w:rsid w:val="00DC0129"/>
    <w:rsid w:val="00DC0191"/>
    <w:rsid w:val="00DC02B3"/>
    <w:rsid w:val="00DC02FB"/>
    <w:rsid w:val="00DC0646"/>
    <w:rsid w:val="00DC07AC"/>
    <w:rsid w:val="00DC07F1"/>
    <w:rsid w:val="00DC0A11"/>
    <w:rsid w:val="00DC0AA5"/>
    <w:rsid w:val="00DC0F1F"/>
    <w:rsid w:val="00DC12EB"/>
    <w:rsid w:val="00DC16EC"/>
    <w:rsid w:val="00DC1B38"/>
    <w:rsid w:val="00DC1BA2"/>
    <w:rsid w:val="00DC1BD3"/>
    <w:rsid w:val="00DC1C8D"/>
    <w:rsid w:val="00DC21FC"/>
    <w:rsid w:val="00DC22A3"/>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868"/>
    <w:rsid w:val="00DC6B52"/>
    <w:rsid w:val="00DC6DCC"/>
    <w:rsid w:val="00DC6E10"/>
    <w:rsid w:val="00DC6F0E"/>
    <w:rsid w:val="00DC7000"/>
    <w:rsid w:val="00DC742E"/>
    <w:rsid w:val="00DC78B7"/>
    <w:rsid w:val="00DC7FD6"/>
    <w:rsid w:val="00DD0135"/>
    <w:rsid w:val="00DD0249"/>
    <w:rsid w:val="00DD042F"/>
    <w:rsid w:val="00DD05DC"/>
    <w:rsid w:val="00DD061A"/>
    <w:rsid w:val="00DD0948"/>
    <w:rsid w:val="00DD0A7A"/>
    <w:rsid w:val="00DD0B37"/>
    <w:rsid w:val="00DD0BCA"/>
    <w:rsid w:val="00DD1017"/>
    <w:rsid w:val="00DD1042"/>
    <w:rsid w:val="00DD1105"/>
    <w:rsid w:val="00DD1213"/>
    <w:rsid w:val="00DD12B1"/>
    <w:rsid w:val="00DD14EB"/>
    <w:rsid w:val="00DD1511"/>
    <w:rsid w:val="00DD168F"/>
    <w:rsid w:val="00DD16DB"/>
    <w:rsid w:val="00DD17AC"/>
    <w:rsid w:val="00DD1863"/>
    <w:rsid w:val="00DD1B07"/>
    <w:rsid w:val="00DD1CDB"/>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3C23"/>
    <w:rsid w:val="00DD4022"/>
    <w:rsid w:val="00DD419B"/>
    <w:rsid w:val="00DD42BA"/>
    <w:rsid w:val="00DD453D"/>
    <w:rsid w:val="00DD4556"/>
    <w:rsid w:val="00DD473F"/>
    <w:rsid w:val="00DD478F"/>
    <w:rsid w:val="00DD4901"/>
    <w:rsid w:val="00DD49C0"/>
    <w:rsid w:val="00DD49E2"/>
    <w:rsid w:val="00DD4BE6"/>
    <w:rsid w:val="00DD513E"/>
    <w:rsid w:val="00DD5458"/>
    <w:rsid w:val="00DD55DE"/>
    <w:rsid w:val="00DD577E"/>
    <w:rsid w:val="00DD5812"/>
    <w:rsid w:val="00DD58DE"/>
    <w:rsid w:val="00DD59C0"/>
    <w:rsid w:val="00DD5ABC"/>
    <w:rsid w:val="00DD5FAB"/>
    <w:rsid w:val="00DD60CD"/>
    <w:rsid w:val="00DD6C24"/>
    <w:rsid w:val="00DD70F4"/>
    <w:rsid w:val="00DD786C"/>
    <w:rsid w:val="00DE038B"/>
    <w:rsid w:val="00DE0556"/>
    <w:rsid w:val="00DE074F"/>
    <w:rsid w:val="00DE0915"/>
    <w:rsid w:val="00DE0B91"/>
    <w:rsid w:val="00DE0CD8"/>
    <w:rsid w:val="00DE0DBA"/>
    <w:rsid w:val="00DE0EA8"/>
    <w:rsid w:val="00DE110E"/>
    <w:rsid w:val="00DE12F3"/>
    <w:rsid w:val="00DE1911"/>
    <w:rsid w:val="00DE1974"/>
    <w:rsid w:val="00DE1B4F"/>
    <w:rsid w:val="00DE1D2D"/>
    <w:rsid w:val="00DE1D7C"/>
    <w:rsid w:val="00DE2066"/>
    <w:rsid w:val="00DE28F2"/>
    <w:rsid w:val="00DE291A"/>
    <w:rsid w:val="00DE2C38"/>
    <w:rsid w:val="00DE2E06"/>
    <w:rsid w:val="00DE305A"/>
    <w:rsid w:val="00DE30C2"/>
    <w:rsid w:val="00DE33E1"/>
    <w:rsid w:val="00DE352E"/>
    <w:rsid w:val="00DE354E"/>
    <w:rsid w:val="00DE35B6"/>
    <w:rsid w:val="00DE3600"/>
    <w:rsid w:val="00DE3658"/>
    <w:rsid w:val="00DE3660"/>
    <w:rsid w:val="00DE3740"/>
    <w:rsid w:val="00DE3825"/>
    <w:rsid w:val="00DE3FD4"/>
    <w:rsid w:val="00DE4462"/>
    <w:rsid w:val="00DE4561"/>
    <w:rsid w:val="00DE475F"/>
    <w:rsid w:val="00DE4976"/>
    <w:rsid w:val="00DE4C64"/>
    <w:rsid w:val="00DE4ED8"/>
    <w:rsid w:val="00DE5337"/>
    <w:rsid w:val="00DE534B"/>
    <w:rsid w:val="00DE5DAE"/>
    <w:rsid w:val="00DE5F9A"/>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969"/>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320"/>
    <w:rsid w:val="00DF7433"/>
    <w:rsid w:val="00DF7465"/>
    <w:rsid w:val="00DF7560"/>
    <w:rsid w:val="00DF7682"/>
    <w:rsid w:val="00DF78DE"/>
    <w:rsid w:val="00DF7CA7"/>
    <w:rsid w:val="00DF7D59"/>
    <w:rsid w:val="00DF7F6D"/>
    <w:rsid w:val="00DF7F9B"/>
    <w:rsid w:val="00DF9533"/>
    <w:rsid w:val="00E00242"/>
    <w:rsid w:val="00E003DE"/>
    <w:rsid w:val="00E00427"/>
    <w:rsid w:val="00E005AA"/>
    <w:rsid w:val="00E0095A"/>
    <w:rsid w:val="00E00A7F"/>
    <w:rsid w:val="00E00BAB"/>
    <w:rsid w:val="00E00CA8"/>
    <w:rsid w:val="00E01174"/>
    <w:rsid w:val="00E01404"/>
    <w:rsid w:val="00E017A8"/>
    <w:rsid w:val="00E017F5"/>
    <w:rsid w:val="00E019FC"/>
    <w:rsid w:val="00E01A90"/>
    <w:rsid w:val="00E0209A"/>
    <w:rsid w:val="00E02147"/>
    <w:rsid w:val="00E02795"/>
    <w:rsid w:val="00E02815"/>
    <w:rsid w:val="00E0316F"/>
    <w:rsid w:val="00E031AA"/>
    <w:rsid w:val="00E03549"/>
    <w:rsid w:val="00E03709"/>
    <w:rsid w:val="00E0370A"/>
    <w:rsid w:val="00E03898"/>
    <w:rsid w:val="00E038F6"/>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E26"/>
    <w:rsid w:val="00E0712A"/>
    <w:rsid w:val="00E07179"/>
    <w:rsid w:val="00E07511"/>
    <w:rsid w:val="00E07955"/>
    <w:rsid w:val="00E07B62"/>
    <w:rsid w:val="00E07C2D"/>
    <w:rsid w:val="00E07DD8"/>
    <w:rsid w:val="00E07E9C"/>
    <w:rsid w:val="00E07EB8"/>
    <w:rsid w:val="00E07F78"/>
    <w:rsid w:val="00E1015B"/>
    <w:rsid w:val="00E10385"/>
    <w:rsid w:val="00E103F8"/>
    <w:rsid w:val="00E10CD3"/>
    <w:rsid w:val="00E10DDF"/>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A8E"/>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F6"/>
    <w:rsid w:val="00E1462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F85"/>
    <w:rsid w:val="00E172CA"/>
    <w:rsid w:val="00E1738E"/>
    <w:rsid w:val="00E174D6"/>
    <w:rsid w:val="00E17545"/>
    <w:rsid w:val="00E17A6E"/>
    <w:rsid w:val="00E20190"/>
    <w:rsid w:val="00E2034C"/>
    <w:rsid w:val="00E20392"/>
    <w:rsid w:val="00E204FE"/>
    <w:rsid w:val="00E206C3"/>
    <w:rsid w:val="00E20AA7"/>
    <w:rsid w:val="00E20B39"/>
    <w:rsid w:val="00E20DF1"/>
    <w:rsid w:val="00E20DF5"/>
    <w:rsid w:val="00E20E9D"/>
    <w:rsid w:val="00E20FCC"/>
    <w:rsid w:val="00E211C5"/>
    <w:rsid w:val="00E21364"/>
    <w:rsid w:val="00E21697"/>
    <w:rsid w:val="00E21823"/>
    <w:rsid w:val="00E21A01"/>
    <w:rsid w:val="00E21BC5"/>
    <w:rsid w:val="00E21C6C"/>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9A4"/>
    <w:rsid w:val="00E25A72"/>
    <w:rsid w:val="00E25B4C"/>
    <w:rsid w:val="00E25CCF"/>
    <w:rsid w:val="00E25D73"/>
    <w:rsid w:val="00E25F74"/>
    <w:rsid w:val="00E25FD4"/>
    <w:rsid w:val="00E26300"/>
    <w:rsid w:val="00E263D8"/>
    <w:rsid w:val="00E26692"/>
    <w:rsid w:val="00E26852"/>
    <w:rsid w:val="00E269D7"/>
    <w:rsid w:val="00E26D53"/>
    <w:rsid w:val="00E26DA6"/>
    <w:rsid w:val="00E26E81"/>
    <w:rsid w:val="00E2716E"/>
    <w:rsid w:val="00E27435"/>
    <w:rsid w:val="00E27587"/>
    <w:rsid w:val="00E2767F"/>
    <w:rsid w:val="00E276DE"/>
    <w:rsid w:val="00E27A53"/>
    <w:rsid w:val="00E27C79"/>
    <w:rsid w:val="00E27D41"/>
    <w:rsid w:val="00E300BD"/>
    <w:rsid w:val="00E3083D"/>
    <w:rsid w:val="00E30897"/>
    <w:rsid w:val="00E309D2"/>
    <w:rsid w:val="00E30ACA"/>
    <w:rsid w:val="00E30DFF"/>
    <w:rsid w:val="00E30E94"/>
    <w:rsid w:val="00E31064"/>
    <w:rsid w:val="00E311E3"/>
    <w:rsid w:val="00E313E0"/>
    <w:rsid w:val="00E317EA"/>
    <w:rsid w:val="00E318E0"/>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AA5"/>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D4D"/>
    <w:rsid w:val="00E36EE5"/>
    <w:rsid w:val="00E36FC6"/>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1A85"/>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2FA"/>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5"/>
    <w:rsid w:val="00E509AB"/>
    <w:rsid w:val="00E509DF"/>
    <w:rsid w:val="00E50CEC"/>
    <w:rsid w:val="00E50EF3"/>
    <w:rsid w:val="00E5199E"/>
    <w:rsid w:val="00E51B67"/>
    <w:rsid w:val="00E51E55"/>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44"/>
    <w:rsid w:val="00E553FE"/>
    <w:rsid w:val="00E555C5"/>
    <w:rsid w:val="00E55679"/>
    <w:rsid w:val="00E55F2E"/>
    <w:rsid w:val="00E561B5"/>
    <w:rsid w:val="00E5640A"/>
    <w:rsid w:val="00E56599"/>
    <w:rsid w:val="00E568A7"/>
    <w:rsid w:val="00E56C87"/>
    <w:rsid w:val="00E56F06"/>
    <w:rsid w:val="00E57AE6"/>
    <w:rsid w:val="00E57B4C"/>
    <w:rsid w:val="00E57B97"/>
    <w:rsid w:val="00E57CA4"/>
    <w:rsid w:val="00E57CB5"/>
    <w:rsid w:val="00E57EEF"/>
    <w:rsid w:val="00E5EDFF"/>
    <w:rsid w:val="00E60523"/>
    <w:rsid w:val="00E60648"/>
    <w:rsid w:val="00E608B4"/>
    <w:rsid w:val="00E608D3"/>
    <w:rsid w:val="00E60C56"/>
    <w:rsid w:val="00E60FA3"/>
    <w:rsid w:val="00E613AB"/>
    <w:rsid w:val="00E6148E"/>
    <w:rsid w:val="00E6178E"/>
    <w:rsid w:val="00E61919"/>
    <w:rsid w:val="00E61B0B"/>
    <w:rsid w:val="00E61C4A"/>
    <w:rsid w:val="00E61D41"/>
    <w:rsid w:val="00E61F89"/>
    <w:rsid w:val="00E61FA1"/>
    <w:rsid w:val="00E61FC7"/>
    <w:rsid w:val="00E61FE8"/>
    <w:rsid w:val="00E624A7"/>
    <w:rsid w:val="00E627F5"/>
    <w:rsid w:val="00E62827"/>
    <w:rsid w:val="00E628DA"/>
    <w:rsid w:val="00E62A3B"/>
    <w:rsid w:val="00E62F23"/>
    <w:rsid w:val="00E630DE"/>
    <w:rsid w:val="00E635A3"/>
    <w:rsid w:val="00E6372E"/>
    <w:rsid w:val="00E637E2"/>
    <w:rsid w:val="00E63EE0"/>
    <w:rsid w:val="00E63FEC"/>
    <w:rsid w:val="00E64107"/>
    <w:rsid w:val="00E6462F"/>
    <w:rsid w:val="00E64C05"/>
    <w:rsid w:val="00E64EF3"/>
    <w:rsid w:val="00E64F2A"/>
    <w:rsid w:val="00E65083"/>
    <w:rsid w:val="00E653A1"/>
    <w:rsid w:val="00E65564"/>
    <w:rsid w:val="00E6599E"/>
    <w:rsid w:val="00E65A14"/>
    <w:rsid w:val="00E65A52"/>
    <w:rsid w:val="00E65A67"/>
    <w:rsid w:val="00E65B19"/>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CE1"/>
    <w:rsid w:val="00E66F28"/>
    <w:rsid w:val="00E6721B"/>
    <w:rsid w:val="00E67357"/>
    <w:rsid w:val="00E674BF"/>
    <w:rsid w:val="00E678AD"/>
    <w:rsid w:val="00E67998"/>
    <w:rsid w:val="00E67BA0"/>
    <w:rsid w:val="00E67E01"/>
    <w:rsid w:val="00E70014"/>
    <w:rsid w:val="00E701EB"/>
    <w:rsid w:val="00E7034D"/>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CD4"/>
    <w:rsid w:val="00E71DA5"/>
    <w:rsid w:val="00E7206D"/>
    <w:rsid w:val="00E720FB"/>
    <w:rsid w:val="00E72697"/>
    <w:rsid w:val="00E72926"/>
    <w:rsid w:val="00E72C50"/>
    <w:rsid w:val="00E72ECE"/>
    <w:rsid w:val="00E72F7C"/>
    <w:rsid w:val="00E73082"/>
    <w:rsid w:val="00E73231"/>
    <w:rsid w:val="00E7337C"/>
    <w:rsid w:val="00E73745"/>
    <w:rsid w:val="00E73865"/>
    <w:rsid w:val="00E73A7D"/>
    <w:rsid w:val="00E73BF9"/>
    <w:rsid w:val="00E73E41"/>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202"/>
    <w:rsid w:val="00E762C5"/>
    <w:rsid w:val="00E763A2"/>
    <w:rsid w:val="00E7641C"/>
    <w:rsid w:val="00E7642C"/>
    <w:rsid w:val="00E764AC"/>
    <w:rsid w:val="00E765E8"/>
    <w:rsid w:val="00E77057"/>
    <w:rsid w:val="00E7732E"/>
    <w:rsid w:val="00E773E4"/>
    <w:rsid w:val="00E7740C"/>
    <w:rsid w:val="00E77432"/>
    <w:rsid w:val="00E77600"/>
    <w:rsid w:val="00E776BB"/>
    <w:rsid w:val="00E777E4"/>
    <w:rsid w:val="00E77B4C"/>
    <w:rsid w:val="00E77CA0"/>
    <w:rsid w:val="00E77CAD"/>
    <w:rsid w:val="00E77FA8"/>
    <w:rsid w:val="00E80015"/>
    <w:rsid w:val="00E8026D"/>
    <w:rsid w:val="00E8030A"/>
    <w:rsid w:val="00E80500"/>
    <w:rsid w:val="00E8094F"/>
    <w:rsid w:val="00E80A2B"/>
    <w:rsid w:val="00E80C42"/>
    <w:rsid w:val="00E80F4F"/>
    <w:rsid w:val="00E813C0"/>
    <w:rsid w:val="00E81459"/>
    <w:rsid w:val="00E8169F"/>
    <w:rsid w:val="00E82093"/>
    <w:rsid w:val="00E821F0"/>
    <w:rsid w:val="00E82324"/>
    <w:rsid w:val="00E82471"/>
    <w:rsid w:val="00E8265B"/>
    <w:rsid w:val="00E826FB"/>
    <w:rsid w:val="00E8271A"/>
    <w:rsid w:val="00E8286F"/>
    <w:rsid w:val="00E8293D"/>
    <w:rsid w:val="00E82AE3"/>
    <w:rsid w:val="00E82FD4"/>
    <w:rsid w:val="00E8303D"/>
    <w:rsid w:val="00E8324C"/>
    <w:rsid w:val="00E835C1"/>
    <w:rsid w:val="00E83DC0"/>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ACF"/>
    <w:rsid w:val="00E85B5F"/>
    <w:rsid w:val="00E85BE3"/>
    <w:rsid w:val="00E85C82"/>
    <w:rsid w:val="00E85F3D"/>
    <w:rsid w:val="00E8639A"/>
    <w:rsid w:val="00E86577"/>
    <w:rsid w:val="00E86799"/>
    <w:rsid w:val="00E86D66"/>
    <w:rsid w:val="00E87307"/>
    <w:rsid w:val="00E87313"/>
    <w:rsid w:val="00E87333"/>
    <w:rsid w:val="00E87362"/>
    <w:rsid w:val="00E8748C"/>
    <w:rsid w:val="00E87722"/>
    <w:rsid w:val="00E87744"/>
    <w:rsid w:val="00E87A47"/>
    <w:rsid w:val="00E87D94"/>
    <w:rsid w:val="00E87F55"/>
    <w:rsid w:val="00E87FC4"/>
    <w:rsid w:val="00E90924"/>
    <w:rsid w:val="00E90A1C"/>
    <w:rsid w:val="00E91109"/>
    <w:rsid w:val="00E9155C"/>
    <w:rsid w:val="00E9161A"/>
    <w:rsid w:val="00E918A6"/>
    <w:rsid w:val="00E91BB1"/>
    <w:rsid w:val="00E91BB4"/>
    <w:rsid w:val="00E91C63"/>
    <w:rsid w:val="00E91CD1"/>
    <w:rsid w:val="00E91E00"/>
    <w:rsid w:val="00E92191"/>
    <w:rsid w:val="00E922BF"/>
    <w:rsid w:val="00E9259F"/>
    <w:rsid w:val="00E926C9"/>
    <w:rsid w:val="00E92755"/>
    <w:rsid w:val="00E92762"/>
    <w:rsid w:val="00E92AEE"/>
    <w:rsid w:val="00E93126"/>
    <w:rsid w:val="00E93279"/>
    <w:rsid w:val="00E93799"/>
    <w:rsid w:val="00E93D4E"/>
    <w:rsid w:val="00E93FE0"/>
    <w:rsid w:val="00E940B2"/>
    <w:rsid w:val="00E946BB"/>
    <w:rsid w:val="00E9543D"/>
    <w:rsid w:val="00E95626"/>
    <w:rsid w:val="00E95723"/>
    <w:rsid w:val="00E95859"/>
    <w:rsid w:val="00E95AE1"/>
    <w:rsid w:val="00E95B16"/>
    <w:rsid w:val="00E95BFB"/>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2C9"/>
    <w:rsid w:val="00E9742E"/>
    <w:rsid w:val="00E97485"/>
    <w:rsid w:val="00E97584"/>
    <w:rsid w:val="00E9772C"/>
    <w:rsid w:val="00E97795"/>
    <w:rsid w:val="00E977AA"/>
    <w:rsid w:val="00E977DB"/>
    <w:rsid w:val="00E97864"/>
    <w:rsid w:val="00E97D5E"/>
    <w:rsid w:val="00E97E68"/>
    <w:rsid w:val="00EA0241"/>
    <w:rsid w:val="00EA045F"/>
    <w:rsid w:val="00EA04DA"/>
    <w:rsid w:val="00EA0616"/>
    <w:rsid w:val="00EA0667"/>
    <w:rsid w:val="00EA0B1E"/>
    <w:rsid w:val="00EA0B68"/>
    <w:rsid w:val="00EA0D59"/>
    <w:rsid w:val="00EA0E76"/>
    <w:rsid w:val="00EA12AC"/>
    <w:rsid w:val="00EA135B"/>
    <w:rsid w:val="00EA1460"/>
    <w:rsid w:val="00EA16CF"/>
    <w:rsid w:val="00EA196E"/>
    <w:rsid w:val="00EA1A07"/>
    <w:rsid w:val="00EA1A27"/>
    <w:rsid w:val="00EA1B8C"/>
    <w:rsid w:val="00EA1C04"/>
    <w:rsid w:val="00EA1DFB"/>
    <w:rsid w:val="00EA2194"/>
    <w:rsid w:val="00EA2267"/>
    <w:rsid w:val="00EA2441"/>
    <w:rsid w:val="00EA2903"/>
    <w:rsid w:val="00EA298F"/>
    <w:rsid w:val="00EA2B7A"/>
    <w:rsid w:val="00EA2F75"/>
    <w:rsid w:val="00EA3018"/>
    <w:rsid w:val="00EA3324"/>
    <w:rsid w:val="00EA33A6"/>
    <w:rsid w:val="00EA3E2B"/>
    <w:rsid w:val="00EA4240"/>
    <w:rsid w:val="00EA42F1"/>
    <w:rsid w:val="00EA4682"/>
    <w:rsid w:val="00EA4794"/>
    <w:rsid w:val="00EA487F"/>
    <w:rsid w:val="00EA49CD"/>
    <w:rsid w:val="00EA4A6D"/>
    <w:rsid w:val="00EA4EA4"/>
    <w:rsid w:val="00EA4EA8"/>
    <w:rsid w:val="00EA50D8"/>
    <w:rsid w:val="00EA51F1"/>
    <w:rsid w:val="00EA522B"/>
    <w:rsid w:val="00EA5A22"/>
    <w:rsid w:val="00EA5A4F"/>
    <w:rsid w:val="00EA5AFA"/>
    <w:rsid w:val="00EA5B6F"/>
    <w:rsid w:val="00EA6602"/>
    <w:rsid w:val="00EA6ECA"/>
    <w:rsid w:val="00EA7007"/>
    <w:rsid w:val="00EA73A2"/>
    <w:rsid w:val="00EA75DC"/>
    <w:rsid w:val="00EA7828"/>
    <w:rsid w:val="00EA7A72"/>
    <w:rsid w:val="00EA7C4C"/>
    <w:rsid w:val="00EB0340"/>
    <w:rsid w:val="00EB077B"/>
    <w:rsid w:val="00EB07CF"/>
    <w:rsid w:val="00EB09B7"/>
    <w:rsid w:val="00EB0B6C"/>
    <w:rsid w:val="00EB0EB9"/>
    <w:rsid w:val="00EB0EEC"/>
    <w:rsid w:val="00EB190B"/>
    <w:rsid w:val="00EB1CD5"/>
    <w:rsid w:val="00EB1CE6"/>
    <w:rsid w:val="00EB1DAC"/>
    <w:rsid w:val="00EB1E29"/>
    <w:rsid w:val="00EB2769"/>
    <w:rsid w:val="00EB2800"/>
    <w:rsid w:val="00EB2874"/>
    <w:rsid w:val="00EB28DB"/>
    <w:rsid w:val="00EB29DD"/>
    <w:rsid w:val="00EB2A0D"/>
    <w:rsid w:val="00EB2F87"/>
    <w:rsid w:val="00EB2FD2"/>
    <w:rsid w:val="00EB2FDD"/>
    <w:rsid w:val="00EB3011"/>
    <w:rsid w:val="00EB303B"/>
    <w:rsid w:val="00EB3664"/>
    <w:rsid w:val="00EB3DA5"/>
    <w:rsid w:val="00EB3F1C"/>
    <w:rsid w:val="00EB416E"/>
    <w:rsid w:val="00EB4A71"/>
    <w:rsid w:val="00EB4D0F"/>
    <w:rsid w:val="00EB52C9"/>
    <w:rsid w:val="00EB534E"/>
    <w:rsid w:val="00EB5353"/>
    <w:rsid w:val="00EB59CA"/>
    <w:rsid w:val="00EB5B9D"/>
    <w:rsid w:val="00EB6402"/>
    <w:rsid w:val="00EB68EF"/>
    <w:rsid w:val="00EB6B54"/>
    <w:rsid w:val="00EB6BB7"/>
    <w:rsid w:val="00EB6BF9"/>
    <w:rsid w:val="00EB7333"/>
    <w:rsid w:val="00EB749E"/>
    <w:rsid w:val="00EB74A6"/>
    <w:rsid w:val="00EB76E7"/>
    <w:rsid w:val="00EB7788"/>
    <w:rsid w:val="00EB797E"/>
    <w:rsid w:val="00EB7AE0"/>
    <w:rsid w:val="00EB7EDD"/>
    <w:rsid w:val="00EB7EF5"/>
    <w:rsid w:val="00EB7F52"/>
    <w:rsid w:val="00EB7FF5"/>
    <w:rsid w:val="00EC01B0"/>
    <w:rsid w:val="00EC02E9"/>
    <w:rsid w:val="00EC0667"/>
    <w:rsid w:val="00EC0743"/>
    <w:rsid w:val="00EC094E"/>
    <w:rsid w:val="00EC0A27"/>
    <w:rsid w:val="00EC0B35"/>
    <w:rsid w:val="00EC0EB6"/>
    <w:rsid w:val="00EC0ED6"/>
    <w:rsid w:val="00EC13C2"/>
    <w:rsid w:val="00EC16BB"/>
    <w:rsid w:val="00EC1834"/>
    <w:rsid w:val="00EC1861"/>
    <w:rsid w:val="00EC19EA"/>
    <w:rsid w:val="00EC19F4"/>
    <w:rsid w:val="00EC1A4F"/>
    <w:rsid w:val="00EC1B80"/>
    <w:rsid w:val="00EC1DEF"/>
    <w:rsid w:val="00EC24CD"/>
    <w:rsid w:val="00EC269B"/>
    <w:rsid w:val="00EC26D3"/>
    <w:rsid w:val="00EC29C2"/>
    <w:rsid w:val="00EC2C0C"/>
    <w:rsid w:val="00EC2CA9"/>
    <w:rsid w:val="00EC3425"/>
    <w:rsid w:val="00EC3557"/>
    <w:rsid w:val="00EC37A8"/>
    <w:rsid w:val="00EC38B5"/>
    <w:rsid w:val="00EC39C6"/>
    <w:rsid w:val="00EC3A6B"/>
    <w:rsid w:val="00EC3BFE"/>
    <w:rsid w:val="00EC3D09"/>
    <w:rsid w:val="00EC3F3C"/>
    <w:rsid w:val="00EC4B5E"/>
    <w:rsid w:val="00EC4BDF"/>
    <w:rsid w:val="00EC4F5E"/>
    <w:rsid w:val="00EC4F76"/>
    <w:rsid w:val="00EC4F80"/>
    <w:rsid w:val="00EC4FF8"/>
    <w:rsid w:val="00EC52EE"/>
    <w:rsid w:val="00EC58D5"/>
    <w:rsid w:val="00EC58D8"/>
    <w:rsid w:val="00EC6183"/>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5D0"/>
    <w:rsid w:val="00ED067C"/>
    <w:rsid w:val="00ED0CB4"/>
    <w:rsid w:val="00ED1353"/>
    <w:rsid w:val="00ED1686"/>
    <w:rsid w:val="00ED1CD0"/>
    <w:rsid w:val="00ED20C8"/>
    <w:rsid w:val="00ED21AB"/>
    <w:rsid w:val="00ED2824"/>
    <w:rsid w:val="00ED2C72"/>
    <w:rsid w:val="00ED3995"/>
    <w:rsid w:val="00ED3B96"/>
    <w:rsid w:val="00ED4495"/>
    <w:rsid w:val="00ED44D6"/>
    <w:rsid w:val="00ED465C"/>
    <w:rsid w:val="00ED4867"/>
    <w:rsid w:val="00ED4E07"/>
    <w:rsid w:val="00ED542F"/>
    <w:rsid w:val="00ED5905"/>
    <w:rsid w:val="00ED59D0"/>
    <w:rsid w:val="00ED5C0F"/>
    <w:rsid w:val="00ED602B"/>
    <w:rsid w:val="00ED6042"/>
    <w:rsid w:val="00ED61AC"/>
    <w:rsid w:val="00ED63A3"/>
    <w:rsid w:val="00ED6AD4"/>
    <w:rsid w:val="00ED6B96"/>
    <w:rsid w:val="00ED6D5D"/>
    <w:rsid w:val="00ED6ED5"/>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916"/>
    <w:rsid w:val="00EE3964"/>
    <w:rsid w:val="00EE3B00"/>
    <w:rsid w:val="00EE3F7C"/>
    <w:rsid w:val="00EE442F"/>
    <w:rsid w:val="00EE4465"/>
    <w:rsid w:val="00EE45B8"/>
    <w:rsid w:val="00EE49A5"/>
    <w:rsid w:val="00EE4A2C"/>
    <w:rsid w:val="00EE4AA2"/>
    <w:rsid w:val="00EE4BBF"/>
    <w:rsid w:val="00EE4EC1"/>
    <w:rsid w:val="00EE5154"/>
    <w:rsid w:val="00EE56C9"/>
    <w:rsid w:val="00EE5ADD"/>
    <w:rsid w:val="00EE5D24"/>
    <w:rsid w:val="00EE5F0D"/>
    <w:rsid w:val="00EE623A"/>
    <w:rsid w:val="00EE664D"/>
    <w:rsid w:val="00EE67DD"/>
    <w:rsid w:val="00EE6C68"/>
    <w:rsid w:val="00EE6F30"/>
    <w:rsid w:val="00EE72D1"/>
    <w:rsid w:val="00EE72E4"/>
    <w:rsid w:val="00EE7551"/>
    <w:rsid w:val="00EE7572"/>
    <w:rsid w:val="00EE75D7"/>
    <w:rsid w:val="00EE77A2"/>
    <w:rsid w:val="00EF004A"/>
    <w:rsid w:val="00EF03FF"/>
    <w:rsid w:val="00EF04B5"/>
    <w:rsid w:val="00EF0973"/>
    <w:rsid w:val="00EF0E5A"/>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5144"/>
    <w:rsid w:val="00EF526B"/>
    <w:rsid w:val="00EF5C68"/>
    <w:rsid w:val="00EF60FE"/>
    <w:rsid w:val="00EF6281"/>
    <w:rsid w:val="00EF6321"/>
    <w:rsid w:val="00EF6422"/>
    <w:rsid w:val="00EF6489"/>
    <w:rsid w:val="00EF661D"/>
    <w:rsid w:val="00EF66FF"/>
    <w:rsid w:val="00EF695C"/>
    <w:rsid w:val="00EF6DD2"/>
    <w:rsid w:val="00EF6ECD"/>
    <w:rsid w:val="00EF6EF5"/>
    <w:rsid w:val="00EF7072"/>
    <w:rsid w:val="00EF7523"/>
    <w:rsid w:val="00EF7658"/>
    <w:rsid w:val="00EF76ED"/>
    <w:rsid w:val="00EF7798"/>
    <w:rsid w:val="00EF784C"/>
    <w:rsid w:val="00EF7989"/>
    <w:rsid w:val="00EF79D3"/>
    <w:rsid w:val="00EF7A3F"/>
    <w:rsid w:val="00EF7E61"/>
    <w:rsid w:val="00F0094C"/>
    <w:rsid w:val="00F009AF"/>
    <w:rsid w:val="00F00A8E"/>
    <w:rsid w:val="00F00ABB"/>
    <w:rsid w:val="00F00AD5"/>
    <w:rsid w:val="00F00B17"/>
    <w:rsid w:val="00F00FE0"/>
    <w:rsid w:val="00F012B2"/>
    <w:rsid w:val="00F0135A"/>
    <w:rsid w:val="00F01670"/>
    <w:rsid w:val="00F01A65"/>
    <w:rsid w:val="00F01C08"/>
    <w:rsid w:val="00F02197"/>
    <w:rsid w:val="00F0219B"/>
    <w:rsid w:val="00F023D8"/>
    <w:rsid w:val="00F02440"/>
    <w:rsid w:val="00F02465"/>
    <w:rsid w:val="00F02500"/>
    <w:rsid w:val="00F027C0"/>
    <w:rsid w:val="00F02862"/>
    <w:rsid w:val="00F02901"/>
    <w:rsid w:val="00F02C97"/>
    <w:rsid w:val="00F037F9"/>
    <w:rsid w:val="00F03837"/>
    <w:rsid w:val="00F03934"/>
    <w:rsid w:val="00F03A90"/>
    <w:rsid w:val="00F03B2B"/>
    <w:rsid w:val="00F03B5F"/>
    <w:rsid w:val="00F03DB0"/>
    <w:rsid w:val="00F04345"/>
    <w:rsid w:val="00F045F1"/>
    <w:rsid w:val="00F0480B"/>
    <w:rsid w:val="00F0481A"/>
    <w:rsid w:val="00F049E6"/>
    <w:rsid w:val="00F049E8"/>
    <w:rsid w:val="00F04F72"/>
    <w:rsid w:val="00F050D8"/>
    <w:rsid w:val="00F0544C"/>
    <w:rsid w:val="00F054F5"/>
    <w:rsid w:val="00F05602"/>
    <w:rsid w:val="00F059C8"/>
    <w:rsid w:val="00F05A7F"/>
    <w:rsid w:val="00F05A8D"/>
    <w:rsid w:val="00F05C9A"/>
    <w:rsid w:val="00F05D80"/>
    <w:rsid w:val="00F06830"/>
    <w:rsid w:val="00F06A6B"/>
    <w:rsid w:val="00F06D2A"/>
    <w:rsid w:val="00F06E36"/>
    <w:rsid w:val="00F07501"/>
    <w:rsid w:val="00F07789"/>
    <w:rsid w:val="00F102C5"/>
    <w:rsid w:val="00F104E1"/>
    <w:rsid w:val="00F10541"/>
    <w:rsid w:val="00F109AA"/>
    <w:rsid w:val="00F10DA5"/>
    <w:rsid w:val="00F110EE"/>
    <w:rsid w:val="00F11159"/>
    <w:rsid w:val="00F11195"/>
    <w:rsid w:val="00F11230"/>
    <w:rsid w:val="00F11A18"/>
    <w:rsid w:val="00F11C38"/>
    <w:rsid w:val="00F11F62"/>
    <w:rsid w:val="00F12941"/>
    <w:rsid w:val="00F12BFC"/>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E67"/>
    <w:rsid w:val="00F14FC2"/>
    <w:rsid w:val="00F150F8"/>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687"/>
    <w:rsid w:val="00F247D4"/>
    <w:rsid w:val="00F24A48"/>
    <w:rsid w:val="00F24A59"/>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508"/>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41"/>
    <w:rsid w:val="00F338BB"/>
    <w:rsid w:val="00F33B7B"/>
    <w:rsid w:val="00F33BD4"/>
    <w:rsid w:val="00F33FE4"/>
    <w:rsid w:val="00F34561"/>
    <w:rsid w:val="00F3457F"/>
    <w:rsid w:val="00F34AA8"/>
    <w:rsid w:val="00F34ADB"/>
    <w:rsid w:val="00F35160"/>
    <w:rsid w:val="00F351CA"/>
    <w:rsid w:val="00F35587"/>
    <w:rsid w:val="00F35A7F"/>
    <w:rsid w:val="00F35FE0"/>
    <w:rsid w:val="00F36149"/>
    <w:rsid w:val="00F3623A"/>
    <w:rsid w:val="00F36356"/>
    <w:rsid w:val="00F36674"/>
    <w:rsid w:val="00F368F8"/>
    <w:rsid w:val="00F36B39"/>
    <w:rsid w:val="00F3716D"/>
    <w:rsid w:val="00F37280"/>
    <w:rsid w:val="00F37762"/>
    <w:rsid w:val="00F377AF"/>
    <w:rsid w:val="00F37864"/>
    <w:rsid w:val="00F37875"/>
    <w:rsid w:val="00F3793F"/>
    <w:rsid w:val="00F37EB0"/>
    <w:rsid w:val="00F4010B"/>
    <w:rsid w:val="00F40286"/>
    <w:rsid w:val="00F406DD"/>
    <w:rsid w:val="00F4089B"/>
    <w:rsid w:val="00F40ABB"/>
    <w:rsid w:val="00F40ADA"/>
    <w:rsid w:val="00F40AED"/>
    <w:rsid w:val="00F40B8A"/>
    <w:rsid w:val="00F40E97"/>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20CB"/>
    <w:rsid w:val="00F42490"/>
    <w:rsid w:val="00F426B7"/>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23C"/>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159"/>
    <w:rsid w:val="00F562DA"/>
    <w:rsid w:val="00F564A3"/>
    <w:rsid w:val="00F564A4"/>
    <w:rsid w:val="00F56655"/>
    <w:rsid w:val="00F566D5"/>
    <w:rsid w:val="00F56B2A"/>
    <w:rsid w:val="00F56CFC"/>
    <w:rsid w:val="00F56E21"/>
    <w:rsid w:val="00F571FA"/>
    <w:rsid w:val="00F573B6"/>
    <w:rsid w:val="00F5741C"/>
    <w:rsid w:val="00F575D2"/>
    <w:rsid w:val="00F575E0"/>
    <w:rsid w:val="00F578FC"/>
    <w:rsid w:val="00F57AA8"/>
    <w:rsid w:val="00F57ADE"/>
    <w:rsid w:val="00F57C34"/>
    <w:rsid w:val="00F5D94E"/>
    <w:rsid w:val="00F60108"/>
    <w:rsid w:val="00F60127"/>
    <w:rsid w:val="00F603BA"/>
    <w:rsid w:val="00F60A09"/>
    <w:rsid w:val="00F61502"/>
    <w:rsid w:val="00F61505"/>
    <w:rsid w:val="00F619A9"/>
    <w:rsid w:val="00F61CC0"/>
    <w:rsid w:val="00F61DDA"/>
    <w:rsid w:val="00F62114"/>
    <w:rsid w:val="00F623A6"/>
    <w:rsid w:val="00F623D5"/>
    <w:rsid w:val="00F624BA"/>
    <w:rsid w:val="00F62577"/>
    <w:rsid w:val="00F62583"/>
    <w:rsid w:val="00F62900"/>
    <w:rsid w:val="00F62986"/>
    <w:rsid w:val="00F62A20"/>
    <w:rsid w:val="00F62CC8"/>
    <w:rsid w:val="00F63311"/>
    <w:rsid w:val="00F63851"/>
    <w:rsid w:val="00F63A58"/>
    <w:rsid w:val="00F63E86"/>
    <w:rsid w:val="00F64115"/>
    <w:rsid w:val="00F6434A"/>
    <w:rsid w:val="00F646F5"/>
    <w:rsid w:val="00F64751"/>
    <w:rsid w:val="00F65515"/>
    <w:rsid w:val="00F6564C"/>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5B"/>
    <w:rsid w:val="00F67F9C"/>
    <w:rsid w:val="00F70381"/>
    <w:rsid w:val="00F709B2"/>
    <w:rsid w:val="00F70B5F"/>
    <w:rsid w:val="00F7118F"/>
    <w:rsid w:val="00F712A5"/>
    <w:rsid w:val="00F715FB"/>
    <w:rsid w:val="00F7161A"/>
    <w:rsid w:val="00F717EA"/>
    <w:rsid w:val="00F71882"/>
    <w:rsid w:val="00F71943"/>
    <w:rsid w:val="00F719C9"/>
    <w:rsid w:val="00F71A0F"/>
    <w:rsid w:val="00F71BB1"/>
    <w:rsid w:val="00F71C38"/>
    <w:rsid w:val="00F71D32"/>
    <w:rsid w:val="00F71E64"/>
    <w:rsid w:val="00F71E7E"/>
    <w:rsid w:val="00F71F2D"/>
    <w:rsid w:val="00F71FC2"/>
    <w:rsid w:val="00F726C0"/>
    <w:rsid w:val="00F72B89"/>
    <w:rsid w:val="00F72BCD"/>
    <w:rsid w:val="00F72C22"/>
    <w:rsid w:val="00F72DC8"/>
    <w:rsid w:val="00F72F1D"/>
    <w:rsid w:val="00F73277"/>
    <w:rsid w:val="00F73330"/>
    <w:rsid w:val="00F7381F"/>
    <w:rsid w:val="00F742FE"/>
    <w:rsid w:val="00F74427"/>
    <w:rsid w:val="00F7480D"/>
    <w:rsid w:val="00F74B21"/>
    <w:rsid w:val="00F74BC8"/>
    <w:rsid w:val="00F7520F"/>
    <w:rsid w:val="00F756D4"/>
    <w:rsid w:val="00F75F2B"/>
    <w:rsid w:val="00F7615F"/>
    <w:rsid w:val="00F762ED"/>
    <w:rsid w:val="00F76562"/>
    <w:rsid w:val="00F765D2"/>
    <w:rsid w:val="00F7674A"/>
    <w:rsid w:val="00F76BDA"/>
    <w:rsid w:val="00F76D01"/>
    <w:rsid w:val="00F770BE"/>
    <w:rsid w:val="00F773E1"/>
    <w:rsid w:val="00F7765A"/>
    <w:rsid w:val="00F776DF"/>
    <w:rsid w:val="00F77EAA"/>
    <w:rsid w:val="00F8049D"/>
    <w:rsid w:val="00F806AC"/>
    <w:rsid w:val="00F807CA"/>
    <w:rsid w:val="00F808E9"/>
    <w:rsid w:val="00F80D68"/>
    <w:rsid w:val="00F80D79"/>
    <w:rsid w:val="00F8102E"/>
    <w:rsid w:val="00F81434"/>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2E1"/>
    <w:rsid w:val="00F84779"/>
    <w:rsid w:val="00F84D8D"/>
    <w:rsid w:val="00F84E62"/>
    <w:rsid w:val="00F84EA8"/>
    <w:rsid w:val="00F84EF1"/>
    <w:rsid w:val="00F8553A"/>
    <w:rsid w:val="00F858E4"/>
    <w:rsid w:val="00F859E6"/>
    <w:rsid w:val="00F85D02"/>
    <w:rsid w:val="00F861B8"/>
    <w:rsid w:val="00F8625C"/>
    <w:rsid w:val="00F864F0"/>
    <w:rsid w:val="00F86B80"/>
    <w:rsid w:val="00F86EDE"/>
    <w:rsid w:val="00F86F57"/>
    <w:rsid w:val="00F875D2"/>
    <w:rsid w:val="00F8769A"/>
    <w:rsid w:val="00F8769C"/>
    <w:rsid w:val="00F876CC"/>
    <w:rsid w:val="00F876E5"/>
    <w:rsid w:val="00F87AA6"/>
    <w:rsid w:val="00F87F8A"/>
    <w:rsid w:val="00F90144"/>
    <w:rsid w:val="00F90229"/>
    <w:rsid w:val="00F90345"/>
    <w:rsid w:val="00F9035C"/>
    <w:rsid w:val="00F9051C"/>
    <w:rsid w:val="00F90788"/>
    <w:rsid w:val="00F909DD"/>
    <w:rsid w:val="00F90C44"/>
    <w:rsid w:val="00F90C5C"/>
    <w:rsid w:val="00F90D7F"/>
    <w:rsid w:val="00F90DA1"/>
    <w:rsid w:val="00F91322"/>
    <w:rsid w:val="00F91A11"/>
    <w:rsid w:val="00F91A18"/>
    <w:rsid w:val="00F91F66"/>
    <w:rsid w:val="00F92955"/>
    <w:rsid w:val="00F92987"/>
    <w:rsid w:val="00F92996"/>
    <w:rsid w:val="00F92BE5"/>
    <w:rsid w:val="00F92C36"/>
    <w:rsid w:val="00F92E01"/>
    <w:rsid w:val="00F92EAF"/>
    <w:rsid w:val="00F93288"/>
    <w:rsid w:val="00F93304"/>
    <w:rsid w:val="00F934D3"/>
    <w:rsid w:val="00F935A0"/>
    <w:rsid w:val="00F93733"/>
    <w:rsid w:val="00F937B7"/>
    <w:rsid w:val="00F939CB"/>
    <w:rsid w:val="00F94395"/>
    <w:rsid w:val="00F945E0"/>
    <w:rsid w:val="00F94837"/>
    <w:rsid w:val="00F9484E"/>
    <w:rsid w:val="00F948DD"/>
    <w:rsid w:val="00F94BDC"/>
    <w:rsid w:val="00F950B8"/>
    <w:rsid w:val="00F954AB"/>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1E72"/>
    <w:rsid w:val="00FA2708"/>
    <w:rsid w:val="00FA2727"/>
    <w:rsid w:val="00FA2771"/>
    <w:rsid w:val="00FA28AA"/>
    <w:rsid w:val="00FA2A3D"/>
    <w:rsid w:val="00FA2AB7"/>
    <w:rsid w:val="00FA2B96"/>
    <w:rsid w:val="00FA2E23"/>
    <w:rsid w:val="00FA31E3"/>
    <w:rsid w:val="00FA35E8"/>
    <w:rsid w:val="00FA3A0A"/>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945"/>
    <w:rsid w:val="00FB1A41"/>
    <w:rsid w:val="00FB1AE4"/>
    <w:rsid w:val="00FB1C06"/>
    <w:rsid w:val="00FB1C1E"/>
    <w:rsid w:val="00FB1D13"/>
    <w:rsid w:val="00FB22EF"/>
    <w:rsid w:val="00FB242F"/>
    <w:rsid w:val="00FB2508"/>
    <w:rsid w:val="00FB27B9"/>
    <w:rsid w:val="00FB27C1"/>
    <w:rsid w:val="00FB2BAD"/>
    <w:rsid w:val="00FB3151"/>
    <w:rsid w:val="00FB3ED3"/>
    <w:rsid w:val="00FB4279"/>
    <w:rsid w:val="00FB42AB"/>
    <w:rsid w:val="00FB45B7"/>
    <w:rsid w:val="00FB4942"/>
    <w:rsid w:val="00FB4967"/>
    <w:rsid w:val="00FB49AF"/>
    <w:rsid w:val="00FB4D53"/>
    <w:rsid w:val="00FB5182"/>
    <w:rsid w:val="00FB53E3"/>
    <w:rsid w:val="00FB566D"/>
    <w:rsid w:val="00FB587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934"/>
    <w:rsid w:val="00FB7B97"/>
    <w:rsid w:val="00FB7EF3"/>
    <w:rsid w:val="00FB7F6F"/>
    <w:rsid w:val="00FC0004"/>
    <w:rsid w:val="00FC0013"/>
    <w:rsid w:val="00FC00FE"/>
    <w:rsid w:val="00FC0193"/>
    <w:rsid w:val="00FC0DD5"/>
    <w:rsid w:val="00FC0E23"/>
    <w:rsid w:val="00FC13FD"/>
    <w:rsid w:val="00FC143F"/>
    <w:rsid w:val="00FC162E"/>
    <w:rsid w:val="00FC1993"/>
    <w:rsid w:val="00FC1D70"/>
    <w:rsid w:val="00FC1E5C"/>
    <w:rsid w:val="00FC1E9F"/>
    <w:rsid w:val="00FC1EE3"/>
    <w:rsid w:val="00FC20E6"/>
    <w:rsid w:val="00FC242A"/>
    <w:rsid w:val="00FC2434"/>
    <w:rsid w:val="00FC2537"/>
    <w:rsid w:val="00FC2867"/>
    <w:rsid w:val="00FC2886"/>
    <w:rsid w:val="00FC29ED"/>
    <w:rsid w:val="00FC32CE"/>
    <w:rsid w:val="00FC32D5"/>
    <w:rsid w:val="00FC33A7"/>
    <w:rsid w:val="00FC33E2"/>
    <w:rsid w:val="00FC3413"/>
    <w:rsid w:val="00FC34E1"/>
    <w:rsid w:val="00FC3608"/>
    <w:rsid w:val="00FC3E5D"/>
    <w:rsid w:val="00FC4058"/>
    <w:rsid w:val="00FC4181"/>
    <w:rsid w:val="00FC42E9"/>
    <w:rsid w:val="00FC4528"/>
    <w:rsid w:val="00FC48FE"/>
    <w:rsid w:val="00FC4D41"/>
    <w:rsid w:val="00FC4FC9"/>
    <w:rsid w:val="00FC52FB"/>
    <w:rsid w:val="00FC592E"/>
    <w:rsid w:val="00FC5937"/>
    <w:rsid w:val="00FC5FD2"/>
    <w:rsid w:val="00FC608D"/>
    <w:rsid w:val="00FC60A5"/>
    <w:rsid w:val="00FC617F"/>
    <w:rsid w:val="00FC6372"/>
    <w:rsid w:val="00FC63C2"/>
    <w:rsid w:val="00FC64F6"/>
    <w:rsid w:val="00FC656F"/>
    <w:rsid w:val="00FC672F"/>
    <w:rsid w:val="00FC6C6D"/>
    <w:rsid w:val="00FC6C8E"/>
    <w:rsid w:val="00FC6CCF"/>
    <w:rsid w:val="00FC720C"/>
    <w:rsid w:val="00FC73EB"/>
    <w:rsid w:val="00FD0BB7"/>
    <w:rsid w:val="00FD0CD2"/>
    <w:rsid w:val="00FD0E43"/>
    <w:rsid w:val="00FD0F39"/>
    <w:rsid w:val="00FD1555"/>
    <w:rsid w:val="00FD15B5"/>
    <w:rsid w:val="00FD1856"/>
    <w:rsid w:val="00FD1BD1"/>
    <w:rsid w:val="00FD1EA3"/>
    <w:rsid w:val="00FD1FBF"/>
    <w:rsid w:val="00FD2054"/>
    <w:rsid w:val="00FD20F4"/>
    <w:rsid w:val="00FD21B0"/>
    <w:rsid w:val="00FD2236"/>
    <w:rsid w:val="00FD22F7"/>
    <w:rsid w:val="00FD24E4"/>
    <w:rsid w:val="00FD2504"/>
    <w:rsid w:val="00FD2617"/>
    <w:rsid w:val="00FD263B"/>
    <w:rsid w:val="00FD275C"/>
    <w:rsid w:val="00FD2778"/>
    <w:rsid w:val="00FD27BD"/>
    <w:rsid w:val="00FD27FD"/>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DAB"/>
    <w:rsid w:val="00FD4E68"/>
    <w:rsid w:val="00FD4EB0"/>
    <w:rsid w:val="00FD4EF2"/>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1B9"/>
    <w:rsid w:val="00FD7445"/>
    <w:rsid w:val="00FD7AF4"/>
    <w:rsid w:val="00FD7B19"/>
    <w:rsid w:val="00FD7FD1"/>
    <w:rsid w:val="00FE00A5"/>
    <w:rsid w:val="00FE00B6"/>
    <w:rsid w:val="00FE00BC"/>
    <w:rsid w:val="00FE04B8"/>
    <w:rsid w:val="00FE0523"/>
    <w:rsid w:val="00FE1077"/>
    <w:rsid w:val="00FE1136"/>
    <w:rsid w:val="00FE12BF"/>
    <w:rsid w:val="00FE1773"/>
    <w:rsid w:val="00FE1813"/>
    <w:rsid w:val="00FE1AEA"/>
    <w:rsid w:val="00FE1F1C"/>
    <w:rsid w:val="00FE21BD"/>
    <w:rsid w:val="00FE2839"/>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491"/>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40D"/>
    <w:rsid w:val="00FF1807"/>
    <w:rsid w:val="00FF184D"/>
    <w:rsid w:val="00FF1E82"/>
    <w:rsid w:val="00FF1ECE"/>
    <w:rsid w:val="00FF1F20"/>
    <w:rsid w:val="00FF20A2"/>
    <w:rsid w:val="00FF20BC"/>
    <w:rsid w:val="00FF2247"/>
    <w:rsid w:val="00FF2284"/>
    <w:rsid w:val="00FF231A"/>
    <w:rsid w:val="00FF24A7"/>
    <w:rsid w:val="00FF26E3"/>
    <w:rsid w:val="00FF28C7"/>
    <w:rsid w:val="00FF2953"/>
    <w:rsid w:val="00FF2C24"/>
    <w:rsid w:val="00FF30F1"/>
    <w:rsid w:val="00FF3130"/>
    <w:rsid w:val="00FF313B"/>
    <w:rsid w:val="00FF3150"/>
    <w:rsid w:val="00FF31F7"/>
    <w:rsid w:val="00FF359D"/>
    <w:rsid w:val="00FF3C3C"/>
    <w:rsid w:val="00FF3DF5"/>
    <w:rsid w:val="00FF3F55"/>
    <w:rsid w:val="00FF4044"/>
    <w:rsid w:val="00FF43F0"/>
    <w:rsid w:val="00FF4B3F"/>
    <w:rsid w:val="00FF4D84"/>
    <w:rsid w:val="00FF524E"/>
    <w:rsid w:val="00FF52B6"/>
    <w:rsid w:val="00FF562A"/>
    <w:rsid w:val="00FF57D9"/>
    <w:rsid w:val="00FF585E"/>
    <w:rsid w:val="00FF5975"/>
    <w:rsid w:val="00FF5B6B"/>
    <w:rsid w:val="00FF5C2A"/>
    <w:rsid w:val="00FF5EEB"/>
    <w:rsid w:val="00FF6037"/>
    <w:rsid w:val="00FF6664"/>
    <w:rsid w:val="00FF6832"/>
    <w:rsid w:val="00FF6A9D"/>
    <w:rsid w:val="00FF6BB9"/>
    <w:rsid w:val="00FF6F78"/>
    <w:rsid w:val="00FF6FBA"/>
    <w:rsid w:val="00FF7211"/>
    <w:rsid w:val="00FF7E98"/>
    <w:rsid w:val="0167EEC2"/>
    <w:rsid w:val="0170C0B5"/>
    <w:rsid w:val="017BD580"/>
    <w:rsid w:val="018714E5"/>
    <w:rsid w:val="01A841E1"/>
    <w:rsid w:val="01D3F7CF"/>
    <w:rsid w:val="01D6A42C"/>
    <w:rsid w:val="01E84CEF"/>
    <w:rsid w:val="01E907F4"/>
    <w:rsid w:val="01EDC42F"/>
    <w:rsid w:val="025A41F8"/>
    <w:rsid w:val="02620B4E"/>
    <w:rsid w:val="0298E4AE"/>
    <w:rsid w:val="02CF1828"/>
    <w:rsid w:val="02D4225C"/>
    <w:rsid w:val="02D6E30D"/>
    <w:rsid w:val="02DFB37A"/>
    <w:rsid w:val="02E3D0EE"/>
    <w:rsid w:val="030C9116"/>
    <w:rsid w:val="034916BD"/>
    <w:rsid w:val="0368956A"/>
    <w:rsid w:val="038C7976"/>
    <w:rsid w:val="03E99283"/>
    <w:rsid w:val="03FFD6AC"/>
    <w:rsid w:val="04261A34"/>
    <w:rsid w:val="044CBDC9"/>
    <w:rsid w:val="044F994C"/>
    <w:rsid w:val="04774578"/>
    <w:rsid w:val="047E1644"/>
    <w:rsid w:val="04B2D7DC"/>
    <w:rsid w:val="04B9BECD"/>
    <w:rsid w:val="04D005E5"/>
    <w:rsid w:val="04F695D5"/>
    <w:rsid w:val="05282C90"/>
    <w:rsid w:val="05585C6B"/>
    <w:rsid w:val="05784A26"/>
    <w:rsid w:val="05C3E1A9"/>
    <w:rsid w:val="05D8EA57"/>
    <w:rsid w:val="05E3E805"/>
    <w:rsid w:val="05E6085C"/>
    <w:rsid w:val="05E66C18"/>
    <w:rsid w:val="05EA43D8"/>
    <w:rsid w:val="060BC31E"/>
    <w:rsid w:val="06213C0E"/>
    <w:rsid w:val="06527A73"/>
    <w:rsid w:val="0666C861"/>
    <w:rsid w:val="0673A08F"/>
    <w:rsid w:val="069EBA24"/>
    <w:rsid w:val="070EA71E"/>
    <w:rsid w:val="07167502"/>
    <w:rsid w:val="073EBF1E"/>
    <w:rsid w:val="0741ED4A"/>
    <w:rsid w:val="074D438F"/>
    <w:rsid w:val="077B1B22"/>
    <w:rsid w:val="07A3C94C"/>
    <w:rsid w:val="07A5DC71"/>
    <w:rsid w:val="07A98A9F"/>
    <w:rsid w:val="07AD0A76"/>
    <w:rsid w:val="07BD331C"/>
    <w:rsid w:val="07C730BC"/>
    <w:rsid w:val="07DFE797"/>
    <w:rsid w:val="07E55B73"/>
    <w:rsid w:val="082F11D7"/>
    <w:rsid w:val="08566EB3"/>
    <w:rsid w:val="0876D4D0"/>
    <w:rsid w:val="088D006C"/>
    <w:rsid w:val="088D641F"/>
    <w:rsid w:val="08FB2D4E"/>
    <w:rsid w:val="08FD6870"/>
    <w:rsid w:val="0914F5E8"/>
    <w:rsid w:val="09160A98"/>
    <w:rsid w:val="095BE0FD"/>
    <w:rsid w:val="097D248F"/>
    <w:rsid w:val="09C6EC14"/>
    <w:rsid w:val="09E60909"/>
    <w:rsid w:val="09EAB298"/>
    <w:rsid w:val="0A02A5AD"/>
    <w:rsid w:val="0A065AFB"/>
    <w:rsid w:val="0A247CC3"/>
    <w:rsid w:val="0A44FBD3"/>
    <w:rsid w:val="0A5C4327"/>
    <w:rsid w:val="0AB26A27"/>
    <w:rsid w:val="0AD7CF7E"/>
    <w:rsid w:val="0AEFA95F"/>
    <w:rsid w:val="0B03CBE3"/>
    <w:rsid w:val="0B22422B"/>
    <w:rsid w:val="0B25F415"/>
    <w:rsid w:val="0B5D1D71"/>
    <w:rsid w:val="0B65E94B"/>
    <w:rsid w:val="0B980CD1"/>
    <w:rsid w:val="0B9AA131"/>
    <w:rsid w:val="0BB8347A"/>
    <w:rsid w:val="0BC07B8E"/>
    <w:rsid w:val="0BC394FD"/>
    <w:rsid w:val="0BDE6F18"/>
    <w:rsid w:val="0BEEA966"/>
    <w:rsid w:val="0C0821CC"/>
    <w:rsid w:val="0C1D244C"/>
    <w:rsid w:val="0C53135F"/>
    <w:rsid w:val="0C548092"/>
    <w:rsid w:val="0C61C4DA"/>
    <w:rsid w:val="0C7244F4"/>
    <w:rsid w:val="0C898885"/>
    <w:rsid w:val="0CB10B4C"/>
    <w:rsid w:val="0CBD1359"/>
    <w:rsid w:val="0CCCFA4D"/>
    <w:rsid w:val="0CE2BDE1"/>
    <w:rsid w:val="0CE80B7D"/>
    <w:rsid w:val="0D2F6168"/>
    <w:rsid w:val="0D487485"/>
    <w:rsid w:val="0D59637C"/>
    <w:rsid w:val="0DB12ECE"/>
    <w:rsid w:val="0DC777AB"/>
    <w:rsid w:val="0DD429A1"/>
    <w:rsid w:val="0DF6D506"/>
    <w:rsid w:val="0E150C53"/>
    <w:rsid w:val="0E187686"/>
    <w:rsid w:val="0E395D65"/>
    <w:rsid w:val="0E5095B2"/>
    <w:rsid w:val="0E630EB2"/>
    <w:rsid w:val="0E79D92F"/>
    <w:rsid w:val="0EA8FD68"/>
    <w:rsid w:val="0EB09B42"/>
    <w:rsid w:val="0EBD6F07"/>
    <w:rsid w:val="0EFF3EB1"/>
    <w:rsid w:val="0F3E3EB3"/>
    <w:rsid w:val="0F43F224"/>
    <w:rsid w:val="0F5A54B4"/>
    <w:rsid w:val="0F7556D7"/>
    <w:rsid w:val="0F821409"/>
    <w:rsid w:val="0FA57234"/>
    <w:rsid w:val="0FAB4207"/>
    <w:rsid w:val="0FAE1956"/>
    <w:rsid w:val="0FDBE440"/>
    <w:rsid w:val="1010BF98"/>
    <w:rsid w:val="104575EE"/>
    <w:rsid w:val="108D3FFA"/>
    <w:rsid w:val="108F02EB"/>
    <w:rsid w:val="108F75FD"/>
    <w:rsid w:val="109B010A"/>
    <w:rsid w:val="10BD4A44"/>
    <w:rsid w:val="10BE0D1C"/>
    <w:rsid w:val="10D4999A"/>
    <w:rsid w:val="113043E2"/>
    <w:rsid w:val="113335A6"/>
    <w:rsid w:val="114F4E6F"/>
    <w:rsid w:val="114FE2CE"/>
    <w:rsid w:val="115EA22A"/>
    <w:rsid w:val="1164FB1E"/>
    <w:rsid w:val="1184B84C"/>
    <w:rsid w:val="11980DD1"/>
    <w:rsid w:val="11C02440"/>
    <w:rsid w:val="11D803A5"/>
    <w:rsid w:val="11E76406"/>
    <w:rsid w:val="11EC3051"/>
    <w:rsid w:val="11F445D1"/>
    <w:rsid w:val="121EA28A"/>
    <w:rsid w:val="12230C2E"/>
    <w:rsid w:val="12418699"/>
    <w:rsid w:val="125CB418"/>
    <w:rsid w:val="12620C5D"/>
    <w:rsid w:val="1262E3E1"/>
    <w:rsid w:val="126C2767"/>
    <w:rsid w:val="127BFF02"/>
    <w:rsid w:val="129521C4"/>
    <w:rsid w:val="129C8610"/>
    <w:rsid w:val="12B80339"/>
    <w:rsid w:val="12F63B41"/>
    <w:rsid w:val="1336F829"/>
    <w:rsid w:val="13389C74"/>
    <w:rsid w:val="1347A136"/>
    <w:rsid w:val="13BECDA5"/>
    <w:rsid w:val="13C08434"/>
    <w:rsid w:val="13C4A0B0"/>
    <w:rsid w:val="13D76046"/>
    <w:rsid w:val="13F151D3"/>
    <w:rsid w:val="13FF01ED"/>
    <w:rsid w:val="14339114"/>
    <w:rsid w:val="143DD96B"/>
    <w:rsid w:val="1443766A"/>
    <w:rsid w:val="1453684A"/>
    <w:rsid w:val="145D3835"/>
    <w:rsid w:val="146519FE"/>
    <w:rsid w:val="147B3E0A"/>
    <w:rsid w:val="14D2991E"/>
    <w:rsid w:val="1519C7EA"/>
    <w:rsid w:val="155DB8D9"/>
    <w:rsid w:val="15947E3C"/>
    <w:rsid w:val="15A7BCBA"/>
    <w:rsid w:val="15B39A29"/>
    <w:rsid w:val="15FA958F"/>
    <w:rsid w:val="160BA906"/>
    <w:rsid w:val="162040B8"/>
    <w:rsid w:val="167AFC1B"/>
    <w:rsid w:val="16ACA3A1"/>
    <w:rsid w:val="16D9277E"/>
    <w:rsid w:val="16EE0CAB"/>
    <w:rsid w:val="16F67E7C"/>
    <w:rsid w:val="170BD8F8"/>
    <w:rsid w:val="17257972"/>
    <w:rsid w:val="1757CCDF"/>
    <w:rsid w:val="1761FBA0"/>
    <w:rsid w:val="17718C03"/>
    <w:rsid w:val="17CEBEDD"/>
    <w:rsid w:val="17F27B24"/>
    <w:rsid w:val="18158A99"/>
    <w:rsid w:val="18261BE8"/>
    <w:rsid w:val="182B9ED1"/>
    <w:rsid w:val="182E1B8A"/>
    <w:rsid w:val="1834C898"/>
    <w:rsid w:val="1835248C"/>
    <w:rsid w:val="18AB9BE0"/>
    <w:rsid w:val="18AEF6E5"/>
    <w:rsid w:val="18B4586E"/>
    <w:rsid w:val="18BEA2B9"/>
    <w:rsid w:val="192AB26E"/>
    <w:rsid w:val="19425063"/>
    <w:rsid w:val="1964FBED"/>
    <w:rsid w:val="19679330"/>
    <w:rsid w:val="19718BAF"/>
    <w:rsid w:val="19850646"/>
    <w:rsid w:val="198995F6"/>
    <w:rsid w:val="19C68E85"/>
    <w:rsid w:val="19CEE362"/>
    <w:rsid w:val="19F81A3B"/>
    <w:rsid w:val="19F96369"/>
    <w:rsid w:val="1A14F6E1"/>
    <w:rsid w:val="1A45E5DA"/>
    <w:rsid w:val="1A654EA2"/>
    <w:rsid w:val="1A88AA06"/>
    <w:rsid w:val="1ABE5B4E"/>
    <w:rsid w:val="1B082E01"/>
    <w:rsid w:val="1B1E96E7"/>
    <w:rsid w:val="1B21BE9C"/>
    <w:rsid w:val="1B368D23"/>
    <w:rsid w:val="1B625EE6"/>
    <w:rsid w:val="1B663E0A"/>
    <w:rsid w:val="1B816378"/>
    <w:rsid w:val="1B84B902"/>
    <w:rsid w:val="1BC25D6E"/>
    <w:rsid w:val="1BC94811"/>
    <w:rsid w:val="1BDC849A"/>
    <w:rsid w:val="1BE1B63B"/>
    <w:rsid w:val="1C7C6940"/>
    <w:rsid w:val="1CDBF10B"/>
    <w:rsid w:val="1CEAC961"/>
    <w:rsid w:val="1CF56E53"/>
    <w:rsid w:val="1D4DF5C6"/>
    <w:rsid w:val="1D4EF26E"/>
    <w:rsid w:val="1D5C0D0D"/>
    <w:rsid w:val="1D64A54A"/>
    <w:rsid w:val="1D6A082D"/>
    <w:rsid w:val="1D6BC302"/>
    <w:rsid w:val="1D6D10CE"/>
    <w:rsid w:val="1D72B3E9"/>
    <w:rsid w:val="1DB00287"/>
    <w:rsid w:val="1DC71171"/>
    <w:rsid w:val="1DD705FD"/>
    <w:rsid w:val="1DEAF21E"/>
    <w:rsid w:val="1DF2C3A4"/>
    <w:rsid w:val="1E15A3D8"/>
    <w:rsid w:val="1E356E04"/>
    <w:rsid w:val="1E415EBD"/>
    <w:rsid w:val="1E4CEA58"/>
    <w:rsid w:val="1E57EFDB"/>
    <w:rsid w:val="1E5C81E8"/>
    <w:rsid w:val="1E793691"/>
    <w:rsid w:val="1ECD0E4C"/>
    <w:rsid w:val="1F07EACF"/>
    <w:rsid w:val="1F166DAC"/>
    <w:rsid w:val="1F2F3FA3"/>
    <w:rsid w:val="1F4C04F6"/>
    <w:rsid w:val="1F4EA30E"/>
    <w:rsid w:val="1F7743F7"/>
    <w:rsid w:val="1F862864"/>
    <w:rsid w:val="1F86CCF3"/>
    <w:rsid w:val="1F99F2F1"/>
    <w:rsid w:val="1FB78E57"/>
    <w:rsid w:val="1FBE836A"/>
    <w:rsid w:val="1FE05FBE"/>
    <w:rsid w:val="20282ED9"/>
    <w:rsid w:val="206E2728"/>
    <w:rsid w:val="2079FB5F"/>
    <w:rsid w:val="209A9252"/>
    <w:rsid w:val="20BC8304"/>
    <w:rsid w:val="20DC73F1"/>
    <w:rsid w:val="210C5CD0"/>
    <w:rsid w:val="2159F515"/>
    <w:rsid w:val="2171E4EB"/>
    <w:rsid w:val="219211E3"/>
    <w:rsid w:val="2199F1A9"/>
    <w:rsid w:val="21D59DE8"/>
    <w:rsid w:val="22059CCA"/>
    <w:rsid w:val="22090718"/>
    <w:rsid w:val="221C76AE"/>
    <w:rsid w:val="2221AF40"/>
    <w:rsid w:val="2258EF8E"/>
    <w:rsid w:val="2284BB0A"/>
    <w:rsid w:val="22E2053C"/>
    <w:rsid w:val="23066D2B"/>
    <w:rsid w:val="2307331E"/>
    <w:rsid w:val="230E7576"/>
    <w:rsid w:val="2352253E"/>
    <w:rsid w:val="238545BD"/>
    <w:rsid w:val="23AF7DF5"/>
    <w:rsid w:val="23C45D2A"/>
    <w:rsid w:val="23DE5F5A"/>
    <w:rsid w:val="23EAB8D3"/>
    <w:rsid w:val="246544B8"/>
    <w:rsid w:val="246B9A26"/>
    <w:rsid w:val="2482D1EC"/>
    <w:rsid w:val="2498C499"/>
    <w:rsid w:val="24A8004E"/>
    <w:rsid w:val="24B5CF71"/>
    <w:rsid w:val="24E65D6C"/>
    <w:rsid w:val="24FAB00E"/>
    <w:rsid w:val="250500F4"/>
    <w:rsid w:val="2515ADE6"/>
    <w:rsid w:val="25671EF2"/>
    <w:rsid w:val="25B93C20"/>
    <w:rsid w:val="25BE9F70"/>
    <w:rsid w:val="260C3472"/>
    <w:rsid w:val="26D50B01"/>
    <w:rsid w:val="26DCE80D"/>
    <w:rsid w:val="26DD612C"/>
    <w:rsid w:val="270FA38F"/>
    <w:rsid w:val="2754B3FF"/>
    <w:rsid w:val="278D40BB"/>
    <w:rsid w:val="27AD5703"/>
    <w:rsid w:val="27B3ADF2"/>
    <w:rsid w:val="27BB37DB"/>
    <w:rsid w:val="27C8E2C0"/>
    <w:rsid w:val="27E0C096"/>
    <w:rsid w:val="27FB00EE"/>
    <w:rsid w:val="28490966"/>
    <w:rsid w:val="28C796F8"/>
    <w:rsid w:val="290123B6"/>
    <w:rsid w:val="2938644A"/>
    <w:rsid w:val="293AD319"/>
    <w:rsid w:val="29454840"/>
    <w:rsid w:val="2946C085"/>
    <w:rsid w:val="29AACC65"/>
    <w:rsid w:val="29B7AB57"/>
    <w:rsid w:val="29F7E556"/>
    <w:rsid w:val="2A248C43"/>
    <w:rsid w:val="2A2F16BA"/>
    <w:rsid w:val="2A3B5945"/>
    <w:rsid w:val="2A41F8EE"/>
    <w:rsid w:val="2A4C7E33"/>
    <w:rsid w:val="2ADADBAA"/>
    <w:rsid w:val="2B124503"/>
    <w:rsid w:val="2B1C2AC7"/>
    <w:rsid w:val="2B36A43A"/>
    <w:rsid w:val="2B426136"/>
    <w:rsid w:val="2B62B0FE"/>
    <w:rsid w:val="2B7882B0"/>
    <w:rsid w:val="2B83EA01"/>
    <w:rsid w:val="2BC1DC13"/>
    <w:rsid w:val="2BE861F8"/>
    <w:rsid w:val="2C290AC0"/>
    <w:rsid w:val="2C611076"/>
    <w:rsid w:val="2C6EF684"/>
    <w:rsid w:val="2C8BDA58"/>
    <w:rsid w:val="2C928741"/>
    <w:rsid w:val="2CC9CC5A"/>
    <w:rsid w:val="2CE3D13A"/>
    <w:rsid w:val="2D09ED8D"/>
    <w:rsid w:val="2D252A62"/>
    <w:rsid w:val="2D866D4B"/>
    <w:rsid w:val="2D9E93F0"/>
    <w:rsid w:val="2DC3F583"/>
    <w:rsid w:val="2DC8877D"/>
    <w:rsid w:val="2DDC7F0E"/>
    <w:rsid w:val="2DE2C170"/>
    <w:rsid w:val="2E2EDF2D"/>
    <w:rsid w:val="2E7AB126"/>
    <w:rsid w:val="2E82FAEC"/>
    <w:rsid w:val="2E9DAF88"/>
    <w:rsid w:val="2EDE8310"/>
    <w:rsid w:val="2F6A9ED5"/>
    <w:rsid w:val="2FAAE264"/>
    <w:rsid w:val="2FB3DAE1"/>
    <w:rsid w:val="2FC4266C"/>
    <w:rsid w:val="2FE5B626"/>
    <w:rsid w:val="2FE6F629"/>
    <w:rsid w:val="300A837F"/>
    <w:rsid w:val="301BE8CC"/>
    <w:rsid w:val="307645B2"/>
    <w:rsid w:val="30915A5D"/>
    <w:rsid w:val="30A50E86"/>
    <w:rsid w:val="30BA1051"/>
    <w:rsid w:val="30F104A0"/>
    <w:rsid w:val="3104E868"/>
    <w:rsid w:val="310DE194"/>
    <w:rsid w:val="311F3488"/>
    <w:rsid w:val="3124AC11"/>
    <w:rsid w:val="315C0932"/>
    <w:rsid w:val="318367F1"/>
    <w:rsid w:val="319AAEE4"/>
    <w:rsid w:val="319E2866"/>
    <w:rsid w:val="31E681D2"/>
    <w:rsid w:val="32210042"/>
    <w:rsid w:val="322D77A0"/>
    <w:rsid w:val="32441D18"/>
    <w:rsid w:val="326CB61A"/>
    <w:rsid w:val="327C8BD2"/>
    <w:rsid w:val="32D115B8"/>
    <w:rsid w:val="32D44ED7"/>
    <w:rsid w:val="3312D761"/>
    <w:rsid w:val="3325407F"/>
    <w:rsid w:val="334FBE4B"/>
    <w:rsid w:val="336386B5"/>
    <w:rsid w:val="33733A99"/>
    <w:rsid w:val="33D21238"/>
    <w:rsid w:val="33EDAE89"/>
    <w:rsid w:val="34063985"/>
    <w:rsid w:val="341FF048"/>
    <w:rsid w:val="34318490"/>
    <w:rsid w:val="344BFEE2"/>
    <w:rsid w:val="34514578"/>
    <w:rsid w:val="349FF479"/>
    <w:rsid w:val="34A8B84E"/>
    <w:rsid w:val="34CA0811"/>
    <w:rsid w:val="34CDA9CC"/>
    <w:rsid w:val="3508ED60"/>
    <w:rsid w:val="352F2D6D"/>
    <w:rsid w:val="35563168"/>
    <w:rsid w:val="355CAA31"/>
    <w:rsid w:val="357E282A"/>
    <w:rsid w:val="35A0202B"/>
    <w:rsid w:val="35A61952"/>
    <w:rsid w:val="35A8C880"/>
    <w:rsid w:val="35B5DF0B"/>
    <w:rsid w:val="35B99BDF"/>
    <w:rsid w:val="35BE2513"/>
    <w:rsid w:val="35D92ECA"/>
    <w:rsid w:val="361EC188"/>
    <w:rsid w:val="363278B0"/>
    <w:rsid w:val="366FBFC3"/>
    <w:rsid w:val="368D543B"/>
    <w:rsid w:val="3695B673"/>
    <w:rsid w:val="36D4E2D9"/>
    <w:rsid w:val="36F7FD11"/>
    <w:rsid w:val="370B71E1"/>
    <w:rsid w:val="371609DD"/>
    <w:rsid w:val="37515453"/>
    <w:rsid w:val="376100A1"/>
    <w:rsid w:val="3763C464"/>
    <w:rsid w:val="37692552"/>
    <w:rsid w:val="376D4907"/>
    <w:rsid w:val="380854CD"/>
    <w:rsid w:val="381AAA9F"/>
    <w:rsid w:val="385EF33E"/>
    <w:rsid w:val="38653D7D"/>
    <w:rsid w:val="3867321D"/>
    <w:rsid w:val="389041C6"/>
    <w:rsid w:val="389B5BC1"/>
    <w:rsid w:val="38A7AEDD"/>
    <w:rsid w:val="38BC618A"/>
    <w:rsid w:val="38D71548"/>
    <w:rsid w:val="38E3BA24"/>
    <w:rsid w:val="391969A5"/>
    <w:rsid w:val="393F37D4"/>
    <w:rsid w:val="394A4662"/>
    <w:rsid w:val="3997CD50"/>
    <w:rsid w:val="39B27E6B"/>
    <w:rsid w:val="39C1A77E"/>
    <w:rsid w:val="39D241D5"/>
    <w:rsid w:val="39D73632"/>
    <w:rsid w:val="39F6ADEC"/>
    <w:rsid w:val="39FAC39F"/>
    <w:rsid w:val="3A1DADDB"/>
    <w:rsid w:val="3A315CA9"/>
    <w:rsid w:val="3A455E26"/>
    <w:rsid w:val="3A45D9A0"/>
    <w:rsid w:val="3A47CA3A"/>
    <w:rsid w:val="3A8893C3"/>
    <w:rsid w:val="3A8CF3FA"/>
    <w:rsid w:val="3A953D95"/>
    <w:rsid w:val="3AA73E79"/>
    <w:rsid w:val="3AB3D47C"/>
    <w:rsid w:val="3ABE04D4"/>
    <w:rsid w:val="3AC98679"/>
    <w:rsid w:val="3B3798AB"/>
    <w:rsid w:val="3B3B5BD6"/>
    <w:rsid w:val="3B52168B"/>
    <w:rsid w:val="3B524A3F"/>
    <w:rsid w:val="3B5884B9"/>
    <w:rsid w:val="3B5CA2E4"/>
    <w:rsid w:val="3B6E566A"/>
    <w:rsid w:val="3B91EE26"/>
    <w:rsid w:val="3BA6BD70"/>
    <w:rsid w:val="3BCA4984"/>
    <w:rsid w:val="3BCB9A0A"/>
    <w:rsid w:val="3BCF4C03"/>
    <w:rsid w:val="3BD4228E"/>
    <w:rsid w:val="3BEF1B9D"/>
    <w:rsid w:val="3C46EFA1"/>
    <w:rsid w:val="3C564259"/>
    <w:rsid w:val="3C58839B"/>
    <w:rsid w:val="3C7A9BCB"/>
    <w:rsid w:val="3C8557EC"/>
    <w:rsid w:val="3CBAF504"/>
    <w:rsid w:val="3CBC8FBE"/>
    <w:rsid w:val="3CF0E42B"/>
    <w:rsid w:val="3D13FF45"/>
    <w:rsid w:val="3D21FDE5"/>
    <w:rsid w:val="3D220211"/>
    <w:rsid w:val="3D322654"/>
    <w:rsid w:val="3D36EBAB"/>
    <w:rsid w:val="3D3DC4E2"/>
    <w:rsid w:val="3D3FAF68"/>
    <w:rsid w:val="3D8383D5"/>
    <w:rsid w:val="3D841271"/>
    <w:rsid w:val="3D924423"/>
    <w:rsid w:val="3DBC5AB6"/>
    <w:rsid w:val="3DC72BFF"/>
    <w:rsid w:val="3E085CBB"/>
    <w:rsid w:val="3E163FC4"/>
    <w:rsid w:val="3E269163"/>
    <w:rsid w:val="3E5379CD"/>
    <w:rsid w:val="3EA1604E"/>
    <w:rsid w:val="3EBCF9EB"/>
    <w:rsid w:val="3EC5EAB1"/>
    <w:rsid w:val="3ECDAD04"/>
    <w:rsid w:val="3ED0A1B7"/>
    <w:rsid w:val="3EE3AEC3"/>
    <w:rsid w:val="3EE7F6BE"/>
    <w:rsid w:val="3EF56C40"/>
    <w:rsid w:val="3EF5BDD1"/>
    <w:rsid w:val="3F03A3F4"/>
    <w:rsid w:val="3F137165"/>
    <w:rsid w:val="3F3AA425"/>
    <w:rsid w:val="3F54D9FB"/>
    <w:rsid w:val="3F6FD1D1"/>
    <w:rsid w:val="3FABAEFF"/>
    <w:rsid w:val="3FCF504E"/>
    <w:rsid w:val="3FF9925D"/>
    <w:rsid w:val="402CFF52"/>
    <w:rsid w:val="4062BC56"/>
    <w:rsid w:val="407FB40B"/>
    <w:rsid w:val="40BC507F"/>
    <w:rsid w:val="40E227D3"/>
    <w:rsid w:val="40FE5674"/>
    <w:rsid w:val="41078EEB"/>
    <w:rsid w:val="41166492"/>
    <w:rsid w:val="411F9A1C"/>
    <w:rsid w:val="41226CAF"/>
    <w:rsid w:val="41464D53"/>
    <w:rsid w:val="41497D08"/>
    <w:rsid w:val="416040F8"/>
    <w:rsid w:val="41A0D7DA"/>
    <w:rsid w:val="41A76F27"/>
    <w:rsid w:val="41B4C05F"/>
    <w:rsid w:val="41C56B21"/>
    <w:rsid w:val="41D4EB00"/>
    <w:rsid w:val="42207FC7"/>
    <w:rsid w:val="4238F281"/>
    <w:rsid w:val="425CB003"/>
    <w:rsid w:val="4263950B"/>
    <w:rsid w:val="4269584A"/>
    <w:rsid w:val="42894235"/>
    <w:rsid w:val="429F4CEB"/>
    <w:rsid w:val="42A0B915"/>
    <w:rsid w:val="42A3A41A"/>
    <w:rsid w:val="42BEB8B3"/>
    <w:rsid w:val="42E2ED7D"/>
    <w:rsid w:val="431255AF"/>
    <w:rsid w:val="43273CAA"/>
    <w:rsid w:val="43524125"/>
    <w:rsid w:val="43577A8F"/>
    <w:rsid w:val="43718428"/>
    <w:rsid w:val="437FD321"/>
    <w:rsid w:val="439A1193"/>
    <w:rsid w:val="43B71FE6"/>
    <w:rsid w:val="43C1D361"/>
    <w:rsid w:val="43CF3530"/>
    <w:rsid w:val="43FDFEC9"/>
    <w:rsid w:val="44106378"/>
    <w:rsid w:val="44188C01"/>
    <w:rsid w:val="442D42F6"/>
    <w:rsid w:val="44476753"/>
    <w:rsid w:val="4455EDD9"/>
    <w:rsid w:val="44BEB624"/>
    <w:rsid w:val="44EF281E"/>
    <w:rsid w:val="44F249B3"/>
    <w:rsid w:val="44FA1153"/>
    <w:rsid w:val="44FF1A55"/>
    <w:rsid w:val="4505DAC5"/>
    <w:rsid w:val="45091A93"/>
    <w:rsid w:val="4512249A"/>
    <w:rsid w:val="45131312"/>
    <w:rsid w:val="458059F7"/>
    <w:rsid w:val="45D6299A"/>
    <w:rsid w:val="460CAD67"/>
    <w:rsid w:val="46685FEB"/>
    <w:rsid w:val="46BC82C5"/>
    <w:rsid w:val="46C2CE7E"/>
    <w:rsid w:val="46ED6140"/>
    <w:rsid w:val="475AC0CC"/>
    <w:rsid w:val="4786ACCE"/>
    <w:rsid w:val="47BD4F0C"/>
    <w:rsid w:val="47D1C426"/>
    <w:rsid w:val="483FCE1A"/>
    <w:rsid w:val="4887CAFB"/>
    <w:rsid w:val="48ED2301"/>
    <w:rsid w:val="4904E25F"/>
    <w:rsid w:val="493B6484"/>
    <w:rsid w:val="49740E32"/>
    <w:rsid w:val="49764E0E"/>
    <w:rsid w:val="49998F4A"/>
    <w:rsid w:val="49B6ABA8"/>
    <w:rsid w:val="49BF5518"/>
    <w:rsid w:val="49D94BE8"/>
    <w:rsid w:val="49EDB184"/>
    <w:rsid w:val="49FBF884"/>
    <w:rsid w:val="4A126BE7"/>
    <w:rsid w:val="4A394F10"/>
    <w:rsid w:val="4A5E6F27"/>
    <w:rsid w:val="4A84C1C5"/>
    <w:rsid w:val="4A94A57A"/>
    <w:rsid w:val="4AA36602"/>
    <w:rsid w:val="4AA41E7B"/>
    <w:rsid w:val="4AE774FB"/>
    <w:rsid w:val="4B0536E7"/>
    <w:rsid w:val="4B24C765"/>
    <w:rsid w:val="4B4DAE6D"/>
    <w:rsid w:val="4B7D7786"/>
    <w:rsid w:val="4B7ECE2C"/>
    <w:rsid w:val="4B8C2386"/>
    <w:rsid w:val="4B926FE8"/>
    <w:rsid w:val="4BD3C459"/>
    <w:rsid w:val="4BEFFB07"/>
    <w:rsid w:val="4C06F4D8"/>
    <w:rsid w:val="4C0FA78C"/>
    <w:rsid w:val="4C25C516"/>
    <w:rsid w:val="4C6715F4"/>
    <w:rsid w:val="4C77F349"/>
    <w:rsid w:val="4CA07ABD"/>
    <w:rsid w:val="4CA25C07"/>
    <w:rsid w:val="4CB77EC1"/>
    <w:rsid w:val="4CED8158"/>
    <w:rsid w:val="4CF381A8"/>
    <w:rsid w:val="4D6003BB"/>
    <w:rsid w:val="4D64C952"/>
    <w:rsid w:val="4D8BB8B2"/>
    <w:rsid w:val="4D952681"/>
    <w:rsid w:val="4DC4276C"/>
    <w:rsid w:val="4DDD4FC9"/>
    <w:rsid w:val="4DE435DD"/>
    <w:rsid w:val="4E263A3F"/>
    <w:rsid w:val="4E40D548"/>
    <w:rsid w:val="4E591B48"/>
    <w:rsid w:val="4E903AB7"/>
    <w:rsid w:val="4EAFFCD9"/>
    <w:rsid w:val="4EEDF92C"/>
    <w:rsid w:val="4F0FD1B0"/>
    <w:rsid w:val="4F6E1148"/>
    <w:rsid w:val="4F84348D"/>
    <w:rsid w:val="4FACB103"/>
    <w:rsid w:val="4FB76B20"/>
    <w:rsid w:val="4FF2EDCA"/>
    <w:rsid w:val="4FF736E9"/>
    <w:rsid w:val="500F3DDF"/>
    <w:rsid w:val="50211F90"/>
    <w:rsid w:val="5025221A"/>
    <w:rsid w:val="502C069F"/>
    <w:rsid w:val="50346115"/>
    <w:rsid w:val="504217DE"/>
    <w:rsid w:val="505DB33F"/>
    <w:rsid w:val="507F6FE9"/>
    <w:rsid w:val="509E68FB"/>
    <w:rsid w:val="50B74269"/>
    <w:rsid w:val="50C5DA75"/>
    <w:rsid w:val="5104CF26"/>
    <w:rsid w:val="513C5E67"/>
    <w:rsid w:val="518AAF72"/>
    <w:rsid w:val="51962C1A"/>
    <w:rsid w:val="51BB6032"/>
    <w:rsid w:val="51C50E84"/>
    <w:rsid w:val="51DCE579"/>
    <w:rsid w:val="520C08CD"/>
    <w:rsid w:val="521A75BA"/>
    <w:rsid w:val="522B7684"/>
    <w:rsid w:val="522C9EF5"/>
    <w:rsid w:val="52461410"/>
    <w:rsid w:val="5284F1C7"/>
    <w:rsid w:val="52C2659D"/>
    <w:rsid w:val="52E6AD73"/>
    <w:rsid w:val="5301BF1E"/>
    <w:rsid w:val="53040F58"/>
    <w:rsid w:val="5314F57E"/>
    <w:rsid w:val="531BEE28"/>
    <w:rsid w:val="53358CB3"/>
    <w:rsid w:val="53718133"/>
    <w:rsid w:val="538B8685"/>
    <w:rsid w:val="5396C400"/>
    <w:rsid w:val="53972580"/>
    <w:rsid w:val="53D39C24"/>
    <w:rsid w:val="53EDBAEC"/>
    <w:rsid w:val="548FA405"/>
    <w:rsid w:val="54A217AA"/>
    <w:rsid w:val="54ADD4D3"/>
    <w:rsid w:val="54BA5746"/>
    <w:rsid w:val="54D36DB8"/>
    <w:rsid w:val="54D8D760"/>
    <w:rsid w:val="55263B1A"/>
    <w:rsid w:val="552BE7C9"/>
    <w:rsid w:val="55B20707"/>
    <w:rsid w:val="55DD0FF9"/>
    <w:rsid w:val="55E40CFF"/>
    <w:rsid w:val="56041FE0"/>
    <w:rsid w:val="5605317B"/>
    <w:rsid w:val="56643E49"/>
    <w:rsid w:val="56729273"/>
    <w:rsid w:val="567F1653"/>
    <w:rsid w:val="569F42C2"/>
    <w:rsid w:val="56A02470"/>
    <w:rsid w:val="56C0D724"/>
    <w:rsid w:val="56C2BF43"/>
    <w:rsid w:val="57297E2C"/>
    <w:rsid w:val="572A3678"/>
    <w:rsid w:val="574950B3"/>
    <w:rsid w:val="575651A4"/>
    <w:rsid w:val="575B8E47"/>
    <w:rsid w:val="577422E5"/>
    <w:rsid w:val="5792778E"/>
    <w:rsid w:val="57A01C60"/>
    <w:rsid w:val="57A6BDCC"/>
    <w:rsid w:val="57AB9FEB"/>
    <w:rsid w:val="57D48576"/>
    <w:rsid w:val="57E4C515"/>
    <w:rsid w:val="5818380F"/>
    <w:rsid w:val="582FE122"/>
    <w:rsid w:val="5860D79E"/>
    <w:rsid w:val="5870D4F5"/>
    <w:rsid w:val="58876971"/>
    <w:rsid w:val="58D6DB02"/>
    <w:rsid w:val="5918E0A6"/>
    <w:rsid w:val="593464DD"/>
    <w:rsid w:val="597EB677"/>
    <w:rsid w:val="5985D91D"/>
    <w:rsid w:val="59AED979"/>
    <w:rsid w:val="59B8535A"/>
    <w:rsid w:val="59B986B1"/>
    <w:rsid w:val="5A3F1DA8"/>
    <w:rsid w:val="5A8622B5"/>
    <w:rsid w:val="5A90BB32"/>
    <w:rsid w:val="5AA3C076"/>
    <w:rsid w:val="5AAEE01A"/>
    <w:rsid w:val="5ACDE23F"/>
    <w:rsid w:val="5AE83BF5"/>
    <w:rsid w:val="5AEE8B5B"/>
    <w:rsid w:val="5AF2492B"/>
    <w:rsid w:val="5AF3C233"/>
    <w:rsid w:val="5B171FCA"/>
    <w:rsid w:val="5B176296"/>
    <w:rsid w:val="5B70E4DE"/>
    <w:rsid w:val="5BA806D2"/>
    <w:rsid w:val="5BEAA283"/>
    <w:rsid w:val="5BF8723D"/>
    <w:rsid w:val="5BF8C0C6"/>
    <w:rsid w:val="5C3B0620"/>
    <w:rsid w:val="5C51E123"/>
    <w:rsid w:val="5C702026"/>
    <w:rsid w:val="5C7D3698"/>
    <w:rsid w:val="5C8AAF08"/>
    <w:rsid w:val="5CAD37B7"/>
    <w:rsid w:val="5CAEB331"/>
    <w:rsid w:val="5CD22ED2"/>
    <w:rsid w:val="5CE2208B"/>
    <w:rsid w:val="5D0CBDFA"/>
    <w:rsid w:val="5D230DEA"/>
    <w:rsid w:val="5D2A5042"/>
    <w:rsid w:val="5D343E4D"/>
    <w:rsid w:val="5D3B44C0"/>
    <w:rsid w:val="5D43D733"/>
    <w:rsid w:val="5D78DDBB"/>
    <w:rsid w:val="5D9099CF"/>
    <w:rsid w:val="5DAD742F"/>
    <w:rsid w:val="5DCBB882"/>
    <w:rsid w:val="5DCCE5FE"/>
    <w:rsid w:val="5DE41B18"/>
    <w:rsid w:val="5DF250FB"/>
    <w:rsid w:val="5DFD3ABB"/>
    <w:rsid w:val="5E27A393"/>
    <w:rsid w:val="5E280BB4"/>
    <w:rsid w:val="5E64D397"/>
    <w:rsid w:val="5EAB88CF"/>
    <w:rsid w:val="5EBEDE4B"/>
    <w:rsid w:val="5EC620A3"/>
    <w:rsid w:val="5ED52CC8"/>
    <w:rsid w:val="5EDC070F"/>
    <w:rsid w:val="5EE1F3DF"/>
    <w:rsid w:val="5F3BA95B"/>
    <w:rsid w:val="5F834BB2"/>
    <w:rsid w:val="5FAAB3B8"/>
    <w:rsid w:val="5FB8741F"/>
    <w:rsid w:val="5FBDB28F"/>
    <w:rsid w:val="5FD612C6"/>
    <w:rsid w:val="6000A3F8"/>
    <w:rsid w:val="600FFE52"/>
    <w:rsid w:val="60175CEB"/>
    <w:rsid w:val="6025AB06"/>
    <w:rsid w:val="604270C8"/>
    <w:rsid w:val="606BF8BC"/>
    <w:rsid w:val="606C0839"/>
    <w:rsid w:val="60894B58"/>
    <w:rsid w:val="60985FE9"/>
    <w:rsid w:val="6099DFEF"/>
    <w:rsid w:val="60A72597"/>
    <w:rsid w:val="60AA74C3"/>
    <w:rsid w:val="60B5DFBA"/>
    <w:rsid w:val="60C957CD"/>
    <w:rsid w:val="60D0EF9D"/>
    <w:rsid w:val="60FD0104"/>
    <w:rsid w:val="613324E0"/>
    <w:rsid w:val="61398728"/>
    <w:rsid w:val="613E6080"/>
    <w:rsid w:val="61625985"/>
    <w:rsid w:val="618169B8"/>
    <w:rsid w:val="61AA235B"/>
    <w:rsid w:val="61B13BCC"/>
    <w:rsid w:val="61BD20FC"/>
    <w:rsid w:val="61DBEC82"/>
    <w:rsid w:val="62041E5F"/>
    <w:rsid w:val="6255B9FB"/>
    <w:rsid w:val="62606B43"/>
    <w:rsid w:val="627B9440"/>
    <w:rsid w:val="62964F7D"/>
    <w:rsid w:val="62D6CC6A"/>
    <w:rsid w:val="62DA1833"/>
    <w:rsid w:val="62E07127"/>
    <w:rsid w:val="63691092"/>
    <w:rsid w:val="638C27D0"/>
    <w:rsid w:val="638E8609"/>
    <w:rsid w:val="63ADB213"/>
    <w:rsid w:val="640281AA"/>
    <w:rsid w:val="64151281"/>
    <w:rsid w:val="644727ED"/>
    <w:rsid w:val="64478A4E"/>
    <w:rsid w:val="6468A347"/>
    <w:rsid w:val="64725046"/>
    <w:rsid w:val="647D5215"/>
    <w:rsid w:val="648B3D65"/>
    <w:rsid w:val="64A339A7"/>
    <w:rsid w:val="64BFC2C6"/>
    <w:rsid w:val="64F1BC4E"/>
    <w:rsid w:val="65061316"/>
    <w:rsid w:val="653DEF6D"/>
    <w:rsid w:val="65FEA9C3"/>
    <w:rsid w:val="6602A92D"/>
    <w:rsid w:val="6641783A"/>
    <w:rsid w:val="66536110"/>
    <w:rsid w:val="665E1961"/>
    <w:rsid w:val="668F55BA"/>
    <w:rsid w:val="6697304D"/>
    <w:rsid w:val="66B1D9D8"/>
    <w:rsid w:val="66D62CD6"/>
    <w:rsid w:val="67BC41D6"/>
    <w:rsid w:val="67EA8082"/>
    <w:rsid w:val="67EC554F"/>
    <w:rsid w:val="67F56EF0"/>
    <w:rsid w:val="680267DB"/>
    <w:rsid w:val="680A6FF1"/>
    <w:rsid w:val="6864FC0F"/>
    <w:rsid w:val="6865C091"/>
    <w:rsid w:val="68791424"/>
    <w:rsid w:val="688F6AC1"/>
    <w:rsid w:val="6891DBAB"/>
    <w:rsid w:val="68C7BE69"/>
    <w:rsid w:val="68D23495"/>
    <w:rsid w:val="68F9A586"/>
    <w:rsid w:val="690C3E57"/>
    <w:rsid w:val="690E1A77"/>
    <w:rsid w:val="693D77AE"/>
    <w:rsid w:val="697F0268"/>
    <w:rsid w:val="69A5794F"/>
    <w:rsid w:val="69D85C4F"/>
    <w:rsid w:val="69D8D73B"/>
    <w:rsid w:val="69E6209B"/>
    <w:rsid w:val="6A0ABE7B"/>
    <w:rsid w:val="6A0B5FE2"/>
    <w:rsid w:val="6A0D5CA1"/>
    <w:rsid w:val="6A0EAA54"/>
    <w:rsid w:val="6A4A85D2"/>
    <w:rsid w:val="6A59DA0F"/>
    <w:rsid w:val="6A890EE1"/>
    <w:rsid w:val="6AC47EEF"/>
    <w:rsid w:val="6ACDDBD7"/>
    <w:rsid w:val="6AD7E989"/>
    <w:rsid w:val="6AE82CE8"/>
    <w:rsid w:val="6AE9E8DA"/>
    <w:rsid w:val="6AF1A5A9"/>
    <w:rsid w:val="6B210CA8"/>
    <w:rsid w:val="6B3D813B"/>
    <w:rsid w:val="6B43569F"/>
    <w:rsid w:val="6BA62760"/>
    <w:rsid w:val="6BDC0E9C"/>
    <w:rsid w:val="6C2AC8B3"/>
    <w:rsid w:val="6C75E9C9"/>
    <w:rsid w:val="6C80CBDC"/>
    <w:rsid w:val="6C9DA01E"/>
    <w:rsid w:val="6CC43F6E"/>
    <w:rsid w:val="6CDF8334"/>
    <w:rsid w:val="6CFE8908"/>
    <w:rsid w:val="6D004310"/>
    <w:rsid w:val="6D130985"/>
    <w:rsid w:val="6D1E3B20"/>
    <w:rsid w:val="6D25E0B9"/>
    <w:rsid w:val="6D6FCF6E"/>
    <w:rsid w:val="6D8C7272"/>
    <w:rsid w:val="6DA33305"/>
    <w:rsid w:val="6DCEC34E"/>
    <w:rsid w:val="6E0F0905"/>
    <w:rsid w:val="6E199F2B"/>
    <w:rsid w:val="6E250721"/>
    <w:rsid w:val="6E400515"/>
    <w:rsid w:val="6E452B7D"/>
    <w:rsid w:val="6E9EED8C"/>
    <w:rsid w:val="6EA02C4F"/>
    <w:rsid w:val="6ED0A3F3"/>
    <w:rsid w:val="6F15532A"/>
    <w:rsid w:val="6F2AE6C3"/>
    <w:rsid w:val="6F5DDAAA"/>
    <w:rsid w:val="6F72C490"/>
    <w:rsid w:val="6F74299E"/>
    <w:rsid w:val="6F83162F"/>
    <w:rsid w:val="6FB08724"/>
    <w:rsid w:val="6FBB9AC3"/>
    <w:rsid w:val="6FC550C1"/>
    <w:rsid w:val="6FDBD006"/>
    <w:rsid w:val="6FFCDF8E"/>
    <w:rsid w:val="7021E7D7"/>
    <w:rsid w:val="7046F512"/>
    <w:rsid w:val="707C4E0B"/>
    <w:rsid w:val="70A40586"/>
    <w:rsid w:val="70BA3508"/>
    <w:rsid w:val="7156F7D9"/>
    <w:rsid w:val="716EC900"/>
    <w:rsid w:val="71CF08D1"/>
    <w:rsid w:val="71DBDD5B"/>
    <w:rsid w:val="7208009B"/>
    <w:rsid w:val="72083386"/>
    <w:rsid w:val="723DCD65"/>
    <w:rsid w:val="7248763B"/>
    <w:rsid w:val="7265A58E"/>
    <w:rsid w:val="726758FA"/>
    <w:rsid w:val="72771FAE"/>
    <w:rsid w:val="72A81E38"/>
    <w:rsid w:val="72AB62F4"/>
    <w:rsid w:val="72B61757"/>
    <w:rsid w:val="72E1E634"/>
    <w:rsid w:val="72FD20B6"/>
    <w:rsid w:val="732518E2"/>
    <w:rsid w:val="733993A2"/>
    <w:rsid w:val="733ED85A"/>
    <w:rsid w:val="73660BFF"/>
    <w:rsid w:val="736C6CFB"/>
    <w:rsid w:val="73AF057E"/>
    <w:rsid w:val="73B13945"/>
    <w:rsid w:val="73BFB195"/>
    <w:rsid w:val="73ECF6BC"/>
    <w:rsid w:val="73FF1D34"/>
    <w:rsid w:val="7413C3A8"/>
    <w:rsid w:val="741C9D50"/>
    <w:rsid w:val="7444BAFC"/>
    <w:rsid w:val="7492AA31"/>
    <w:rsid w:val="749EAF0D"/>
    <w:rsid w:val="74B3BB41"/>
    <w:rsid w:val="74DEAFC8"/>
    <w:rsid w:val="75552902"/>
    <w:rsid w:val="756890C2"/>
    <w:rsid w:val="75831598"/>
    <w:rsid w:val="75C4D37B"/>
    <w:rsid w:val="75DDFBD8"/>
    <w:rsid w:val="75EBE36C"/>
    <w:rsid w:val="75F0AE1D"/>
    <w:rsid w:val="7693B694"/>
    <w:rsid w:val="76D61B7B"/>
    <w:rsid w:val="77543E12"/>
    <w:rsid w:val="77662B88"/>
    <w:rsid w:val="776B4001"/>
    <w:rsid w:val="7778864D"/>
    <w:rsid w:val="7792C958"/>
    <w:rsid w:val="779946AF"/>
    <w:rsid w:val="77B62F6A"/>
    <w:rsid w:val="77ED0E68"/>
    <w:rsid w:val="77F140DD"/>
    <w:rsid w:val="7814F150"/>
    <w:rsid w:val="7848A850"/>
    <w:rsid w:val="786AA984"/>
    <w:rsid w:val="7879D962"/>
    <w:rsid w:val="789C64A5"/>
    <w:rsid w:val="78A97DF6"/>
    <w:rsid w:val="78C5B743"/>
    <w:rsid w:val="78E5E325"/>
    <w:rsid w:val="78F90DD8"/>
    <w:rsid w:val="797CF72B"/>
    <w:rsid w:val="7981CC9E"/>
    <w:rsid w:val="79B5E82F"/>
    <w:rsid w:val="79B967B8"/>
    <w:rsid w:val="79FE382C"/>
    <w:rsid w:val="7A67E503"/>
    <w:rsid w:val="7A822608"/>
    <w:rsid w:val="7A8CFB78"/>
    <w:rsid w:val="7A96CC7C"/>
    <w:rsid w:val="7A9DF264"/>
    <w:rsid w:val="7ACE9148"/>
    <w:rsid w:val="7ADD9BB8"/>
    <w:rsid w:val="7B2A07D5"/>
    <w:rsid w:val="7B71BDDB"/>
    <w:rsid w:val="7B7B6854"/>
    <w:rsid w:val="7B7FCBE4"/>
    <w:rsid w:val="7B8EF4CA"/>
    <w:rsid w:val="7BA21218"/>
    <w:rsid w:val="7BD4EE4B"/>
    <w:rsid w:val="7C73706F"/>
    <w:rsid w:val="7C7F6830"/>
    <w:rsid w:val="7C968A0C"/>
    <w:rsid w:val="7CE8B860"/>
    <w:rsid w:val="7CF25F3A"/>
    <w:rsid w:val="7CF6A1E7"/>
    <w:rsid w:val="7D2D76EB"/>
    <w:rsid w:val="7D3D3BE7"/>
    <w:rsid w:val="7D548A56"/>
    <w:rsid w:val="7D78BDDA"/>
    <w:rsid w:val="7DBA35EB"/>
    <w:rsid w:val="7E161C99"/>
    <w:rsid w:val="7E2491FB"/>
    <w:rsid w:val="7E27CD0B"/>
    <w:rsid w:val="7E4757BB"/>
    <w:rsid w:val="7E4F8873"/>
    <w:rsid w:val="7EA70872"/>
    <w:rsid w:val="7EC26C28"/>
    <w:rsid w:val="7ECDAEFA"/>
    <w:rsid w:val="7ED2E172"/>
    <w:rsid w:val="7EEACBD0"/>
    <w:rsid w:val="7EFD4E71"/>
    <w:rsid w:val="7F4EF396"/>
    <w:rsid w:val="7F57636C"/>
    <w:rsid w:val="7F57C9A0"/>
    <w:rsid w:val="7F5CD36C"/>
    <w:rsid w:val="7F804FB7"/>
    <w:rsid w:val="7F8896D7"/>
    <w:rsid w:val="7F95E381"/>
    <w:rsid w:val="7F9C289B"/>
    <w:rsid w:val="7FAF12FC"/>
    <w:rsid w:val="7FB52B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2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lang w:eastAsia="zh-CN"/>
    </w:rPr>
  </w:style>
  <w:style w:type="paragraph" w:styleId="Heading1">
    <w:name w:val="heading 1"/>
    <w:aliases w:val="Heading 1 Char Char Char Char Char Char Char Char Char Char Char Char Char Char"/>
    <w:basedOn w:val="Normal"/>
    <w:next w:val="Text1"/>
    <w:link w:val="Heading1Char1"/>
    <w:qFormat/>
    <w:pPr>
      <w:keepNext/>
      <w:numPr>
        <w:numId w:val="5"/>
      </w:numPr>
      <w:spacing w:before="240"/>
      <w:outlineLvl w:val="0"/>
    </w:pPr>
    <w:rPr>
      <w:b/>
      <w:smallCaps/>
    </w:rPr>
  </w:style>
  <w:style w:type="paragraph" w:styleId="Heading2">
    <w:name w:val="heading 2"/>
    <w:basedOn w:val="Normal"/>
    <w:next w:val="Text2"/>
    <w:qFormat/>
    <w:pPr>
      <w:keepNext/>
      <w:numPr>
        <w:ilvl w:val="1"/>
        <w:numId w:val="5"/>
      </w:numPr>
      <w:outlineLvl w:val="1"/>
    </w:pPr>
    <w:rPr>
      <w:b/>
    </w:rPr>
  </w:style>
  <w:style w:type="paragraph" w:styleId="Heading3">
    <w:name w:val="heading 3"/>
    <w:basedOn w:val="Normal"/>
    <w:next w:val="Text3"/>
    <w:link w:val="Heading3Char"/>
    <w:qFormat/>
    <w:pPr>
      <w:keepNext/>
      <w:numPr>
        <w:ilvl w:val="2"/>
        <w:numId w:val="5"/>
      </w:numPr>
      <w:outlineLvl w:val="2"/>
    </w:pPr>
    <w:rPr>
      <w:i/>
    </w:rPr>
  </w:style>
  <w:style w:type="paragraph" w:styleId="Heading4">
    <w:name w:val="heading 4"/>
    <w:basedOn w:val="Normal"/>
    <w:next w:val="Text4"/>
    <w:qFormat/>
    <w:pPr>
      <w:keepNext/>
      <w:numPr>
        <w:ilvl w:val="3"/>
        <w:numId w:val="5"/>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6"/>
      </w:numPr>
    </w:pPr>
  </w:style>
  <w:style w:type="paragraph" w:styleId="ListBullet2">
    <w:name w:val="List Bullet 2"/>
    <w:basedOn w:val="Text2"/>
    <w:uiPriority w:val="99"/>
    <w:pPr>
      <w:numPr>
        <w:numId w:val="8"/>
      </w:numPr>
      <w:tabs>
        <w:tab w:val="clear" w:pos="2160"/>
      </w:tabs>
    </w:pPr>
  </w:style>
  <w:style w:type="paragraph" w:styleId="ListBullet3">
    <w:name w:val="List Bullet 3"/>
    <w:basedOn w:val="Text3"/>
    <w:pPr>
      <w:numPr>
        <w:numId w:val="9"/>
      </w:numPr>
      <w:tabs>
        <w:tab w:val="clear" w:pos="2302"/>
      </w:tabs>
    </w:pPr>
  </w:style>
  <w:style w:type="paragraph" w:styleId="ListBullet4">
    <w:name w:val="List Bullet 4"/>
    <w:basedOn w:val="Text4"/>
    <w:pPr>
      <w:numPr>
        <w:numId w:val="10"/>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5"/>
      </w:numPr>
    </w:pPr>
    <w:rPr>
      <w:rFonts w:ascii="Times New Roman" w:hAnsi="Times New Roman"/>
    </w:rPr>
  </w:style>
  <w:style w:type="paragraph" w:styleId="ListNumber2">
    <w:name w:val="List Number 2"/>
    <w:basedOn w:val="Text2"/>
    <w:pPr>
      <w:numPr>
        <w:numId w:val="17"/>
      </w:numPr>
      <w:tabs>
        <w:tab w:val="clear" w:pos="2160"/>
      </w:tabs>
    </w:pPr>
  </w:style>
  <w:style w:type="paragraph" w:styleId="ListNumber3">
    <w:name w:val="List Number 3"/>
    <w:basedOn w:val="Text3"/>
    <w:pPr>
      <w:numPr>
        <w:numId w:val="18"/>
      </w:numPr>
      <w:tabs>
        <w:tab w:val="clear" w:pos="2302"/>
      </w:tabs>
    </w:pPr>
  </w:style>
  <w:style w:type="paragraph" w:styleId="ListNumber4">
    <w:name w:val="List Number 4"/>
    <w:basedOn w:val="Text4"/>
    <w:pPr>
      <w:numPr>
        <w:numId w:val="19"/>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zh-CN"/>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7"/>
      </w:numPr>
    </w:pPr>
  </w:style>
  <w:style w:type="paragraph" w:customStyle="1" w:styleId="ListDash">
    <w:name w:val="List Dash"/>
    <w:basedOn w:val="Normal"/>
    <w:link w:val="ListDashChar"/>
    <w:pPr>
      <w:numPr>
        <w:numId w:val="22"/>
      </w:numPr>
    </w:pPr>
  </w:style>
  <w:style w:type="paragraph" w:customStyle="1" w:styleId="ListDash1">
    <w:name w:val="List Dash 1"/>
    <w:basedOn w:val="Text1"/>
    <w:pPr>
      <w:numPr>
        <w:numId w:val="11"/>
      </w:numPr>
    </w:pPr>
  </w:style>
  <w:style w:type="paragraph" w:customStyle="1" w:styleId="ListDash2">
    <w:name w:val="List Dash 2"/>
    <w:basedOn w:val="Text2"/>
    <w:pPr>
      <w:numPr>
        <w:numId w:val="12"/>
      </w:numPr>
      <w:tabs>
        <w:tab w:val="clear" w:pos="2160"/>
      </w:tabs>
    </w:pPr>
  </w:style>
  <w:style w:type="paragraph" w:customStyle="1" w:styleId="ListDash3">
    <w:name w:val="List Dash 3"/>
    <w:basedOn w:val="Text3"/>
    <w:pPr>
      <w:numPr>
        <w:numId w:val="13"/>
      </w:numPr>
      <w:tabs>
        <w:tab w:val="clear" w:pos="2302"/>
      </w:tabs>
    </w:pPr>
  </w:style>
  <w:style w:type="paragraph" w:customStyle="1" w:styleId="ListDash4">
    <w:name w:val="List Dash 4"/>
    <w:basedOn w:val="Text4"/>
    <w:pPr>
      <w:numPr>
        <w:numId w:val="14"/>
      </w:numPr>
    </w:pPr>
  </w:style>
  <w:style w:type="paragraph" w:customStyle="1" w:styleId="ListNumberLevel2">
    <w:name w:val="List Number (Level 2)"/>
    <w:basedOn w:val="Normal"/>
    <w:pPr>
      <w:numPr>
        <w:ilvl w:val="1"/>
        <w:numId w:val="15"/>
      </w:numPr>
    </w:pPr>
  </w:style>
  <w:style w:type="paragraph" w:customStyle="1" w:styleId="ListNumberLevel3">
    <w:name w:val="List Number (Level 3)"/>
    <w:basedOn w:val="Normal"/>
    <w:pPr>
      <w:numPr>
        <w:ilvl w:val="2"/>
        <w:numId w:val="15"/>
      </w:numPr>
    </w:pPr>
  </w:style>
  <w:style w:type="paragraph" w:customStyle="1" w:styleId="ListNumberLevel4">
    <w:name w:val="List Number (Level 4)"/>
    <w:basedOn w:val="Normal"/>
    <w:pPr>
      <w:numPr>
        <w:ilvl w:val="3"/>
        <w:numId w:val="15"/>
      </w:numPr>
    </w:pPr>
  </w:style>
  <w:style w:type="paragraph" w:customStyle="1" w:styleId="ListNumber1">
    <w:name w:val="List Number 1"/>
    <w:basedOn w:val="Text1"/>
    <w:pPr>
      <w:numPr>
        <w:numId w:val="16"/>
      </w:numPr>
    </w:pPr>
  </w:style>
  <w:style w:type="paragraph" w:customStyle="1" w:styleId="ListNumber1Level2">
    <w:name w:val="List Number 1 (Level 2)"/>
    <w:basedOn w:val="Text1"/>
    <w:pPr>
      <w:numPr>
        <w:ilvl w:val="1"/>
        <w:numId w:val="16"/>
      </w:numPr>
    </w:pPr>
  </w:style>
  <w:style w:type="paragraph" w:customStyle="1" w:styleId="ListNumber1Level3">
    <w:name w:val="List Number 1 (Level 3)"/>
    <w:basedOn w:val="Text1"/>
    <w:pPr>
      <w:numPr>
        <w:ilvl w:val="2"/>
        <w:numId w:val="16"/>
      </w:numPr>
    </w:pPr>
  </w:style>
  <w:style w:type="paragraph" w:customStyle="1" w:styleId="ListNumber1Level4">
    <w:name w:val="List Number 1 (Level 4)"/>
    <w:basedOn w:val="Text1"/>
    <w:pPr>
      <w:numPr>
        <w:ilvl w:val="3"/>
        <w:numId w:val="16"/>
      </w:numPr>
    </w:pPr>
  </w:style>
  <w:style w:type="paragraph" w:customStyle="1" w:styleId="ListNumber2Level2">
    <w:name w:val="List Number 2 (Level 2)"/>
    <w:basedOn w:val="Text2"/>
    <w:pPr>
      <w:numPr>
        <w:ilvl w:val="1"/>
        <w:numId w:val="17"/>
      </w:numPr>
      <w:tabs>
        <w:tab w:val="clear" w:pos="2160"/>
      </w:tabs>
    </w:pPr>
  </w:style>
  <w:style w:type="paragraph" w:customStyle="1" w:styleId="ListNumber2Level3">
    <w:name w:val="List Number 2 (Level 3)"/>
    <w:basedOn w:val="Text2"/>
    <w:pPr>
      <w:numPr>
        <w:ilvl w:val="2"/>
        <w:numId w:val="17"/>
      </w:numPr>
      <w:tabs>
        <w:tab w:val="clear" w:pos="2160"/>
      </w:tabs>
    </w:pPr>
  </w:style>
  <w:style w:type="paragraph" w:customStyle="1" w:styleId="ListNumber2Level4">
    <w:name w:val="List Number 2 (Level 4)"/>
    <w:basedOn w:val="Text2"/>
    <w:pPr>
      <w:numPr>
        <w:ilvl w:val="3"/>
        <w:numId w:val="17"/>
      </w:numPr>
      <w:tabs>
        <w:tab w:val="clear" w:pos="2160"/>
      </w:tabs>
    </w:pPr>
  </w:style>
  <w:style w:type="paragraph" w:customStyle="1" w:styleId="ListNumber3Level2">
    <w:name w:val="List Number 3 (Level 2)"/>
    <w:basedOn w:val="Text3"/>
    <w:pPr>
      <w:numPr>
        <w:ilvl w:val="1"/>
        <w:numId w:val="18"/>
      </w:numPr>
      <w:tabs>
        <w:tab w:val="clear" w:pos="2302"/>
      </w:tabs>
    </w:pPr>
  </w:style>
  <w:style w:type="paragraph" w:customStyle="1" w:styleId="ListNumber3Level3">
    <w:name w:val="List Number 3 (Level 3)"/>
    <w:basedOn w:val="Text3"/>
    <w:pPr>
      <w:numPr>
        <w:ilvl w:val="2"/>
        <w:numId w:val="18"/>
      </w:numPr>
      <w:tabs>
        <w:tab w:val="clear" w:pos="2302"/>
      </w:tabs>
    </w:pPr>
  </w:style>
  <w:style w:type="paragraph" w:customStyle="1" w:styleId="ListNumber3Level4">
    <w:name w:val="List Number 3 (Level 4)"/>
    <w:basedOn w:val="Text3"/>
    <w:pPr>
      <w:numPr>
        <w:ilvl w:val="3"/>
        <w:numId w:val="18"/>
      </w:numPr>
      <w:tabs>
        <w:tab w:val="clear" w:pos="2302"/>
      </w:tabs>
    </w:pPr>
  </w:style>
  <w:style w:type="paragraph" w:customStyle="1" w:styleId="ListNumber4Level2">
    <w:name w:val="List Number 4 (Level 2)"/>
    <w:basedOn w:val="Text4"/>
    <w:pPr>
      <w:numPr>
        <w:ilvl w:val="1"/>
        <w:numId w:val="19"/>
      </w:numPr>
    </w:pPr>
  </w:style>
  <w:style w:type="paragraph" w:customStyle="1" w:styleId="ListNumber4Level3">
    <w:name w:val="List Number 4 (Level 3)"/>
    <w:basedOn w:val="Text4"/>
    <w:pPr>
      <w:numPr>
        <w:ilvl w:val="2"/>
        <w:numId w:val="19"/>
      </w:numPr>
    </w:pPr>
  </w:style>
  <w:style w:type="paragraph" w:customStyle="1" w:styleId="ListNumber4Level4">
    <w:name w:val="List Number 4 (Level 4)"/>
    <w:basedOn w:val="Text4"/>
    <w:pPr>
      <w:numPr>
        <w:ilvl w:val="3"/>
        <w:numId w:val="19"/>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20"/>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fr-FR"/>
    </w:rPr>
  </w:style>
  <w:style w:type="paragraph" w:customStyle="1" w:styleId="Initial">
    <w:name w:val="Initial"/>
    <w:link w:val="InitialChar"/>
    <w:pPr>
      <w:tabs>
        <w:tab w:val="left" w:pos="-720"/>
      </w:tabs>
      <w:suppressAutoHyphens/>
      <w:jc w:val="both"/>
    </w:pPr>
    <w:rPr>
      <w:spacing w:val="-3"/>
      <w:sz w:val="24"/>
      <w:lang w:eastAsia="zh-CN"/>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uiPriority w:val="99"/>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eastAsia="zh-CN"/>
    </w:rPr>
  </w:style>
  <w:style w:type="paragraph" w:customStyle="1" w:styleId="Dput">
    <w:name w:val="Député"/>
    <w:basedOn w:val="Titreobjet"/>
    <w:pPr>
      <w:spacing w:after="240"/>
    </w:pPr>
  </w:style>
  <w:style w:type="paragraph" w:customStyle="1" w:styleId="Commissionparlementaire">
    <w:name w:val="Commission parlementaire"/>
    <w:basedOn w:val="Titreobjet"/>
    <w:next w:val="Normal"/>
    <w:pPr>
      <w:spacing w:after="480"/>
    </w:p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semiHidden/>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uiPriority w:val="59"/>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fr-FR"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21"/>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fr-FR"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fr-FR"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fr-FR"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eastAsia="en-US"/>
    </w:rPr>
  </w:style>
  <w:style w:type="paragraph" w:customStyle="1" w:styleId="normal12hanging0">
    <w:name w:val="normal12hanging"/>
    <w:basedOn w:val="Normal"/>
    <w:rsid w:val="00E709A0"/>
    <w:pPr>
      <w:ind w:left="357" w:hanging="357"/>
      <w:jc w:val="left"/>
    </w:pPr>
    <w:rPr>
      <w:rFonts w:ascii="Times New Roman" w:hAnsi="Times New Roman"/>
      <w:szCs w:val="24"/>
      <w:lang w:eastAsia="en-US"/>
    </w:rPr>
  </w:style>
  <w:style w:type="paragraph" w:customStyle="1" w:styleId="CharCharChar">
    <w:name w:val="Char Char Char"/>
    <w:basedOn w:val="Normal"/>
    <w:next w:val="Normal"/>
    <w:rsid w:val="00E709A0"/>
    <w:pPr>
      <w:spacing w:after="160" w:line="240" w:lineRule="exact"/>
      <w:jc w:val="left"/>
    </w:pPr>
    <w:rPr>
      <w:rFonts w:ascii="Tahoma" w:hAnsi="Tahoma"/>
      <w:lang w:eastAsia="en-US"/>
    </w:rPr>
  </w:style>
  <w:style w:type="paragraph" w:customStyle="1" w:styleId="CharCharChar0">
    <w:name w:val="Char Char Char0"/>
    <w:basedOn w:val="Normal"/>
    <w:uiPriority w:val="99"/>
    <w:rsid w:val="0092510C"/>
    <w:pPr>
      <w:spacing w:after="160" w:line="240" w:lineRule="exact"/>
      <w:jc w:val="left"/>
    </w:pPr>
    <w:rPr>
      <w:rFonts w:ascii="Tahoma" w:hAnsi="Tahoma"/>
      <w:sz w:val="20"/>
      <w:lang w:eastAsia="en-US"/>
    </w:rPr>
  </w:style>
  <w:style w:type="character" w:customStyle="1" w:styleId="Normal12Char0">
    <w:name w:val="Normal12 Char"/>
    <w:link w:val="Normal120"/>
    <w:rsid w:val="008D0782"/>
    <w:rPr>
      <w:sz w:val="24"/>
      <w:szCs w:val="24"/>
      <w:lang w:val="fr-FR"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eastAsia="en-US"/>
    </w:rPr>
  </w:style>
  <w:style w:type="paragraph" w:customStyle="1" w:styleId="Char1">
    <w:name w:val="Char1"/>
    <w:basedOn w:val="Normal"/>
    <w:rsid w:val="00F47B73"/>
    <w:pPr>
      <w:spacing w:after="160" w:line="240" w:lineRule="exact"/>
      <w:jc w:val="left"/>
    </w:pPr>
    <w:rPr>
      <w:rFonts w:ascii="Tahoma" w:hAnsi="Tahoma"/>
      <w:sz w:val="20"/>
      <w:lang w:eastAsia="en-US"/>
    </w:rPr>
  </w:style>
  <w:style w:type="paragraph" w:customStyle="1" w:styleId="Char">
    <w:name w:val="Char"/>
    <w:basedOn w:val="Normal"/>
    <w:rsid w:val="00124A7A"/>
    <w:pPr>
      <w:spacing w:after="160" w:line="240" w:lineRule="exact"/>
      <w:jc w:val="left"/>
    </w:pPr>
    <w:rPr>
      <w:rFonts w:ascii="Tahoma" w:hAnsi="Tahoma"/>
      <w:sz w:val="20"/>
      <w:lang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fr-FR"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eastAsia="en-US"/>
    </w:rPr>
  </w:style>
  <w:style w:type="character" w:customStyle="1" w:styleId="Text1Char">
    <w:name w:val="Text 1 Char"/>
    <w:link w:val="Text1"/>
    <w:rsid w:val="001B76B5"/>
    <w:rPr>
      <w:rFonts w:ascii="Courier New" w:hAnsi="Courier New"/>
      <w:sz w:val="24"/>
      <w:lang w:val="fr-FR"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fr-FR"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eastAsia="en-US"/>
    </w:rPr>
  </w:style>
  <w:style w:type="character" w:customStyle="1" w:styleId="Marker">
    <w:name w:val="Marker"/>
    <w:rsid w:val="00FE35A4"/>
    <w:rPr>
      <w:color w:val="0000FF"/>
      <w:lang w:val="fr-FR"/>
    </w:rPr>
  </w:style>
  <w:style w:type="paragraph" w:customStyle="1" w:styleId="CarChar">
    <w:name w:val="Car Char"/>
    <w:basedOn w:val="Normal"/>
    <w:rsid w:val="00573DC5"/>
    <w:pPr>
      <w:spacing w:after="160" w:line="240" w:lineRule="exact"/>
      <w:jc w:val="left"/>
    </w:pPr>
    <w:rPr>
      <w:rFonts w:ascii="Tahoma" w:hAnsi="Tahoma"/>
      <w:sz w:val="20"/>
      <w:lang w:eastAsia="en-US"/>
    </w:rPr>
  </w:style>
  <w:style w:type="paragraph" w:customStyle="1" w:styleId="Car">
    <w:name w:val="Car"/>
    <w:basedOn w:val="Normal"/>
    <w:rsid w:val="00F02465"/>
    <w:pPr>
      <w:spacing w:after="160" w:line="240" w:lineRule="exact"/>
      <w:jc w:val="left"/>
    </w:pPr>
    <w:rPr>
      <w:rFonts w:ascii="Arial" w:hAnsi="Arial" w:cs="Arial"/>
      <w:sz w:val="28"/>
      <w:szCs w:val="28"/>
      <w:lang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fr-FR"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uiPriority w:val="99"/>
    <w:qFormat/>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fr-FR"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eastAsia="en-US"/>
    </w:rPr>
  </w:style>
  <w:style w:type="paragraph" w:customStyle="1" w:styleId="Znak">
    <w:name w:val="Znak"/>
    <w:basedOn w:val="Normal"/>
    <w:rsid w:val="00A76EE9"/>
    <w:pPr>
      <w:spacing w:after="160" w:line="240" w:lineRule="exact"/>
      <w:jc w:val="left"/>
    </w:pPr>
    <w:rPr>
      <w:rFonts w:ascii="Tahoma" w:hAnsi="Tahoma"/>
      <w:sz w:val="20"/>
      <w:lang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fr-FR"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uiPriority w:val="99"/>
    <w:rsid w:val="00634CB5"/>
    <w:rPr>
      <w:rFonts w:ascii="Arial" w:hAnsi="Arial"/>
      <w:sz w:val="16"/>
      <w:lang w:val="fr-FR"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eastAsia="en-US"/>
    </w:rPr>
  </w:style>
  <w:style w:type="character" w:customStyle="1" w:styleId="ListBulletChar">
    <w:name w:val="List Bullet Char"/>
    <w:rsid w:val="00B36749"/>
    <w:rPr>
      <w:sz w:val="24"/>
      <w:lang w:val="fr-FR" w:eastAsia="en-US" w:bidi="ar-SA"/>
    </w:rPr>
  </w:style>
  <w:style w:type="character" w:customStyle="1" w:styleId="Normal12HangingZnak">
    <w:name w:val="Normal12Hanging Znak"/>
    <w:rsid w:val="006474F2"/>
    <w:rPr>
      <w:sz w:val="24"/>
      <w:lang w:val="fr-FR" w:eastAsia="en-GB" w:bidi="ar-SA"/>
    </w:rPr>
  </w:style>
  <w:style w:type="character" w:customStyle="1" w:styleId="Text2Char1">
    <w:name w:val="Text 2 Char1"/>
    <w:link w:val="Text2"/>
    <w:rsid w:val="006474F2"/>
    <w:rPr>
      <w:rFonts w:ascii="Courier New" w:hAnsi="Courier New"/>
      <w:sz w:val="24"/>
      <w:lang w:val="fr-FR"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fr-FR"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aliases w:val="1st level - Bullet List Paragraph,List Paragraph1,Lettre d'introduction,Paragrafo elenco,Medium Grid 1 - Accent 21,Fiche List Paragraph,Conclusion de partie,Dot pt,No Spacing1,List Paragraph Char Char Char,Indicator Text,Numbered Para 1,2"/>
    <w:basedOn w:val="Normal"/>
    <w:link w:val="ListParagraphChar"/>
    <w:uiPriority w:val="34"/>
    <w:qFormat/>
    <w:rsid w:val="001C680C"/>
    <w:pPr>
      <w:spacing w:after="200" w:line="276" w:lineRule="auto"/>
      <w:ind w:left="720"/>
      <w:contextualSpacing/>
      <w:jc w:val="left"/>
    </w:pPr>
    <w:rPr>
      <w:rFonts w:ascii="Calibri" w:eastAsia="Calibri" w:hAnsi="Calibri"/>
      <w:sz w:val="22"/>
      <w:szCs w:val="22"/>
      <w:lang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fr-FR"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eastAsia="en-US"/>
    </w:rPr>
  </w:style>
  <w:style w:type="paragraph" w:customStyle="1" w:styleId="Considrant">
    <w:name w:val="Considérant"/>
    <w:basedOn w:val="Normal"/>
    <w:rsid w:val="009D3B39"/>
    <w:pPr>
      <w:numPr>
        <w:numId w:val="23"/>
      </w:numPr>
      <w:spacing w:before="120" w:after="120"/>
    </w:pPr>
    <w:rPr>
      <w:rFonts w:ascii="Times New Roman" w:hAnsi="Times New Roma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fr-FR"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fr-FR" w:eastAsia="en-GB" w:bidi="ar-SA"/>
    </w:rPr>
  </w:style>
  <w:style w:type="paragraph" w:customStyle="1" w:styleId="Briefingspeakdef">
    <w:name w:val="Briefing speak/def"/>
    <w:basedOn w:val="Normal"/>
    <w:rsid w:val="005951D7"/>
    <w:pPr>
      <w:numPr>
        <w:numId w:val="24"/>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fr-FR"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fr-FR" w:eastAsia="en-US" w:bidi="ar-SA"/>
    </w:rPr>
  </w:style>
  <w:style w:type="numbering" w:styleId="111111">
    <w:name w:val="Outline List 2"/>
    <w:basedOn w:val="NoList"/>
    <w:rsid w:val="00BC35A6"/>
    <w:pPr>
      <w:numPr>
        <w:numId w:val="25"/>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Char1 Char"/>
    <w:uiPriority w:val="99"/>
    <w:locked/>
    <w:rsid w:val="00EA0D59"/>
    <w:rPr>
      <w:lang w:val="fr-FR" w:eastAsia="en-GB" w:bidi="ar-SA"/>
    </w:rPr>
  </w:style>
  <w:style w:type="character" w:customStyle="1" w:styleId="InitialChar">
    <w:name w:val="Initial Char"/>
    <w:link w:val="Initial"/>
    <w:rsid w:val="00FD22F7"/>
    <w:rPr>
      <w:spacing w:val="-3"/>
      <w:sz w:val="24"/>
      <w:lang w:val="fr-FR" w:eastAsia="en-GB" w:bidi="ar-SA"/>
    </w:rPr>
  </w:style>
  <w:style w:type="paragraph" w:customStyle="1" w:styleId="Briefingspdef">
    <w:name w:val="Briefing sp/def"/>
    <w:basedOn w:val="Normal"/>
    <w:rsid w:val="00FD22F7"/>
    <w:pPr>
      <w:keepLines/>
      <w:numPr>
        <w:numId w:val="26"/>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fr-FR" w:eastAsia="en-GB" w:bidi="ar-SA"/>
    </w:rPr>
  </w:style>
  <w:style w:type="paragraph" w:customStyle="1" w:styleId="ZnakZnak">
    <w:name w:val="Znak Znak"/>
    <w:basedOn w:val="Normal"/>
    <w:link w:val="NoList"/>
    <w:rsid w:val="00E61FC7"/>
    <w:pPr>
      <w:spacing w:after="0" w:line="360" w:lineRule="auto"/>
    </w:pPr>
    <w:rPr>
      <w:rFonts w:ascii="Verdana" w:hAnsi="Verdana"/>
      <w:sz w:val="20"/>
      <w:lang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fr-FR"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fr-FR"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0"/>
    <w:basedOn w:val="Normal"/>
    <w:rsid w:val="002D2D7A"/>
    <w:pPr>
      <w:spacing w:after="0" w:line="360" w:lineRule="auto"/>
    </w:pPr>
    <w:rPr>
      <w:rFonts w:ascii="Verdana" w:hAnsi="Verdana"/>
      <w:sz w:val="20"/>
      <w:lang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eastAsia="en-GB"/>
    </w:rPr>
  </w:style>
  <w:style w:type="paragraph" w:customStyle="1" w:styleId="CM3">
    <w:name w:val="CM3"/>
    <w:basedOn w:val="Default"/>
    <w:next w:val="Default"/>
    <w:uiPriority w:val="99"/>
    <w:rsid w:val="007C5D8A"/>
    <w:rPr>
      <w:rFonts w:ascii="EUAlbertina" w:hAnsi="EUAlbertina"/>
      <w:color w:val="auto"/>
      <w:lang w:eastAsia="en-GB"/>
    </w:rPr>
  </w:style>
  <w:style w:type="paragraph" w:customStyle="1" w:styleId="CM4">
    <w:name w:val="CM4"/>
    <w:basedOn w:val="Default"/>
    <w:next w:val="Default"/>
    <w:uiPriority w:val="99"/>
    <w:rsid w:val="007C5D8A"/>
    <w:rPr>
      <w:rFonts w:ascii="EUAlbertina" w:hAnsi="EUAlbertina"/>
      <w:color w:val="auto"/>
      <w:lang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lang w:eastAsia="zh-CN"/>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Odwo&lt;0142&gt;anie przypisu,SUPER,BVI fnr Char1 Char,fr,(NECG) Footnote Reference,o,Style 6,Signature Ch, Char1,Footnote Reference_LVL62,Footnote Reference_LVL63"/>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fr-FR"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BA139E"/>
  </w:style>
  <w:style w:type="character" w:customStyle="1" w:styleId="playersrapportertext">
    <w:name w:val="players_rapporter_text"/>
    <w:rsid w:val="003F006A"/>
  </w:style>
  <w:style w:type="character" w:customStyle="1" w:styleId="ListParagraphChar">
    <w:name w:val="List Paragraph Char"/>
    <w:aliases w:val="1st level - Bullet List Paragraph Char,List Paragraph1 Char,Lettre d'introduction Char,Paragrafo elenco Char,Medium Grid 1 - Accent 21 Char,Fiche List Paragraph Char,Conclusion de partie Char,Dot pt Char,No Spacing1 Char,2 Char"/>
    <w:link w:val="ListParagraph"/>
    <w:uiPriority w:val="34"/>
    <w:qFormat/>
    <w:rsid w:val="00C9087F"/>
    <w:rPr>
      <w:rFonts w:ascii="Calibri" w:eastAsia="Calibri" w:hAnsi="Calibri"/>
      <w:sz w:val="22"/>
      <w:szCs w:val="22"/>
      <w:lang w:val="fr-FR" w:eastAsia="en-US"/>
    </w:rPr>
  </w:style>
  <w:style w:type="character" w:customStyle="1" w:styleId="normaltextrun">
    <w:name w:val="normaltextrun"/>
    <w:basedOn w:val="DefaultParagraphFont"/>
    <w:rsid w:val="00C9087F"/>
  </w:style>
  <w:style w:type="paragraph" w:customStyle="1" w:styleId="paragraph">
    <w:name w:val="paragraph"/>
    <w:basedOn w:val="Normal"/>
    <w:rsid w:val="005F2BDB"/>
    <w:pPr>
      <w:spacing w:before="100" w:beforeAutospacing="1" w:after="100" w:afterAutospacing="1"/>
      <w:jc w:val="left"/>
    </w:pPr>
    <w:rPr>
      <w:rFonts w:ascii="Times New Roman" w:hAnsi="Times New Roman"/>
      <w:szCs w:val="24"/>
      <w:lang w:eastAsia="fr-BE"/>
    </w:rPr>
  </w:style>
  <w:style w:type="character" w:customStyle="1" w:styleId="eop">
    <w:name w:val="eop"/>
    <w:basedOn w:val="DefaultParagraphFont"/>
    <w:rsid w:val="005F2BDB"/>
  </w:style>
  <w:style w:type="character" w:customStyle="1" w:styleId="tabchar">
    <w:name w:val="tabchar"/>
    <w:basedOn w:val="DefaultParagraphFont"/>
    <w:rsid w:val="005F2BDB"/>
  </w:style>
  <w:style w:type="paragraph" w:customStyle="1" w:styleId="NormalHanging12a">
    <w:name w:val="NormalHanging12a"/>
    <w:basedOn w:val="Normal"/>
    <w:uiPriority w:val="1"/>
    <w:rsid w:val="005F2BDB"/>
    <w:pPr>
      <w:widowControl w:val="0"/>
      <w:spacing w:line="276" w:lineRule="auto"/>
      <w:ind w:left="567" w:hanging="567"/>
      <w:jc w:val="left"/>
    </w:pPr>
    <w:rPr>
      <w:rFonts w:ascii="Calibri" w:eastAsia="Calibri" w:hAnsi="Calibri"/>
      <w:szCs w:val="24"/>
      <w:lang w:eastAsia="en-US"/>
    </w:rPr>
  </w:style>
  <w:style w:type="character" w:customStyle="1" w:styleId="scxw122244421">
    <w:name w:val="scxw122244421"/>
    <w:basedOn w:val="DefaultParagraphFont"/>
    <w:rsid w:val="005F2BDB"/>
  </w:style>
  <w:style w:type="character" w:styleId="Mention">
    <w:name w:val="Mention"/>
    <w:uiPriority w:val="99"/>
    <w:unhideWhenUsed/>
    <w:rPr>
      <w:color w:val="2B579A"/>
      <w:shd w:val="clear" w:color="auto" w:fill="E6E6E6"/>
    </w:rPr>
  </w:style>
  <w:style w:type="character" w:customStyle="1" w:styleId="hwtze">
    <w:name w:val="hwtze"/>
    <w:basedOn w:val="DefaultParagraphFont"/>
    <w:rsid w:val="00C61ACE"/>
  </w:style>
  <w:style w:type="character" w:customStyle="1" w:styleId="rynqvb">
    <w:name w:val="rynqvb"/>
    <w:basedOn w:val="DefaultParagraphFont"/>
    <w:rsid w:val="00C61ACE"/>
  </w:style>
  <w:style w:type="character" w:styleId="UnresolvedMention">
    <w:name w:val="Unresolved Mention"/>
    <w:uiPriority w:val="99"/>
    <w:semiHidden/>
    <w:unhideWhenUsed/>
    <w:rsid w:val="00EF5144"/>
    <w:rPr>
      <w:color w:val="605E5C"/>
      <w:shd w:val="clear" w:color="auto" w:fill="E1DFDD"/>
    </w:rPr>
  </w:style>
  <w:style w:type="character" w:customStyle="1" w:styleId="cf01">
    <w:name w:val="cf01"/>
    <w:basedOn w:val="DefaultParagraphFont"/>
    <w:rsid w:val="00987CE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315594">
      <w:bodyDiv w:val="1"/>
      <w:marLeft w:val="0"/>
      <w:marRight w:val="0"/>
      <w:marTop w:val="0"/>
      <w:marBottom w:val="0"/>
      <w:divBdr>
        <w:top w:val="none" w:sz="0" w:space="0" w:color="auto"/>
        <w:left w:val="none" w:sz="0" w:space="0" w:color="auto"/>
        <w:bottom w:val="none" w:sz="0" w:space="0" w:color="auto"/>
        <w:right w:val="none" w:sz="0" w:space="0" w:color="auto"/>
      </w:divBdr>
    </w:div>
    <w:div w:id="271984260">
      <w:bodyDiv w:val="1"/>
      <w:marLeft w:val="0"/>
      <w:marRight w:val="0"/>
      <w:marTop w:val="0"/>
      <w:marBottom w:val="0"/>
      <w:divBdr>
        <w:top w:val="none" w:sz="0" w:space="0" w:color="auto"/>
        <w:left w:val="none" w:sz="0" w:space="0" w:color="auto"/>
        <w:bottom w:val="none" w:sz="0" w:space="0" w:color="auto"/>
        <w:right w:val="none" w:sz="0" w:space="0" w:color="auto"/>
      </w:divBdr>
      <w:divsChild>
        <w:div w:id="1083181003">
          <w:marLeft w:val="0"/>
          <w:marRight w:val="0"/>
          <w:marTop w:val="0"/>
          <w:marBottom w:val="0"/>
          <w:divBdr>
            <w:top w:val="none" w:sz="0" w:space="0" w:color="auto"/>
            <w:left w:val="none" w:sz="0" w:space="0" w:color="auto"/>
            <w:bottom w:val="none" w:sz="0" w:space="0" w:color="auto"/>
            <w:right w:val="none" w:sz="0" w:space="0" w:color="auto"/>
          </w:divBdr>
        </w:div>
        <w:div w:id="1699238279">
          <w:marLeft w:val="0"/>
          <w:marRight w:val="0"/>
          <w:marTop w:val="0"/>
          <w:marBottom w:val="0"/>
          <w:divBdr>
            <w:top w:val="none" w:sz="0" w:space="0" w:color="auto"/>
            <w:left w:val="none" w:sz="0" w:space="0" w:color="auto"/>
            <w:bottom w:val="none" w:sz="0" w:space="0" w:color="auto"/>
            <w:right w:val="none" w:sz="0" w:space="0" w:color="auto"/>
          </w:divBdr>
        </w:div>
      </w:divsChild>
    </w:div>
    <w:div w:id="325519413">
      <w:bodyDiv w:val="1"/>
      <w:marLeft w:val="0"/>
      <w:marRight w:val="0"/>
      <w:marTop w:val="0"/>
      <w:marBottom w:val="0"/>
      <w:divBdr>
        <w:top w:val="none" w:sz="0" w:space="0" w:color="auto"/>
        <w:left w:val="none" w:sz="0" w:space="0" w:color="auto"/>
        <w:bottom w:val="none" w:sz="0" w:space="0" w:color="auto"/>
        <w:right w:val="none" w:sz="0" w:space="0" w:color="auto"/>
      </w:divBdr>
    </w:div>
    <w:div w:id="362293849">
      <w:bodyDiv w:val="1"/>
      <w:marLeft w:val="0"/>
      <w:marRight w:val="0"/>
      <w:marTop w:val="0"/>
      <w:marBottom w:val="0"/>
      <w:divBdr>
        <w:top w:val="none" w:sz="0" w:space="0" w:color="auto"/>
        <w:left w:val="none" w:sz="0" w:space="0" w:color="auto"/>
        <w:bottom w:val="none" w:sz="0" w:space="0" w:color="auto"/>
        <w:right w:val="none" w:sz="0" w:space="0" w:color="auto"/>
      </w:divBdr>
    </w:div>
    <w:div w:id="443576597">
      <w:bodyDiv w:val="1"/>
      <w:marLeft w:val="0"/>
      <w:marRight w:val="0"/>
      <w:marTop w:val="0"/>
      <w:marBottom w:val="0"/>
      <w:divBdr>
        <w:top w:val="none" w:sz="0" w:space="0" w:color="auto"/>
        <w:left w:val="none" w:sz="0" w:space="0" w:color="auto"/>
        <w:bottom w:val="none" w:sz="0" w:space="0" w:color="auto"/>
        <w:right w:val="none" w:sz="0" w:space="0" w:color="auto"/>
      </w:divBdr>
    </w:div>
    <w:div w:id="529806842">
      <w:bodyDiv w:val="1"/>
      <w:marLeft w:val="0"/>
      <w:marRight w:val="0"/>
      <w:marTop w:val="0"/>
      <w:marBottom w:val="0"/>
      <w:divBdr>
        <w:top w:val="none" w:sz="0" w:space="0" w:color="auto"/>
        <w:left w:val="none" w:sz="0" w:space="0" w:color="auto"/>
        <w:bottom w:val="none" w:sz="0" w:space="0" w:color="auto"/>
        <w:right w:val="none" w:sz="0" w:space="0" w:color="auto"/>
      </w:divBdr>
    </w:div>
    <w:div w:id="540435478">
      <w:bodyDiv w:val="1"/>
      <w:marLeft w:val="0"/>
      <w:marRight w:val="0"/>
      <w:marTop w:val="0"/>
      <w:marBottom w:val="0"/>
      <w:divBdr>
        <w:top w:val="none" w:sz="0" w:space="0" w:color="auto"/>
        <w:left w:val="none" w:sz="0" w:space="0" w:color="auto"/>
        <w:bottom w:val="none" w:sz="0" w:space="0" w:color="auto"/>
        <w:right w:val="none" w:sz="0" w:space="0" w:color="auto"/>
      </w:divBdr>
    </w:div>
    <w:div w:id="636421859">
      <w:bodyDiv w:val="1"/>
      <w:marLeft w:val="0"/>
      <w:marRight w:val="0"/>
      <w:marTop w:val="0"/>
      <w:marBottom w:val="0"/>
      <w:divBdr>
        <w:top w:val="none" w:sz="0" w:space="0" w:color="auto"/>
        <w:left w:val="none" w:sz="0" w:space="0" w:color="auto"/>
        <w:bottom w:val="none" w:sz="0" w:space="0" w:color="auto"/>
        <w:right w:val="none" w:sz="0" w:space="0" w:color="auto"/>
      </w:divBdr>
    </w:div>
    <w:div w:id="771558186">
      <w:bodyDiv w:val="1"/>
      <w:marLeft w:val="0"/>
      <w:marRight w:val="0"/>
      <w:marTop w:val="0"/>
      <w:marBottom w:val="0"/>
      <w:divBdr>
        <w:top w:val="none" w:sz="0" w:space="0" w:color="auto"/>
        <w:left w:val="none" w:sz="0" w:space="0" w:color="auto"/>
        <w:bottom w:val="none" w:sz="0" w:space="0" w:color="auto"/>
        <w:right w:val="none" w:sz="0" w:space="0" w:color="auto"/>
      </w:divBdr>
    </w:div>
    <w:div w:id="1023824163">
      <w:bodyDiv w:val="1"/>
      <w:marLeft w:val="0"/>
      <w:marRight w:val="0"/>
      <w:marTop w:val="0"/>
      <w:marBottom w:val="0"/>
      <w:divBdr>
        <w:top w:val="none" w:sz="0" w:space="0" w:color="auto"/>
        <w:left w:val="none" w:sz="0" w:space="0" w:color="auto"/>
        <w:bottom w:val="none" w:sz="0" w:space="0" w:color="auto"/>
        <w:right w:val="none" w:sz="0" w:space="0" w:color="auto"/>
      </w:divBdr>
    </w:div>
    <w:div w:id="1154838691">
      <w:bodyDiv w:val="1"/>
      <w:marLeft w:val="0"/>
      <w:marRight w:val="0"/>
      <w:marTop w:val="0"/>
      <w:marBottom w:val="0"/>
      <w:divBdr>
        <w:top w:val="none" w:sz="0" w:space="0" w:color="auto"/>
        <w:left w:val="none" w:sz="0" w:space="0" w:color="auto"/>
        <w:bottom w:val="none" w:sz="0" w:space="0" w:color="auto"/>
        <w:right w:val="none" w:sz="0" w:space="0" w:color="auto"/>
      </w:divBdr>
    </w:div>
    <w:div w:id="1250820106">
      <w:bodyDiv w:val="1"/>
      <w:marLeft w:val="0"/>
      <w:marRight w:val="0"/>
      <w:marTop w:val="0"/>
      <w:marBottom w:val="0"/>
      <w:divBdr>
        <w:top w:val="none" w:sz="0" w:space="0" w:color="auto"/>
        <w:left w:val="none" w:sz="0" w:space="0" w:color="auto"/>
        <w:bottom w:val="none" w:sz="0" w:space="0" w:color="auto"/>
        <w:right w:val="none" w:sz="0" w:space="0" w:color="auto"/>
      </w:divBdr>
    </w:div>
    <w:div w:id="1334187286">
      <w:bodyDiv w:val="1"/>
      <w:marLeft w:val="0"/>
      <w:marRight w:val="0"/>
      <w:marTop w:val="0"/>
      <w:marBottom w:val="0"/>
      <w:divBdr>
        <w:top w:val="none" w:sz="0" w:space="0" w:color="auto"/>
        <w:left w:val="none" w:sz="0" w:space="0" w:color="auto"/>
        <w:bottom w:val="none" w:sz="0" w:space="0" w:color="auto"/>
        <w:right w:val="none" w:sz="0" w:space="0" w:color="auto"/>
      </w:divBdr>
    </w:div>
    <w:div w:id="1388525344">
      <w:bodyDiv w:val="1"/>
      <w:marLeft w:val="0"/>
      <w:marRight w:val="0"/>
      <w:marTop w:val="0"/>
      <w:marBottom w:val="0"/>
      <w:divBdr>
        <w:top w:val="none" w:sz="0" w:space="0" w:color="auto"/>
        <w:left w:val="none" w:sz="0" w:space="0" w:color="auto"/>
        <w:bottom w:val="none" w:sz="0" w:space="0" w:color="auto"/>
        <w:right w:val="none" w:sz="0" w:space="0" w:color="auto"/>
      </w:divBdr>
    </w:div>
    <w:div w:id="1431048424">
      <w:bodyDiv w:val="1"/>
      <w:marLeft w:val="0"/>
      <w:marRight w:val="0"/>
      <w:marTop w:val="0"/>
      <w:marBottom w:val="0"/>
      <w:divBdr>
        <w:top w:val="none" w:sz="0" w:space="0" w:color="auto"/>
        <w:left w:val="none" w:sz="0" w:space="0" w:color="auto"/>
        <w:bottom w:val="none" w:sz="0" w:space="0" w:color="auto"/>
        <w:right w:val="none" w:sz="0" w:space="0" w:color="auto"/>
      </w:divBdr>
    </w:div>
    <w:div w:id="1604729792">
      <w:bodyDiv w:val="1"/>
      <w:marLeft w:val="0"/>
      <w:marRight w:val="0"/>
      <w:marTop w:val="0"/>
      <w:marBottom w:val="0"/>
      <w:divBdr>
        <w:top w:val="none" w:sz="0" w:space="0" w:color="auto"/>
        <w:left w:val="none" w:sz="0" w:space="0" w:color="auto"/>
        <w:bottom w:val="none" w:sz="0" w:space="0" w:color="auto"/>
        <w:right w:val="none" w:sz="0" w:space="0" w:color="auto"/>
      </w:divBdr>
    </w:div>
    <w:div w:id="1784616511">
      <w:bodyDiv w:val="1"/>
      <w:marLeft w:val="0"/>
      <w:marRight w:val="0"/>
      <w:marTop w:val="0"/>
      <w:marBottom w:val="0"/>
      <w:divBdr>
        <w:top w:val="none" w:sz="0" w:space="0" w:color="auto"/>
        <w:left w:val="none" w:sz="0" w:space="0" w:color="auto"/>
        <w:bottom w:val="none" w:sz="0" w:space="0" w:color="auto"/>
        <w:right w:val="none" w:sz="0" w:space="0" w:color="auto"/>
      </w:divBdr>
      <w:divsChild>
        <w:div w:id="76099633">
          <w:marLeft w:val="0"/>
          <w:marRight w:val="0"/>
          <w:marTop w:val="0"/>
          <w:marBottom w:val="0"/>
          <w:divBdr>
            <w:top w:val="none" w:sz="0" w:space="0" w:color="auto"/>
            <w:left w:val="none" w:sz="0" w:space="0" w:color="auto"/>
            <w:bottom w:val="none" w:sz="0" w:space="0" w:color="auto"/>
            <w:right w:val="none" w:sz="0" w:space="0" w:color="auto"/>
          </w:divBdr>
        </w:div>
        <w:div w:id="1457675029">
          <w:marLeft w:val="0"/>
          <w:marRight w:val="0"/>
          <w:marTop w:val="0"/>
          <w:marBottom w:val="0"/>
          <w:divBdr>
            <w:top w:val="none" w:sz="0" w:space="0" w:color="auto"/>
            <w:left w:val="none" w:sz="0" w:space="0" w:color="auto"/>
            <w:bottom w:val="none" w:sz="0" w:space="0" w:color="auto"/>
            <w:right w:val="none" w:sz="0" w:space="0" w:color="auto"/>
          </w:divBdr>
        </w:div>
      </w:divsChild>
    </w:div>
    <w:div w:id="1870489294">
      <w:bodyDiv w:val="1"/>
      <w:marLeft w:val="0"/>
      <w:marRight w:val="0"/>
      <w:marTop w:val="0"/>
      <w:marBottom w:val="0"/>
      <w:divBdr>
        <w:top w:val="none" w:sz="0" w:space="0" w:color="auto"/>
        <w:left w:val="none" w:sz="0" w:space="0" w:color="auto"/>
        <w:bottom w:val="none" w:sz="0" w:space="0" w:color="auto"/>
        <w:right w:val="none" w:sz="0" w:space="0" w:color="auto"/>
      </w:divBdr>
    </w:div>
    <w:div w:id="1987469847">
      <w:bodyDiv w:val="1"/>
      <w:marLeft w:val="0"/>
      <w:marRight w:val="0"/>
      <w:marTop w:val="0"/>
      <w:marBottom w:val="0"/>
      <w:divBdr>
        <w:top w:val="none" w:sz="0" w:space="0" w:color="auto"/>
        <w:left w:val="none" w:sz="0" w:space="0" w:color="auto"/>
        <w:bottom w:val="none" w:sz="0" w:space="0" w:color="auto"/>
        <w:right w:val="none" w:sz="0" w:space="0" w:color="auto"/>
      </w:divBdr>
    </w:div>
    <w:div w:id="212804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fr/programme-guide/part-b/jean-monnet-actions/education-training/learning-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lex.europa.eu/legal-content/FR/TXT/?uri=celex%3A32022H0627%2803%29"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erasmus-plus.ec.europa.eu/european-student-card-initiative/ewp" TargetMode="External"/><Relationship Id="rId13" Type="http://schemas.openxmlformats.org/officeDocument/2006/relationships/hyperlink" Target="https://commission.europa.eu/news/no-place-hate-europe-united-against-hatred-2023-12-06_fr" TargetMode="External"/><Relationship Id="rId18" Type="http://schemas.openxmlformats.org/officeDocument/2006/relationships/hyperlink" Target="https://epale.ec.europa.eu/fr" TargetMode="External"/><Relationship Id="rId3" Type="http://schemas.openxmlformats.org/officeDocument/2006/relationships/hyperlink" Target="https://op.europa.eu/en/publication-detail/-/publication/daa7c5d9-8575-11ee-99ba-01aa75ed71a1/language-fr" TargetMode="External"/><Relationship Id="rId7" Type="http://schemas.openxmlformats.org/officeDocument/2006/relationships/hyperlink" Target="https://erasmus-plus.ec.europa.eu/sites/default/files/2023-11/europe-on-the-move-recommendation-swd-1-COM_2023_719_1_EN.pdf" TargetMode="External"/><Relationship Id="rId12" Type="http://schemas.openxmlformats.org/officeDocument/2006/relationships/hyperlink" Target="https://data.consilium.europa.eu/doc/document/ST-15738-2023-INIT/fr/pdf" TargetMode="External"/><Relationship Id="rId17" Type="http://schemas.openxmlformats.org/officeDocument/2006/relationships/hyperlink" Target="https://eur-lex.europa.eu/legal-content/FR/TXT/?uri=celex%3A32022H0627%2803%29" TargetMode="External"/><Relationship Id="rId2" Type="http://schemas.openxmlformats.org/officeDocument/2006/relationships/hyperlink" Target="https://eur-lex.europa.eu/legal-content/FR/ALL/?uri=CELEX:52023DC0091" TargetMode="External"/><Relationship Id="rId16" Type="http://schemas.openxmlformats.org/officeDocument/2006/relationships/hyperlink" Target="https://www.consilium.europa.eu/fr/press/press-releases/2022/06/16/council-recommends-european-approach-to-micro-credentials" TargetMode="External"/><Relationship Id="rId20" Type="http://schemas.openxmlformats.org/officeDocument/2006/relationships/hyperlink" Target="https://data.consilium.europa.eu/doc/document/ST-15741-2023-INIT/fr/pdf" TargetMode="External"/><Relationship Id="rId1" Type="http://schemas.openxmlformats.org/officeDocument/2006/relationships/hyperlink" Target="https://erasmus-plus.ec.europa.eu/fr/resources-and-tools/erasmus-charter-for-higher-education" TargetMode="External"/><Relationship Id="rId6" Type="http://schemas.openxmlformats.org/officeDocument/2006/relationships/hyperlink" Target="https://erasmus-plus.ec.europa.eu/programme-guide/part-b/key-action-3/youth-together" TargetMode="External"/><Relationship Id="rId11" Type="http://schemas.openxmlformats.org/officeDocument/2006/relationships/hyperlink" Target="https://school-education.ec.europa.eu/fr" TargetMode="External"/><Relationship Id="rId5" Type="http://schemas.openxmlformats.org/officeDocument/2006/relationships/hyperlink" Target="https://eur-lex.europa.eu/legal-content/FR/TXT/PDF/?uri=CELEX:32016H1224(01)" TargetMode="External"/><Relationship Id="rId15" Type="http://schemas.openxmlformats.org/officeDocument/2006/relationships/hyperlink" Target="https://eur-lex.europa.eu/legal-content/FR/TXT/?uri=CELEX%3A52024DC0001&amp;qid=1714467297257" TargetMode="External"/><Relationship Id="rId10" Type="http://schemas.openxmlformats.org/officeDocument/2006/relationships/hyperlink" Target="https://education.ec.europa.eu/education-levels/higher-education/european-universities-initiative/map" TargetMode="External"/><Relationship Id="rId19" Type="http://schemas.openxmlformats.org/officeDocument/2006/relationships/hyperlink" Target="https://www.consilium.europa.eu/fr/press/press-releases/2023/11/23/digital-skills-and-competences-and-successful-digital-education-and-training-fit-for-the-digital-era/" TargetMode="External"/><Relationship Id="rId4" Type="http://schemas.openxmlformats.org/officeDocument/2006/relationships/hyperlink" Target="https://eur-lex.europa.eu/legal-content/FR/TXT/PDF/?uri=CELEX:32021G1214(01)" TargetMode="External"/><Relationship Id="rId9" Type="http://schemas.openxmlformats.org/officeDocument/2006/relationships/hyperlink" Target="https://education.ec.europa.eu/fr/education-levels/higher-education/european-student-card-initiative" TargetMode="External"/><Relationship Id="rId14" Type="http://schemas.openxmlformats.org/officeDocument/2006/relationships/hyperlink" Target="https://erasmus-plus.ec.europa.eu/fr/programme-guide/part-b/key-action-1/discovereu-a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8B0A7-7E3D-4314-B193-6281F8B22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7956</Words>
  <Characters>45411</Characters>
  <Application>Microsoft Office Word</Application>
  <DocSecurity>0</DocSecurity>
  <PresentationFormat>Microsoft Word 8.0b</PresentationFormat>
  <Lines>613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2024-08-23T08:06:00Z</dcterms:created>
  <dcterms:modified xsi:type="dcterms:W3CDTF">2024-08-23T08:06:00Z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2024-03-06T14:57:40Z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3aba4d1d-72ba-444f-a9f8-6ae1f84fbcab</vt:lpwstr>
  </property>
  <property fmtid="{D5CDD505-2E9C-101B-9397-08002B2CF9AE}" pid="8" name="MSIP_Label_6bd9ddd1-4d20-43f6-abfa-fc3c07406f94_ContentBits">
    <vt:lpwstr>0</vt:lpwstr>
  </property>
</Properties>
</file>