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7A33" w14:textId="363A826D" w:rsidR="00752729" w:rsidRDefault="00752729" w:rsidP="00997348">
      <w:pPr>
        <w:spacing w:after="600"/>
        <w:jc w:val="center"/>
        <w:rPr>
          <w:b/>
          <w:bCs/>
          <w:sz w:val="24"/>
          <w:szCs w:val="24"/>
          <w:rFonts w:ascii="Times New Roman" w:hAnsi="Times New Roman" w:cs="Times New Roman"/>
        </w:rPr>
      </w:pPr>
      <w:r>
        <w:rPr>
          <w:b/>
          <w:sz w:val="24"/>
          <w:rFonts w:ascii="Times New Roman" w:hAnsi="Times New Roman"/>
        </w:rPr>
        <w:t xml:space="preserve">Suite donnée à la résolution non législative du Parlement européen </w:t>
      </w:r>
      <w:bookmarkStart w:id="0" w:name="_Hlk146632301"/>
      <w:r>
        <w:rPr>
          <w:b/>
          <w:sz w:val="24"/>
          <w:rFonts w:ascii="Times New Roman" w:hAnsi="Times New Roman"/>
        </w:rPr>
        <w:t xml:space="preserve">sur </w:t>
      </w:r>
      <w:bookmarkEnd w:id="0"/>
      <w:r>
        <w:rPr>
          <w:b/>
          <w:sz w:val="24"/>
          <w:rFonts w:ascii="Times New Roman" w:hAnsi="Times New Roman"/>
        </w:rPr>
        <w:t xml:space="preserve">les négociations multilatérales en vue de la 13</w:t>
      </w:r>
      <w:r>
        <w:rPr>
          <w:b/>
          <w:sz w:val="24"/>
          <w:vertAlign w:val="superscript"/>
          <w:rFonts w:ascii="Times New Roman" w:hAnsi="Times New Roman"/>
        </w:rPr>
        <w:t xml:space="preserve">e</w:t>
      </w:r>
      <w:r>
        <w:rPr>
          <w:b/>
          <w:sz w:val="24"/>
          <w:rFonts w:ascii="Times New Roman" w:hAnsi="Times New Roman"/>
        </w:rPr>
        <w:t xml:space="preserve"> conférence ministérielle de l’OMC </w:t>
      </w:r>
      <w:r>
        <w:rPr>
          <w:b/>
          <w:sz w:val="24"/>
          <w:sz w:val="24"/>
          <w:rFonts w:ascii="Times New Roman" w:hAnsi="Times New Roman"/>
        </w:rPr>
        <w:t xml:space="preserve">à</w:t>
      </w:r>
      <w:r>
        <w:rPr>
          <w:b/>
          <w:sz w:val="24"/>
          <w:sz w:val="24"/>
          <w:rFonts w:ascii="Times New Roman" w:hAnsi="Times New Roman"/>
        </w:rPr>
        <w:t xml:space="preserve"> </w:t>
      </w:r>
      <w:r>
        <w:rPr>
          <w:b/>
          <w:sz w:val="24"/>
          <w:rFonts w:ascii="Times New Roman" w:hAnsi="Times New Roman"/>
        </w:rPr>
        <w:t xml:space="preserve">Abou Dhabi, du 26 au 29 février 2024</w:t>
      </w:r>
    </w:p>
    <w:p w14:paraId="71F49C16" w14:textId="73BCED15" w:rsidR="00752729" w:rsidRPr="00371132" w:rsidRDefault="00752729" w:rsidP="00997348">
      <w:pPr>
        <w:pStyle w:val="ListParagraph"/>
        <w:numPr>
          <w:ilvl w:val="0"/>
          <w:numId w:val="2"/>
        </w:numPr>
        <w:spacing w:after="240" w:line="240" w:lineRule="auto"/>
        <w:ind w:left="567" w:hanging="567"/>
        <w:contextualSpacing w:val="0"/>
        <w:rPr>
          <w:b/>
          <w:bCs/>
          <w:sz w:val="24"/>
          <w:szCs w:val="24"/>
          <w:rFonts w:ascii="Times New Roman" w:eastAsiaTheme="minorEastAsia" w:hAnsi="Times New Roman" w:cs="Times New Roman"/>
        </w:rPr>
      </w:pPr>
      <w:r>
        <w:rPr>
          <w:b/>
          <w:sz w:val="24"/>
          <w:rFonts w:ascii="Times New Roman" w:hAnsi="Times New Roman"/>
        </w:rPr>
        <w:t xml:space="preserve">Résolution présentée conformément à l’article 105, paragraphe 2, du règlement intérieur du Parlement européen</w:t>
      </w:r>
      <w:r>
        <w:rPr>
          <w:b/>
          <w:sz w:val="24"/>
          <w:rFonts w:ascii="Times New Roman" w:hAnsi="Times New Roman"/>
        </w:rPr>
        <w:t xml:space="preserve"> </w:t>
      </w:r>
    </w:p>
    <w:p w14:paraId="44D2F2FD" w14:textId="6AE542B6" w:rsidR="00371132" w:rsidRPr="00B572E6" w:rsidRDefault="00752729" w:rsidP="00997348">
      <w:pPr>
        <w:pStyle w:val="ListParagraph"/>
        <w:numPr>
          <w:ilvl w:val="0"/>
          <w:numId w:val="2"/>
        </w:numPr>
        <w:spacing w:after="240" w:line="240" w:lineRule="auto"/>
        <w:ind w:left="567" w:hanging="567"/>
        <w:contextualSpacing w:val="0"/>
        <w:rPr>
          <w:sz w:val="24"/>
          <w:szCs w:val="24"/>
          <w:rFonts w:ascii="Times New Roman" w:eastAsiaTheme="minorEastAsia" w:hAnsi="Times New Roman" w:cs="Times New Roman"/>
        </w:rPr>
      </w:pPr>
      <w:r>
        <w:rPr>
          <w:sz w:val="24"/>
          <w:b/>
          <w:rFonts w:ascii="Times New Roman" w:hAnsi="Times New Roman"/>
        </w:rPr>
        <w:t xml:space="preserve">Numéros de référence:</w:t>
      </w:r>
      <w:r>
        <w:rPr>
          <w:sz w:val="24"/>
          <w:rFonts w:ascii="Times New Roman" w:hAnsi="Times New Roman"/>
        </w:rPr>
        <w:t xml:space="preserve"> </w:t>
      </w:r>
      <w:r>
        <w:rPr>
          <w:sz w:val="24"/>
          <w:rFonts w:ascii="Times New Roman" w:hAnsi="Times New Roman"/>
        </w:rPr>
        <w:t xml:space="preserve">2023/2868 (RSP) / B9-0090/2024 / P9_TA(2024)0078</w:t>
      </w:r>
    </w:p>
    <w:p w14:paraId="1D74441E" w14:textId="64026F59" w:rsidR="00752729" w:rsidRPr="00371132" w:rsidRDefault="00752729" w:rsidP="00997348">
      <w:pPr>
        <w:pStyle w:val="ListParagraph"/>
        <w:numPr>
          <w:ilvl w:val="0"/>
          <w:numId w:val="2"/>
        </w:numPr>
        <w:spacing w:after="240" w:line="240" w:lineRule="auto"/>
        <w:ind w:left="567" w:hanging="567"/>
        <w:contextualSpacing w:val="0"/>
        <w:rPr>
          <w:sz w:val="24"/>
          <w:szCs w:val="24"/>
          <w:rFonts w:ascii="Times New Roman" w:eastAsiaTheme="minorEastAsia" w:hAnsi="Times New Roman" w:cs="Times New Roman"/>
        </w:rPr>
      </w:pPr>
      <w:r>
        <w:rPr>
          <w:sz w:val="24"/>
          <w:b/>
          <w:rFonts w:ascii="Times New Roman" w:hAnsi="Times New Roman"/>
        </w:rPr>
        <w:t xml:space="preserve">Date d'adoption de la résolution:</w:t>
      </w:r>
      <w:r>
        <w:rPr>
          <w:sz w:val="24"/>
          <w:b/>
          <w:rFonts w:ascii="Times New Roman" w:hAnsi="Times New Roman"/>
        </w:rPr>
        <w:t xml:space="preserve"> </w:t>
      </w:r>
      <w:r>
        <w:rPr>
          <w:sz w:val="24"/>
          <w:rFonts w:ascii="Times New Roman" w:hAnsi="Times New Roman"/>
        </w:rPr>
        <w:t xml:space="preserve">8 février 2024</w:t>
      </w:r>
    </w:p>
    <w:p w14:paraId="3E364901" w14:textId="3A87EB24" w:rsidR="00752729" w:rsidRPr="00B572E6" w:rsidRDefault="00752729" w:rsidP="00997348">
      <w:pPr>
        <w:pStyle w:val="ListParagraph"/>
        <w:numPr>
          <w:ilvl w:val="0"/>
          <w:numId w:val="2"/>
        </w:numPr>
        <w:spacing w:after="240" w:line="240" w:lineRule="auto"/>
        <w:ind w:left="567" w:hanging="567"/>
        <w:contextualSpacing w:val="0"/>
        <w:rPr>
          <w:b/>
          <w:bCs/>
          <w:sz w:val="24"/>
          <w:szCs w:val="24"/>
          <w:rFonts w:ascii="Times New Roman" w:eastAsiaTheme="minorEastAsia" w:hAnsi="Times New Roman" w:cs="Times New Roman"/>
        </w:rPr>
      </w:pPr>
      <w:r>
        <w:rPr>
          <w:sz w:val="24"/>
          <w:b/>
          <w:rFonts w:ascii="Times New Roman" w:hAnsi="Times New Roman"/>
        </w:rPr>
        <w:t xml:space="preserve">Commission parlementaire compétente:</w:t>
      </w:r>
      <w:r>
        <w:rPr>
          <w:sz w:val="24"/>
          <w:b/>
          <w:rFonts w:ascii="Times New Roman" w:hAnsi="Times New Roman"/>
        </w:rPr>
        <w:t xml:space="preserve"> </w:t>
      </w:r>
      <w:r>
        <w:rPr>
          <w:sz w:val="24"/>
          <w:rFonts w:ascii="Times New Roman" w:hAnsi="Times New Roman"/>
        </w:rPr>
        <w:t xml:space="preserve">Commission du commerce international (INTA)</w:t>
      </w:r>
    </w:p>
    <w:p w14:paraId="6DAE4272" w14:textId="16EF2462" w:rsidR="00752729" w:rsidRPr="00B572E6" w:rsidRDefault="00997348" w:rsidP="00997348">
      <w:pPr>
        <w:pStyle w:val="ListParagraph"/>
        <w:numPr>
          <w:ilvl w:val="0"/>
          <w:numId w:val="2"/>
        </w:numPr>
        <w:spacing w:after="240" w:line="240" w:lineRule="auto"/>
        <w:ind w:left="567" w:hanging="567"/>
        <w:contextualSpacing w:val="0"/>
        <w:rPr>
          <w:b/>
          <w:bCs/>
          <w:sz w:val="24"/>
          <w:szCs w:val="24"/>
          <w:rFonts w:ascii="Times New Roman" w:eastAsiaTheme="minorEastAsia" w:hAnsi="Times New Roman" w:cs="Times New Roman"/>
        </w:rPr>
      </w:pPr>
      <w:r>
        <w:rPr>
          <w:b/>
          <w:rFonts w:ascii="Times New Roman" w:hAnsi="Times New Roman"/>
        </w:rPr>
        <w:t xml:space="preserve">Analyse/évaluation succincte de la résolution et des demandes qu’elle contient:</w:t>
      </w:r>
    </w:p>
    <w:p w14:paraId="6CBF291C" w14:textId="77D65A10" w:rsidR="00752729" w:rsidRDefault="00752729" w:rsidP="00965436">
      <w:pPr>
        <w:spacing w:after="120"/>
        <w:jc w:val="both"/>
        <w:rPr>
          <w:sz w:val="24"/>
          <w:szCs w:val="24"/>
          <w:rFonts w:ascii="Times New Roman" w:eastAsia="Times New Roman" w:hAnsi="Times New Roman" w:cs="Times New Roman"/>
        </w:rPr>
      </w:pPr>
      <w:r>
        <w:rPr>
          <w:sz w:val="24"/>
          <w:rFonts w:ascii="Times New Roman" w:hAnsi="Times New Roman"/>
        </w:rPr>
        <w:t xml:space="preserve">Le Parlement européen a fait part de sa position sur les négociations multilatérales en vue de la 13</w:t>
      </w:r>
      <w:r>
        <w:rPr>
          <w:sz w:val="24"/>
          <w:vertAlign w:val="superscript"/>
          <w:rFonts w:ascii="Times New Roman" w:hAnsi="Times New Roman"/>
        </w:rPr>
        <w:t xml:space="preserve">e</w:t>
      </w:r>
      <w:r>
        <w:rPr>
          <w:sz w:val="24"/>
          <w:rFonts w:ascii="Times New Roman" w:hAnsi="Times New Roman"/>
        </w:rPr>
        <w:t xml:space="preserve"> conférence ministérielle de l’OMC, qui se tiendra </w:t>
      </w:r>
      <w:r>
        <w:rPr>
          <w:sz w:val="24"/>
          <w:sz w:val="24"/>
          <w:rFonts w:ascii="Times New Roman" w:hAnsi="Times New Roman"/>
        </w:rPr>
        <w:t xml:space="preserve">à</w:t>
      </w:r>
      <w:r>
        <w:rPr>
          <w:sz w:val="24"/>
          <w:sz w:val="24"/>
          <w:rFonts w:ascii="Times New Roman" w:hAnsi="Times New Roman"/>
        </w:rPr>
        <w:t xml:space="preserve"> </w:t>
      </w:r>
      <w:r>
        <w:rPr>
          <w:sz w:val="24"/>
          <w:rFonts w:ascii="Times New Roman" w:hAnsi="Times New Roman"/>
        </w:rPr>
        <w:t xml:space="preserve">Abou Dhabi du 26 au 29 février 2024.</w:t>
      </w:r>
      <w:r>
        <w:rPr>
          <w:sz w:val="24"/>
          <w:rFonts w:ascii="Times New Roman" w:hAnsi="Times New Roman"/>
        </w:rPr>
        <w:t xml:space="preserve"> </w:t>
      </w:r>
      <w:r>
        <w:rPr>
          <w:sz w:val="24"/>
          <w:rFonts w:ascii="Times New Roman" w:hAnsi="Times New Roman"/>
        </w:rPr>
        <w:t xml:space="preserve">Dans sa résolution, le Parlement a réaffirmé son engagement en faveur de la valeur du multilatéralisme dans le commerce international et a souligné l’importance du commerce qui profite à tous, en s’alignant sur la promotion et la réalisation des objectifs de développement durable (ODD) grâce aux travaux de l’Organisation mondiale du commerce (OMC).</w:t>
      </w:r>
    </w:p>
    <w:p w14:paraId="7C98FF05" w14:textId="57C8020F" w:rsidR="00752729" w:rsidRDefault="00752729" w:rsidP="00965436">
      <w:pPr>
        <w:spacing w:after="120"/>
        <w:jc w:val="both"/>
        <w:rPr>
          <w:sz w:val="24"/>
          <w:szCs w:val="24"/>
          <w:rFonts w:ascii="Times New Roman" w:eastAsia="Times New Roman" w:hAnsi="Times New Roman" w:cs="Times New Roman"/>
        </w:rPr>
      </w:pPr>
      <w:r>
        <w:rPr>
          <w:sz w:val="24"/>
          <w:rFonts w:ascii="Times New Roman" w:hAnsi="Times New Roman"/>
        </w:rPr>
        <w:t xml:space="preserve">Dans le cadre de la 13</w:t>
      </w:r>
      <w:r>
        <w:rPr>
          <w:sz w:val="24"/>
          <w:vertAlign w:val="superscript"/>
          <w:rFonts w:ascii="Times New Roman" w:hAnsi="Times New Roman"/>
        </w:rPr>
        <w:t xml:space="preserve">e</w:t>
      </w:r>
      <w:r>
        <w:rPr>
          <w:sz w:val="24"/>
          <w:rFonts w:ascii="Times New Roman" w:hAnsi="Times New Roman"/>
        </w:rPr>
        <w:t xml:space="preserve"> conférence ministérielle de l’OMC, le Parlement a exhorté tous les membres de l’OMC à s’engager en faveur d’un résultat positif pour faire progresser et moderniser l’OMC afin qu’elle soit suffisamment dotée des outils nécessaires pour relever les défis à venir.</w:t>
      </w:r>
      <w:r>
        <w:rPr>
          <w:sz w:val="24"/>
          <w:rFonts w:ascii="Times New Roman" w:hAnsi="Times New Roman"/>
        </w:rPr>
        <w:t xml:space="preserve"> </w:t>
      </w:r>
      <w:r>
        <w:rPr>
          <w:sz w:val="24"/>
          <w:rFonts w:ascii="Times New Roman" w:hAnsi="Times New Roman"/>
        </w:rPr>
        <w:t xml:space="preserve">Parmi les plus importants, le Parlement a apporté sa contribution sur un certain nombre de questions liées à l’OMC, qui seront détaillées dans les paragraphes suivants.</w:t>
      </w:r>
      <w:r>
        <w:rPr>
          <w:sz w:val="24"/>
          <w:rFonts w:ascii="Times New Roman" w:hAnsi="Times New Roman"/>
        </w:rPr>
        <w:t xml:space="preserve"> </w:t>
      </w:r>
    </w:p>
    <w:p w14:paraId="147C59BB" w14:textId="526B3B70" w:rsidR="00752729" w:rsidRDefault="00752729" w:rsidP="00965436">
      <w:pPr>
        <w:spacing w:after="120"/>
        <w:jc w:val="both"/>
        <w:rPr>
          <w:sz w:val="24"/>
          <w:szCs w:val="24"/>
          <w:rFonts w:ascii="Times New Roman" w:eastAsia="Times New Roman" w:hAnsi="Times New Roman" w:cs="Times New Roman"/>
        </w:rPr>
      </w:pPr>
      <w:r>
        <w:rPr>
          <w:sz w:val="24"/>
          <w:rFonts w:ascii="Times New Roman" w:hAnsi="Times New Roman"/>
        </w:rPr>
        <w:t xml:space="preserve">La première question concerne la fonction de règlement des différends de l’OMC, pour laquelle le Parlement invite tous les membres de l’OMC à s’engager activement en vue de rétablir un système de règlement des différends pleinement opérationnel et à remédier à la longueur excessive des procédures.</w:t>
      </w:r>
      <w:r>
        <w:rPr>
          <w:sz w:val="24"/>
          <w:rFonts w:ascii="Times New Roman" w:hAnsi="Times New Roman"/>
        </w:rPr>
        <w:t xml:space="preserve"> </w:t>
      </w:r>
      <w:r>
        <w:rPr>
          <w:sz w:val="24"/>
          <w:rFonts w:ascii="Times New Roman" w:hAnsi="Times New Roman"/>
        </w:rPr>
        <w:t xml:space="preserve">Le Parlement invite les membres de l’OMC à envisager de rejoindre l’arrangement multipartite concernant une procédure arbitrale d’appel provisoire (AMPA) afin de démontrer leur engagement en faveur d’un système de règlement des différends équitable et opérationnel.</w:t>
      </w:r>
    </w:p>
    <w:p w14:paraId="503B923A" w14:textId="2B128A16"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La deuxième question porte sur l’accord de l’OMC sur les subventions à la pêche.</w:t>
      </w:r>
      <w:r>
        <w:rPr>
          <w:sz w:val="24"/>
          <w:rFonts w:ascii="Times New Roman" w:hAnsi="Times New Roman"/>
        </w:rPr>
        <w:t xml:space="preserve"> </w:t>
      </w:r>
      <w:r>
        <w:rPr>
          <w:sz w:val="24"/>
          <w:rFonts w:ascii="Times New Roman" w:hAnsi="Times New Roman"/>
        </w:rPr>
        <w:t xml:space="preserve">Le Parlement demande instamment à tous les membres de l’OMC qui ne l’ont pas encore fait de ratifier rapidement l’accord de l’OMC sur les subventions à la pêche.</w:t>
      </w:r>
      <w:r>
        <w:rPr>
          <w:sz w:val="24"/>
          <w:rFonts w:ascii="Times New Roman" w:hAnsi="Times New Roman"/>
        </w:rPr>
        <w:t xml:space="preserve"> </w:t>
      </w:r>
      <w:r>
        <w:rPr>
          <w:sz w:val="24"/>
          <w:rFonts w:ascii="Times New Roman" w:hAnsi="Times New Roman"/>
        </w:rPr>
        <w:t xml:space="preserve">Cet accord faciliterait, entre autres, la régulation de la surcapacité et de la surpêche, préviendrait l’épuisement des ressources biologiques marines et garantirait une gestion durable.</w:t>
      </w:r>
    </w:p>
    <w:p w14:paraId="1865A373" w14:textId="77777777"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Un autre point de discussion concerne l’avis du Parlement sur la nécessité de donner la priorité à la dimension «développement» de l’OMC.</w:t>
      </w:r>
      <w:r>
        <w:rPr>
          <w:sz w:val="24"/>
          <w:rFonts w:ascii="Times New Roman" w:hAnsi="Times New Roman"/>
        </w:rPr>
        <w:t xml:space="preserve"> </w:t>
      </w:r>
      <w:r>
        <w:rPr>
          <w:sz w:val="24"/>
          <w:rFonts w:ascii="Times New Roman" w:hAnsi="Times New Roman"/>
        </w:rPr>
        <w:t xml:space="preserve">Cela implique de plaider en faveur d’une assistance sur mesure pour les pays en développement.</w:t>
      </w:r>
      <w:r>
        <w:rPr>
          <w:sz w:val="24"/>
          <w:rFonts w:ascii="Times New Roman" w:hAnsi="Times New Roman"/>
        </w:rPr>
        <w:t xml:space="preserve"> </w:t>
      </w:r>
      <w:r>
        <w:rPr>
          <w:sz w:val="24"/>
          <w:rFonts w:ascii="Times New Roman" w:hAnsi="Times New Roman"/>
        </w:rPr>
        <w:t xml:space="preserve">En outre, il est demandé de modifier le mécanisme de traitement spécial, en mettant l’accent sur le risque de pratiques commerciales déloyales si le statut de développement est le seul facteur d’influence.</w:t>
      </w:r>
    </w:p>
    <w:p w14:paraId="3C743CC2" w14:textId="05D75A97" w:rsidR="00752729" w:rsidRDefault="00965436"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Le Parlement insiste sur la nécessité de relancer les négociations afin de lutter efficacement contre les retombées négatives telles que la surcapacité et les chaînes d’approvisionnement à forte intensité de carbone.</w:t>
      </w:r>
    </w:p>
    <w:p w14:paraId="3FBF5805" w14:textId="408972B6"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l’agriculture, le Parlement insiste sur la nécessité de progresser sur tous les sujets clés en cours de négociation, notamment en ce qui concerne les mesures de soutien ayant des effets de distorsion sur les échanges et la détention de stocks publics.</w:t>
      </w:r>
      <w:r>
        <w:rPr>
          <w:sz w:val="24"/>
          <w:rFonts w:ascii="Times New Roman" w:hAnsi="Times New Roman"/>
        </w:rPr>
        <w:t xml:space="preserve"> </w:t>
      </w:r>
      <w:r>
        <w:rPr>
          <w:sz w:val="24"/>
          <w:rFonts w:ascii="Times New Roman" w:hAnsi="Times New Roman"/>
        </w:rPr>
        <w:t xml:space="preserve">En ce qui concerne la sécurité alimentaire, le Parlement réclame des avancées en ce qui concerne l’accroissement de la résilience des pays les moins avancés (PMA) et des pays en développement importateurs nets de denrées alimentaires dans leur réponse à l’instabilité alimentaire.</w:t>
      </w:r>
    </w:p>
    <w:p w14:paraId="6A012E3B" w14:textId="5B0FBFC3"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les accords plurilatéraux et l’accord sur la facilitation des investissements pour le développement, le Parlement propose leur intégration dans l’architecture multilatérale de l’OMC.</w:t>
      </w:r>
    </w:p>
    <w:p w14:paraId="19FBADBF" w14:textId="1FA04428"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le commerce numérique, le Parlement a souligné l’importance de trouver une solution équitable et permanente pour la transmission électronique liée au moratoire, compte tenu des effets négatifs d’un éventuel non-renouvellement.</w:t>
      </w:r>
      <w:r>
        <w:rPr>
          <w:sz w:val="24"/>
          <w:rFonts w:ascii="Times New Roman" w:hAnsi="Times New Roman"/>
        </w:rPr>
        <w:t xml:space="preserve"> </w:t>
      </w:r>
      <w:r>
        <w:rPr>
          <w:sz w:val="24"/>
          <w:rFonts w:ascii="Times New Roman" w:hAnsi="Times New Roman"/>
        </w:rPr>
        <w:t xml:space="preserve">Une telle solution devrait garantir la libre circulation des biens numériques compte tenu du rôle qu’ils jouent dans l’amélioration du bien-être des consommateurs et des avantages pour les petites et moyennes entreprises (PME) et les pays en développement.</w:t>
      </w:r>
    </w:p>
    <w:p w14:paraId="64826584" w14:textId="2051F419"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les micro, petites et moyennes entreprises (MPME), le Parlement a demandé que des solutions soient trouvées au niveau de l’OMC pour soutenir ce type d’entreprises et accroître leur participation au commerce mondial.</w:t>
      </w:r>
    </w:p>
    <w:p w14:paraId="58B59DB8" w14:textId="6263876C" w:rsidR="00752729"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les questions liées aux ODD, le Parlement a indiqué que les résultats de la 13</w:t>
      </w:r>
      <w:r>
        <w:rPr>
          <w:sz w:val="24"/>
          <w:vertAlign w:val="superscript"/>
          <w:rFonts w:ascii="Times New Roman" w:hAnsi="Times New Roman"/>
        </w:rPr>
        <w:t xml:space="preserve">e</w:t>
      </w:r>
      <w:r>
        <w:rPr>
          <w:sz w:val="24"/>
          <w:rFonts w:ascii="Times New Roman" w:hAnsi="Times New Roman"/>
        </w:rPr>
        <w:t xml:space="preserve"> conférence ministérielle devraient viser à limiter les émissions de gaz à effet de serre conformément à la CCNUCC, aux conclusions de la COP 28 et à l’accord de Paris.</w:t>
      </w:r>
      <w:r>
        <w:rPr>
          <w:sz w:val="24"/>
          <w:rFonts w:ascii="Times New Roman" w:hAnsi="Times New Roman"/>
        </w:rPr>
        <w:t xml:space="preserve"> </w:t>
      </w:r>
      <w:r>
        <w:rPr>
          <w:sz w:val="24"/>
          <w:rFonts w:ascii="Times New Roman" w:hAnsi="Times New Roman"/>
        </w:rPr>
        <w:t xml:space="preserve">Pour y parvenir, le Parlement s’est félicité d’initiatives telles que la réforme des subventions aux combustibles fossiles, le dialogue sur la pollution par les matières plastiques et les discussions structurées sur le commerce et la durabilité environnementale.</w:t>
      </w:r>
    </w:p>
    <w:p w14:paraId="56FDD0A4" w14:textId="60DBB600" w:rsidR="00752729" w:rsidRPr="00B62177"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l’égalité entre les hommes et les femmes et le développement inclusif, le Parlement a plaidé en faveur de la suppression des obstacles à la participation des femmes aux échanges commerciaux, ce qui est jugé décisif pour le développement économique.</w:t>
      </w:r>
      <w:r>
        <w:rPr>
          <w:sz w:val="24"/>
          <w:rFonts w:ascii="Times New Roman" w:hAnsi="Times New Roman"/>
        </w:rPr>
        <w:t xml:space="preserve"> </w:t>
      </w:r>
      <w:r>
        <w:rPr>
          <w:sz w:val="24"/>
          <w:rFonts w:ascii="Times New Roman" w:hAnsi="Times New Roman"/>
        </w:rPr>
        <w:t xml:space="preserve">En outre, la création du groupe de travail informel de l’OMC sur le commerce et l’égalité entre les hommes et les femmes a reçu un accueil favorable.</w:t>
      </w:r>
    </w:p>
    <w:p w14:paraId="696A991F" w14:textId="10BFC433" w:rsidR="00752729" w:rsidRDefault="00752729" w:rsidP="00B62177">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 ce qui concerne l’accord sur les aspects des droits de propriété intellectuelle qui touchent au commerce (ADPIC), le Parlement a pris acte des discussions de l’OMC sur l’extension dudit accord aux produits liés à la COVID-19 et a demandé une décision de la 13</w:t>
      </w:r>
      <w:r>
        <w:rPr>
          <w:sz w:val="24"/>
          <w:vertAlign w:val="superscript"/>
          <w:rFonts w:ascii="Times New Roman" w:hAnsi="Times New Roman"/>
        </w:rPr>
        <w:t xml:space="preserve">e</w:t>
      </w:r>
      <w:r>
        <w:rPr>
          <w:sz w:val="24"/>
          <w:rFonts w:ascii="Times New Roman" w:hAnsi="Times New Roman"/>
        </w:rPr>
        <w:t xml:space="preserve"> conférence ministérielle.</w:t>
      </w:r>
    </w:p>
    <w:p w14:paraId="39813106" w14:textId="65018CDA" w:rsidR="00752729" w:rsidRPr="00E64014" w:rsidRDefault="00752729" w:rsidP="00965436">
      <w:pPr>
        <w:spacing w:after="120"/>
        <w:jc w:val="both"/>
        <w:rPr>
          <w:sz w:val="24"/>
          <w:szCs w:val="24"/>
          <w14:ligatures w14:val="none"/>
          <w:rFonts w:ascii="Times New Roman" w:eastAsia="Times New Roman" w:hAnsi="Times New Roman" w:cs="Times New Roman"/>
        </w:rPr>
      </w:pPr>
      <w:r>
        <w:rPr>
          <w:sz w:val="24"/>
          <w:rFonts w:ascii="Times New Roman" w:hAnsi="Times New Roman"/>
        </w:rPr>
        <w:t xml:space="preserve">Enfin, le Parlement a exhorté la Commission à renforcer son dialogue avec le Parlement et a appelé à une légitimité démocratique accrue parmi les membres de l’OMC en renforçant la dimension parlementaire de l’OMC.</w:t>
      </w:r>
      <w:r>
        <w:rPr>
          <w:sz w:val="24"/>
          <w:rFonts w:ascii="Times New Roman" w:hAnsi="Times New Roman"/>
        </w:rPr>
        <w:t xml:space="preserve"> </w:t>
      </w:r>
      <w:r>
        <w:rPr>
          <w:sz w:val="24"/>
          <w:rFonts w:ascii="Times New Roman" w:hAnsi="Times New Roman"/>
        </w:rPr>
        <w:t xml:space="preserve">En outre, le Parlement a demandé une plus grande transparence parmi les membres de l’OMC, notamment une communication accrue avec la société civile, les syndicats, les organisations professionnelles et d’autres parties prenantes concernées.</w:t>
      </w:r>
    </w:p>
    <w:p w14:paraId="60C90E21" w14:textId="5D381A4A" w:rsidR="00752729" w:rsidRPr="00965436" w:rsidRDefault="00752729" w:rsidP="00997348">
      <w:pPr>
        <w:pStyle w:val="ListParagraph"/>
        <w:numPr>
          <w:ilvl w:val="0"/>
          <w:numId w:val="2"/>
        </w:numPr>
        <w:spacing w:after="240"/>
        <w:ind w:left="567" w:hanging="567"/>
        <w:contextualSpacing w:val="0"/>
        <w:jc w:val="both"/>
        <w:rPr>
          <w:sz w:val="24"/>
          <w:szCs w:val="24"/>
          <w:rFonts w:ascii="Times New Roman" w:eastAsia="Times New Roman" w:hAnsi="Times New Roman" w:cs="Times New Roman"/>
        </w:rPr>
      </w:pPr>
      <w:r>
        <w:rPr>
          <w:b/>
          <w:sz w:val="24"/>
          <w:rFonts w:ascii="Times New Roman" w:hAnsi="Times New Roman"/>
        </w:rPr>
        <w:t xml:space="preserve">Réponse à ces demandes et aperçu des mesures que la Commission a prises ou envisage de prendre:</w:t>
      </w:r>
    </w:p>
    <w:p w14:paraId="09253A69" w14:textId="0EF8CC55" w:rsidR="00CA1249" w:rsidRPr="00371132" w:rsidRDefault="00CA1249" w:rsidP="00965436">
      <w:pPr>
        <w:autoSpaceDE w:val="0"/>
        <w:autoSpaceDN w:val="0"/>
        <w:spacing w:after="120"/>
        <w:jc w:val="both"/>
        <w:rPr>
          <w:sz w:val="24"/>
          <w:szCs w:val="24"/>
          <w:rFonts w:ascii="Times New Roman" w:hAnsi="Times New Roman" w:cs="Times New Roman"/>
        </w:rPr>
      </w:pPr>
      <w:r>
        <w:rPr>
          <w:sz w:val="24"/>
          <w:rFonts w:ascii="Times New Roman" w:hAnsi="Times New Roman"/>
        </w:rPr>
        <w:t xml:space="preserve">La Commission est pleinement attachée au multilatéralisme (paragraphe 1) et, à cet égard, elle a joué un rôle de premier plan dans la promotion de la réforme de l’OMC et dans le maintien et le renforcement d’un système commercial multilatéral fondé sur des règles, inclusif, libre et équitable, centré sur l’OMC.</w:t>
      </w:r>
      <w:r>
        <w:t xml:space="preserve"> </w:t>
      </w:r>
      <w:r>
        <w:rPr>
          <w:sz w:val="24"/>
          <w:rFonts w:ascii="Times New Roman" w:hAnsi="Times New Roman"/>
        </w:rPr>
        <w:t xml:space="preserve">Il n’existe tout simplement pas d’alternative crédible à l’OMC pour éviter la fragmentation du commerce mondial.</w:t>
      </w:r>
      <w:r>
        <w:rPr>
          <w:sz w:val="24"/>
          <w:rFonts w:ascii="Times New Roman" w:hAnsi="Times New Roman"/>
        </w:rPr>
        <w:t xml:space="preserve"> </w:t>
      </w:r>
      <w:r>
        <w:rPr>
          <w:sz w:val="24"/>
          <w:rFonts w:ascii="Times New Roman" w:hAnsi="Times New Roman"/>
        </w:rPr>
        <w:t xml:space="preserve">Compte tenu de l’état actuel imprévisible et fragile des affaires mondiales, un environnement commercial et une coopération commerciale fondés sur des règles sont en fait plus essentiels que jamais.</w:t>
      </w:r>
      <w:r>
        <w:rPr>
          <w:sz w:val="24"/>
          <w:rFonts w:ascii="Times New Roman" w:hAnsi="Times New Roman"/>
        </w:rPr>
        <w:t xml:space="preserve"> </w:t>
      </w:r>
      <w:r>
        <w:rPr>
          <w:sz w:val="24"/>
          <w:rFonts w:ascii="Times New Roman" w:hAnsi="Times New Roman"/>
        </w:rPr>
        <w:t xml:space="preserve">Il convient également de rappeler que les règles de l’OMC en vigueur régissent toujours la majorité des échanges commerciaux de l’UE et sous-tendent les accords bilatéraux de libre-échange (ALE) de l’UE.</w:t>
      </w:r>
      <w:r>
        <w:rPr>
          <w:sz w:val="24"/>
          <w:rFonts w:ascii="Times New Roman" w:hAnsi="Times New Roman"/>
        </w:rPr>
        <w:t xml:space="preserve"> </w:t>
      </w:r>
      <w:r>
        <w:rPr>
          <w:sz w:val="24"/>
          <w:rFonts w:ascii="Times New Roman" w:hAnsi="Times New Roman"/>
        </w:rPr>
        <w:t xml:space="preserve">L’UE a donc un intérêt stratégique fondamental à ce que l’OMC soit forte.</w:t>
      </w:r>
      <w:r>
        <w:rPr>
          <w:sz w:val="24"/>
          <w:rFonts w:ascii="Times New Roman" w:hAnsi="Times New Roman"/>
        </w:rPr>
        <w:t xml:space="preserve"> </w:t>
      </w:r>
    </w:p>
    <w:p w14:paraId="191656D2" w14:textId="4FE07436" w:rsidR="0018537A" w:rsidRPr="00965436" w:rsidRDefault="00CA1249" w:rsidP="00965436">
      <w:pPr>
        <w:autoSpaceDE w:val="0"/>
        <w:autoSpaceDN w:val="0"/>
        <w:spacing w:after="120"/>
        <w:jc w:val="both"/>
        <w:rPr>
          <w:sz w:val="24"/>
          <w:szCs w:val="24"/>
          <w:rFonts w:ascii="Times New Roman" w:hAnsi="Times New Roman" w:cs="Times New Roman"/>
        </w:rPr>
      </w:pPr>
      <w:r>
        <w:rPr>
          <w:sz w:val="24"/>
          <w:rFonts w:ascii="Times New Roman" w:hAnsi="Times New Roman"/>
        </w:rPr>
        <w:t xml:space="preserve">À cet égard, la Commission a joué un rôle clé dans la recherche d’un résultat ambitieux et fructueux de la 13</w:t>
      </w:r>
      <w:r>
        <w:rPr>
          <w:sz w:val="24"/>
          <w:vertAlign w:val="superscript"/>
          <w:rFonts w:ascii="Times New Roman" w:hAnsi="Times New Roman"/>
        </w:rPr>
        <w:t xml:space="preserve">e</w:t>
      </w:r>
      <w:r>
        <w:rPr>
          <w:sz w:val="24"/>
          <w:rFonts w:ascii="Times New Roman" w:hAnsi="Times New Roman"/>
        </w:rPr>
        <w:t xml:space="preserve"> conférence ministérielle (</w:t>
      </w:r>
      <w:bookmarkStart w:id="1" w:name="_Hlk167372815"/>
      <w:r>
        <w:rPr>
          <w:sz w:val="24"/>
          <w:rFonts w:ascii="Times New Roman" w:hAnsi="Times New Roman"/>
        </w:rPr>
        <w:t xml:space="preserve">paragraphe</w:t>
      </w:r>
      <w:bookmarkEnd w:id="1"/>
      <w:r>
        <w:rPr>
          <w:sz w:val="24"/>
          <w:rFonts w:ascii="Times New Roman" w:hAnsi="Times New Roman"/>
        </w:rPr>
        <w:t xml:space="preserve"> 2), qui pourrait faire progresser l’Organisation et constituer une étape essentielle dans le processus en cours de réforme de l’OMC, qui aborde toutes ses fonctions essentielles (paragraphe 3).</w:t>
      </w:r>
      <w:r>
        <w:rPr>
          <w:sz w:val="24"/>
          <w:rFonts w:ascii="Times New Roman" w:hAnsi="Times New Roman"/>
        </w:rPr>
        <w:t xml:space="preserve"> </w:t>
      </w:r>
      <w:r>
        <w:rPr>
          <w:sz w:val="24"/>
          <w:rFonts w:ascii="Times New Roman" w:hAnsi="Times New Roman"/>
        </w:rPr>
        <w:t xml:space="preserve">Dans le cadre de ce processus de réforme, la Commission convient qu’il est essentiel de faciliter l’intégration d’accords plurilatéraux ouverts dans l’architecture multilatérale pour doter à nouveau l’OMC d’une fonction de négociation efficace (paragraphe 11).</w:t>
      </w:r>
      <w:r>
        <w:rPr>
          <w:sz w:val="24"/>
          <w:rFonts w:ascii="Times New Roman" w:hAnsi="Times New Roman"/>
        </w:rPr>
        <w:t xml:space="preserve"> </w:t>
      </w:r>
      <w:r>
        <w:rPr>
          <w:sz w:val="24"/>
          <w:rFonts w:ascii="Times New Roman" w:hAnsi="Times New Roman"/>
        </w:rPr>
        <w:t xml:space="preserve">Toutefois, la 13</w:t>
      </w:r>
      <w:r>
        <w:rPr>
          <w:sz w:val="24"/>
          <w:vertAlign w:val="superscript"/>
          <w:rFonts w:ascii="Times New Roman" w:hAnsi="Times New Roman"/>
        </w:rPr>
        <w:t xml:space="preserve">e</w:t>
      </w:r>
      <w:r>
        <w:rPr>
          <w:sz w:val="24"/>
          <w:rFonts w:ascii="Times New Roman" w:hAnsi="Times New Roman"/>
        </w:rPr>
        <w:t xml:space="preserve"> conférence ministérielle s’est déroulée dans un contexte de tensions géopolitiques croissantes et d’une dynamique politique particulièrement difficile du fait des élections à venir dans plusieurs pays membres clés.</w:t>
      </w:r>
      <w:r>
        <w:rPr>
          <w:sz w:val="24"/>
          <w:rFonts w:ascii="Times New Roman" w:hAnsi="Times New Roman"/>
        </w:rPr>
        <w:t xml:space="preserve"> </w:t>
      </w:r>
      <w:r>
        <w:rPr>
          <w:sz w:val="24"/>
          <w:rFonts w:ascii="Times New Roman" w:hAnsi="Times New Roman"/>
        </w:rPr>
        <w:t xml:space="preserve">Bien que le consensus nécessaire n’ait pas été atteint dans plusieurs domaines importants (agriculture, subventions à la pêche, programme tourné vers l’avenir), certains résultats ont été positifs.</w:t>
      </w:r>
      <w:r>
        <w:rPr>
          <w:sz w:val="24"/>
          <w:rFonts w:ascii="Times New Roman" w:hAnsi="Times New Roman"/>
        </w:rPr>
        <w:t xml:space="preserve"> </w:t>
      </w:r>
      <w:r>
        <w:rPr>
          <w:sz w:val="24"/>
          <w:rFonts w:ascii="Times New Roman" w:hAnsi="Times New Roman"/>
        </w:rPr>
        <w:t xml:space="preserve">Il s’est notamment agi de l’extension du moratoire sur les droits de douane aux transactions de commerce électronique et d’un train de mesures de développement.</w:t>
      </w:r>
      <w:r>
        <w:rPr>
          <w:sz w:val="24"/>
          <w:rFonts w:ascii="Times New Roman" w:hAnsi="Times New Roman"/>
        </w:rPr>
        <w:t xml:space="preserve"> </w:t>
      </w:r>
      <w:r>
        <w:rPr>
          <w:sz w:val="24"/>
          <w:rFonts w:ascii="Times New Roman" w:hAnsi="Times New Roman"/>
        </w:rPr>
        <w:t xml:space="preserve">L’UE reste attachée à la réforme de l’OMC et mettra tout en œuvre pour faire en sorte qu’elle produise ses effets tant avant que pendant la 14</w:t>
      </w:r>
      <w:r>
        <w:rPr>
          <w:sz w:val="24"/>
          <w:vertAlign w:val="superscript"/>
          <w:rFonts w:ascii="Times New Roman" w:hAnsi="Times New Roman"/>
        </w:rPr>
        <w:t xml:space="preserve">e</w:t>
      </w:r>
      <w:r>
        <w:rPr>
          <w:sz w:val="24"/>
          <w:rFonts w:ascii="Times New Roman" w:hAnsi="Times New Roman"/>
        </w:rPr>
        <w:t xml:space="preserve"> conférence ministérielle.</w:t>
      </w:r>
    </w:p>
    <w:p w14:paraId="5468A698" w14:textId="5179503A" w:rsidR="0018537A" w:rsidRPr="0062058B" w:rsidRDefault="008D654C" w:rsidP="00965436">
      <w:pPr>
        <w:autoSpaceDE w:val="0"/>
        <w:autoSpaceDN w:val="0"/>
        <w:spacing w:after="120"/>
        <w:jc w:val="both"/>
        <w:rPr>
          <w:sz w:val="24"/>
          <w:szCs w:val="24"/>
          <w:rFonts w:ascii="Times New Roman" w:hAnsi="Times New Roman" w:cs="Times New Roman"/>
        </w:rPr>
      </w:pPr>
      <w:r>
        <w:rPr>
          <w:sz w:val="24"/>
          <w:rFonts w:ascii="Times New Roman" w:hAnsi="Times New Roman"/>
        </w:rPr>
        <w:t xml:space="preserve">La Commission convient de la nécessité d’un engagement plus fort et encore plus constructif de la part de tous les membres de l’OMC afin de rétablir le plus rapidement possible un système de règlement des différends pleinement opérationnel (paragraphe 4).</w:t>
      </w:r>
      <w:r>
        <w:rPr>
          <w:sz w:val="24"/>
          <w:rFonts w:ascii="Times New Roman" w:hAnsi="Times New Roman"/>
        </w:rPr>
        <w:t xml:space="preserve"> </w:t>
      </w:r>
      <w:r>
        <w:rPr>
          <w:sz w:val="24"/>
          <w:rFonts w:ascii="Times New Roman" w:hAnsi="Times New Roman"/>
        </w:rPr>
        <w:t xml:space="preserve">Elle convient qu’un processus contraignant, à deux niveaux et indépendant devrait rester l’objectif essentiel.</w:t>
      </w:r>
      <w:r>
        <w:rPr>
          <w:sz w:val="24"/>
          <w:rFonts w:ascii="Times New Roman" w:hAnsi="Times New Roman"/>
        </w:rPr>
        <w:t xml:space="preserve"> </w:t>
      </w:r>
      <w:r>
        <w:rPr>
          <w:sz w:val="24"/>
          <w:rFonts w:ascii="Times New Roman" w:hAnsi="Times New Roman"/>
        </w:rPr>
        <w:t xml:space="preserve">La Commission a apprécié l’appel du Parlement invitant les membres à entamer des discussions constructives et transparentes pour parvenir à un accord sur le système de règlement des différends lors de la 13</w:t>
      </w:r>
      <w:r>
        <w:rPr>
          <w:sz w:val="24"/>
          <w:vertAlign w:val="superscript"/>
          <w:rFonts w:ascii="Times New Roman" w:hAnsi="Times New Roman"/>
        </w:rPr>
        <w:t xml:space="preserve">e</w:t>
      </w:r>
      <w:r>
        <w:rPr>
          <w:sz w:val="24"/>
          <w:rFonts w:ascii="Times New Roman" w:hAnsi="Times New Roman"/>
        </w:rPr>
        <w:t xml:space="preserve"> conférence ministérielle.</w:t>
      </w:r>
      <w:r>
        <w:rPr>
          <w:sz w:val="24"/>
          <w:rFonts w:ascii="Times New Roman" w:hAnsi="Times New Roman"/>
        </w:rPr>
        <w:t xml:space="preserve"> </w:t>
      </w:r>
      <w:r>
        <w:rPr>
          <w:sz w:val="24"/>
          <w:rFonts w:ascii="Times New Roman" w:hAnsi="Times New Roman"/>
        </w:rPr>
        <w:t xml:space="preserve">La Commission regrette qu’un tel accord n’ait pas été conclu, mais se félicite des progrès accomplis jusqu’à présent et de la décision prise par la 13</w:t>
      </w:r>
      <w:r>
        <w:rPr>
          <w:sz w:val="24"/>
          <w:vertAlign w:val="superscript"/>
          <w:rFonts w:ascii="Times New Roman" w:hAnsi="Times New Roman"/>
        </w:rPr>
        <w:t xml:space="preserve">e</w:t>
      </w:r>
      <w:r>
        <w:rPr>
          <w:sz w:val="24"/>
          <w:rFonts w:ascii="Times New Roman" w:hAnsi="Times New Roman"/>
        </w:rPr>
        <w:t xml:space="preserve"> conférence ministérielle d’accélérer les travaux sur les questions non résolues, en s’appuyant sur les progrès déjà accomplis.</w:t>
      </w:r>
      <w:r>
        <w:rPr>
          <w:sz w:val="24"/>
          <w:rFonts w:ascii="Times New Roman" w:hAnsi="Times New Roman"/>
        </w:rPr>
        <w:t xml:space="preserve"> </w:t>
      </w:r>
      <w:r>
        <w:rPr>
          <w:sz w:val="24"/>
          <w:rFonts w:ascii="Times New Roman" w:hAnsi="Times New Roman"/>
        </w:rPr>
        <w:t xml:space="preserve">La Commission apprécie et approuve également l’invitation du Parlement aux autres membres de l’OMC d’envisager de rejoindre l’arrangement multipartite concernant une procédure arbitrale d’appel provisoire (AMPA) afin de démontrer leur engagement en faveur d’un système de règlement des différends équitable et opérationnel (paragraphe 5).</w:t>
      </w:r>
      <w:r>
        <w:rPr>
          <w:sz w:val="24"/>
          <w:rFonts w:ascii="Times New Roman" w:hAnsi="Times New Roman"/>
        </w:rPr>
        <w:t xml:space="preserve"> </w:t>
      </w:r>
    </w:p>
    <w:p w14:paraId="73C16C88" w14:textId="63D7B5D8" w:rsidR="0017649A" w:rsidRPr="0062058B" w:rsidRDefault="0018537A" w:rsidP="00965436">
      <w:pPr>
        <w:spacing w:after="120"/>
        <w:jc w:val="both"/>
        <w:rPr>
          <w:sz w:val="24"/>
          <w:szCs w:val="24"/>
          <w:rFonts w:ascii="Times New Roman" w:hAnsi="Times New Roman" w:cs="Times New Roman"/>
        </w:rPr>
      </w:pPr>
      <w:r>
        <w:rPr>
          <w:sz w:val="24"/>
          <w:rFonts w:ascii="Times New Roman" w:hAnsi="Times New Roman"/>
        </w:rPr>
        <w:t xml:space="preserve">La Commission convient de l’importance d’une entrée en vigueur rapide de l’accord de l’OMC sur les subventions à la pêche et de parvenir à un accord sur de nouvelles règles relatives aux subventions à la pêche (paragraphes 2 et 6).</w:t>
      </w:r>
      <w:r>
        <w:rPr>
          <w:sz w:val="24"/>
          <w:rFonts w:ascii="Times New Roman" w:hAnsi="Times New Roman"/>
        </w:rPr>
        <w:t xml:space="preserve"> </w:t>
      </w:r>
      <w:r>
        <w:rPr>
          <w:sz w:val="24"/>
          <w:rFonts w:ascii="Times New Roman" w:hAnsi="Times New Roman"/>
        </w:rPr>
        <w:t xml:space="preserve">L’Union – au nom des 27 États membres – avait déjà accepté l’accord sur les subventions à la pêche et la Commission continue d’encourager les autres membres de l’OMC qui n’ont pas encore accepté l’accord à le faire dès que possible.</w:t>
      </w:r>
      <w:r>
        <w:rPr>
          <w:sz w:val="24"/>
          <w:rFonts w:ascii="Times New Roman" w:hAnsi="Times New Roman"/>
        </w:rPr>
        <w:t xml:space="preserve"> </w:t>
      </w:r>
      <w:r>
        <w:rPr>
          <w:sz w:val="24"/>
          <w:rFonts w:ascii="Times New Roman" w:hAnsi="Times New Roman"/>
        </w:rPr>
        <w:t xml:space="preserve">La Commission a collaboré avec des partenaires ayant atteint différents stades de développement afin de trouver un terrain d’entente en vue d’un accord solide qui étende la réglementation de l’OMC à une interdiction des subventions favorisant la surcapacité et la surpêche.</w:t>
      </w:r>
      <w:r>
        <w:rPr>
          <w:sz w:val="24"/>
          <w:rFonts w:ascii="Times New Roman" w:hAnsi="Times New Roman"/>
        </w:rPr>
        <w:t xml:space="preserve"> </w:t>
      </w:r>
      <w:r>
        <w:rPr>
          <w:sz w:val="24"/>
          <w:rFonts w:ascii="Times New Roman" w:hAnsi="Times New Roman"/>
        </w:rPr>
        <w:t xml:space="preserve">Malheureusement, une poignée de membres de l’OMC ont bloqué un accord global sur les subventions mondiales à la pêche lors de la 13</w:t>
      </w:r>
      <w:r>
        <w:rPr>
          <w:sz w:val="24"/>
          <w:vertAlign w:val="superscript"/>
          <w:rFonts w:ascii="Times New Roman" w:hAnsi="Times New Roman"/>
        </w:rPr>
        <w:t xml:space="preserve">e</w:t>
      </w:r>
      <w:r>
        <w:rPr>
          <w:sz w:val="24"/>
          <w:rFonts w:ascii="Times New Roman" w:hAnsi="Times New Roman"/>
        </w:rPr>
        <w:t xml:space="preserve"> conférence ministérielle.</w:t>
      </w:r>
      <w:r>
        <w:rPr>
          <w:sz w:val="24"/>
          <w:rFonts w:ascii="Times New Roman" w:hAnsi="Times New Roman"/>
        </w:rPr>
        <w:t xml:space="preserve"> </w:t>
      </w:r>
      <w:r>
        <w:rPr>
          <w:sz w:val="24"/>
          <w:rFonts w:ascii="Times New Roman" w:hAnsi="Times New Roman"/>
        </w:rPr>
        <w:t xml:space="preserve">La Commission reste déterminée à trouver une voie à suivre et à parvenir à un accord conforme à l’objectif de développement durable nº 14.6 des Nations unies concernant la pêche durable, notamment l’interdiction et l’élimination de certaines subventions à la pêche.</w:t>
      </w:r>
    </w:p>
    <w:p w14:paraId="6ECF0B07" w14:textId="0427A4BA" w:rsidR="008D654C" w:rsidRPr="0062058B" w:rsidRDefault="007507E7" w:rsidP="00965436">
      <w:pPr>
        <w:spacing w:after="120"/>
        <w:jc w:val="both"/>
        <w:rPr>
          <w:sz w:val="24"/>
          <w:szCs w:val="24"/>
          <w:rFonts w:ascii="Times New Roman" w:hAnsi="Times New Roman" w:cs="Times New Roman"/>
        </w:rPr>
      </w:pPr>
      <w:r>
        <w:rPr>
          <w:sz w:val="24"/>
          <w:rFonts w:ascii="Times New Roman" w:hAnsi="Times New Roman"/>
        </w:rPr>
        <w:t xml:space="preserve">La Commission convient de la nécessité d’intégrer la dimension «développement» dans les différents domaines de l’ordre du jour de l’OMC (paragraphe 7), y compris dans le cadre du processus de réforme de l’OMC.</w:t>
      </w:r>
      <w:r>
        <w:rPr>
          <w:sz w:val="24"/>
          <w:rFonts w:ascii="Times New Roman" w:hAnsi="Times New Roman"/>
        </w:rPr>
        <w:t xml:space="preserve"> </w:t>
      </w:r>
      <w:r>
        <w:rPr>
          <w:sz w:val="24"/>
          <w:rFonts w:ascii="Times New Roman" w:hAnsi="Times New Roman"/>
        </w:rPr>
        <w:t xml:space="preserve">L’approche de l’UE a consisté à se concentrer sur les besoins et les défis spécifiques des pays en développement, et en particulier des pays les moins avancés (PMA), et à voir comment y répondre et les relever au mieux dans le cadre de l’OMC afin de favoriser une meilleure intégration de ces pays.</w:t>
      </w:r>
      <w:r>
        <w:rPr>
          <w:sz w:val="24"/>
          <w:rFonts w:ascii="Times New Roman" w:hAnsi="Times New Roman"/>
        </w:rPr>
        <w:t xml:space="preserve"> </w:t>
      </w:r>
      <w:r>
        <w:rPr>
          <w:sz w:val="24"/>
          <w:rFonts w:ascii="Times New Roman" w:hAnsi="Times New Roman"/>
        </w:rPr>
        <w:t xml:space="preserve">En ce qui concerne les PMA, outre la décision déjà prise sur les préférences tarifaires, la Commission se félicite de la décision de la 13</w:t>
      </w:r>
      <w:r>
        <w:rPr>
          <w:sz w:val="24"/>
          <w:vertAlign w:val="superscript"/>
          <w:rFonts w:ascii="Times New Roman" w:hAnsi="Times New Roman"/>
        </w:rPr>
        <w:t xml:space="preserve">e</w:t>
      </w:r>
      <w:r>
        <w:rPr>
          <w:sz w:val="24"/>
          <w:rFonts w:ascii="Times New Roman" w:hAnsi="Times New Roman"/>
        </w:rPr>
        <w:t xml:space="preserve"> conférence ministérielle, qui autorise les pays qui viennent de quitter le groupe des PMA à continuer à bénéficier des procédures spéciales concernant les PMA énoncées à l’article 24 du mémorandum d’accord sur le règlement des différends, ainsi qu’à bénéficier d’une assistance technique et d’un renforcement des capacités propres aux PMA, pendant les trois années suivant leur départ du groupe.</w:t>
      </w:r>
      <w:r>
        <w:rPr>
          <w:sz w:val="24"/>
          <w:rFonts w:ascii="Times New Roman" w:hAnsi="Times New Roman"/>
        </w:rPr>
        <w:t xml:space="preserve"> </w:t>
      </w:r>
      <w:r>
        <w:rPr>
          <w:sz w:val="24"/>
          <w:rFonts w:ascii="Times New Roman" w:hAnsi="Times New Roman"/>
        </w:rPr>
        <w:t xml:space="preserve">L’UE continuera de dialoguer de manière constructive sur d’autres points de la proposition de sortie de la catégorie des PMA concernant une période de transition sans heurts, dans la perspective du calendrier de décembre 2024 convenu lors de la 13</w:t>
      </w:r>
      <w:r>
        <w:rPr>
          <w:sz w:val="24"/>
          <w:vertAlign w:val="superscript"/>
          <w:rFonts w:ascii="Times New Roman" w:hAnsi="Times New Roman"/>
        </w:rPr>
        <w:t xml:space="preserve">e</w:t>
      </w:r>
      <w:r>
        <w:rPr>
          <w:sz w:val="24"/>
          <w:rFonts w:ascii="Times New Roman" w:hAnsi="Times New Roman"/>
        </w:rPr>
        <w:t xml:space="preserve"> conférence ministérielle.</w:t>
      </w:r>
      <w:r>
        <w:rPr>
          <w:sz w:val="24"/>
          <w:rFonts w:ascii="Times New Roman" w:hAnsi="Times New Roman"/>
        </w:rPr>
        <w:t xml:space="preserve"> </w:t>
      </w:r>
      <w:r>
        <w:rPr>
          <w:sz w:val="24"/>
          <w:rFonts w:ascii="Times New Roman" w:hAnsi="Times New Roman"/>
        </w:rPr>
        <w:t xml:space="preserve">La Commission se félicite également des adhésions des Comores et du Timor-Oriental, deux PMA, qui sont les premières adhésions à l’OMC depuis 2016.</w:t>
      </w:r>
      <w:r>
        <w:rPr>
          <w:sz w:val="24"/>
          <w:rFonts w:ascii="Times New Roman" w:hAnsi="Times New Roman"/>
        </w:rPr>
        <w:t xml:space="preserve"> </w:t>
      </w:r>
      <w:r>
        <w:rPr>
          <w:sz w:val="24"/>
          <w:rFonts w:ascii="Times New Roman" w:hAnsi="Times New Roman"/>
        </w:rPr>
        <w:t xml:space="preserve">La Commission regrette que les membres aient manqué l’occasion de progresser dans le débat sur la marge de manœuvre politique pour le développement industriel lors de la 13</w:t>
      </w:r>
      <w:r>
        <w:rPr>
          <w:sz w:val="24"/>
          <w:vertAlign w:val="superscript"/>
          <w:rFonts w:ascii="Times New Roman" w:hAnsi="Times New Roman"/>
        </w:rPr>
        <w:t xml:space="preserve">e</w:t>
      </w:r>
      <w:r>
        <w:rPr>
          <w:sz w:val="24"/>
          <w:rFonts w:ascii="Times New Roman" w:hAnsi="Times New Roman"/>
        </w:rPr>
        <w:t xml:space="preserve"> conférence ministérielle.</w:t>
      </w:r>
      <w:r>
        <w:rPr>
          <w:sz w:val="24"/>
          <w:rFonts w:ascii="Times New Roman" w:hAnsi="Times New Roman"/>
        </w:rPr>
        <w:t xml:space="preserve"> </w:t>
      </w:r>
      <w:r>
        <w:rPr>
          <w:sz w:val="24"/>
          <w:rFonts w:ascii="Times New Roman" w:hAnsi="Times New Roman"/>
        </w:rPr>
        <w:t xml:space="preserve">La Commission est favorable à la poursuite de ces conversations.</w:t>
      </w:r>
      <w:r>
        <w:rPr>
          <w:sz w:val="24"/>
          <w:rFonts w:ascii="Times New Roman" w:hAnsi="Times New Roman"/>
        </w:rPr>
        <w:t xml:space="preserve"> </w:t>
      </w:r>
      <w:r>
        <w:rPr>
          <w:sz w:val="24"/>
          <w:rFonts w:ascii="Times New Roman" w:hAnsi="Times New Roman"/>
        </w:rPr>
        <w:t xml:space="preserve">La Commission se félicite de la déclaration faite lors de la 13</w:t>
      </w:r>
      <w:r>
        <w:rPr>
          <w:sz w:val="24"/>
          <w:vertAlign w:val="superscript"/>
          <w:rFonts w:ascii="Times New Roman" w:hAnsi="Times New Roman"/>
        </w:rPr>
        <w:t xml:space="preserve">e</w:t>
      </w:r>
      <w:r>
        <w:rPr>
          <w:sz w:val="24"/>
          <w:rFonts w:ascii="Times New Roman" w:hAnsi="Times New Roman"/>
        </w:rPr>
        <w:t xml:space="preserve"> conférence ministérielle sur la mise en œuvre des dispositions relatives au traitement spécial et différencié dans le cadre de l’accord sur l’application des mesures sanitaires et phytosanitaires (SPS) et de l’accord sur les obstacles techniques au commerce (OTC).</w:t>
      </w:r>
      <w:r>
        <w:rPr>
          <w:sz w:val="24"/>
          <w:rFonts w:ascii="Times New Roman" w:hAnsi="Times New Roman"/>
        </w:rPr>
        <w:t xml:space="preserve"> </w:t>
      </w:r>
      <w:r>
        <w:rPr>
          <w:sz w:val="24"/>
          <w:rFonts w:ascii="Times New Roman" w:hAnsi="Times New Roman"/>
        </w:rPr>
        <w:t xml:space="preserve">Il s’agit d’une incitation opportune à poursuivre les travaux en cours au sein des comités techniques concernés, qui permettra aux membres de l’OMC de se concentrer sur une mise en œuvre plus efficace des règles existantes, par exemple pour améliorer l’assistance technique afin d’aider les pays membres en développement à réagir aux notifications d’obstacles techniques au commerce et aux mesures sanitaires et phytosanitaires;</w:t>
      </w:r>
      <w:r>
        <w:rPr>
          <w:sz w:val="24"/>
          <w:rFonts w:ascii="Times New Roman" w:hAnsi="Times New Roman"/>
        </w:rPr>
        <w:t xml:space="preserve"> </w:t>
      </w:r>
      <w:r>
        <w:rPr>
          <w:sz w:val="24"/>
          <w:rFonts w:ascii="Times New Roman" w:hAnsi="Times New Roman"/>
        </w:rPr>
        <w:t xml:space="preserve">et pour accroître la transparence en ce qui concerne les délais d’observation et les prolongations accordées par les membres.</w:t>
      </w:r>
      <w:r>
        <w:rPr>
          <w:sz w:val="24"/>
          <w:rFonts w:ascii="Times New Roman" w:hAnsi="Times New Roman"/>
        </w:rPr>
        <w:t xml:space="preserve"> </w:t>
      </w:r>
      <w:r>
        <w:rPr>
          <w:sz w:val="24"/>
          <w:rFonts w:ascii="Times New Roman" w:hAnsi="Times New Roman"/>
        </w:rPr>
        <w:t xml:space="preserve">La Commission est prête à poursuivre ses travaux et à s’engager activement en faveur d’une utilisation plus efficace des dispositions relatives au traitement spécial et différencié figurant dans les accords existants.</w:t>
      </w:r>
    </w:p>
    <w:p w14:paraId="1D1801CC" w14:textId="53C25ADF" w:rsidR="0017649A" w:rsidRPr="0062058B" w:rsidRDefault="008D654C" w:rsidP="00965436">
      <w:pPr>
        <w:spacing w:after="120"/>
        <w:jc w:val="both"/>
        <w:rPr>
          <w:sz w:val="24"/>
          <w:szCs w:val="24"/>
          <w:rFonts w:ascii="Times New Roman" w:hAnsi="Times New Roman" w:cs="Times New Roman"/>
        </w:rPr>
      </w:pPr>
      <w:r>
        <w:rPr>
          <w:sz w:val="24"/>
          <w:rFonts w:ascii="Times New Roman" w:hAnsi="Times New Roman"/>
        </w:rPr>
        <w:t xml:space="preserve">La Commission convient également de la nécessité de délibérer au sein de l’OMC sur l’intervention de l’État en faveur des secteurs industriels (paragraphe 8).</w:t>
      </w:r>
      <w:r>
        <w:rPr>
          <w:sz w:val="24"/>
          <w:rFonts w:ascii="Times New Roman" w:hAnsi="Times New Roman"/>
        </w:rPr>
        <w:t xml:space="preserve"> </w:t>
      </w:r>
      <w:r>
        <w:rPr>
          <w:sz w:val="24"/>
          <w:rFonts w:ascii="Times New Roman" w:hAnsi="Times New Roman"/>
        </w:rPr>
        <w:t xml:space="preserve">Cela devrait ouvrir la voie à une mise à jour du corpus réglementaire de l’OMC.</w:t>
      </w:r>
      <w:r>
        <w:rPr>
          <w:sz w:val="24"/>
          <w:rFonts w:ascii="Times New Roman" w:hAnsi="Times New Roman"/>
        </w:rPr>
        <w:t xml:space="preserve"> </w:t>
      </w:r>
      <w:r>
        <w:rPr>
          <w:sz w:val="24"/>
          <w:rFonts w:ascii="Times New Roman" w:hAnsi="Times New Roman"/>
        </w:rPr>
        <w:t xml:space="preserve">Lors de la 13</w:t>
      </w:r>
      <w:r>
        <w:rPr>
          <w:sz w:val="24"/>
          <w:vertAlign w:val="superscript"/>
          <w:rFonts w:ascii="Times New Roman" w:hAnsi="Times New Roman"/>
        </w:rPr>
        <w:t xml:space="preserve">e</w:t>
      </w:r>
      <w:r>
        <w:rPr>
          <w:sz w:val="24"/>
          <w:rFonts w:ascii="Times New Roman" w:hAnsi="Times New Roman"/>
        </w:rPr>
        <w:t xml:space="preserve"> conférence ministérielle, les membres de l’OMC étaient largement favorables à la création d’un groupe de travail temporaire à cette fin, mais le consensus requis n’a pas été atteint.</w:t>
      </w:r>
      <w:r>
        <w:rPr>
          <w:sz w:val="24"/>
          <w:rFonts w:ascii="Times New Roman" w:hAnsi="Times New Roman"/>
        </w:rPr>
        <w:t xml:space="preserve"> </w:t>
      </w:r>
      <w:r>
        <w:rPr>
          <w:sz w:val="24"/>
          <w:rFonts w:ascii="Times New Roman" w:hAnsi="Times New Roman"/>
        </w:rPr>
        <w:t xml:space="preserve">Le sujet reste une priorité pour l’UE, y compris après la 13</w:t>
      </w:r>
      <w:r>
        <w:rPr>
          <w:sz w:val="24"/>
          <w:vertAlign w:val="superscript"/>
          <w:rFonts w:ascii="Times New Roman" w:hAnsi="Times New Roman"/>
        </w:rPr>
        <w:t xml:space="preserve">e</w:t>
      </w:r>
      <w:r>
        <w:rPr>
          <w:sz w:val="24"/>
          <w:rFonts w:ascii="Times New Roman" w:hAnsi="Times New Roman"/>
        </w:rPr>
        <w:t xml:space="preserve"> conférence ministérielle, étant donné que sa pertinence pour le commerce mondial ne diminue pas.</w:t>
      </w:r>
      <w:r>
        <w:rPr>
          <w:sz w:val="24"/>
          <w:rFonts w:ascii="Times New Roman" w:hAnsi="Times New Roman"/>
        </w:rPr>
        <w:t xml:space="preserve"> </w:t>
      </w:r>
      <w:r>
        <w:rPr>
          <w:sz w:val="24"/>
          <w:rFonts w:ascii="Times New Roman" w:hAnsi="Times New Roman"/>
        </w:rPr>
        <w:t xml:space="preserve">En l’absence de mandat de délibération de la 13</w:t>
      </w:r>
      <w:r>
        <w:rPr>
          <w:sz w:val="24"/>
          <w:vertAlign w:val="superscript"/>
          <w:rFonts w:ascii="Times New Roman" w:hAnsi="Times New Roman"/>
        </w:rPr>
        <w:t xml:space="preserve">e</w:t>
      </w:r>
      <w:r>
        <w:rPr>
          <w:sz w:val="24"/>
          <w:rFonts w:ascii="Times New Roman" w:hAnsi="Times New Roman"/>
        </w:rPr>
        <w:t xml:space="preserve"> conférence ministérielle, ces discussions devront avoir lieu dans des cadres informels et au sein des organes existants de l’OMC.</w:t>
      </w:r>
    </w:p>
    <w:p w14:paraId="38D73A05" w14:textId="645878D4" w:rsidR="0017649A" w:rsidRPr="0062058B" w:rsidRDefault="0062058B" w:rsidP="00965436">
      <w:pPr>
        <w:spacing w:after="120"/>
        <w:jc w:val="both"/>
        <w:rPr>
          <w:sz w:val="24"/>
          <w:szCs w:val="24"/>
          <w:rFonts w:ascii="Times New Roman" w:hAnsi="Times New Roman" w:cs="Times New Roman"/>
        </w:rPr>
      </w:pPr>
      <w:r>
        <w:rPr>
          <w:sz w:val="24"/>
          <w:rFonts w:ascii="Times New Roman" w:hAnsi="Times New Roman"/>
        </w:rPr>
        <w:t xml:space="preserve">En ce qui concerne l’agriculture, la Commission partage l’avis du Parlement sur la nécessité de progresser dans les négociations (paragraphe 9).</w:t>
      </w:r>
      <w:r>
        <w:rPr>
          <w:sz w:val="24"/>
          <w:rFonts w:ascii="Times New Roman" w:hAnsi="Times New Roman"/>
        </w:rPr>
        <w:t xml:space="preserve"> </w:t>
      </w:r>
      <w:r>
        <w:rPr>
          <w:sz w:val="24"/>
          <w:rFonts w:ascii="Times New Roman" w:hAnsi="Times New Roman"/>
        </w:rPr>
        <w:t xml:space="preserve">S’il est regrettable qu’aucun accord n’ait pu être trouvé lors de la 13</w:t>
      </w:r>
      <w:r>
        <w:rPr>
          <w:sz w:val="24"/>
          <w:vertAlign w:val="superscript"/>
          <w:rFonts w:ascii="Times New Roman" w:hAnsi="Times New Roman"/>
        </w:rPr>
        <w:t xml:space="preserve">e</w:t>
      </w:r>
      <w:r>
        <w:rPr>
          <w:sz w:val="24"/>
          <w:rFonts w:ascii="Times New Roman" w:hAnsi="Times New Roman"/>
        </w:rPr>
        <w:t xml:space="preserve"> conférence ministérielle, en raison de divergences de vues importantes et de demandes irréalistes, des négociations intenses ont été menées grâce au rôle moteur constructif joué par l’UE, et la Commission est déterminée à maintenir ces négociations sur la bonne voie au sein de l’OMC.</w:t>
      </w:r>
      <w:r>
        <w:rPr>
          <w:sz w:val="24"/>
          <w:rFonts w:ascii="Times New Roman" w:hAnsi="Times New Roman"/>
        </w:rPr>
        <w:t xml:space="preserve"> </w:t>
      </w:r>
      <w:r>
        <w:rPr>
          <w:sz w:val="24"/>
          <w:rFonts w:ascii="Times New Roman" w:hAnsi="Times New Roman"/>
        </w:rPr>
        <w:t xml:space="preserve">Les discussions ont mis en évidence la nécessité d’œuvrer en vue de l’obtention de résultats réalistes, inclusifs et équilibrés en ce qui concerne la réforme de l’agriculture dans la perspective de la 14</w:t>
      </w:r>
      <w:r>
        <w:rPr>
          <w:sz w:val="24"/>
          <w:vertAlign w:val="superscript"/>
          <w:rFonts w:ascii="Times New Roman" w:hAnsi="Times New Roman"/>
        </w:rPr>
        <w:t xml:space="preserve">e</w:t>
      </w:r>
      <w:r>
        <w:rPr>
          <w:sz w:val="24"/>
          <w:rFonts w:ascii="Times New Roman" w:hAnsi="Times New Roman"/>
        </w:rPr>
        <w:t xml:space="preserve"> conférence ministérielle.</w:t>
      </w:r>
      <w:r>
        <w:rPr>
          <w:sz w:val="24"/>
          <w:rFonts w:ascii="Times New Roman" w:hAnsi="Times New Roman"/>
        </w:rPr>
        <w:t xml:space="preserve"> </w:t>
      </w:r>
      <w:r>
        <w:rPr>
          <w:sz w:val="24"/>
          <w:rFonts w:ascii="Times New Roman" w:hAnsi="Times New Roman"/>
        </w:rPr>
        <w:t xml:space="preserve">La Commission partage l’avis du Parlement selon lequel ces négociations devraient également répondre aux défis actuels, notamment le changement climatique, la durabilité, le commerce équitable et la transparence.</w:t>
      </w:r>
      <w:r>
        <w:rPr>
          <w:sz w:val="24"/>
          <w:rFonts w:ascii="Times New Roman" w:hAnsi="Times New Roman"/>
        </w:rPr>
        <w:t xml:space="preserve"> </w:t>
      </w:r>
      <w:r>
        <w:rPr>
          <w:sz w:val="24"/>
          <w:rFonts w:ascii="Times New Roman" w:hAnsi="Times New Roman"/>
        </w:rPr>
        <w:t xml:space="preserve">À cet égard, la Commission estime que la priorité absolue devrait être la réforme des mesures de soutien ayant des effets de distorsion sur les échanges, qui sont également des plus préjudiciables pour l’environnement.</w:t>
      </w:r>
      <w:r>
        <w:rPr>
          <w:sz w:val="24"/>
          <w:rFonts w:ascii="Times New Roman" w:hAnsi="Times New Roman"/>
        </w:rPr>
        <w:t xml:space="preserve"> </w:t>
      </w:r>
      <w:r>
        <w:rPr>
          <w:sz w:val="24"/>
          <w:rFonts w:ascii="Times New Roman" w:hAnsi="Times New Roman"/>
        </w:rPr>
        <w:t xml:space="preserve">Grâce aux réformes de la PAC, la plupart des subventions de l’UE n’ont pas d’effet de distorsion sur les échanges et contribuent positivement aux objectifs de protection de l’environnement.</w:t>
      </w:r>
      <w:r>
        <w:rPr>
          <w:sz w:val="24"/>
          <w:color w:val="26324B"/>
          <w:rFonts w:ascii="Times New Roman" w:hAnsi="Times New Roman"/>
        </w:rPr>
        <w:t xml:space="preserve"> </w:t>
      </w:r>
      <w:r>
        <w:rPr>
          <w:sz w:val="24"/>
          <w:rFonts w:ascii="Times New Roman" w:hAnsi="Times New Roman"/>
        </w:rPr>
        <w:t xml:space="preserve">Les intérêts du secteur agricole européen ainsi que la nécessité de promouvoir la politique agricole commune (PAC) et le pacte vert de l’UE resteront essentiels dans les positions de l’UE dans les négociations.</w:t>
      </w:r>
    </w:p>
    <w:p w14:paraId="6B75DDE8" w14:textId="6B114F4B" w:rsidR="00955C60" w:rsidRPr="0062058B" w:rsidRDefault="0017649A" w:rsidP="00965436">
      <w:pPr>
        <w:spacing w:after="120"/>
        <w:jc w:val="both"/>
        <w:rPr>
          <w:sz w:val="24"/>
          <w:szCs w:val="24"/>
          <w:rFonts w:ascii="Times New Roman" w:hAnsi="Times New Roman" w:cs="Times New Roman"/>
        </w:rPr>
      </w:pPr>
      <w:r>
        <w:rPr>
          <w:sz w:val="24"/>
          <w:rFonts w:ascii="Times New Roman" w:hAnsi="Times New Roman"/>
        </w:rPr>
        <w:t xml:space="preserve">En outre, la Commission se félicite de l’appel lancé par le Parlement afin d’obtenir des avancées en matière de sécurité alimentaire (paragraphe 10).</w:t>
      </w:r>
      <w:r>
        <w:rPr>
          <w:sz w:val="24"/>
          <w:rFonts w:ascii="Times New Roman" w:hAnsi="Times New Roman"/>
        </w:rPr>
        <w:t xml:space="preserve"> </w:t>
      </w:r>
      <w:r>
        <w:rPr>
          <w:sz w:val="24"/>
          <w:rFonts w:ascii="Times New Roman" w:hAnsi="Times New Roman"/>
        </w:rPr>
        <w:t xml:space="preserve">La Commission s’est également engagée à obtenir des résultats pour les pays les plus vulnérables lors de cette conférence ministérielle, dans le contexte actuel d’insécurité alimentaire.</w:t>
      </w:r>
      <w:r>
        <w:rPr>
          <w:sz w:val="24"/>
          <w:rFonts w:ascii="Times New Roman" w:hAnsi="Times New Roman"/>
        </w:rPr>
        <w:t xml:space="preserve"> </w:t>
      </w:r>
      <w:r>
        <w:rPr>
          <w:sz w:val="24"/>
          <w:rFonts w:ascii="Times New Roman" w:hAnsi="Times New Roman"/>
        </w:rPr>
        <w:t xml:space="preserve">L’absence de résultats lors de la 13</w:t>
      </w:r>
      <w:r>
        <w:rPr>
          <w:sz w:val="24"/>
          <w:vertAlign w:val="superscript"/>
          <w:rFonts w:ascii="Times New Roman" w:hAnsi="Times New Roman"/>
        </w:rPr>
        <w:t xml:space="preserve">e</w:t>
      </w:r>
      <w:r>
        <w:rPr>
          <w:sz w:val="24"/>
          <w:rFonts w:ascii="Times New Roman" w:hAnsi="Times New Roman"/>
        </w:rPr>
        <w:t xml:space="preserve"> conférence ministérielle fait malheureusement du tort aux pays les plus vulnérables, qui comptent le plus sur le système commercial multilatéral.</w:t>
      </w:r>
      <w:r>
        <w:rPr>
          <w:sz w:val="24"/>
          <w:rFonts w:ascii="Times New Roman" w:hAnsi="Times New Roman"/>
        </w:rPr>
        <w:t xml:space="preserve"> </w:t>
      </w:r>
      <w:r>
        <w:rPr>
          <w:sz w:val="24"/>
          <w:rFonts w:ascii="Times New Roman" w:hAnsi="Times New Roman"/>
        </w:rPr>
        <w:t xml:space="preserve">Convenir d’une solution permanente pour les programmes publics de stockage qui fonctionne dans cette perspective restera une priorité pour la 14</w:t>
      </w:r>
      <w:r>
        <w:rPr>
          <w:sz w:val="24"/>
          <w:vertAlign w:val="superscript"/>
          <w:rFonts w:ascii="Times New Roman" w:hAnsi="Times New Roman"/>
        </w:rPr>
        <w:t xml:space="preserve">e</w:t>
      </w:r>
      <w:r>
        <w:rPr>
          <w:sz w:val="24"/>
          <w:rFonts w:ascii="Times New Roman" w:hAnsi="Times New Roman"/>
        </w:rPr>
        <w:t xml:space="preserve"> conférence ministérielle, étant donné que ces programmes peuvent avoir une incidence négative sur les échanges agricoles et sur la sécurité alimentaire d’autres pays, s’ils sont mis en œuvre pour soutenir les prix des producteurs.</w:t>
      </w:r>
      <w:r>
        <w:rPr>
          <w:sz w:val="24"/>
          <w:rFonts w:ascii="Times New Roman" w:hAnsi="Times New Roman"/>
        </w:rPr>
        <w:t xml:space="preserve"> </w:t>
      </w:r>
      <w:r>
        <w:rPr>
          <w:sz w:val="24"/>
          <w:rFonts w:ascii="Times New Roman" w:hAnsi="Times New Roman"/>
        </w:rPr>
        <w:t xml:space="preserve">Les négociations devraient également se poursuivre en vue de trouver un accord visant à exempter les pays vulnérables des restrictions à l’exportation de denrées alimentaires, ainsi qu’à garantir un commerce équitable aux producteurs africains de coton.</w:t>
      </w:r>
    </w:p>
    <w:p w14:paraId="66694FEC" w14:textId="53630EDA" w:rsidR="00924711" w:rsidRPr="0062058B" w:rsidRDefault="00955C60" w:rsidP="00965436">
      <w:pPr>
        <w:spacing w:after="120"/>
        <w:jc w:val="both"/>
        <w:rPr>
          <w:sz w:val="24"/>
          <w:szCs w:val="24"/>
          <w:rFonts w:ascii="Times New Roman" w:hAnsi="Times New Roman" w:cs="Times New Roman"/>
        </w:rPr>
      </w:pPr>
      <w:r>
        <w:rPr>
          <w:sz w:val="24"/>
          <w:rFonts w:ascii="Times New Roman" w:hAnsi="Times New Roman"/>
        </w:rPr>
        <w:t xml:space="preserve">La Commission est d’avis que la conclusion des négociations relatives à l’accord sur la facilitation des investissements pour le développement (paragraphe 11) constitue une avancée importante et soutient également l’intégration de cet accord dans les règles de l’OMC.</w:t>
      </w:r>
      <w:r>
        <w:rPr>
          <w:sz w:val="24"/>
          <w:rFonts w:ascii="Times New Roman" w:hAnsi="Times New Roman"/>
        </w:rPr>
        <w:t xml:space="preserve"> </w:t>
      </w:r>
      <w:r>
        <w:rPr>
          <w:sz w:val="24"/>
          <w:rFonts w:ascii="Times New Roman" w:hAnsi="Times New Roman"/>
        </w:rPr>
        <w:t xml:space="preserve">La Commission note le large soutien apporté à l’accord, notamment de la part des pays en développement et des pays les moins avancés.</w:t>
      </w:r>
      <w:r>
        <w:rPr>
          <w:sz w:val="24"/>
          <w:rFonts w:ascii="Times New Roman" w:hAnsi="Times New Roman"/>
        </w:rPr>
        <w:t xml:space="preserve"> </w:t>
      </w:r>
      <w:r>
        <w:rPr>
          <w:sz w:val="24"/>
          <w:rFonts w:ascii="Times New Roman" w:hAnsi="Times New Roman"/>
        </w:rPr>
        <w:t xml:space="preserve">La Commission continuera à participer activement à l’initiative, de manière à contribuer à dégager le consensus nécessaire en vue d’une intégration juridique de l’ensemble des membres de l’OMC.</w:t>
      </w:r>
    </w:p>
    <w:p w14:paraId="34089E20" w14:textId="4BB03491" w:rsidR="00955C60" w:rsidRPr="0062058B" w:rsidRDefault="005E2B10" w:rsidP="00965436">
      <w:pPr>
        <w:spacing w:after="120"/>
        <w:jc w:val="both"/>
        <w:rPr>
          <w:sz w:val="24"/>
          <w:szCs w:val="24"/>
          <w:rFonts w:ascii="Times New Roman" w:eastAsia="Calibri" w:hAnsi="Times New Roman" w:cs="Times New Roman"/>
        </w:rPr>
      </w:pPr>
      <w:r>
        <w:rPr>
          <w:sz w:val="24"/>
          <w:rFonts w:ascii="Times New Roman" w:hAnsi="Times New Roman"/>
        </w:rPr>
        <w:t xml:space="preserve">La Commission se félicite que la résolution montre son soutien au moratoire sur les droits de douane sur les transmissions électroniques, au programme de travail de l’OMC sur le commerce électronique et à l’initiative conjointe plurilatérale de l’OMC sur le commerce électronique (paragraphe 13).</w:t>
      </w:r>
      <w:r>
        <w:rPr>
          <w:sz w:val="24"/>
          <w:rFonts w:ascii="Times New Roman" w:hAnsi="Times New Roman"/>
        </w:rPr>
        <w:t xml:space="preserve"> </w:t>
      </w:r>
      <w:r>
        <w:rPr>
          <w:sz w:val="24"/>
          <w:rFonts w:ascii="Times New Roman" w:hAnsi="Times New Roman"/>
        </w:rPr>
        <w:t xml:space="preserve">Ceux-ci sont essentiels au développement d’une économie numérique mondiale à laquelle les pays développés et les pays en développement peuvent participer pleinement, garantissant ainsi la transition numérique pour tous.</w:t>
      </w:r>
      <w:r>
        <w:rPr>
          <w:sz w:val="24"/>
          <w:rFonts w:ascii="Times New Roman" w:hAnsi="Times New Roman"/>
        </w:rPr>
        <w:t xml:space="preserve"> </w:t>
      </w:r>
    </w:p>
    <w:p w14:paraId="25D9217C" w14:textId="32A30BCE" w:rsidR="005E2B10" w:rsidRPr="0062058B" w:rsidRDefault="005E2B10" w:rsidP="00965436">
      <w:pPr>
        <w:spacing w:after="120"/>
        <w:jc w:val="both"/>
        <w:rPr>
          <w:sz w:val="24"/>
          <w:szCs w:val="24"/>
          <w:rFonts w:ascii="Times New Roman" w:eastAsia="Calibri" w:hAnsi="Times New Roman" w:cs="Times New Roman"/>
        </w:rPr>
      </w:pPr>
      <w:r>
        <w:rPr>
          <w:sz w:val="24"/>
          <w:color w:val="000000" w:themeColor="text1"/>
          <w:rFonts w:ascii="Times New Roman" w:hAnsi="Times New Roman"/>
        </w:rPr>
        <w:t xml:space="preserve">Le programme de travail est une plateforme très précieuse où les membres ont la possibilité d’organiser des discussions et de partager des informations sur des sujets présentant un intérêt pour les pays en développement, tels que la fracture numérique, la protection des consommateurs et l’incidence du moratoire sur les droits de douane sur les transmissions électroniques.</w:t>
      </w:r>
      <w:r>
        <w:rPr>
          <w:sz w:val="24"/>
          <w:color w:val="000000" w:themeColor="text1"/>
          <w:rFonts w:ascii="Times New Roman" w:hAnsi="Times New Roman"/>
        </w:rPr>
        <w:t xml:space="preserve"> </w:t>
      </w:r>
      <w:r>
        <w:rPr>
          <w:sz w:val="24"/>
          <w:rFonts w:ascii="Times New Roman" w:hAnsi="Times New Roman"/>
        </w:rPr>
        <w:t xml:space="preserve">Le moratoire fait en sorte que les entreprises (y compris les MPME et les entreprises dirigées par des femmes) et les consommateurs des pays en développement aient accès à un large éventail de services numériques et puissent participer aux marchés régionaux et internationaux.</w:t>
      </w:r>
      <w:r>
        <w:rPr>
          <w:sz w:val="24"/>
          <w:rFonts w:ascii="Times New Roman" w:hAnsi="Times New Roman"/>
        </w:rPr>
        <w:t xml:space="preserve"> </w:t>
      </w:r>
      <w:r>
        <w:rPr>
          <w:sz w:val="24"/>
          <w:rFonts w:ascii="Times New Roman" w:hAnsi="Times New Roman"/>
        </w:rPr>
        <w:t xml:space="preserve">La pratique consistant à ne pas percevoir de droits de douane sur les transmissions électroniques réduit les coûts commerciaux et renforce l’innovation et l’investissement, ce qui accroît la compétitivité des exportations et le bien-être des consommateurs.</w:t>
      </w:r>
      <w:r>
        <w:rPr>
          <w:sz w:val="24"/>
          <w:rFonts w:ascii="Times New Roman" w:hAnsi="Times New Roman"/>
        </w:rPr>
        <w:t xml:space="preserve"> </w:t>
      </w:r>
      <w:r>
        <w:rPr>
          <w:sz w:val="24"/>
          <w:rFonts w:ascii="Times New Roman" w:hAnsi="Times New Roman"/>
        </w:rPr>
        <w:t xml:space="preserve">En revanche, l’institution de tels droits réduirait la consommation, aurait un effet dissuasif sur les investissements et augmenterait les prix pour les consommateurs nationaux ainsi que les coûts d’accès de l’industrie à un large éventail de technologies et de sources de données essentielles à la croissance et à l’innovation, aux opérations commerciales et au transfert de technologies, ce qui aurait une incidence négative directe sur tous les secteurs de l’économie.</w:t>
      </w:r>
    </w:p>
    <w:p w14:paraId="15E66538" w14:textId="77777777" w:rsidR="005E2B10" w:rsidRPr="0062058B" w:rsidRDefault="005E2B10" w:rsidP="00965436">
      <w:pPr>
        <w:spacing w:after="120"/>
        <w:jc w:val="both"/>
        <w:rPr>
          <w:sz w:val="24"/>
          <w:szCs w:val="24"/>
          <w:rFonts w:ascii="Times New Roman" w:eastAsia="Calibri" w:hAnsi="Times New Roman" w:cs="Times New Roman"/>
        </w:rPr>
      </w:pPr>
      <w:r>
        <w:rPr>
          <w:sz w:val="24"/>
          <w:rFonts w:ascii="Times New Roman" w:hAnsi="Times New Roman"/>
        </w:rPr>
        <w:t xml:space="preserve">Grâce aux efforts coordonnés de l’UE et d’autres membres de l’OMC qui apportent leur soutien, la décision de la 13</w:t>
      </w:r>
      <w:r>
        <w:rPr>
          <w:sz w:val="24"/>
          <w:vertAlign w:val="superscript"/>
          <w:rFonts w:ascii="Times New Roman" w:hAnsi="Times New Roman"/>
        </w:rPr>
        <w:t xml:space="preserve">e</w:t>
      </w:r>
      <w:r>
        <w:rPr>
          <w:sz w:val="24"/>
          <w:rFonts w:ascii="Times New Roman" w:hAnsi="Times New Roman"/>
        </w:rPr>
        <w:t xml:space="preserve"> conférence ministérielle sur le commerce électronique a prolongé le moratoire sur les droits de douane sur les transmissions électroniques et le programme de travail sur le commerce électronique jusqu’à la prochaine conférence ministérielle de l’OMC (14</w:t>
      </w:r>
      <w:r>
        <w:rPr>
          <w:sz w:val="24"/>
          <w:vertAlign w:val="superscript"/>
          <w:rFonts w:ascii="Times New Roman" w:hAnsi="Times New Roman"/>
        </w:rPr>
        <w:t xml:space="preserve">e</w:t>
      </w:r>
      <w:r>
        <w:rPr>
          <w:sz w:val="24"/>
          <w:rFonts w:ascii="Times New Roman" w:hAnsi="Times New Roman"/>
        </w:rPr>
        <w:t xml:space="preserve"> conférence ministérielle).</w:t>
      </w:r>
      <w:r>
        <w:rPr>
          <w:sz w:val="24"/>
          <w:rFonts w:ascii="Times New Roman" w:hAnsi="Times New Roman"/>
        </w:rPr>
        <w:t xml:space="preserve"> </w:t>
      </w:r>
      <w:r>
        <w:rPr>
          <w:sz w:val="24"/>
          <w:rFonts w:ascii="Times New Roman" w:hAnsi="Times New Roman"/>
        </w:rPr>
        <w:t xml:space="preserve">Dans le même temps, la décision de la 13</w:t>
      </w:r>
      <w:r>
        <w:rPr>
          <w:sz w:val="24"/>
          <w:vertAlign w:val="superscript"/>
          <w:rFonts w:ascii="Times New Roman" w:hAnsi="Times New Roman"/>
        </w:rPr>
        <w:t xml:space="preserve">e</w:t>
      </w:r>
      <w:r>
        <w:rPr>
          <w:sz w:val="24"/>
          <w:rFonts w:ascii="Times New Roman" w:hAnsi="Times New Roman"/>
        </w:rPr>
        <w:t xml:space="preserve"> conférence ministérielle charge les membres de poursuivre leurs travaux sur les questions liées au champ d’application, aux définitions et aux implications du moratoire, et de relever les principaux défis liés au commerce auxquels sont confrontés les pays en développement et les PMA dans le domaine du commerce numérique, y compris en étudiant les besoins en matière de formation et de renforcement des capacités.</w:t>
      </w:r>
      <w:r>
        <w:rPr>
          <w:sz w:val="24"/>
          <w:rFonts w:ascii="Times New Roman" w:hAnsi="Times New Roman"/>
        </w:rPr>
        <w:t xml:space="preserve"> </w:t>
      </w:r>
      <w:r>
        <w:rPr>
          <w:sz w:val="24"/>
          <w:rFonts w:ascii="Times New Roman" w:hAnsi="Times New Roman"/>
        </w:rPr>
        <w:t xml:space="preserve">L’UE continuera de collaborer avec tous les membres de l’OMC pour intensifier les efforts visant à créer un système commercial mondial inclusif, prévisible et fondé sur des règles, adapté aux défis de l’économie numérique en évolution rapide d’aujourd’hui, y compris en recherchant une solution à long terme pour la non-imposition de droits de douane sur les transmissions électroniques.</w:t>
      </w:r>
    </w:p>
    <w:p w14:paraId="3D337186" w14:textId="4DD633AB" w:rsidR="005E2B10" w:rsidRPr="0062058B" w:rsidRDefault="005E2B10" w:rsidP="00965436">
      <w:pPr>
        <w:spacing w:after="120"/>
        <w:jc w:val="both"/>
        <w:rPr>
          <w:sz w:val="24"/>
          <w:szCs w:val="24"/>
          <w:rFonts w:ascii="Times New Roman" w:eastAsia="Calibri" w:hAnsi="Times New Roman" w:cs="Times New Roman"/>
        </w:rPr>
      </w:pPr>
      <w:r>
        <w:rPr>
          <w:sz w:val="24"/>
          <w:rFonts w:ascii="Times New Roman" w:hAnsi="Times New Roman"/>
        </w:rPr>
        <w:t xml:space="preserve">L’UE est également un moteur de l’initiative conjointe plurilatérale de l’OMC sur le commerce électronique, qui rassemble 90 membres de l’OMC cherchant à parvenir à un accord inclusif et commercialement significatif qui constituera le premier ensemble de règles traitant du commerce électronique à l’OMC.</w:t>
      </w:r>
      <w:r>
        <w:rPr>
          <w:sz w:val="24"/>
          <w:rFonts w:ascii="Times New Roman" w:hAnsi="Times New Roman"/>
        </w:rPr>
        <w:t xml:space="preserve"> </w:t>
      </w:r>
      <w:r>
        <w:rPr>
          <w:sz w:val="24"/>
          <w:rFonts w:ascii="Times New Roman" w:hAnsi="Times New Roman"/>
        </w:rPr>
        <w:t xml:space="preserve">L’objectif des négociations est d’établir des règles internationales qui régissent le commerce électronique afin de promouvoir le commerce, de faciliter les transactions numériques et de traiter diverses questions liées au commerce dans l’économie numérique, tout en préservant l’espace politique nécessaire à la réglementation numérique.</w:t>
      </w:r>
      <w:r>
        <w:rPr>
          <w:sz w:val="24"/>
          <w:rFonts w:ascii="Times New Roman" w:hAnsi="Times New Roman"/>
        </w:rPr>
        <w:t xml:space="preserve"> </w:t>
      </w:r>
      <w:r>
        <w:rPr>
          <w:sz w:val="24"/>
          <w:rFonts w:ascii="Times New Roman" w:hAnsi="Times New Roman"/>
        </w:rPr>
        <w:t xml:space="preserve">Un résultat dans ce domaine aura une valeur économique considérable et revêtira une importance systémique pour l’OMC en ce qui concerne sa capacité à négocier des règles pour relever les défis du XXI</w:t>
      </w:r>
      <w:r>
        <w:rPr>
          <w:sz w:val="24"/>
          <w:vertAlign w:val="superscript"/>
          <w:rFonts w:ascii="Times New Roman" w:hAnsi="Times New Roman"/>
        </w:rPr>
        <w:t xml:space="preserve">e</w:t>
      </w:r>
      <w:r>
        <w:rPr>
          <w:sz w:val="24"/>
          <w:rFonts w:ascii="Times New Roman" w:hAnsi="Times New Roman"/>
        </w:rPr>
        <w:t xml:space="preserve"> siècle.</w:t>
      </w:r>
      <w:r>
        <w:rPr>
          <w:sz w:val="24"/>
          <w:rFonts w:ascii="Times New Roman" w:hAnsi="Times New Roman"/>
        </w:rPr>
        <w:t xml:space="preserve"> </w:t>
      </w:r>
      <w:r>
        <w:rPr>
          <w:sz w:val="24"/>
          <w:rFonts w:ascii="Times New Roman" w:hAnsi="Times New Roman"/>
        </w:rPr>
        <w:t xml:space="preserve">En particulier, un accord plurilatéral complétant le corpus réglementaire de l’OMC contribuerait à remédier à la fragmentation des règles du commerce numérique, qui est une source importante d’incertitude et d’inefficacité économique.</w:t>
      </w:r>
      <w:r>
        <w:rPr>
          <w:sz w:val="24"/>
          <w:rFonts w:ascii="Times New Roman" w:hAnsi="Times New Roman"/>
        </w:rPr>
        <w:t xml:space="preserve"> </w:t>
      </w:r>
      <w:r>
        <w:rPr>
          <w:sz w:val="24"/>
          <w:rFonts w:ascii="Times New Roman" w:hAnsi="Times New Roman"/>
        </w:rPr>
        <w:t xml:space="preserve">L’accord comportera une forte composante «développement», destinée à faciliter la participation des pays en développement et des PMA au commerce numérique mondial.</w:t>
      </w:r>
      <w:r>
        <w:rPr>
          <w:sz w:val="24"/>
          <w:rFonts w:ascii="Times New Roman" w:hAnsi="Times New Roman"/>
        </w:rPr>
        <w:t xml:space="preserve"> </w:t>
      </w:r>
      <w:r>
        <w:rPr>
          <w:sz w:val="24"/>
          <w:rFonts w:ascii="Times New Roman" w:hAnsi="Times New Roman"/>
        </w:rPr>
        <w:t xml:space="preserve">Le groupe travaille à la conclusion des négociations au cours du premier semestre de 2024.</w:t>
      </w:r>
    </w:p>
    <w:p w14:paraId="2E0B6835" w14:textId="6811D560" w:rsidR="005E2B10" w:rsidRPr="0062058B" w:rsidRDefault="00955C60" w:rsidP="00965436">
      <w:pPr>
        <w:spacing w:after="120"/>
        <w:jc w:val="both"/>
        <w:rPr>
          <w:sz w:val="24"/>
          <w:szCs w:val="24"/>
          <w:rFonts w:ascii="Times New Roman" w:eastAsia="Calibri" w:hAnsi="Times New Roman" w:cs="Times New Roman"/>
        </w:rPr>
      </w:pPr>
      <w:r>
        <w:rPr>
          <w:sz w:val="24"/>
          <w:rFonts w:ascii="Times New Roman" w:hAnsi="Times New Roman"/>
        </w:rPr>
        <w:t xml:space="preserve">La Commission convient que l’OMC joue un rôle actif dans l’amélioration de la participation des MPME au commerce international (paragraphe 14) et, dans l’ensemble, contribue à un environnement mondial plus prévisible et plus sûr.</w:t>
      </w:r>
      <w:r>
        <w:rPr>
          <w:sz w:val="24"/>
          <w:rFonts w:ascii="Times New Roman" w:hAnsi="Times New Roman"/>
        </w:rPr>
        <w:t xml:space="preserve"> </w:t>
      </w:r>
      <w:r>
        <w:rPr>
          <w:sz w:val="24"/>
          <w:rFonts w:ascii="Times New Roman" w:hAnsi="Times New Roman"/>
        </w:rPr>
        <w:t xml:space="preserve">La Commission continuera donc à soutenir les initiatives de l’OMC visant à mettre en place un environnement favorable aux MPME sur les marchés nationaux des partenaires commerciaux de l’UE et au-delà, mais aussi à sensibiliser les MPME et à leur fournir des informations les aidant à exercer leurs activités à l’étranger.</w:t>
      </w:r>
      <w:r>
        <w:rPr>
          <w:sz w:val="24"/>
          <w:rFonts w:ascii="Times New Roman" w:hAnsi="Times New Roman"/>
        </w:rPr>
        <w:t xml:space="preserve"> </w:t>
      </w:r>
    </w:p>
    <w:p w14:paraId="0117B950" w14:textId="657BD229" w:rsidR="007A7D81" w:rsidRPr="0062058B" w:rsidRDefault="007A7D81" w:rsidP="00965436">
      <w:pPr>
        <w:pStyle w:val="Bullet0"/>
        <w:numPr>
          <w:ilvl w:val="0"/>
          <w:numId w:val="0"/>
        </w:numPr>
        <w:spacing w:before="0"/>
        <w:rPr>
          <w:kern w:val="2"/>
          <w:szCs w:val="24"/>
        </w:rPr>
      </w:pPr>
      <w:r>
        <w:t xml:space="preserve">La Commission remercie le Parlement pour le soutien actif qu’il apporte en vue de rendre l’OMC plus apte à relever les défis mondiaux, notamment le changement climatique et la dégradation de l’environnement (paragraphe 15).</w:t>
      </w:r>
      <w:r>
        <w:t xml:space="preserve"> </w:t>
      </w:r>
      <w:r>
        <w:t xml:space="preserve">Malgré l’absence d’engagements spécifiques en matière de commerce et d’environnement dans le cadre de la 13</w:t>
      </w:r>
      <w:r>
        <w:rPr>
          <w:vertAlign w:val="superscript"/>
        </w:rPr>
        <w:t xml:space="preserve">e</w:t>
      </w:r>
      <w:r>
        <w:t xml:space="preserve"> conférence ministérielle, plusieurs initiatives plurilatérales liées à l’environnement ont enregistré des progrès.</w:t>
      </w:r>
      <w:r>
        <w:t xml:space="preserve"> </w:t>
      </w:r>
      <w:r>
        <w:t xml:space="preserve">Comme elle l’a souligné dans sa communication du 22 mars 2023, la Commission continue de plaider en faveur de l’intersection entre les défis commerciaux et les défis environnementaux mondiaux au sein du comité du commerce et de l’environnement de l’OMC, notamment en abordant des sujets pertinents, tels que les méthodes de mesure des émissions intrinsèques et la conception de subventions à dimension écologique.</w:t>
      </w:r>
      <w:r>
        <w:t xml:space="preserve"> </w:t>
      </w:r>
      <w:r>
        <w:t xml:space="preserve">Des déclarations ministérielles ont été adoptées dans le cadre du dialogue sur la pollution par les plastiques et le commerce des plastiques écologiquement durables, des discussions structurées sur le commerce et la durabilité environnementale et de l’initiative sur la réforme des subventions aux combustibles fossiles.</w:t>
      </w:r>
      <w:r>
        <w:t xml:space="preserve"> </w:t>
      </w:r>
      <w:r>
        <w:t xml:space="preserve">La Commission souligne l’importance qu’il y a à faire avancer ces travaux, compte tenu de l’absence de consensus multilatéral, afin de renforcer le rôle de l’OMC dans la lutte contre le changement climatique et la dégradation de l’environnement.</w:t>
      </w:r>
      <w:r>
        <w:t xml:space="preserve"> </w:t>
      </w:r>
      <w:r>
        <w:t xml:space="preserve">Il s’agit notamment de discussions sur les biens et services environnementaux au sein d’un groupe de travail spécifique dans le cadre des discussions structurées sur le commerce et la durabilité environnementale.</w:t>
      </w:r>
    </w:p>
    <w:p w14:paraId="3DBF7645" w14:textId="5BDFB045" w:rsidR="00955C60" w:rsidRPr="0062058B" w:rsidRDefault="007A7D81" w:rsidP="00965436">
      <w:pPr>
        <w:spacing w:after="120"/>
        <w:jc w:val="both"/>
        <w:rPr>
          <w:sz w:val="24"/>
          <w:szCs w:val="24"/>
          <w:rFonts w:ascii="Times New Roman" w:hAnsi="Times New Roman" w:cs="Times New Roman"/>
        </w:rPr>
      </w:pPr>
      <w:r>
        <w:rPr>
          <w:sz w:val="24"/>
          <w:rFonts w:ascii="Times New Roman" w:hAnsi="Times New Roman"/>
        </w:rPr>
        <w:t xml:space="preserve">Au-delà de l’OMC, l’UE, conjointement avec l’Équateur, le Kenya et la Nouvelle-Zélande, a lancé la coalition des ministres du commerce en faveur du climat afin de donner des orientations politiques pour stimuler une coopération inclusive en matière de climat, de commerce et de développement durable.</w:t>
      </w:r>
      <w:r>
        <w:rPr>
          <w:sz w:val="24"/>
          <w:rFonts w:ascii="Times New Roman" w:hAnsi="Times New Roman"/>
        </w:rPr>
        <w:t xml:space="preserve"> </w:t>
      </w:r>
      <w:r>
        <w:rPr>
          <w:sz w:val="24"/>
          <w:rFonts w:ascii="Times New Roman" w:hAnsi="Times New Roman"/>
        </w:rPr>
        <w:t xml:space="preserve">La Commission poursuivra ses travaux.</w:t>
      </w:r>
      <w:r>
        <w:rPr>
          <w:sz w:val="24"/>
          <w:rFonts w:ascii="Times New Roman" w:hAnsi="Times New Roman"/>
        </w:rPr>
        <w:t xml:space="preserve"> </w:t>
      </w:r>
      <w:r>
        <w:rPr>
          <w:sz w:val="24"/>
          <w:rFonts w:ascii="Times New Roman" w:hAnsi="Times New Roman"/>
        </w:rPr>
        <w:t xml:space="preserve">La Commission rappelle qu’il importe de briser les cloisonnements entre les communautés commerciales et climatiques.</w:t>
      </w:r>
      <w:r>
        <w:rPr>
          <w:sz w:val="24"/>
          <w:rFonts w:ascii="Times New Roman" w:hAnsi="Times New Roman"/>
        </w:rPr>
        <w:t xml:space="preserve"> </w:t>
      </w:r>
      <w:r>
        <w:rPr>
          <w:sz w:val="24"/>
          <w:rFonts w:ascii="Times New Roman" w:hAnsi="Times New Roman"/>
        </w:rPr>
        <w:t xml:space="preserve">La toute première journée du commerce organisée lors de la COP28 constitue un pas dans la bonne direction.</w:t>
      </w:r>
      <w:r>
        <w:rPr>
          <w:sz w:val="24"/>
          <w:rFonts w:ascii="Times New Roman" w:hAnsi="Times New Roman"/>
        </w:rPr>
        <w:t xml:space="preserve"> </w:t>
      </w:r>
      <w:r>
        <w:rPr>
          <w:sz w:val="24"/>
          <w:rFonts w:ascii="Times New Roman" w:hAnsi="Times New Roman"/>
        </w:rPr>
        <w:t xml:space="preserve">Conformément à son objectif de neutralité climatique à l’horizon 2050, l’UE met en œuvre les mesures nécessaires pour atteindre les objectifs mondiaux en matière de durabilité et de climat.</w:t>
      </w:r>
      <w:r>
        <w:rPr>
          <w:sz w:val="24"/>
          <w:rFonts w:ascii="Times New Roman" w:hAnsi="Times New Roman"/>
        </w:rPr>
        <w:t xml:space="preserve"> </w:t>
      </w:r>
      <w:r>
        <w:rPr>
          <w:sz w:val="24"/>
          <w:rFonts w:ascii="Times New Roman" w:hAnsi="Times New Roman"/>
        </w:rPr>
        <w:t xml:space="preserve">L’UE poursuivra son dialogue multilatéral et bilatéral approfondi avec ses partenaires commerciaux sur ses mesures en matière d’environnement et de durabilité liées au commerce, y compris en ce qui concerne les mesures qui sont entrées en vigueur.</w:t>
      </w:r>
    </w:p>
    <w:p w14:paraId="445E5B01" w14:textId="60DA8EFA" w:rsidR="007A7D81" w:rsidRPr="0062058B" w:rsidRDefault="007A7D81" w:rsidP="00965436">
      <w:pPr>
        <w:spacing w:after="120"/>
        <w:jc w:val="both"/>
        <w:rPr>
          <w:sz w:val="24"/>
          <w:szCs w:val="24"/>
          <w:rFonts w:ascii="Times New Roman" w:eastAsia="Calibri" w:hAnsi="Times New Roman" w:cs="Times New Roman"/>
        </w:rPr>
      </w:pPr>
      <w:r>
        <w:rPr>
          <w:sz w:val="24"/>
          <w:rFonts w:ascii="Times New Roman" w:hAnsi="Times New Roman"/>
        </w:rPr>
        <w:t xml:space="preserve">La Commission partage l’avis du Parlement selon lequel l’émancipation économique des femmes et leur participation au commerce sont importantes pour la croissance économique et le développement durable (paragraphe 16).</w:t>
      </w:r>
      <w:r>
        <w:rPr>
          <w:sz w:val="24"/>
          <w:rFonts w:ascii="Times New Roman" w:hAnsi="Times New Roman"/>
        </w:rPr>
        <w:t xml:space="preserve"> </w:t>
      </w:r>
      <w:r>
        <w:rPr>
          <w:sz w:val="24"/>
          <w:rFonts w:ascii="Times New Roman" w:hAnsi="Times New Roman"/>
        </w:rPr>
        <w:t xml:space="preserve">Un paragraphe sur le commerce et l’émancipation économique des femmes dans la déclaration ministérielle d’Abou Dhabi, qui prend également acte des travaux en cours, tient aussi compte de cet état de fait.</w:t>
      </w:r>
      <w:r>
        <w:rPr>
          <w:sz w:val="24"/>
          <w:rFonts w:ascii="Times New Roman" w:hAnsi="Times New Roman"/>
        </w:rPr>
        <w:t xml:space="preserve"> </w:t>
      </w:r>
      <w:r>
        <w:rPr>
          <w:sz w:val="24"/>
          <w:rFonts w:ascii="Times New Roman" w:hAnsi="Times New Roman"/>
        </w:rPr>
        <w:t xml:space="preserve">Depuis l’adoption de la déclaration de Buenos Aires de 2017 sur le commerce et l’autonomisation économique des femmes, de nombreux engagements ont en effet été pris dans ce domaine, avec notamment les travaux des membres du groupe de travail informel sur le commerce et l’égalité entre les hommes et les femmes, du Congrès mondial du commerce sur le genre et du sommet de la jeunesse sur le commerce sur l’égalité entre les hommes et les femmes.</w:t>
      </w:r>
      <w:r>
        <w:rPr>
          <w:sz w:val="24"/>
          <w:rFonts w:ascii="Times New Roman" w:hAnsi="Times New Roman"/>
        </w:rPr>
        <w:t xml:space="preserve"> </w:t>
      </w:r>
      <w:r>
        <w:rPr>
          <w:sz w:val="24"/>
          <w:rFonts w:ascii="Times New Roman" w:hAnsi="Times New Roman"/>
        </w:rPr>
        <w:t xml:space="preserve">La Commission continuera de s’engager activement dans les domaines du commerce, de l’égalité entre les hommes et les femmes et de l’émancipation économique des femmes, non seulement au sein de l’OMC, mais aussi au niveau bilatéral avec les partenaires commerciaux de l’UE.</w:t>
      </w:r>
    </w:p>
    <w:p w14:paraId="4FADEB14" w14:textId="54784B65" w:rsidR="00371132" w:rsidRDefault="00D24D92" w:rsidP="00965436">
      <w:pPr>
        <w:spacing w:after="120"/>
        <w:jc w:val="both"/>
        <w:rPr>
          <w:sz w:val="24"/>
          <w:szCs w:val="24"/>
          <w:rFonts w:ascii="Times New Roman" w:hAnsi="Times New Roman" w:cs="Times New Roman"/>
        </w:rPr>
      </w:pPr>
      <w:r>
        <w:rPr>
          <w:sz w:val="24"/>
          <w:rFonts w:ascii="Times New Roman" w:hAnsi="Times New Roman"/>
        </w:rPr>
        <w:t xml:space="preserve">La Commission a pris note de l’appel lancé par le Parlement aux membres de l’OMC pour qu’ils prennent, d’ici la 13</w:t>
      </w:r>
      <w:r>
        <w:rPr>
          <w:sz w:val="24"/>
          <w:vertAlign w:val="superscript"/>
          <w:rFonts w:ascii="Times New Roman" w:hAnsi="Times New Roman"/>
        </w:rPr>
        <w:t xml:space="preserve">e</w:t>
      </w:r>
      <w:r>
        <w:rPr>
          <w:sz w:val="24"/>
          <w:rFonts w:ascii="Times New Roman" w:hAnsi="Times New Roman"/>
        </w:rPr>
        <w:t xml:space="preserve"> conférence ministérielle et tout en gardant à l’esprit les incitations à innover, une décision sur l’extension de la décision sur les ADPIC aux outils de diagnostic et traitements contre la COVID-19.</w:t>
      </w:r>
      <w:r>
        <w:rPr>
          <w:sz w:val="24"/>
          <w:rFonts w:ascii="Times New Roman" w:hAnsi="Times New Roman"/>
        </w:rPr>
        <w:t xml:space="preserve"> </w:t>
      </w:r>
      <w:r>
        <w:rPr>
          <w:sz w:val="24"/>
          <w:rFonts w:ascii="Times New Roman" w:hAnsi="Times New Roman"/>
        </w:rPr>
        <w:t xml:space="preserve">Malgré les efforts considérables déployés par les membres de l’OMC — y compris d’intenses discussions fondées sur des preuves et des faits portant sur les multiples facteurs qui ont eu une incidence sur l’accessibilité et le caractère abordable des traitements et diagnostics contre la COVID-19 pendant la pandémie, ainsi que des échanges avec l’industrie, le monde universitaire, les organisations internationales et les ONG concernées — un consensus sur cette extension n’a pas pu être dégagé, ce qui a été confirmé dans le rapport du Conseil des ADPIC du 13 février 2024.</w:t>
      </w:r>
      <w:r>
        <w:rPr>
          <w:sz w:val="24"/>
          <w:rFonts w:ascii="Times New Roman" w:hAnsi="Times New Roman"/>
        </w:rPr>
        <w:t xml:space="preserve"> </w:t>
      </w:r>
      <w:r>
        <w:rPr>
          <w:sz w:val="24"/>
          <w:rFonts w:ascii="Times New Roman" w:hAnsi="Times New Roman"/>
        </w:rPr>
        <w:t xml:space="preserve">Dans le même temps, les membres de l’OMC, y compris lors de la 13</w:t>
      </w:r>
      <w:r>
        <w:rPr>
          <w:sz w:val="24"/>
          <w:vertAlign w:val="superscript"/>
          <w:rFonts w:ascii="Times New Roman" w:hAnsi="Times New Roman"/>
        </w:rPr>
        <w:t xml:space="preserve">e</w:t>
      </w:r>
      <w:r>
        <w:rPr>
          <w:sz w:val="24"/>
          <w:rFonts w:ascii="Times New Roman" w:hAnsi="Times New Roman"/>
        </w:rPr>
        <w:t xml:space="preserve"> conférence ministérielle, sont convenus de la nécessité de poursuivre les travaux visant à exploiter les enseignements tirés de la pandémie de COVID-19 afin de trouver des solutions efficaces en cas de futures pandémies, conformément à la déclaration ministérielle de la 12</w:t>
      </w:r>
      <w:r>
        <w:rPr>
          <w:sz w:val="24"/>
          <w:vertAlign w:val="superscript"/>
          <w:rFonts w:ascii="Times New Roman" w:hAnsi="Times New Roman"/>
        </w:rPr>
        <w:t xml:space="preserve">e</w:t>
      </w:r>
      <w:r>
        <w:rPr>
          <w:sz w:val="24"/>
          <w:rFonts w:ascii="Times New Roman" w:hAnsi="Times New Roman"/>
        </w:rPr>
        <w:t xml:space="preserve"> conférence ministérielle sur la réaction de l’OMC à la pandémie de COVID-19 et la préparation aux futures pandémies.</w:t>
      </w:r>
      <w:r>
        <w:rPr>
          <w:sz w:val="24"/>
          <w:rFonts w:ascii="Times New Roman" w:hAnsi="Times New Roman"/>
        </w:rPr>
        <w:t xml:space="preserve"> </w:t>
      </w:r>
      <w:r>
        <w:rPr>
          <w:sz w:val="24"/>
          <w:rFonts w:ascii="Times New Roman" w:hAnsi="Times New Roman"/>
        </w:rPr>
        <w:t xml:space="preserve">La Commission poursuivra son engagement constructif sur ces questions.</w:t>
      </w:r>
      <w:r>
        <w:rPr>
          <w:sz w:val="24"/>
          <w:rFonts w:ascii="Times New Roman" w:hAnsi="Times New Roman"/>
        </w:rPr>
        <w:t xml:space="preserve"> </w:t>
      </w:r>
      <w:r>
        <w:rPr>
          <w:sz w:val="24"/>
          <w:rFonts w:ascii="Times New Roman" w:hAnsi="Times New Roman"/>
        </w:rPr>
        <w:t xml:space="preserve">En outre, la Commission est d’accord avec l’appel lancé par le Parlement aux membres de l’OMC pour qu’ils réexaminent leurs législations et politiques nationales, le cas échéant, afin de garantir la pleine intégration de toutes les flexibilités pertinentes en matière de propriété intellectuelle (PI) protégeant l’accès aux produits médicaux.</w:t>
      </w:r>
    </w:p>
    <w:p w14:paraId="2642196A" w14:textId="4AA10FB1" w:rsidR="00955C60" w:rsidRPr="00371132" w:rsidRDefault="00371132" w:rsidP="00965436">
      <w:pPr>
        <w:spacing w:after="120"/>
        <w:jc w:val="both"/>
        <w:rPr>
          <w:sz w:val="24"/>
          <w:szCs w:val="24"/>
          <w:rFonts w:ascii="Times New Roman" w:hAnsi="Times New Roman" w:cs="Times New Roman"/>
        </w:rPr>
      </w:pPr>
      <w:r>
        <w:rPr>
          <w:sz w:val="24"/>
          <w:rFonts w:ascii="Times New Roman" w:hAnsi="Times New Roman"/>
        </w:rPr>
        <w:t xml:space="preserve">Dans la perspective de la 13</w:t>
      </w:r>
      <w:r>
        <w:rPr>
          <w:sz w:val="24"/>
          <w:vertAlign w:val="superscript"/>
          <w:rFonts w:ascii="Times New Roman" w:hAnsi="Times New Roman"/>
        </w:rPr>
        <w:t xml:space="preserve">e</w:t>
      </w:r>
      <w:r>
        <w:rPr>
          <w:sz w:val="24"/>
          <w:rFonts w:ascii="Times New Roman" w:hAnsi="Times New Roman"/>
        </w:rPr>
        <w:t xml:space="preserve"> conférence ministérielle, ainsi que lors de la conférence elle-même, la Commission a veillé à ce que le Parlement soit tenu pleinement informé de toutes les évolutions (paragraphe 18).</w:t>
      </w:r>
      <w:r>
        <w:rPr>
          <w:sz w:val="24"/>
          <w:rFonts w:ascii="Times New Roman" w:hAnsi="Times New Roman"/>
        </w:rPr>
        <w:t xml:space="preserve"> </w:t>
      </w:r>
      <w:r>
        <w:rPr>
          <w:sz w:val="24"/>
          <w:rFonts w:ascii="Times New Roman" w:hAnsi="Times New Roman"/>
        </w:rPr>
        <w:t xml:space="preserve">La Commission a apprécié le rôle utile joué par le Parlement, y compris dans le cadre de la conférence parlementaire de l’OMC, et convient qu’il est important de renforcer la dimension parlementaire de l’OMC (paragraphe 19).</w:t>
      </w:r>
      <w:r>
        <w:rPr>
          <w:sz w:val="24"/>
          <w:rFonts w:ascii="Times New Roman" w:hAnsi="Times New Roman"/>
        </w:rPr>
        <w:t xml:space="preserve"> </w:t>
      </w:r>
      <w:r>
        <w:rPr>
          <w:sz w:val="24"/>
          <w:rFonts w:ascii="Times New Roman" w:hAnsi="Times New Roman"/>
        </w:rPr>
        <w:t xml:space="preserve">En outre, comme en témoigne l’inclusion des propositions de réforme de la Commission en matière de commerce et d’inclusivité, la Commission souhaiterait que toutes les parties prenantes, y compris la société civile, les syndicats et les organisations professionnelles, jouent un rôle accru au sein de l’OMC, et coopèrent davantage avec d’autres organisations internationales (paragraphe 20).</w:t>
      </w:r>
    </w:p>
    <w:sectPr w:rsidR="00955C60" w:rsidRPr="0037113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6ED0" w14:textId="77777777" w:rsidR="000F19EB" w:rsidRDefault="000F19EB" w:rsidP="007507E7">
      <w:r>
        <w:separator/>
      </w:r>
    </w:p>
  </w:endnote>
  <w:endnote w:type="continuationSeparator" w:id="0">
    <w:p w14:paraId="2BFF12C0" w14:textId="77777777" w:rsidR="000F19EB" w:rsidRDefault="000F19EB" w:rsidP="0075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7B00" w14:textId="77777777" w:rsidR="00480A44" w:rsidRDefault="00480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62988"/>
      <w:docPartObj>
        <w:docPartGallery w:val="Page Numbers (Bottom of Page)"/>
        <w:docPartUnique/>
      </w:docPartObj>
    </w:sdtPr>
    <w:sdtEndPr>
      <w:rPr>
        <w:noProof/>
      </w:rPr>
    </w:sdtEndPr>
    <w:sdtContent>
      <w:p w14:paraId="06E129C9" w14:textId="7DD721F8" w:rsidR="00480A44" w:rsidRDefault="00480A44">
        <w:pPr>
          <w:pStyle w:val="Footer"/>
          <w:jc w:val="center"/>
        </w:pPr>
        <w:r>
          <w:fldChar w:fldCharType="begin"/>
        </w:r>
        <w:r>
          <w:instrText xml:space="preserve"> PAGE   \* MERGEFORMAT </w:instrText>
        </w:r>
        <w:r>
          <w:fldChar w:fldCharType="separate"/>
        </w:r>
        <w:r>
          <w:t>2</w:t>
        </w:r>
        <w:r>
          <w:fldChar w:fldCharType="end"/>
        </w:r>
      </w:p>
    </w:sdtContent>
  </w:sdt>
  <w:p w14:paraId="1EA5E0B5" w14:textId="77777777" w:rsidR="00480A44" w:rsidRDefault="00480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07B2" w14:textId="77777777" w:rsidR="00480A44" w:rsidRDefault="0048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18E3" w14:textId="77777777" w:rsidR="000F19EB" w:rsidRDefault="000F19EB" w:rsidP="007507E7">
      <w:r>
        <w:separator/>
      </w:r>
    </w:p>
  </w:footnote>
  <w:footnote w:type="continuationSeparator" w:id="0">
    <w:p w14:paraId="78F51AD9" w14:textId="77777777" w:rsidR="000F19EB" w:rsidRDefault="000F19EB" w:rsidP="0075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6582" w14:textId="77777777" w:rsidR="00480A44" w:rsidRDefault="00480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A4AE" w14:textId="77777777" w:rsidR="00480A44" w:rsidRDefault="00480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3A91" w14:textId="77777777" w:rsidR="00480A44" w:rsidRDefault="00480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A1BCB"/>
    <w:multiLevelType w:val="hybridMultilevel"/>
    <w:tmpl w:val="BA2E1486"/>
    <w:lvl w:ilvl="0" w:tplc="D402E43C">
      <w:start w:val="1"/>
      <w:numFmt w:val="decimal"/>
      <w:lvlText w:val="%1."/>
      <w:lvlJc w:val="left"/>
      <w:pPr>
        <w:ind w:left="360" w:hanging="360"/>
      </w:pPr>
      <w:rPr>
        <w:b/>
      </w:rPr>
    </w:lvl>
    <w:lvl w:ilvl="1" w:tplc="68ACEEBA">
      <w:start w:val="1"/>
      <w:numFmt w:val="lowerLetter"/>
      <w:lvlText w:val="%2."/>
      <w:lvlJc w:val="left"/>
      <w:pPr>
        <w:ind w:left="1080" w:hanging="360"/>
      </w:pPr>
    </w:lvl>
    <w:lvl w:ilvl="2" w:tplc="E324722E">
      <w:start w:val="1"/>
      <w:numFmt w:val="lowerRoman"/>
      <w:lvlText w:val="%3."/>
      <w:lvlJc w:val="right"/>
      <w:pPr>
        <w:ind w:left="1800" w:hanging="180"/>
      </w:pPr>
    </w:lvl>
    <w:lvl w:ilvl="3" w:tplc="CE74C876">
      <w:start w:val="1"/>
      <w:numFmt w:val="decimal"/>
      <w:lvlText w:val="%4."/>
      <w:lvlJc w:val="left"/>
      <w:pPr>
        <w:ind w:left="2520" w:hanging="360"/>
      </w:pPr>
    </w:lvl>
    <w:lvl w:ilvl="4" w:tplc="E176052E">
      <w:start w:val="1"/>
      <w:numFmt w:val="lowerLetter"/>
      <w:lvlText w:val="%5."/>
      <w:lvlJc w:val="left"/>
      <w:pPr>
        <w:ind w:left="3240" w:hanging="360"/>
      </w:pPr>
    </w:lvl>
    <w:lvl w:ilvl="5" w:tplc="FE583E5E">
      <w:start w:val="1"/>
      <w:numFmt w:val="lowerRoman"/>
      <w:lvlText w:val="%6."/>
      <w:lvlJc w:val="right"/>
      <w:pPr>
        <w:ind w:left="3960" w:hanging="180"/>
      </w:pPr>
    </w:lvl>
    <w:lvl w:ilvl="6" w:tplc="E642390A">
      <w:start w:val="1"/>
      <w:numFmt w:val="decimal"/>
      <w:lvlText w:val="%7."/>
      <w:lvlJc w:val="left"/>
      <w:pPr>
        <w:ind w:left="4680" w:hanging="360"/>
      </w:pPr>
    </w:lvl>
    <w:lvl w:ilvl="7" w:tplc="83E2FDF8">
      <w:start w:val="1"/>
      <w:numFmt w:val="lowerLetter"/>
      <w:lvlText w:val="%8."/>
      <w:lvlJc w:val="left"/>
      <w:pPr>
        <w:ind w:left="5400" w:hanging="360"/>
      </w:pPr>
    </w:lvl>
    <w:lvl w:ilvl="8" w:tplc="D122870C">
      <w:start w:val="1"/>
      <w:numFmt w:val="lowerRoman"/>
      <w:lvlText w:val="%9."/>
      <w:lvlJc w:val="right"/>
      <w:pPr>
        <w:ind w:left="6120" w:hanging="180"/>
      </w:pPr>
    </w:lvl>
  </w:abstractNum>
  <w:abstractNum w:abstractNumId="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 w15:restartNumberingAfterBreak="0">
    <w:nsid w:val="4C441914"/>
    <w:multiLevelType w:val="hybridMultilevel"/>
    <w:tmpl w:val="BA2E148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6568692">
    <w:abstractNumId w:val="1"/>
  </w:num>
  <w:num w:numId="2" w16cid:durableId="1230575328">
    <w:abstractNumId w:val="0"/>
  </w:num>
  <w:num w:numId="3" w16cid:durableId="146669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7E7"/>
    <w:rsid w:val="000029DC"/>
    <w:rsid w:val="00033020"/>
    <w:rsid w:val="0004599A"/>
    <w:rsid w:val="00047BC8"/>
    <w:rsid w:val="000854B2"/>
    <w:rsid w:val="000863BD"/>
    <w:rsid w:val="000920F5"/>
    <w:rsid w:val="000B3448"/>
    <w:rsid w:val="000F19EB"/>
    <w:rsid w:val="00173608"/>
    <w:rsid w:val="0017649A"/>
    <w:rsid w:val="0018537A"/>
    <w:rsid w:val="001C0D55"/>
    <w:rsid w:val="00254472"/>
    <w:rsid w:val="00280C6D"/>
    <w:rsid w:val="002F63DA"/>
    <w:rsid w:val="00300202"/>
    <w:rsid w:val="00301EFD"/>
    <w:rsid w:val="003179A8"/>
    <w:rsid w:val="00331CC4"/>
    <w:rsid w:val="0036760B"/>
    <w:rsid w:val="00371132"/>
    <w:rsid w:val="00375843"/>
    <w:rsid w:val="0040184C"/>
    <w:rsid w:val="00421127"/>
    <w:rsid w:val="00422BFC"/>
    <w:rsid w:val="004472EF"/>
    <w:rsid w:val="00480A44"/>
    <w:rsid w:val="004A4CF7"/>
    <w:rsid w:val="004A6391"/>
    <w:rsid w:val="004B5E76"/>
    <w:rsid w:val="004B71D2"/>
    <w:rsid w:val="00506F03"/>
    <w:rsid w:val="005202FF"/>
    <w:rsid w:val="005908FD"/>
    <w:rsid w:val="005E2B10"/>
    <w:rsid w:val="0062058B"/>
    <w:rsid w:val="006215DD"/>
    <w:rsid w:val="006705CC"/>
    <w:rsid w:val="00694993"/>
    <w:rsid w:val="00697409"/>
    <w:rsid w:val="006E0BDE"/>
    <w:rsid w:val="00731B15"/>
    <w:rsid w:val="00733F16"/>
    <w:rsid w:val="007507E7"/>
    <w:rsid w:val="00752729"/>
    <w:rsid w:val="0079270E"/>
    <w:rsid w:val="007A7021"/>
    <w:rsid w:val="007A7D81"/>
    <w:rsid w:val="007B6832"/>
    <w:rsid w:val="007C2243"/>
    <w:rsid w:val="007C40F3"/>
    <w:rsid w:val="00852816"/>
    <w:rsid w:val="00896AD2"/>
    <w:rsid w:val="008C0BFE"/>
    <w:rsid w:val="008D654C"/>
    <w:rsid w:val="008E0CF0"/>
    <w:rsid w:val="00924711"/>
    <w:rsid w:val="0094493B"/>
    <w:rsid w:val="00955C60"/>
    <w:rsid w:val="00965436"/>
    <w:rsid w:val="00965BE8"/>
    <w:rsid w:val="0097159F"/>
    <w:rsid w:val="00997348"/>
    <w:rsid w:val="00997AFB"/>
    <w:rsid w:val="009C6A7E"/>
    <w:rsid w:val="009D0849"/>
    <w:rsid w:val="00A23C48"/>
    <w:rsid w:val="00A31639"/>
    <w:rsid w:val="00A3622C"/>
    <w:rsid w:val="00A4083D"/>
    <w:rsid w:val="00A768FF"/>
    <w:rsid w:val="00AE0451"/>
    <w:rsid w:val="00B05D09"/>
    <w:rsid w:val="00B347DA"/>
    <w:rsid w:val="00B4079C"/>
    <w:rsid w:val="00B572E6"/>
    <w:rsid w:val="00B62177"/>
    <w:rsid w:val="00BA4B58"/>
    <w:rsid w:val="00CA1249"/>
    <w:rsid w:val="00CA1938"/>
    <w:rsid w:val="00CC7DB6"/>
    <w:rsid w:val="00D24D92"/>
    <w:rsid w:val="00D63447"/>
    <w:rsid w:val="00D70035"/>
    <w:rsid w:val="00D76EDA"/>
    <w:rsid w:val="00D80C80"/>
    <w:rsid w:val="00E07A67"/>
    <w:rsid w:val="00E20889"/>
    <w:rsid w:val="00E31325"/>
    <w:rsid w:val="00E37889"/>
    <w:rsid w:val="00E60830"/>
    <w:rsid w:val="00EF0756"/>
    <w:rsid w:val="00F34947"/>
    <w:rsid w:val="00F85B74"/>
    <w:rsid w:val="00FD16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DE26E"/>
  <w15:docId w15:val="{6E9F077D-2685-436C-AEEF-B18CFBEE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7E7"/>
    <w:pPr>
      <w:spacing w:after="0" w:line="240" w:lineRule="auto"/>
    </w:pPr>
    <w:rPr>
      <w:rFonts w:ascii="Calibri" w:hAnsi="Calibri" w:cs="Calibri"/>
      <w:kern w:val="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0">
    <w:name w:val="Bullet 0"/>
    <w:basedOn w:val="Normal"/>
    <w:rsid w:val="007A7D81"/>
    <w:pPr>
      <w:numPr>
        <w:numId w:val="1"/>
      </w:numPr>
      <w:spacing w:before="120" w:after="120"/>
      <w:jc w:val="both"/>
    </w:pPr>
    <w:rPr>
      <w:rFonts w:ascii="Times New Roman" w:hAnsi="Times New Roman" w:cs="Times New Roman"/>
      <w:sz w:val="24"/>
      <w:lang w:val="fr-FR"/>
    </w:rPr>
  </w:style>
  <w:style w:type="paragraph" w:customStyle="1" w:styleId="Normal1">
    <w:name w:val="Normal1"/>
    <w:rsid w:val="000863BD"/>
    <w:pPr>
      <w:spacing w:after="0" w:line="240" w:lineRule="auto"/>
      <w:jc w:val="both"/>
    </w:pPr>
    <w:rPr>
      <w:rFonts w:ascii="Times New Roman" w:eastAsia="Times New Roman" w:hAnsi="Times New Roman" w:cs="Times New Roman"/>
      <w:color w:val="000000"/>
      <w:kern w:val="0"/>
      <w:sz w:val="24"/>
      <w:szCs w:val="24"/>
      <w:lang w:val="fr-FR" w:eastAsia="ja-JP"/>
    </w:rPr>
  </w:style>
  <w:style w:type="paragraph" w:styleId="FootnoteText">
    <w:name w:val="footnote text"/>
    <w:aliases w:val="fn,footnote text,Final Footnote Text,Nota de rodapé,Final Footnote Text Char Char,GM_Fußnotentext,Footnote text,Schriftart: 9 pt,Schriftart: 10 pt,Schriftart: 8 pt,WB-Fußnotentext"/>
    <w:basedOn w:val="Normal"/>
    <w:link w:val="FootnoteTextChar"/>
    <w:uiPriority w:val="99"/>
    <w:unhideWhenUsed/>
    <w:qFormat/>
    <w:rsid w:val="000863BD"/>
    <w:rPr>
      <w:rFonts w:ascii="Times New Roman" w:eastAsia="Times New Roman" w:hAnsi="Times New Roman" w:cs="Times New Roman"/>
      <w:sz w:val="20"/>
      <w:szCs w:val="20"/>
      <w:lang w:val="fr-FR" w:eastAsia="en-GB"/>
    </w:rPr>
  </w:style>
  <w:style w:type="character" w:customStyle="1" w:styleId="FootnoteTextChar">
    <w:name w:val="Footnote Text Char"/>
    <w:aliases w:val="fn Char,footnote text Char,Final Footnote Text Char,Nota de rodapé Char,Final Footnote Text Char Char Char,GM_Fußnotentext Char,Footnote text Char,Schriftart: 9 pt Char,Schriftart: 10 pt Char,Schriftart: 8 pt Char,WB-Fußnotentext Char"/>
    <w:basedOn w:val="DefaultParagraphFont"/>
    <w:link w:val="FootnoteText"/>
    <w:uiPriority w:val="99"/>
    <w:rsid w:val="000863BD"/>
    <w:rPr>
      <w:rFonts w:ascii="Times New Roman" w:eastAsia="Times New Roman" w:hAnsi="Times New Roman" w:cs="Times New Roman"/>
      <w:kern w:val="0"/>
      <w:sz w:val="20"/>
      <w:szCs w:val="20"/>
      <w:lang w:val="fr-FR" w:eastAsia="en-GB"/>
    </w:rPr>
  </w:style>
  <w:style w:type="character" w:styleId="FootnoteReference">
    <w:name w:val="footnote reference"/>
    <w:aliases w:val="BVI fnr, BVI fnr,(Footnote Reference),Footnote Reference/,Ref,de nota al pie"/>
    <w:uiPriority w:val="99"/>
    <w:unhideWhenUsed/>
    <w:qFormat/>
    <w:rsid w:val="000863BD"/>
    <w:rPr>
      <w:vertAlign w:val="superscript"/>
    </w:rPr>
  </w:style>
  <w:style w:type="paragraph" w:customStyle="1" w:styleId="paragraph">
    <w:name w:val="paragraph"/>
    <w:basedOn w:val="Normal"/>
    <w:rsid w:val="00F34947"/>
    <w:pPr>
      <w:spacing w:before="100" w:beforeAutospacing="1" w:after="100" w:afterAutospacing="1"/>
    </w:pPr>
  </w:style>
  <w:style w:type="character" w:customStyle="1" w:styleId="normaltextrun">
    <w:name w:val="normaltextrun"/>
    <w:basedOn w:val="DefaultParagraphFont"/>
    <w:rsid w:val="00F34947"/>
  </w:style>
  <w:style w:type="character" w:customStyle="1" w:styleId="findhit">
    <w:name w:val="findhit"/>
    <w:basedOn w:val="DefaultParagraphFont"/>
    <w:rsid w:val="00F34947"/>
  </w:style>
  <w:style w:type="paragraph" w:styleId="ListParagraph">
    <w:name w:val="List Paragraph"/>
    <w:basedOn w:val="Normal"/>
    <w:uiPriority w:val="34"/>
    <w:qFormat/>
    <w:rsid w:val="00752729"/>
    <w:pPr>
      <w:spacing w:after="160" w:line="259" w:lineRule="auto"/>
      <w:ind w:left="720"/>
      <w:contextualSpacing/>
    </w:pPr>
    <w:rPr>
      <w:rFonts w:asciiTheme="minorHAnsi" w:hAnsiTheme="minorHAnsi" w:cstheme="minorBidi"/>
    </w:rPr>
  </w:style>
  <w:style w:type="paragraph" w:styleId="Revision">
    <w:name w:val="Revision"/>
    <w:hidden/>
    <w:uiPriority w:val="99"/>
    <w:semiHidden/>
    <w:rsid w:val="0004599A"/>
    <w:pPr>
      <w:spacing w:after="0" w:line="240" w:lineRule="auto"/>
    </w:pPr>
    <w:rPr>
      <w:rFonts w:ascii="Calibri" w:hAnsi="Calibri" w:cs="Calibri"/>
      <w:kern w:val="0"/>
      <w:lang w:val="fr-FR"/>
    </w:rPr>
  </w:style>
  <w:style w:type="paragraph" w:styleId="Header">
    <w:name w:val="header"/>
    <w:basedOn w:val="Normal"/>
    <w:link w:val="HeaderChar"/>
    <w:uiPriority w:val="99"/>
    <w:unhideWhenUsed/>
    <w:rsid w:val="00480A44"/>
    <w:pPr>
      <w:tabs>
        <w:tab w:val="center" w:pos="4513"/>
        <w:tab w:val="right" w:pos="9026"/>
      </w:tabs>
    </w:pPr>
  </w:style>
  <w:style w:type="character" w:customStyle="1" w:styleId="HeaderChar">
    <w:name w:val="Header Char"/>
    <w:basedOn w:val="DefaultParagraphFont"/>
    <w:link w:val="Header"/>
    <w:uiPriority w:val="99"/>
    <w:rsid w:val="00480A44"/>
    <w:rPr>
      <w:rFonts w:ascii="Calibri" w:hAnsi="Calibri" w:cs="Calibri"/>
      <w:kern w:val="0"/>
      <w:lang w:val="fr-FR"/>
    </w:rPr>
  </w:style>
  <w:style w:type="paragraph" w:styleId="Footer">
    <w:name w:val="footer"/>
    <w:basedOn w:val="Normal"/>
    <w:link w:val="FooterChar"/>
    <w:uiPriority w:val="99"/>
    <w:unhideWhenUsed/>
    <w:rsid w:val="00480A44"/>
    <w:pPr>
      <w:tabs>
        <w:tab w:val="center" w:pos="4513"/>
        <w:tab w:val="right" w:pos="9026"/>
      </w:tabs>
    </w:pPr>
  </w:style>
  <w:style w:type="character" w:customStyle="1" w:styleId="FooterChar">
    <w:name w:val="Footer Char"/>
    <w:basedOn w:val="DefaultParagraphFont"/>
    <w:link w:val="Footer"/>
    <w:uiPriority w:val="99"/>
    <w:rsid w:val="00480A44"/>
    <w:rPr>
      <w:rFonts w:ascii="Calibri" w:hAnsi="Calibri" w:cs="Calibri"/>
      <w:kern w:val="0"/>
      <w:lang w:val="fr-FR"/>
    </w:rPr>
  </w:style>
  <w:style w:type="character" w:styleId="CommentReference">
    <w:name w:val="annotation reference"/>
    <w:basedOn w:val="DefaultParagraphFont"/>
    <w:uiPriority w:val="99"/>
    <w:semiHidden/>
    <w:unhideWhenUsed/>
    <w:rsid w:val="00B62177"/>
    <w:rPr>
      <w:sz w:val="16"/>
      <w:szCs w:val="16"/>
    </w:rPr>
  </w:style>
  <w:style w:type="paragraph" w:styleId="CommentText">
    <w:name w:val="annotation text"/>
    <w:basedOn w:val="Normal"/>
    <w:link w:val="CommentTextChar"/>
    <w:uiPriority w:val="99"/>
    <w:unhideWhenUsed/>
    <w:rsid w:val="00B62177"/>
    <w:rPr>
      <w:sz w:val="20"/>
      <w:szCs w:val="20"/>
    </w:rPr>
  </w:style>
  <w:style w:type="character" w:customStyle="1" w:styleId="CommentTextChar">
    <w:name w:val="Comment Text Char"/>
    <w:basedOn w:val="DefaultParagraphFont"/>
    <w:link w:val="CommentText"/>
    <w:uiPriority w:val="99"/>
    <w:rsid w:val="00B62177"/>
    <w:rPr>
      <w:rFonts w:ascii="Calibri" w:hAnsi="Calibri" w:cs="Calibri"/>
      <w:kern w:val="0"/>
      <w:sz w:val="20"/>
      <w:szCs w:val="20"/>
      <w:lang w:val="fr-FR"/>
    </w:rPr>
  </w:style>
  <w:style w:type="paragraph" w:styleId="CommentSubject">
    <w:name w:val="annotation subject"/>
    <w:basedOn w:val="CommentText"/>
    <w:next w:val="CommentText"/>
    <w:link w:val="CommentSubjectChar"/>
    <w:uiPriority w:val="99"/>
    <w:semiHidden/>
    <w:unhideWhenUsed/>
    <w:rsid w:val="00B62177"/>
    <w:rPr>
      <w:b/>
      <w:bCs/>
    </w:rPr>
  </w:style>
  <w:style w:type="character" w:customStyle="1" w:styleId="CommentSubjectChar">
    <w:name w:val="Comment Subject Char"/>
    <w:basedOn w:val="CommentTextChar"/>
    <w:link w:val="CommentSubject"/>
    <w:uiPriority w:val="99"/>
    <w:semiHidden/>
    <w:rsid w:val="00B62177"/>
    <w:rPr>
      <w:rFonts w:ascii="Calibri" w:hAnsi="Calibri" w:cs="Calibri"/>
      <w:b/>
      <w:bCs/>
      <w:kern w:val="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01298">
      <w:bodyDiv w:val="1"/>
      <w:marLeft w:val="0"/>
      <w:marRight w:val="0"/>
      <w:marTop w:val="0"/>
      <w:marBottom w:val="0"/>
      <w:divBdr>
        <w:top w:val="none" w:sz="0" w:space="0" w:color="auto"/>
        <w:left w:val="none" w:sz="0" w:space="0" w:color="auto"/>
        <w:bottom w:val="none" w:sz="0" w:space="0" w:color="auto"/>
        <w:right w:val="none" w:sz="0" w:space="0" w:color="auto"/>
      </w:divBdr>
    </w:div>
    <w:div w:id="557787405">
      <w:bodyDiv w:val="1"/>
      <w:marLeft w:val="0"/>
      <w:marRight w:val="0"/>
      <w:marTop w:val="0"/>
      <w:marBottom w:val="0"/>
      <w:divBdr>
        <w:top w:val="none" w:sz="0" w:space="0" w:color="auto"/>
        <w:left w:val="none" w:sz="0" w:space="0" w:color="auto"/>
        <w:bottom w:val="none" w:sz="0" w:space="0" w:color="auto"/>
        <w:right w:val="none" w:sz="0" w:space="0" w:color="auto"/>
      </w:divBdr>
    </w:div>
    <w:div w:id="645286203">
      <w:bodyDiv w:val="1"/>
      <w:marLeft w:val="0"/>
      <w:marRight w:val="0"/>
      <w:marTop w:val="0"/>
      <w:marBottom w:val="0"/>
      <w:divBdr>
        <w:top w:val="none" w:sz="0" w:space="0" w:color="auto"/>
        <w:left w:val="none" w:sz="0" w:space="0" w:color="auto"/>
        <w:bottom w:val="none" w:sz="0" w:space="0" w:color="auto"/>
        <w:right w:val="none" w:sz="0" w:space="0" w:color="auto"/>
      </w:divBdr>
    </w:div>
    <w:div w:id="999773555">
      <w:bodyDiv w:val="1"/>
      <w:marLeft w:val="0"/>
      <w:marRight w:val="0"/>
      <w:marTop w:val="0"/>
      <w:marBottom w:val="0"/>
      <w:divBdr>
        <w:top w:val="none" w:sz="0" w:space="0" w:color="auto"/>
        <w:left w:val="none" w:sz="0" w:space="0" w:color="auto"/>
        <w:bottom w:val="none" w:sz="0" w:space="0" w:color="auto"/>
        <w:right w:val="none" w:sz="0" w:space="0" w:color="auto"/>
      </w:divBdr>
    </w:div>
    <w:div w:id="1460949380">
      <w:bodyDiv w:val="1"/>
      <w:marLeft w:val="0"/>
      <w:marRight w:val="0"/>
      <w:marTop w:val="0"/>
      <w:marBottom w:val="0"/>
      <w:divBdr>
        <w:top w:val="none" w:sz="0" w:space="0" w:color="auto"/>
        <w:left w:val="none" w:sz="0" w:space="0" w:color="auto"/>
        <w:bottom w:val="none" w:sz="0" w:space="0" w:color="auto"/>
        <w:right w:val="none" w:sz="0" w:space="0" w:color="auto"/>
      </w:divBdr>
    </w:div>
    <w:div w:id="2000381912">
      <w:bodyDiv w:val="1"/>
      <w:marLeft w:val="0"/>
      <w:marRight w:val="0"/>
      <w:marTop w:val="0"/>
      <w:marBottom w:val="0"/>
      <w:divBdr>
        <w:top w:val="none" w:sz="0" w:space="0" w:color="auto"/>
        <w:left w:val="none" w:sz="0" w:space="0" w:color="auto"/>
        <w:bottom w:val="none" w:sz="0" w:space="0" w:color="auto"/>
        <w:right w:val="none" w:sz="0" w:space="0" w:color="auto"/>
      </w:divBdr>
    </w:div>
    <w:div w:id="214036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8" ma:contentTypeDescription="Create a new document." ma:contentTypeScope="" ma:versionID="54646dc1a01e2dc35d748257bbd266af">
  <xsd:schema xmlns:xsd="http://www.w3.org/2001/XMLSchema" xmlns:xs="http://www.w3.org/2001/XMLSchema" xmlns:p="http://schemas.microsoft.com/office/2006/metadata/properties" xmlns:ns3="b1574990-7dca-46ed-ac87-7eb4962c31b1" xmlns:ns4="d2e3c90a-5f11-4787-ace5-3a0bcb2edcfa" targetNamespace="http://schemas.microsoft.com/office/2006/metadata/properties" ma:root="true" ma:fieldsID="0145075ea4a3203f3e5fb7c20e4736e4" ns3:_="" ns4:_="">
    <xsd:import namespace="b1574990-7dca-46ed-ac87-7eb4962c31b1"/>
    <xsd:import namespace="d2e3c90a-5f11-4787-ace5-3a0bcb2edc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1574990-7dca-46ed-ac87-7eb4962c31b1" xsi:nil="true"/>
  </documentManagement>
</p:properties>
</file>

<file path=customXml/itemProps1.xml><?xml version="1.0" encoding="utf-8"?>
<ds:datastoreItem xmlns:ds="http://schemas.openxmlformats.org/officeDocument/2006/customXml" ds:itemID="{53954C73-2F4A-4ED4-8375-21DF81319F84}">
  <ds:schemaRefs>
    <ds:schemaRef ds:uri="http://schemas.openxmlformats.org/officeDocument/2006/bibliography"/>
  </ds:schemaRefs>
</ds:datastoreItem>
</file>

<file path=customXml/itemProps2.xml><?xml version="1.0" encoding="utf-8"?>
<ds:datastoreItem xmlns:ds="http://schemas.openxmlformats.org/officeDocument/2006/customXml" ds:itemID="{91331F96-D683-4971-AFC1-2F88DC10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53A3E-D03D-46FC-A1CF-C1DEB7D75F2D}">
  <ds:schemaRefs>
    <ds:schemaRef ds:uri="http://schemas.microsoft.com/sharepoint/v3/contenttype/forms"/>
  </ds:schemaRefs>
</ds:datastoreItem>
</file>

<file path=customXml/itemProps4.xml><?xml version="1.0" encoding="utf-8"?>
<ds:datastoreItem xmlns:ds="http://schemas.openxmlformats.org/officeDocument/2006/customXml" ds:itemID="{CFF4275E-E484-4E22-865F-9309CD6E012F}">
  <ds:schemaRefs>
    <ds:schemaRef ds:uri="b1574990-7dca-46ed-ac87-7eb4962c31b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d2e3c90a-5f11-4787-ace5-3a0bcb2edc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3612</Words>
  <Characters>20630</Characters>
  <Application>Microsoft Office Word</Application>
  <DocSecurity>0</DocSecurity>
  <Lines>282</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BRUNELLI Matteo (TRADE)</dc:creator>
  <cp:keywords/>
  <dc:description/>
  <cp:lastModifiedBy>ALMEIDA Maria Jose (SG)</cp:lastModifiedBy>
  <cp:revision>2</cp:revision>
  <cp:lastPrinted>2024-05-23T09:50:00Z</cp:lastPrinted>
  <dcterms:created xsi:type="dcterms:W3CDTF">2024-05-23T15:08:00Z</dcterms:created>
  <dcterms:modified xsi:type="dcterms:W3CDTF">2024-05-23T15:08:00Z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2024-04-15T07:59:19Z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f0d53f55-ea9c-4b2a-8ec6-dab1bafe0ef0</vt:lpwstr>
  </property>
  <property fmtid="{D5CDD505-2E9C-101B-9397-08002B2CF9AE}" pid="8" name="MSIP_Label_6bd9ddd1-4d20-43f6-abfa-fc3c07406f94_ContentBits">
    <vt:lpwstr>0</vt:lpwstr>
  </property>
  <property fmtid="{D5CDD505-2E9C-101B-9397-08002B2CF9AE}" pid="9" name="ContentTypeId">
    <vt:lpwstr>0x0101009910B1AB3EE7FB41977BC1E216BA6147</vt:lpwstr>
  </property>
</Properties>
</file>