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9F37A" w14:textId="03EFF075" w:rsidR="00963420" w:rsidRPr="00C33439" w:rsidRDefault="00963420" w:rsidP="00997FA1">
      <w:pPr>
        <w:spacing w:after="600"/>
        <w:jc w:val="center"/>
        <w:rPr>
          <w:rFonts w:ascii="Times New Roman" w:hAnsi="Times New Roman"/>
          <w:b/>
          <w:bCs/>
          <w:szCs w:val="24"/>
        </w:rPr>
      </w:pPr>
      <w:r>
        <w:rPr>
          <w:rFonts w:ascii="Times New Roman" w:hAnsi="Times New Roman"/>
          <w:b/>
        </w:rPr>
        <w:t>Suite donnée à la résolution non législative du Parlement européen sur l’adéquation, la subsidiarité et la proportionnalité de la réglementation de l’Union – rapport «Mieux légiférer» couvrant les années 2020, 2021 et 2022</w:t>
      </w:r>
    </w:p>
    <w:p w14:paraId="222E65B7" w14:textId="3F063544" w:rsidR="00963420" w:rsidRPr="009A35D8" w:rsidRDefault="00963420" w:rsidP="0084310E">
      <w:pPr>
        <w:numPr>
          <w:ilvl w:val="0"/>
          <w:numId w:val="34"/>
        </w:numPr>
        <w:ind w:left="567" w:hanging="567"/>
        <w:rPr>
          <w:rFonts w:ascii="Times New Roman" w:hAnsi="Times New Roman"/>
          <w:iCs/>
          <w:szCs w:val="24"/>
        </w:rPr>
      </w:pPr>
      <w:r>
        <w:rPr>
          <w:rFonts w:ascii="Times New Roman" w:hAnsi="Times New Roman"/>
          <w:b/>
        </w:rPr>
        <w:t>Rapporteure:</w:t>
      </w:r>
      <w:r>
        <w:rPr>
          <w:rFonts w:ascii="Times New Roman" w:hAnsi="Times New Roman"/>
        </w:rPr>
        <w:t xml:space="preserve"> Catharina RINZEMA (Renew/NL) </w:t>
      </w:r>
    </w:p>
    <w:p w14:paraId="6900E183" w14:textId="60BE0C23" w:rsidR="00963420" w:rsidRPr="009A35D8" w:rsidRDefault="00063DCE" w:rsidP="0084310E">
      <w:pPr>
        <w:pStyle w:val="Default"/>
        <w:numPr>
          <w:ilvl w:val="0"/>
          <w:numId w:val="34"/>
        </w:numPr>
        <w:spacing w:after="240"/>
        <w:ind w:left="567" w:hanging="567"/>
        <w:jc w:val="both"/>
        <w:rPr>
          <w:iCs/>
          <w:color w:val="auto"/>
        </w:rPr>
      </w:pPr>
      <w:r>
        <w:rPr>
          <w:b/>
          <w:color w:val="auto"/>
        </w:rPr>
        <w:t xml:space="preserve">Numéro de référence: </w:t>
      </w:r>
      <w:r>
        <w:t xml:space="preserve">2023/2079 (INI) / A9-0321/2023 / </w:t>
      </w:r>
      <w:r>
        <w:rPr>
          <w:color w:val="auto"/>
        </w:rPr>
        <w:t>P9_TA(2023)0442</w:t>
      </w:r>
    </w:p>
    <w:p w14:paraId="61D85C18" w14:textId="4C7071A3" w:rsidR="001F0B89" w:rsidRDefault="00963420" w:rsidP="0084310E">
      <w:pPr>
        <w:numPr>
          <w:ilvl w:val="0"/>
          <w:numId w:val="34"/>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23 novembre 2023</w:t>
      </w:r>
    </w:p>
    <w:p w14:paraId="4451E813" w14:textId="10A9198E" w:rsidR="00963420" w:rsidRPr="00806401" w:rsidRDefault="00963420" w:rsidP="0084310E">
      <w:pPr>
        <w:numPr>
          <w:ilvl w:val="0"/>
          <w:numId w:val="34"/>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des affaires juridiques (JURI)</w:t>
      </w:r>
    </w:p>
    <w:p w14:paraId="7C257BA0" w14:textId="34725EAA" w:rsidR="00C61064" w:rsidRPr="00C33439" w:rsidRDefault="00963420" w:rsidP="00806401">
      <w:pPr>
        <w:widowControl w:val="0"/>
        <w:numPr>
          <w:ilvl w:val="0"/>
          <w:numId w:val="34"/>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p>
    <w:p w14:paraId="18FD54D1" w14:textId="2DA019DE" w:rsidR="0050213C" w:rsidRDefault="008F1DD9" w:rsidP="00723BDB">
      <w:pPr>
        <w:widowControl w:val="0"/>
        <w:spacing w:after="80"/>
        <w:rPr>
          <w:rFonts w:ascii="Times New Roman" w:hAnsi="Times New Roman"/>
          <w:bCs/>
          <w:szCs w:val="24"/>
        </w:rPr>
      </w:pPr>
      <w:r>
        <w:rPr>
          <w:rFonts w:ascii="Times New Roman" w:hAnsi="Times New Roman"/>
        </w:rPr>
        <w:t>La résolution sur la subsidiarité et la proportionnalité analyse l’application de ces principes par les institutions européennes et leurs partenaires en vue de répondre aux attentes des citoyens et des institutions nationales. La résolution est divisée en trois sections, respectivement intitulées «Sur la subsidiarité», «Sur la promotion de l’inclusion des parlements nationaux» et «Sur l’amélioration de la réglementation affûtée et l’élaboration d’une législation de l’Union pour un marché unique efficace».</w:t>
      </w:r>
    </w:p>
    <w:p w14:paraId="1066ABA0" w14:textId="77713CE3" w:rsidR="001F4340" w:rsidRPr="001F4340" w:rsidRDefault="001F4340" w:rsidP="00723BDB">
      <w:pPr>
        <w:widowControl w:val="0"/>
        <w:spacing w:after="80"/>
        <w:rPr>
          <w:rFonts w:ascii="Times New Roman" w:hAnsi="Times New Roman"/>
          <w:b/>
          <w:szCs w:val="24"/>
        </w:rPr>
      </w:pPr>
      <w:r>
        <w:rPr>
          <w:rFonts w:ascii="Times New Roman" w:hAnsi="Times New Roman"/>
        </w:rPr>
        <w:t xml:space="preserve">Dans la première section, le Parlement européen rappelle la nécessité de vérifier systématiquement que l’action au niveau de l’UE est justifiée conformément aux principes de subsidiarité et de proportionnalité. Il demande à la Commission: </w:t>
      </w:r>
    </w:p>
    <w:p w14:paraId="68B20B3A" w14:textId="65FBCD45" w:rsidR="001F4340" w:rsidRPr="001F4340" w:rsidRDefault="001F4340" w:rsidP="00EA12E5">
      <w:pPr>
        <w:widowControl w:val="0"/>
        <w:numPr>
          <w:ilvl w:val="0"/>
          <w:numId w:val="36"/>
        </w:numPr>
        <w:spacing w:after="80"/>
        <w:rPr>
          <w:rFonts w:ascii="Times New Roman" w:hAnsi="Times New Roman"/>
          <w:b/>
          <w:szCs w:val="24"/>
        </w:rPr>
      </w:pPr>
      <w:r>
        <w:rPr>
          <w:rFonts w:ascii="Times New Roman" w:hAnsi="Times New Roman"/>
        </w:rPr>
        <w:t>d’évaluer la possibilité d’étendre la période de pause hivernale qui est exclue du délai de huit semaines dont les parlements nationaux disposent pour présenter des avis motivés;</w:t>
      </w:r>
    </w:p>
    <w:p w14:paraId="18185AF0" w14:textId="77777777" w:rsidR="001F4340" w:rsidRPr="001F4340" w:rsidRDefault="001F4340" w:rsidP="00EA12E5">
      <w:pPr>
        <w:widowControl w:val="0"/>
        <w:numPr>
          <w:ilvl w:val="0"/>
          <w:numId w:val="36"/>
        </w:numPr>
        <w:spacing w:after="80"/>
        <w:rPr>
          <w:rFonts w:ascii="Times New Roman" w:hAnsi="Times New Roman"/>
          <w:b/>
          <w:szCs w:val="24"/>
        </w:rPr>
      </w:pPr>
      <w:r>
        <w:rPr>
          <w:rFonts w:ascii="Times New Roman" w:hAnsi="Times New Roman"/>
        </w:rPr>
        <w:t xml:space="preserve">de tenir davantage compte des avis exprimés par le Comité des régions par l’intermédiaire du réseau de monitorage de la subsidiarité. </w:t>
      </w:r>
    </w:p>
    <w:p w14:paraId="06A2DE1C" w14:textId="582B6331" w:rsidR="00C61064" w:rsidRDefault="00C61064" w:rsidP="00723BDB">
      <w:pPr>
        <w:widowControl w:val="0"/>
        <w:spacing w:after="80"/>
        <w:rPr>
          <w:rFonts w:ascii="Times New Roman" w:hAnsi="Times New Roman"/>
          <w:bCs/>
          <w:szCs w:val="24"/>
        </w:rPr>
      </w:pPr>
      <w:r>
        <w:rPr>
          <w:rFonts w:ascii="Times New Roman" w:hAnsi="Times New Roman"/>
        </w:rPr>
        <w:t>Dans la deuxième section, le Parlement européen, en vue d’associer davantage les parlements nationaux, invite la Commission à:</w:t>
      </w:r>
    </w:p>
    <w:p w14:paraId="004C2499" w14:textId="51EB2261" w:rsidR="00C61064" w:rsidRPr="00C61064" w:rsidRDefault="00C61064" w:rsidP="00EA12E5">
      <w:pPr>
        <w:widowControl w:val="0"/>
        <w:numPr>
          <w:ilvl w:val="0"/>
          <w:numId w:val="36"/>
        </w:numPr>
        <w:spacing w:after="80"/>
        <w:rPr>
          <w:rFonts w:ascii="Times New Roman" w:hAnsi="Times New Roman"/>
          <w:b/>
          <w:szCs w:val="24"/>
        </w:rPr>
      </w:pPr>
      <w:r>
        <w:rPr>
          <w:rFonts w:ascii="Times New Roman" w:hAnsi="Times New Roman"/>
        </w:rPr>
        <w:t>étudier la possibilité d’associer les parlements nationaux à la procédure législative à un stade plus précoce, plus précisément lorsque les consultations ont lieu;</w:t>
      </w:r>
    </w:p>
    <w:p w14:paraId="7D925C65" w14:textId="13E27F79" w:rsidR="00C61064" w:rsidRPr="00EA12E5" w:rsidRDefault="00C61064" w:rsidP="00EA12E5">
      <w:pPr>
        <w:widowControl w:val="0"/>
        <w:numPr>
          <w:ilvl w:val="0"/>
          <w:numId w:val="36"/>
        </w:numPr>
        <w:spacing w:after="80"/>
        <w:rPr>
          <w:rFonts w:ascii="Times New Roman" w:hAnsi="Times New Roman"/>
          <w:bCs/>
          <w:szCs w:val="24"/>
        </w:rPr>
      </w:pPr>
      <w:r>
        <w:rPr>
          <w:rFonts w:ascii="Times New Roman" w:hAnsi="Times New Roman"/>
        </w:rPr>
        <w:t>fournir une réponse détaillée à chaque avis motivé.</w:t>
      </w:r>
    </w:p>
    <w:p w14:paraId="25A1491B" w14:textId="70CAC24B" w:rsidR="00C61064" w:rsidRPr="00C61064" w:rsidRDefault="00C61064" w:rsidP="00723BDB">
      <w:pPr>
        <w:widowControl w:val="0"/>
        <w:spacing w:after="80"/>
        <w:rPr>
          <w:rFonts w:ascii="Times New Roman" w:hAnsi="Times New Roman"/>
          <w:bCs/>
          <w:szCs w:val="24"/>
        </w:rPr>
      </w:pPr>
      <w:r>
        <w:rPr>
          <w:rFonts w:ascii="Times New Roman" w:hAnsi="Times New Roman"/>
        </w:rPr>
        <w:t xml:space="preserve">Dans sa résolution, le Parlement européen fait également part de ses préoccupations quant au manque d’explications factuelles fournies par la Commission lorsqu’elle propose des textes législatifs, lequel affecte la capacité des parlements nationaux à procéder à une évaluation rigoureuse de la subsidiarité et de la proportionnalité. </w:t>
      </w:r>
    </w:p>
    <w:p w14:paraId="4476966A" w14:textId="39605236" w:rsidR="00C61064" w:rsidRDefault="00C61064" w:rsidP="00723BDB">
      <w:pPr>
        <w:widowControl w:val="0"/>
        <w:spacing w:after="80"/>
        <w:rPr>
          <w:rFonts w:ascii="Times New Roman" w:hAnsi="Times New Roman"/>
          <w:bCs/>
          <w:szCs w:val="24"/>
        </w:rPr>
      </w:pPr>
      <w:r>
        <w:rPr>
          <w:rFonts w:ascii="Times New Roman" w:hAnsi="Times New Roman"/>
        </w:rPr>
        <w:t>Enfin, dans la troisième section, il attire l’attention sur le système d’amélioration de la réglementation mis en place par la Commission, en soulignant l’importance des analyses d’impact, tout en demandant qu’une attention particulière soit accordée aux charges découlant de la législation. Dans sa résolution, le Parlement européen invite la Commission:</w:t>
      </w:r>
    </w:p>
    <w:p w14:paraId="395D9E65" w14:textId="77777777"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rPr>
        <w:t>à procéder à des évaluations de l’impact selon le genre;</w:t>
      </w:r>
    </w:p>
    <w:p w14:paraId="44A8CB78" w14:textId="77777777"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rPr>
        <w:t>à élaborer une approche plus intégrée sur la durabilité, à mieux évaluer les incidences sociales et environnementales et à améliorer la qualité et la visibilité des analyses liées au pacte vert et aux objectifs de développement durable (ODD);</w:t>
      </w:r>
    </w:p>
    <w:p w14:paraId="5E761F53" w14:textId="260E302D"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rPr>
        <w:t xml:space="preserve">à renforcer l’indépendance du comité d’examen de la réglementation, en veillant à garantir une composition équilibrée et une transparence accrue des pratiques, </w:t>
      </w:r>
      <w:r>
        <w:rPr>
          <w:rFonts w:ascii="Times New Roman" w:hAnsi="Times New Roman"/>
        </w:rPr>
        <w:lastRenderedPageBreak/>
        <w:t>par la publication de tous les avis au moment de leur adoption, par la déclaration des rencontres avec les groupes d’intérêt et par l’utilisation du registre de transparence; à veiller à ce que le comité et les colégislateurs coopèrent plus étroitement;</w:t>
      </w:r>
    </w:p>
    <w:p w14:paraId="51DDB7C0" w14:textId="4CA486D6"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rPr>
        <w:t>à rendre le test PME (petites et moyennes entreprises) contraignant et à l’actualiser tout au long du processus législatif;</w:t>
      </w:r>
    </w:p>
    <w:p w14:paraId="1CC100EA" w14:textId="59CC8C9D"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rPr>
        <w:t>à élaborer une méthodologie complète pour l’évaluation des incidences cumulées et à faire en sorte que le contrôle de compétitivité ne soit pas réalisé uniquement dans le cadre des analyses individuelles mais soit étendu aux paquets législatifs et au programme de travail de la Commission dans son ensemble;</w:t>
      </w:r>
    </w:p>
    <w:p w14:paraId="12C5C3E5" w14:textId="3A3259B7" w:rsidR="00A378A0" w:rsidRDefault="00A378A0" w:rsidP="00EA12E5">
      <w:pPr>
        <w:widowControl w:val="0"/>
        <w:numPr>
          <w:ilvl w:val="0"/>
          <w:numId w:val="36"/>
        </w:numPr>
        <w:spacing w:after="80"/>
        <w:rPr>
          <w:rFonts w:ascii="Times New Roman" w:hAnsi="Times New Roman"/>
          <w:bCs/>
          <w:szCs w:val="24"/>
        </w:rPr>
      </w:pPr>
      <w:r>
        <w:rPr>
          <w:rFonts w:ascii="Times New Roman" w:hAnsi="Times New Roman"/>
        </w:rPr>
        <w:t>à clarifier la mise en œuvre de l’approche «un ajout, un retrait» dans l’élaboration de la législation, à mieux indiquer les coûts et les avantages qui ont été envisagés et à fournir des informations claires sur la réduction des charges réglementaires existantes;</w:t>
      </w:r>
    </w:p>
    <w:p w14:paraId="600EAF77" w14:textId="6EEBB0E2"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rPr>
        <w:t>à mettre au point un «contrôle des pratiques» pour la législation afin de recenser les meilleures pratiques et les obstacles dans la mise en œuvre de la législation;</w:t>
      </w:r>
    </w:p>
    <w:p w14:paraId="62EDB93F" w14:textId="2DFC4CDE" w:rsidR="00C61064" w:rsidRDefault="00C61064" w:rsidP="00EA12E5">
      <w:pPr>
        <w:widowControl w:val="0"/>
        <w:numPr>
          <w:ilvl w:val="0"/>
          <w:numId w:val="36"/>
        </w:numPr>
        <w:spacing w:after="80"/>
        <w:rPr>
          <w:rFonts w:ascii="Times New Roman" w:hAnsi="Times New Roman"/>
          <w:bCs/>
          <w:szCs w:val="24"/>
        </w:rPr>
      </w:pPr>
      <w:r>
        <w:rPr>
          <w:rFonts w:ascii="Times New Roman" w:hAnsi="Times New Roman"/>
        </w:rPr>
        <w:t xml:space="preserve">à présenter une proposition sur un droit européen de la procédure administrative, qui codifie les règles de bonne administration au niveau de l’UE. </w:t>
      </w:r>
    </w:p>
    <w:p w14:paraId="780B6643" w14:textId="4FFD7D9A" w:rsidR="00963420" w:rsidRPr="00EA12E5" w:rsidRDefault="00963420" w:rsidP="0084310E">
      <w:pPr>
        <w:widowControl w:val="0"/>
        <w:numPr>
          <w:ilvl w:val="0"/>
          <w:numId w:val="34"/>
        </w:numPr>
        <w:ind w:left="567" w:hanging="567"/>
        <w:rPr>
          <w:rFonts w:ascii="Times New Roman" w:hAnsi="Times New Roman"/>
          <w:b/>
          <w:szCs w:val="24"/>
        </w:rPr>
      </w:pPr>
      <w:r>
        <w:rPr>
          <w:rFonts w:ascii="Times New Roman" w:hAnsi="Times New Roman"/>
          <w:b/>
        </w:rPr>
        <w:t xml:space="preserve">Réponse à ces demandes et aperçu des mesures que la Commission a prises ou envisage de prendre: </w:t>
      </w:r>
    </w:p>
    <w:p w14:paraId="4A805352" w14:textId="431DBE29" w:rsidR="00EA12E5" w:rsidRPr="004618FE" w:rsidRDefault="00603D51" w:rsidP="004618FE">
      <w:pPr>
        <w:widowControl w:val="0"/>
        <w:spacing w:after="120"/>
        <w:rPr>
          <w:rFonts w:ascii="Times New Roman" w:hAnsi="Times New Roman"/>
          <w:b/>
          <w:i/>
          <w:iCs/>
          <w:szCs w:val="24"/>
        </w:rPr>
      </w:pPr>
      <w:r>
        <w:rPr>
          <w:rFonts w:ascii="Times New Roman" w:hAnsi="Times New Roman"/>
          <w:b/>
          <w:i/>
        </w:rPr>
        <w:t>Sur la subsidiarité</w:t>
      </w:r>
    </w:p>
    <w:p w14:paraId="20D48954" w14:textId="1171DAE8" w:rsidR="0031185A" w:rsidRPr="004618FE" w:rsidRDefault="001E04E0" w:rsidP="004618FE">
      <w:pPr>
        <w:widowControl w:val="0"/>
        <w:spacing w:after="120"/>
        <w:rPr>
          <w:rFonts w:ascii="Times New Roman" w:hAnsi="Times New Roman"/>
          <w:bCs/>
          <w:szCs w:val="24"/>
        </w:rPr>
      </w:pPr>
      <w:r>
        <w:rPr>
          <w:rFonts w:ascii="Times New Roman" w:hAnsi="Times New Roman"/>
        </w:rPr>
        <w:t>En ce qui concerne le paragraphe 2 (étudier la possibilité d’étendre la période non comptabilisée en matière de contrôle de la subsidiarité par les parlements nationaux), le délai de huit semaines dont disposent les parlements nationaux pour exprimer leurs préoccupations en matière de subsidiarité a été établi par les protocoles annexés au traité sur le fonctionnement de l’Union européenne. La Commission suit une approche pragmatique: elle exclut non seulement la pause hivernale, fait reconnu et salué par le Parlement européen, mais aussi la pause estivale. Compte tenu des calendriers très différents des parlements nationaux et de la planification très diverse de leurs activités, le travail parlementaire ne s’interrompt simultanément dans tous les parlements à aucune autre période de l’année qu’en août et au changement d’année. Par conséquent, la Commission n’envisage pas à l’heure actuelle de proposer au Parlement européen et au Conseil d’exempter du calcul du délai de huit semaines d’autres périodes que celles d’été et d’hiver qui font actuellement l’objet d’une exclusion.</w:t>
      </w:r>
    </w:p>
    <w:p w14:paraId="30E90C24" w14:textId="27A3AD25" w:rsidR="00BA3825" w:rsidRPr="004618FE" w:rsidRDefault="001E04E0" w:rsidP="004618FE">
      <w:pPr>
        <w:widowControl w:val="0"/>
        <w:spacing w:after="120"/>
        <w:rPr>
          <w:rFonts w:ascii="Times New Roman" w:hAnsi="Times New Roman"/>
          <w:bCs/>
          <w:szCs w:val="24"/>
        </w:rPr>
      </w:pPr>
      <w:r>
        <w:rPr>
          <w:rFonts w:ascii="Times New Roman" w:hAnsi="Times New Roman"/>
        </w:rPr>
        <w:t>En ce qui concerne le paragraphe 7 (tenir davantage compte des avis exprimés par le Comité des régions par l’intermédiaire du réseau de monitorage de la subsidiarité), la Commission et le Comité des régions sont en train de réviser leur protocole de coopération. Le renforcement de l’utilité de la contribution et des avis du Comité, y compris en ce qui concerne les aspects liés à la subsidiarité, est, pour la Commission, l’un des principaux objectifs pour lesquels une coopération plus étroite est envisagée.</w:t>
      </w:r>
    </w:p>
    <w:p w14:paraId="25DDF4EE" w14:textId="4368E6D3" w:rsidR="001E04E0" w:rsidRPr="004618FE" w:rsidRDefault="001E0320" w:rsidP="004618FE">
      <w:pPr>
        <w:widowControl w:val="0"/>
        <w:spacing w:after="120"/>
        <w:rPr>
          <w:rFonts w:ascii="Times New Roman" w:hAnsi="Times New Roman"/>
          <w:bCs/>
          <w:szCs w:val="24"/>
        </w:rPr>
      </w:pPr>
      <w:r>
        <w:rPr>
          <w:rFonts w:ascii="Times New Roman" w:hAnsi="Times New Roman"/>
        </w:rPr>
        <w:t xml:space="preserve">En outre, il convient de noter que la Commission a mis en place un groupe d’experts de haut niveau, la </w:t>
      </w:r>
      <w:hyperlink r:id="rId8" w:history="1">
        <w:r>
          <w:rPr>
            <w:rStyle w:val="Hyperlink"/>
            <w:rFonts w:ascii="Times New Roman" w:hAnsi="Times New Roman"/>
          </w:rPr>
          <w:t>plateforme «Prêts pour l’avenir» (Fit for Future)</w:t>
        </w:r>
      </w:hyperlink>
      <w:r>
        <w:rPr>
          <w:rFonts w:ascii="Times New Roman" w:hAnsi="Times New Roman"/>
        </w:rPr>
        <w:t xml:space="preserve">, qui rassemble des représentants des autorités nationales, régionales et locales et des parties prenantes. La plateforme adresse à la Commission des avis assortis de recommandations concernant la manière de simplifier et de réduire les charges potentielles liées à la législation de l’UE, ainsi que la façon de moderniser cette dernière, y compris par la numérisation. La plateforme confère un rôle de premier plan au Comité des régions, dans la mesure où trois de ses représentants sont membres de la plateforme et où son </w:t>
      </w:r>
      <w:hyperlink r:id="rId9" w:history="1">
        <w:r>
          <w:rPr>
            <w:rStyle w:val="Hyperlink"/>
            <w:rFonts w:ascii="Times New Roman" w:hAnsi="Times New Roman"/>
          </w:rPr>
          <w:t>réseau de pôles régionaux (RegHub)</w:t>
        </w:r>
      </w:hyperlink>
      <w:r>
        <w:rPr>
          <w:rFonts w:ascii="Times New Roman" w:hAnsi="Times New Roman"/>
        </w:rPr>
        <w:t xml:space="preserve"> assiste aux réunions de la plateforme et lui apporte un appui en contribuant aux avis. Cela permet à la </w:t>
      </w:r>
      <w:r>
        <w:rPr>
          <w:rFonts w:ascii="Times New Roman" w:hAnsi="Times New Roman"/>
        </w:rPr>
        <w:lastRenderedPageBreak/>
        <w:t>Commission de dialoguer avec ceux qui ont de l’expérience sur le terrain en ce qui concerne les politiques de l’UE et leurs incidences.</w:t>
      </w:r>
    </w:p>
    <w:p w14:paraId="77E2233F" w14:textId="7DC7AD60" w:rsidR="00EA12E5" w:rsidRPr="004618FE" w:rsidRDefault="00603D51" w:rsidP="004618FE">
      <w:pPr>
        <w:widowControl w:val="0"/>
        <w:spacing w:after="120"/>
        <w:rPr>
          <w:rFonts w:ascii="Times New Roman" w:hAnsi="Times New Roman"/>
          <w:b/>
          <w:i/>
          <w:iCs/>
          <w:szCs w:val="24"/>
        </w:rPr>
      </w:pPr>
      <w:r>
        <w:rPr>
          <w:rFonts w:ascii="Times New Roman" w:hAnsi="Times New Roman"/>
          <w:b/>
          <w:i/>
        </w:rPr>
        <w:t>Sur la promotion de l’inclusion des parlements nationaux</w:t>
      </w:r>
    </w:p>
    <w:p w14:paraId="15C3FDFB" w14:textId="2C314AEF" w:rsidR="002E5417" w:rsidRPr="004618FE" w:rsidRDefault="002240AF" w:rsidP="004618FE">
      <w:pPr>
        <w:widowControl w:val="0"/>
        <w:spacing w:after="120"/>
        <w:rPr>
          <w:rFonts w:ascii="Times New Roman" w:hAnsi="Times New Roman"/>
          <w:bCs/>
          <w:szCs w:val="24"/>
        </w:rPr>
      </w:pPr>
      <w:r>
        <w:rPr>
          <w:rFonts w:ascii="Times New Roman" w:hAnsi="Times New Roman"/>
        </w:rPr>
        <w:t xml:space="preserve">En ce qui concerne le paragraphe 9 (étudier la possibilité d’associer les parlements nationaux à la procédure législative à un stade plus précoce, plus précisément lorsque les consultations ont lieu), la Commission a mis en place un </w:t>
      </w:r>
      <w:hyperlink r:id="rId10" w:history="1">
        <w:r>
          <w:rPr>
            <w:rStyle w:val="Hyperlink"/>
            <w:rFonts w:ascii="Times New Roman" w:hAnsi="Times New Roman"/>
          </w:rPr>
          <w:t>vaste processus de consultation</w:t>
        </w:r>
      </w:hyperlink>
      <w:r>
        <w:rPr>
          <w:rFonts w:ascii="Times New Roman" w:hAnsi="Times New Roman"/>
        </w:rPr>
        <w:t xml:space="preserve"> pour préparer ses initiatives avant et après l’adoption des propositions par la Commission. Pour les premières étapes, les possibilités de consultation permettent à toutes les parties prenantes, y compris les parlements nationaux, ou aux citoyens, aux organisations et aux institutions d’apporter leur contribution, qui trouve ensuite son expression dans l’analyse d’impact. Les contributions des parlements nationaux sont spécifiquement identifiées et prises en compte dans le processus d’analyse d’impact.</w:t>
      </w:r>
    </w:p>
    <w:p w14:paraId="59B463A8" w14:textId="313A4229" w:rsidR="00BA3825" w:rsidRPr="004618FE" w:rsidRDefault="002240AF" w:rsidP="004618FE">
      <w:pPr>
        <w:widowControl w:val="0"/>
        <w:spacing w:after="120"/>
        <w:rPr>
          <w:rFonts w:ascii="Times New Roman" w:hAnsi="Times New Roman"/>
          <w:bCs/>
          <w:szCs w:val="24"/>
        </w:rPr>
      </w:pPr>
      <w:r>
        <w:rPr>
          <w:rFonts w:ascii="Times New Roman" w:hAnsi="Times New Roman"/>
        </w:rPr>
        <w:t>En ce qui concerne le paragraphe 11 (fournir une réponse détaillée à chaque avis motivé), chaque avis motivé concernant une proposition présentée par la Commission fait, en principe, l’objet d’une réponse individuelle de cette dernière. Si des parlements nationaux représentant sept voix ou plus émettent des avis motivés sur la même proposition législative (sans que le seuil de déclenchement de la procédure du «carton jaune» soit atteint), la Commission ne produira pas une réponse individuelle mais une réponse globale. Dans cette réponse globale, la Commission exposera de manière exhaustive, détaillée et conjointe les préoccupations et les positions des parlements nationaux exprimées dans tous les avis motivés ainsi que dans les avis émis dans le cadre du dialogue politique entre les parlements nationaux et la Commission sur la même proposition et y répondra point par point. En tant que telles, des réponses individuelles supplémentaires aux avis n’auront aucune valeur ajoutée. Pourtant, chaque avis motivé fait l’objet d’une réponse.</w:t>
      </w:r>
    </w:p>
    <w:p w14:paraId="4AA10136" w14:textId="66E27D46" w:rsidR="00EA12E5" w:rsidRPr="004618FE" w:rsidRDefault="00603D51" w:rsidP="004618FE">
      <w:pPr>
        <w:widowControl w:val="0"/>
        <w:spacing w:after="120"/>
        <w:rPr>
          <w:rFonts w:ascii="Times New Roman" w:hAnsi="Times New Roman"/>
          <w:b/>
          <w:i/>
          <w:iCs/>
          <w:szCs w:val="24"/>
        </w:rPr>
      </w:pPr>
      <w:r>
        <w:rPr>
          <w:rFonts w:ascii="Times New Roman" w:hAnsi="Times New Roman"/>
          <w:b/>
          <w:i/>
        </w:rPr>
        <w:t>Sur l’amélioration de la réglementation affûtée et l’élaboration d’une législation de l’Union pour un marché unique efficace</w:t>
      </w:r>
    </w:p>
    <w:p w14:paraId="7900F36F" w14:textId="72E30FDA" w:rsidR="00150FC2" w:rsidRPr="004618FE" w:rsidRDefault="00BD085C" w:rsidP="004618FE">
      <w:pPr>
        <w:widowControl w:val="0"/>
        <w:spacing w:after="120"/>
        <w:rPr>
          <w:rFonts w:ascii="Times New Roman" w:hAnsi="Times New Roman"/>
          <w:bCs/>
          <w:szCs w:val="24"/>
        </w:rPr>
      </w:pPr>
      <w:r>
        <w:rPr>
          <w:rFonts w:ascii="Times New Roman" w:hAnsi="Times New Roman"/>
        </w:rPr>
        <w:t>En ce qui concerne le paragraphe 16 (procéder à des évaluations de l’impact selon le genre) et le paragraphe 17 (élaborer une approche plus intégrée sur la durabilité, mieux évaluer les incidences sociales et environnementales et améliorer la qualité et la visibilité des analyses liées au pacte vert et aux ODD), la Commission est attachée à l’élaboration de politiques fondées sur des données probantes et s’efforce d’accorder une grande attention à ces aspects. L’Organisation de coopération et de développement économiques (OCDE) considère le système d’amélioration de la réglementation de la Commission comme l’un des meilleurs. Conformément aux exigences en matière d’amélioration de la réglementation, la Commission analyse qualitativement les incidences sociales, environnementales et économiques importantes et les quantifie dans toute la mesure du possible. Cela est consigné de manière transparente dans les analyses d’impact et les évaluations. L’analyse sert de fondement à la Commission pour présenter des propositions équilibrées, avec des avantages pour les utilisateurs finaux qui l’emportent sur les coûts de la législation. La Commission examine attentivement les incidences en termes de durabilité. Les analyses d’impact abordent systématiquement la contribution potentielle des mesures envisagées aux objectifs de développement durable (</w:t>
      </w:r>
      <w:hyperlink r:id="rId11" w:history="1">
        <w:r>
          <w:rPr>
            <w:rStyle w:val="Hyperlink"/>
            <w:rFonts w:ascii="Times New Roman" w:hAnsi="Times New Roman"/>
          </w:rPr>
          <w:t>voir l’outil 19 de la boîte à outils pour une meilleure réglementation</w:t>
        </w:r>
      </w:hyperlink>
      <w:r>
        <w:rPr>
          <w:rFonts w:ascii="Times New Roman" w:hAnsi="Times New Roman"/>
        </w:rPr>
        <w:t>). La Commission a également introduit un principe consistant à «ne pas causer de préjudice important» ainsi qu’une vérification de la cohérence climatique afin de faire en sorte que toutes les propositions soient conformes aux objectifs de la double transition (</w:t>
      </w:r>
      <w:hyperlink r:id="rId12" w:history="1">
        <w:r>
          <w:rPr>
            <w:rStyle w:val="Hyperlink"/>
            <w:rFonts w:ascii="Times New Roman" w:hAnsi="Times New Roman"/>
          </w:rPr>
          <w:t>voir les outils 14 et 36 de la boîte à outils pour une meilleure réglementation</w:t>
        </w:r>
      </w:hyperlink>
      <w:r>
        <w:rPr>
          <w:rFonts w:ascii="Times New Roman" w:hAnsi="Times New Roman"/>
        </w:rPr>
        <w:t xml:space="preserve">). </w:t>
      </w:r>
    </w:p>
    <w:p w14:paraId="160543FD" w14:textId="610548D3" w:rsidR="00AC2E2A" w:rsidRPr="004618FE" w:rsidRDefault="00AC2E2A" w:rsidP="004618FE">
      <w:pPr>
        <w:widowControl w:val="0"/>
        <w:spacing w:after="120"/>
        <w:rPr>
          <w:rFonts w:ascii="Times New Roman" w:hAnsi="Times New Roman"/>
          <w:bCs/>
          <w:szCs w:val="24"/>
        </w:rPr>
      </w:pPr>
      <w:r>
        <w:rPr>
          <w:rFonts w:ascii="Times New Roman" w:hAnsi="Times New Roman"/>
        </w:rPr>
        <w:t>Dans sa communication sur l’amélioration de la réglementation de 2021 [</w:t>
      </w:r>
      <w:hyperlink r:id="rId13" w:history="1">
        <w:r>
          <w:rPr>
            <w:rStyle w:val="Hyperlink"/>
            <w:rFonts w:ascii="Times New Roman" w:hAnsi="Times New Roman"/>
          </w:rPr>
          <w:t>COM(2021)219</w:t>
        </w:r>
      </w:hyperlink>
      <w:r>
        <w:rPr>
          <w:rFonts w:ascii="Times New Roman" w:hAnsi="Times New Roman"/>
        </w:rPr>
        <w:t xml:space="preserve">], la Commission s’est engagée à prendre systématiquement en considération la dimension de l’égalité entre les femmes et les hommes ainsi que l’égalité pour tous. Les analyses d’impact examinent cette dimension lorsqu’il y a lieu et de manière proportionnée. Afin d’orienter cette évaluation, la Commission a précisé, dans sa boîte à outils pour une meilleure </w:t>
      </w:r>
      <w:r>
        <w:rPr>
          <w:rFonts w:ascii="Times New Roman" w:hAnsi="Times New Roman"/>
        </w:rPr>
        <w:lastRenderedPageBreak/>
        <w:t>réglementation, comment l’égalité devrait être prise en compte tout au long de l’analyse (</w:t>
      </w:r>
      <w:hyperlink r:id="rId14" w:history="1">
        <w:r>
          <w:rPr>
            <w:rStyle w:val="Hyperlink"/>
            <w:rFonts w:ascii="Times New Roman" w:hAnsi="Times New Roman"/>
          </w:rPr>
          <w:t>voir l’outil 29 de la boîte à outils pour une meilleure réglementation</w:t>
        </w:r>
      </w:hyperlink>
      <w:r>
        <w:rPr>
          <w:rFonts w:ascii="Times New Roman" w:hAnsi="Times New Roman"/>
        </w:rPr>
        <w:t xml:space="preserve">) et fournit une liste de contrôle pour promouvoir l’égalité. </w:t>
      </w:r>
    </w:p>
    <w:p w14:paraId="56CFCE92" w14:textId="7A1477AE" w:rsidR="00672A12" w:rsidRPr="004618FE" w:rsidRDefault="008A6C2E" w:rsidP="004618FE">
      <w:pPr>
        <w:widowControl w:val="0"/>
        <w:spacing w:after="120"/>
        <w:rPr>
          <w:rFonts w:ascii="Times New Roman" w:hAnsi="Times New Roman"/>
          <w:bCs/>
          <w:szCs w:val="24"/>
        </w:rPr>
      </w:pPr>
      <w:r>
        <w:rPr>
          <w:rFonts w:ascii="Times New Roman" w:hAnsi="Times New Roman"/>
        </w:rPr>
        <w:t>En ce qui concerne le paragraphe 20 (rendre le test PME contraignant et l’actualiser tout au long du processus législatif), la Commission accorde une attention particulière aux incidences que les mesures qu’elle propose ont sur les entreprises, y compris les PME. Le test PME (</w:t>
      </w:r>
      <w:hyperlink r:id="rId15" w:history="1">
        <w:r>
          <w:rPr>
            <w:rStyle w:val="Hyperlink"/>
            <w:rFonts w:ascii="Times New Roman" w:hAnsi="Times New Roman"/>
          </w:rPr>
          <w:t>voir l’outil 23 de la boîte à outils pour une meilleure réglementation</w:t>
        </w:r>
      </w:hyperlink>
      <w:r>
        <w:rPr>
          <w:rFonts w:ascii="Times New Roman" w:hAnsi="Times New Roman"/>
        </w:rPr>
        <w:t xml:space="preserve">) doit désormais être réalisé et consigné de manière plus systématique dans tous les rapports d’analyse d’impact, lorsque cela est proportionné à la pertinence d’une initiative pour les PME. Le </w:t>
      </w:r>
      <w:hyperlink r:id="rId16" w:history="1">
        <w:r>
          <w:rPr>
            <w:rStyle w:val="Hyperlink"/>
            <w:rFonts w:ascii="Times New Roman" w:hAnsi="Times New Roman"/>
          </w:rPr>
          <w:t>filtre PME</w:t>
        </w:r>
      </w:hyperlink>
      <w:r>
        <w:rPr>
          <w:rFonts w:ascii="Times New Roman" w:hAnsi="Times New Roman"/>
        </w:rPr>
        <w:t xml:space="preserve">, un outil utilisé aux premiers stades de l’élaboration des politiques, recense les initiatives pertinentes pour les PME, ce qui constitue un élément essentiel du test. L’accent mis sur les PME a encore été renforcé par l’introduction, </w:t>
      </w:r>
      <w:r>
        <w:rPr>
          <w:rStyle w:val="Hyperlink"/>
          <w:rFonts w:ascii="Times New Roman" w:hAnsi="Times New Roman"/>
        </w:rPr>
        <w:t>en mars 2023</w:t>
      </w:r>
      <w:r>
        <w:rPr>
          <w:rFonts w:ascii="Times New Roman" w:hAnsi="Times New Roman"/>
        </w:rPr>
        <w:t xml:space="preserve">, du nouveau </w:t>
      </w:r>
      <w:hyperlink r:id="rId17" w:history="1">
        <w:r>
          <w:rPr>
            <w:rStyle w:val="Hyperlink"/>
            <w:rFonts w:ascii="Times New Roman" w:hAnsi="Times New Roman"/>
          </w:rPr>
          <w:t>contrôle de compétitivité</w:t>
        </w:r>
      </w:hyperlink>
      <w:r>
        <w:rPr>
          <w:rFonts w:ascii="Times New Roman" w:hAnsi="Times New Roman"/>
        </w:rPr>
        <w:t xml:space="preserve"> obligatoire, qui rend compte de manière intégrée dans toutes les analyses d’impact des incidences sur la compétitivité des entreprises, y compris celle des PME.</w:t>
      </w:r>
    </w:p>
    <w:p w14:paraId="3BDBDA17" w14:textId="016F89B4" w:rsidR="00C603E4" w:rsidRPr="004618FE" w:rsidRDefault="00F72290" w:rsidP="004618FE">
      <w:pPr>
        <w:widowControl w:val="0"/>
        <w:spacing w:after="120"/>
        <w:rPr>
          <w:rFonts w:ascii="Times New Roman" w:hAnsi="Times New Roman"/>
          <w:bCs/>
          <w:szCs w:val="24"/>
        </w:rPr>
      </w:pPr>
      <w:r>
        <w:rPr>
          <w:rFonts w:ascii="Times New Roman" w:hAnsi="Times New Roman"/>
        </w:rPr>
        <w:t>En ce qui concerne le paragraphe 22 (clarifier la mise en œuvre de l’approche «un ajout, un retrait» dans l’élaboration de la législation, mieux indiquer les coûts et les avantages qui ont été envisagés et fournir des informations claires sur la réduction des charges réglementaires existantes), la Commission a présenté son examen annuel de la charge 2022 en septembre 2023 [</w:t>
      </w:r>
      <w:hyperlink r:id="rId18" w:history="1">
        <w:r>
          <w:rPr>
            <w:rStyle w:val="Hyperlink"/>
            <w:rFonts w:ascii="Times New Roman" w:hAnsi="Times New Roman"/>
          </w:rPr>
          <w:t>SWD(2023)310</w:t>
        </w:r>
      </w:hyperlink>
      <w:r>
        <w:rPr>
          <w:rFonts w:ascii="Times New Roman" w:hAnsi="Times New Roman"/>
        </w:rPr>
        <w:t>]. Celui-ci rend compte de la première année de mise en œuvre complète de l’approche «un ajout, un retrait», à la suite du projet pilote réalisé en 2021. Elle y précise que l’approche couvre tous les coûts de mise en conformité et explique que les coûts d’ajustement (qui sont normalement liés aux investissements) sont analysés, présentés de manière transparente dans les analyses d’impact et compensés dans la mesure du possible par d’autres mesures, par exemple au moyen de fonds de l’UE, mais non neutralisés. Toutefois, tous les nouveaux coûts administratifs sont neutralisés par une réduction d’autres coûts administratifs, idéalement dans le même domaine d’action. En 2022, l’approche a permis de réaliser 7,3 milliards d’euros d’économies nettes, comme le montre l’examen annuel de la charge 2022. Les rapports d’analyse d’impact comportent une annexe spécifique sur les coûts et les avantages, qui fournit une vue d’ensemble des informations pertinentes. Afin d’améliorer la compréhension de l’approche, la Commission a également révisé le modèle d’analyse d’impact afin de faciliter une présentation claire des coûts et des avantages et de permettre d’identifier encore plus facilement les coûts qui sont inclus dans l’approche et neutralisés.</w:t>
      </w:r>
    </w:p>
    <w:p w14:paraId="50B5FFCA" w14:textId="7E404BA3" w:rsidR="00604BEF" w:rsidRPr="004618FE" w:rsidRDefault="00344A45" w:rsidP="004618FE">
      <w:pPr>
        <w:widowControl w:val="0"/>
        <w:spacing w:after="120"/>
        <w:rPr>
          <w:rFonts w:ascii="Times New Roman" w:hAnsi="Times New Roman"/>
          <w:bCs/>
          <w:szCs w:val="24"/>
        </w:rPr>
      </w:pPr>
      <w:r>
        <w:rPr>
          <w:rFonts w:ascii="Times New Roman" w:hAnsi="Times New Roman"/>
        </w:rPr>
        <w:t xml:space="preserve">En outre, la Commission </w:t>
      </w:r>
      <w:hyperlink r:id="rId19" w:history="1">
        <w:r>
          <w:rPr>
            <w:rStyle w:val="Hyperlink"/>
            <w:rFonts w:ascii="Times New Roman" w:hAnsi="Times New Roman"/>
          </w:rPr>
          <w:t>s’est engagée</w:t>
        </w:r>
      </w:hyperlink>
      <w:r>
        <w:rPr>
          <w:rFonts w:ascii="Times New Roman" w:hAnsi="Times New Roman"/>
        </w:rPr>
        <w:t xml:space="preserve"> à rationaliser les obligations d’information et à réduire de 25 % la charge liée à ces obligations. Les obligations d’information sont nécessaires pour garantir le suivi et le contrôle de l’application de la législation, mais elles entraînent des coûts. La Commission a donc fixé l’objectif stratégique de rationaliser et de simplifier ces exigences (y compris par la numérisation). Il s’agit là d’un objectif ambitieux, qui démontre également l’importance politique accordée à la mise en place d’un cadre réglementaire propice à la croissance. Des propositions visant à rationaliser les obligations d’information ont déjà été présentées en 2023, avec des travaux de suivi signalés et annoncés dans le </w:t>
      </w:r>
      <w:hyperlink r:id="rId20" w:history="1">
        <w:r>
          <w:rPr>
            <w:rStyle w:val="Hyperlink"/>
            <w:rFonts w:ascii="Times New Roman" w:hAnsi="Times New Roman"/>
          </w:rPr>
          <w:t>programme de travail de la Commission pour 2024</w:t>
        </w:r>
      </w:hyperlink>
      <w:r>
        <w:rPr>
          <w:rFonts w:ascii="Times New Roman" w:hAnsi="Times New Roman"/>
        </w:rPr>
        <w:t>.</w:t>
      </w:r>
    </w:p>
    <w:p w14:paraId="1DC0B9E7" w14:textId="513EDF55" w:rsidR="00C603E4" w:rsidRPr="004618FE" w:rsidRDefault="00344A45" w:rsidP="004618FE">
      <w:pPr>
        <w:pStyle w:val="Briefinglist1"/>
        <w:widowControl w:val="0"/>
        <w:spacing w:after="120"/>
        <w:jc w:val="both"/>
        <w:rPr>
          <w:rStyle w:val="normaltextrun"/>
          <w:color w:val="000000"/>
          <w:shd w:val="clear" w:color="auto" w:fill="FFFFFF"/>
        </w:rPr>
      </w:pPr>
      <w:r>
        <w:t xml:space="preserve">En ce qui concerne le paragraphe 19 (renforcer l’indépendance du comité d’examen de la réglementation, en veillant à garantir une composition équilibrée et une transparence accrue des pratiques, par la publication de tous les avis au moment de leur adoption, par la déclaration des rencontres avec les groupes d’intérêt et par l’utilisation du registre de transparence), la Commission tient à souligner que le comité est totalement indépendant dans ses avis et agit de manière transparente, conformément au mandat qui lui a été confié par le président de la Commission dans la décision instituant le comité. Sa structure, qui comprend des membres externes, est conforme à la recommandation de l’OCDE selon </w:t>
      </w:r>
      <w:r>
        <w:lastRenderedPageBreak/>
        <w:t xml:space="preserve">laquelle les organes de surveillance sont indépendants des décideurs politiques. Le comité publie </w:t>
      </w:r>
      <w:hyperlink r:id="rId21" w:anchor="événements" w:history="1">
        <w:r>
          <w:rPr>
            <w:rStyle w:val="Hyperlink"/>
          </w:rPr>
          <w:t>sur son site web</w:t>
        </w:r>
      </w:hyperlink>
      <w:r>
        <w:t xml:space="preserve"> toutes les rencontres avec les parties prenantes, et pas seulement celles du président. Enfin, les avis sont publiés en même temps que la proposition et l’analyse d’impact telle que révisée pour donner suite aux recommandations du comité. Telle est la raison pour laquelle il ne serait pas judicieux de publier les avis du comité avant l’analyse d’impact révisée. En ce qui concerne l’appel en faveur d’une coopération plus étroite avec les colégislateurs, le comité mène des activités de sensibilisation et de plaidoyer et présente ses rapports annuels aux autres institutions.</w:t>
      </w:r>
    </w:p>
    <w:p w14:paraId="368C0E07" w14:textId="0697AFD3" w:rsidR="00DC0996" w:rsidRPr="004618FE" w:rsidRDefault="00633A35" w:rsidP="004618FE">
      <w:pPr>
        <w:widowControl w:val="0"/>
        <w:spacing w:after="120"/>
        <w:rPr>
          <w:rFonts w:ascii="Times New Roman" w:hAnsi="Times New Roman"/>
          <w:bCs/>
          <w:szCs w:val="24"/>
        </w:rPr>
      </w:pPr>
      <w:r>
        <w:rPr>
          <w:rFonts w:ascii="Times New Roman" w:hAnsi="Times New Roman"/>
        </w:rPr>
        <w:t xml:space="preserve">En ce qui concerne le paragraphe 23 (mettre au point un «contrôle des pratiques» pour la législation afin de recenser les meilleures pratiques et les obstacles dans la mise en œuvre de la législation), la Commission recherche en permanence des moyens de simplifier la vie des citoyens et des entreprises, en particulier des PME. La Commission utilise des évaluations pour déterminer si les politiques et la législation sont toujours adaptées à leur finalité et en mesure d’atteindre leurs objectifs de manière efficace et efficiente. Avant de réviser la législation existante, la Commission procède à une évaluation (selon le principe «évaluer avant d’agir») qui contribue à faire en sorte que toutes les informations nécessaires soient rassemblées avant que des modifications soient proposées. Elle recueille également un retour d’information par l’intermédiaire de groupes d’experts, tels que sa </w:t>
      </w:r>
      <w:hyperlink r:id="rId22" w:anchor=":~:text=The%20Fit%20for%20Future%20Platform,to%20reduce%20related%20unnecessary%20costs." w:history="1">
        <w:r>
          <w:rPr>
            <w:rStyle w:val="Hyperlink"/>
            <w:rFonts w:ascii="Times New Roman" w:hAnsi="Times New Roman"/>
          </w:rPr>
          <w:t>plateforme «Prêts pour l’avenir»</w:t>
        </w:r>
      </w:hyperlink>
      <w:r>
        <w:rPr>
          <w:rFonts w:ascii="Times New Roman" w:hAnsi="Times New Roman"/>
        </w:rPr>
        <w:t xml:space="preserve"> et le </w:t>
      </w:r>
      <w:hyperlink r:id="rId23" w:history="1">
        <w:r>
          <w:rPr>
            <w:rStyle w:val="Hyperlink"/>
            <w:rFonts w:ascii="Times New Roman" w:hAnsi="Times New Roman"/>
          </w:rPr>
          <w:t>portail «Donnez votre avis»</w:t>
        </w:r>
      </w:hyperlink>
      <w:r>
        <w:rPr>
          <w:rFonts w:ascii="Times New Roman" w:hAnsi="Times New Roman"/>
        </w:rPr>
        <w:t>, et examine ce qui se passe concernant les pratiques innovantes expérimentées dans certains États membres, telles que les «contrôles des pratiques». Dans le contexte de ses travaux sur la rationalisation des obligations d’information, la Commission recourt également à l’intelligence artificielle et à de grands modèles linguistiques pour identifier les obligations d’information redondantes, faisant double emploi ou obsolètes, et s’appuie sur le retour d’information recueilli dans le cadre de l’</w:t>
      </w:r>
      <w:hyperlink r:id="rId24" w:history="1">
        <w:r>
          <w:rPr>
            <w:rStyle w:val="Hyperlink"/>
            <w:rFonts w:ascii="Times New Roman" w:hAnsi="Times New Roman"/>
          </w:rPr>
          <w:t>appel à contributions</w:t>
        </w:r>
      </w:hyperlink>
      <w:r>
        <w:rPr>
          <w:rFonts w:ascii="Times New Roman" w:hAnsi="Times New Roman"/>
        </w:rPr>
        <w:t xml:space="preserve"> correspondant, s’efforçant ainsi de réduire les sources d’irritation pour les entreprises et les citoyens.</w:t>
      </w:r>
    </w:p>
    <w:p w14:paraId="532BD257" w14:textId="42759F2A" w:rsidR="001E0320" w:rsidRPr="004618FE" w:rsidRDefault="003F7716" w:rsidP="004618FE">
      <w:pPr>
        <w:widowControl w:val="0"/>
        <w:spacing w:after="120"/>
        <w:rPr>
          <w:rFonts w:ascii="Times New Roman" w:hAnsi="Times New Roman"/>
          <w:bCs/>
          <w:szCs w:val="24"/>
        </w:rPr>
      </w:pPr>
      <w:r>
        <w:rPr>
          <w:rFonts w:ascii="Times New Roman" w:hAnsi="Times New Roman"/>
        </w:rPr>
        <w:t>En ce qui concerne la mise en œuvre du droit de l’Union, la Commission continue d’intensifier ses efforts pour empêcher, en premier lieu, la survenance de violations, par exemple en apportant un soutien précoce aux États membres en la matière, au moyen d’orientations pratiques, de réunions, de formations et d’une assistance technique. Elle apporte un appui technique et financier aux États membres dans leurs efforts de mise en œuvre et leur expertise sous-tendant les réformes structurelles, et leur offre des programmes de formation spécialisés. Cela contribue à réduire le risque de violations et/ou de pratiques susceptibles d’entraver la bonne mise en œuvre du droit de l’Union et d’empêcher les citoyens et les entreprises de bénéficier des avantages qu’il procure.</w:t>
      </w:r>
    </w:p>
    <w:p w14:paraId="647A7B0D" w14:textId="43A18792" w:rsidR="001E0320" w:rsidRPr="004618FE" w:rsidRDefault="001E0320" w:rsidP="004618FE">
      <w:pPr>
        <w:widowControl w:val="0"/>
        <w:spacing w:after="120"/>
        <w:rPr>
          <w:rFonts w:ascii="Times New Roman" w:hAnsi="Times New Roman"/>
          <w:bCs/>
          <w:szCs w:val="24"/>
        </w:rPr>
      </w:pPr>
      <w:r>
        <w:rPr>
          <w:rFonts w:ascii="Times New Roman" w:hAnsi="Times New Roman"/>
        </w:rPr>
        <w:t xml:space="preserve">Un bon exemple de partenariat entre la Commission et les États membres est la coopération entre la </w:t>
      </w:r>
      <w:hyperlink r:id="rId25" w:history="1">
        <w:r>
          <w:rPr>
            <w:rStyle w:val="Hyperlink"/>
            <w:rFonts w:ascii="Times New Roman" w:hAnsi="Times New Roman"/>
          </w:rPr>
          <w:t>task-force sur le respect de l’application des règles du marché unique</w:t>
        </w:r>
      </w:hyperlink>
      <w:r>
        <w:rPr>
          <w:rFonts w:ascii="Times New Roman" w:hAnsi="Times New Roman"/>
        </w:rPr>
        <w:t xml:space="preserve"> (SMET) et le réseau </w:t>
      </w:r>
      <w:hyperlink r:id="rId26" w:history="1">
        <w:r>
          <w:rPr>
            <w:rStyle w:val="Hyperlink"/>
            <w:rFonts w:ascii="Times New Roman" w:hAnsi="Times New Roman"/>
          </w:rPr>
          <w:t>SOLVIT</w:t>
        </w:r>
      </w:hyperlink>
      <w:r>
        <w:rPr>
          <w:rFonts w:ascii="Times New Roman" w:hAnsi="Times New Roman"/>
        </w:rPr>
        <w:t>. Tous deux poursuivent l’objectif commun de faciliter le bon fonctionnement du marché unique en supprimant les obstacles et en aidant les citoyens et les entreprises à résoudre les problèmes qu’ils rencontrent lorsqu’ils se déplacent ou exercent des activités transfrontières.</w:t>
      </w:r>
    </w:p>
    <w:p w14:paraId="217CD174" w14:textId="54F7E1D4" w:rsidR="00A12DEC" w:rsidRPr="004618FE" w:rsidRDefault="00CA7FB9" w:rsidP="004618FE">
      <w:pPr>
        <w:widowControl w:val="0"/>
        <w:spacing w:after="120"/>
        <w:rPr>
          <w:rFonts w:ascii="Times New Roman" w:hAnsi="Times New Roman"/>
          <w:bCs/>
          <w:szCs w:val="24"/>
        </w:rPr>
      </w:pPr>
      <w:r>
        <w:rPr>
          <w:rFonts w:ascii="Times New Roman" w:hAnsi="Times New Roman"/>
        </w:rPr>
        <w:t xml:space="preserve">En ce qui concerne le paragraphe 21 (élaborer une méthodologie pour les incidences cumulées et étendre le contrôle de compétitivité aux paquets législatifs et au programme de travail de la Commission dans son ensemble), la Commission n’analyse pas les propositions isolément. Les analyses d’impact examinent les effets attendus par rapport à un scénario de référence qui rend compte des politiques et mesures pertinentes en vigueur et des évolutions prospectives. Pour des raisons de proportionnalité et afin de garantir la profondeur d’analyse nécessaire, les analyses d’impact se concentrent néanmoins sur des éléments probants pour appuyer la prise de décision concernant des propositions spécifiques. </w:t>
      </w:r>
      <w:bookmarkStart w:id="0" w:name="_Hlk155777469"/>
      <w:r>
        <w:rPr>
          <w:rFonts w:ascii="Times New Roman" w:hAnsi="Times New Roman"/>
        </w:rPr>
        <w:t xml:space="preserve">Le nouveau contrôle de la compétitivité, qui est désormais obligatoire pour toutes les analyses d’impact, garantit que les analyses d’impact des propositions législatives intègrent les effets attendus de </w:t>
      </w:r>
      <w:r>
        <w:rPr>
          <w:rFonts w:ascii="Times New Roman" w:hAnsi="Times New Roman"/>
        </w:rPr>
        <w:lastRenderedPageBreak/>
        <w:t xml:space="preserve">chaque proposition sur la compétitivité des prix et des coûts, sur la compétitivité internationale et la capacité d’innovation, ainsi que sur la compétitivité des PME. En complément, la Commission poursuivra ses travaux sur la manière de mieux évaluer les effets cumulés des différentes mesures prises au niveau de l’UE en vue d’élaborer une méthodologie, comme annoncé dans la </w:t>
      </w:r>
      <w:hyperlink r:id="rId27" w:history="1">
        <w:r>
          <w:rPr>
            <w:rStyle w:val="Hyperlink"/>
            <w:rFonts w:ascii="Times New Roman" w:hAnsi="Times New Roman"/>
          </w:rPr>
          <w:t>communication sur la compétitivité à long terme de l’UE</w:t>
        </w:r>
      </w:hyperlink>
      <w:r>
        <w:rPr>
          <w:rFonts w:ascii="Times New Roman" w:hAnsi="Times New Roman"/>
        </w:rPr>
        <w:t>.</w:t>
      </w:r>
    </w:p>
    <w:bookmarkEnd w:id="0"/>
    <w:p w14:paraId="2CB054B4" w14:textId="691995C7" w:rsidR="0031185A" w:rsidRDefault="00E837E5" w:rsidP="004618FE">
      <w:pPr>
        <w:widowControl w:val="0"/>
        <w:spacing w:after="120"/>
        <w:rPr>
          <w:rFonts w:ascii="Times New Roman" w:hAnsi="Times New Roman"/>
          <w:bCs/>
          <w:szCs w:val="24"/>
        </w:rPr>
      </w:pPr>
      <w:r>
        <w:rPr>
          <w:rFonts w:ascii="Times New Roman" w:hAnsi="Times New Roman"/>
        </w:rPr>
        <w:t>En ce qui concerne le paragraphe 25 (présenter une proposition législative sur un droit européen de la procédure administrative), la Commission partage l’avis du Parlement selon lequel les citoyens et les entreprises éprouvent des difficultés à bien comprendre les droits que leur confère le droit de l’Union et est attachée à l’objectif de disposer d’une administration européenne ouverte, efficace et indépendante avec laquelle les citoyens, les entreprises et les parties prenantes peuvent interagir. La Commission est pleinement déterminée à respecter les droits et libertés des citoyens dans toutes ses actions et dans les propositions législatives qu’elle présente. La Commission présentera sa position détaillée sur cette demande dans sa réponse à la résolution sur la transition numérique et le droit administratif (résolution du Parlement européen du 22 novembre 2023 contenant des recommandations à la Commission sur la transition numérique et le droit administratif [2021/2161(INL), texte adopté P9_TA(2023)0426]), qui est attendue pour février.</w:t>
      </w:r>
    </w:p>
    <w:sectPr w:rsidR="0031185A" w:rsidSect="00812321">
      <w:footerReference w:type="even" r:id="rId28"/>
      <w:footerReference w:type="default" r:id="rId29"/>
      <w:footerReference w:type="first" r:id="rId30"/>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C4E9" w14:textId="77777777" w:rsidR="005E29C4" w:rsidRDefault="005E29C4">
      <w:r>
        <w:separator/>
      </w:r>
    </w:p>
  </w:endnote>
  <w:endnote w:type="continuationSeparator" w:id="0">
    <w:p w14:paraId="3BE91929" w14:textId="77777777" w:rsidR="005E29C4" w:rsidRDefault="005E2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MS Gothic"/>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0EEB8" w14:textId="77777777" w:rsidR="005E29C4" w:rsidRDefault="005E29C4">
      <w:r>
        <w:separator/>
      </w:r>
    </w:p>
  </w:footnote>
  <w:footnote w:type="continuationSeparator" w:id="0">
    <w:p w14:paraId="6D524FD5" w14:textId="77777777" w:rsidR="005E29C4" w:rsidRDefault="005E2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1414113"/>
    <w:multiLevelType w:val="hybridMultilevel"/>
    <w:tmpl w:val="8626D72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BED3029"/>
    <w:multiLevelType w:val="hybridMultilevel"/>
    <w:tmpl w:val="A05EB6E4"/>
    <w:lvl w:ilvl="0" w:tplc="3228B35C">
      <w:start w:val="1"/>
      <w:numFmt w:val="bullet"/>
      <w:lvlText w:val="-"/>
      <w:lvlJc w:val="left"/>
      <w:pPr>
        <w:ind w:left="1080" w:hanging="360"/>
      </w:pPr>
      <w:rPr>
        <w:rFonts w:ascii="Courier New" w:hAnsi="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22501"/>
    <w:multiLevelType w:val="hybridMultilevel"/>
    <w:tmpl w:val="8E2E1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10" w15:restartNumberingAfterBreak="0">
    <w:nsid w:val="14996626"/>
    <w:multiLevelType w:val="hybridMultilevel"/>
    <w:tmpl w:val="167E1E8A"/>
    <w:lvl w:ilvl="0" w:tplc="1F961EDC">
      <w:start w:val="1"/>
      <w:numFmt w:val="bullet"/>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2"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DD3BAA"/>
    <w:multiLevelType w:val="hybridMultilevel"/>
    <w:tmpl w:val="568823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6"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9"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96461"/>
    <w:multiLevelType w:val="hybridMultilevel"/>
    <w:tmpl w:val="5DF87C90"/>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5"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5"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8"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9"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11"/>
  </w:num>
  <w:num w:numId="2" w16cid:durableId="148182179">
    <w:abstractNumId w:val="1"/>
  </w:num>
  <w:num w:numId="3" w16cid:durableId="505511010">
    <w:abstractNumId w:val="38"/>
  </w:num>
  <w:num w:numId="4" w16cid:durableId="580018736">
    <w:abstractNumId w:val="18"/>
  </w:num>
  <w:num w:numId="5" w16cid:durableId="221647625">
    <w:abstractNumId w:val="34"/>
  </w:num>
  <w:num w:numId="6" w16cid:durableId="298344620">
    <w:abstractNumId w:val="15"/>
  </w:num>
  <w:num w:numId="7" w16cid:durableId="58093387">
    <w:abstractNumId w:val="9"/>
  </w:num>
  <w:num w:numId="8" w16cid:durableId="1122530581">
    <w:abstractNumId w:val="20"/>
  </w:num>
  <w:num w:numId="9" w16cid:durableId="1479684095">
    <w:abstractNumId w:val="37"/>
  </w:num>
  <w:num w:numId="10" w16cid:durableId="340007303">
    <w:abstractNumId w:val="29"/>
  </w:num>
  <w:num w:numId="11" w16cid:durableId="346519941">
    <w:abstractNumId w:val="31"/>
  </w:num>
  <w:num w:numId="12" w16cid:durableId="691036718">
    <w:abstractNumId w:val="17"/>
  </w:num>
  <w:num w:numId="13" w16cid:durableId="1452093781">
    <w:abstractNumId w:val="21"/>
  </w:num>
  <w:num w:numId="14" w16cid:durableId="906961314">
    <w:abstractNumId w:val="35"/>
  </w:num>
  <w:num w:numId="15" w16cid:durableId="1388455259">
    <w:abstractNumId w:val="19"/>
  </w:num>
  <w:num w:numId="16" w16cid:durableId="1677533267">
    <w:abstractNumId w:val="41"/>
  </w:num>
  <w:num w:numId="17" w16cid:durableId="961619330">
    <w:abstractNumId w:val="36"/>
  </w:num>
  <w:num w:numId="18" w16cid:durableId="1095638383">
    <w:abstractNumId w:val="27"/>
  </w:num>
  <w:num w:numId="19" w16cid:durableId="357776219">
    <w:abstractNumId w:val="28"/>
  </w:num>
  <w:num w:numId="20" w16cid:durableId="1481578588">
    <w:abstractNumId w:val="33"/>
  </w:num>
  <w:num w:numId="21" w16cid:durableId="1812137613">
    <w:abstractNumId w:val="4"/>
  </w:num>
  <w:num w:numId="22" w16cid:durableId="370300677">
    <w:abstractNumId w:val="6"/>
  </w:num>
  <w:num w:numId="23" w16cid:durableId="1948660650">
    <w:abstractNumId w:val="7"/>
  </w:num>
  <w:num w:numId="24" w16cid:durableId="1221136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9"/>
  </w:num>
  <w:num w:numId="26" w16cid:durableId="1203983393">
    <w:abstractNumId w:val="30"/>
  </w:num>
  <w:num w:numId="27" w16cid:durableId="1149204463">
    <w:abstractNumId w:val="22"/>
  </w:num>
  <w:num w:numId="28" w16cid:durableId="614867515">
    <w:abstractNumId w:val="40"/>
  </w:num>
  <w:num w:numId="29" w16cid:durableId="1513490821">
    <w:abstractNumId w:val="3"/>
  </w:num>
  <w:num w:numId="30" w16cid:durableId="1269506392">
    <w:abstractNumId w:val="26"/>
  </w:num>
  <w:num w:numId="31" w16cid:durableId="160509948">
    <w:abstractNumId w:val="25"/>
  </w:num>
  <w:num w:numId="32" w16cid:durableId="146094414">
    <w:abstractNumId w:val="14"/>
  </w:num>
  <w:num w:numId="33" w16cid:durableId="2145806991">
    <w:abstractNumId w:val="16"/>
  </w:num>
  <w:num w:numId="34" w16cid:durableId="1322079617">
    <w:abstractNumId w:val="24"/>
  </w:num>
  <w:num w:numId="35" w16cid:durableId="1661734410">
    <w:abstractNumId w:val="23"/>
  </w:num>
  <w:num w:numId="36" w16cid:durableId="1526749166">
    <w:abstractNumId w:val="5"/>
  </w:num>
  <w:num w:numId="37" w16cid:durableId="364915972">
    <w:abstractNumId w:val="10"/>
  </w:num>
  <w:num w:numId="38" w16cid:durableId="1779330516">
    <w:abstractNumId w:val="13"/>
  </w:num>
  <w:num w:numId="39" w16cid:durableId="2114201048">
    <w:abstractNumId w:val="2"/>
  </w:num>
  <w:num w:numId="40" w16cid:durableId="833034541">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7CC"/>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8FB"/>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DE4"/>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218"/>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2E68"/>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85E"/>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0FC2"/>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A4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91"/>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D773B"/>
    <w:rsid w:val="001E0259"/>
    <w:rsid w:val="001E0320"/>
    <w:rsid w:val="001E035B"/>
    <w:rsid w:val="001E03CE"/>
    <w:rsid w:val="001E04E0"/>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40"/>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AD3"/>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0AF"/>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2C6"/>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4FC"/>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83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417"/>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BF7"/>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AD8"/>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85A"/>
    <w:rsid w:val="00311B7B"/>
    <w:rsid w:val="00311F51"/>
    <w:rsid w:val="003122E8"/>
    <w:rsid w:val="00312635"/>
    <w:rsid w:val="003127AE"/>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A45"/>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1CA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1E2"/>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55D"/>
    <w:rsid w:val="003B0677"/>
    <w:rsid w:val="003B083A"/>
    <w:rsid w:val="003B0A0F"/>
    <w:rsid w:val="003B0B9C"/>
    <w:rsid w:val="003B0D40"/>
    <w:rsid w:val="003B0EC1"/>
    <w:rsid w:val="003B12DD"/>
    <w:rsid w:val="003B16D2"/>
    <w:rsid w:val="003B192B"/>
    <w:rsid w:val="003B1B21"/>
    <w:rsid w:val="003B1C17"/>
    <w:rsid w:val="003B1CB6"/>
    <w:rsid w:val="003B1D0C"/>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343"/>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1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6E1"/>
    <w:rsid w:val="00402B30"/>
    <w:rsid w:val="00402C69"/>
    <w:rsid w:val="0040305F"/>
    <w:rsid w:val="004030CE"/>
    <w:rsid w:val="004034C1"/>
    <w:rsid w:val="004034E5"/>
    <w:rsid w:val="00403504"/>
    <w:rsid w:val="00403633"/>
    <w:rsid w:val="00403812"/>
    <w:rsid w:val="00403959"/>
    <w:rsid w:val="00403B3C"/>
    <w:rsid w:val="00403DE5"/>
    <w:rsid w:val="00403EA5"/>
    <w:rsid w:val="00404053"/>
    <w:rsid w:val="004046CF"/>
    <w:rsid w:val="00404744"/>
    <w:rsid w:val="004047F2"/>
    <w:rsid w:val="0040483C"/>
    <w:rsid w:val="00404BD5"/>
    <w:rsid w:val="00404F0C"/>
    <w:rsid w:val="00404FF8"/>
    <w:rsid w:val="00405095"/>
    <w:rsid w:val="0040521E"/>
    <w:rsid w:val="00405329"/>
    <w:rsid w:val="00405562"/>
    <w:rsid w:val="004055F3"/>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D94"/>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8FE"/>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2F62"/>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A42"/>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60A"/>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2CD"/>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3C"/>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01"/>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3F2C"/>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76E"/>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1F8B"/>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4D66"/>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9C4"/>
    <w:rsid w:val="005E2A6D"/>
    <w:rsid w:val="005E2B22"/>
    <w:rsid w:val="005E2B60"/>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48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3D51"/>
    <w:rsid w:val="006047B1"/>
    <w:rsid w:val="006047D4"/>
    <w:rsid w:val="00604BEF"/>
    <w:rsid w:val="00604C70"/>
    <w:rsid w:val="00604DE8"/>
    <w:rsid w:val="006051F3"/>
    <w:rsid w:val="0060520E"/>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35"/>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A12"/>
    <w:rsid w:val="00672CD3"/>
    <w:rsid w:val="006732E8"/>
    <w:rsid w:val="00673426"/>
    <w:rsid w:val="00673482"/>
    <w:rsid w:val="0067369D"/>
    <w:rsid w:val="006737AC"/>
    <w:rsid w:val="006738FF"/>
    <w:rsid w:val="00673A9C"/>
    <w:rsid w:val="00673D17"/>
    <w:rsid w:val="00673E4F"/>
    <w:rsid w:val="00673F85"/>
    <w:rsid w:val="0067444B"/>
    <w:rsid w:val="00674684"/>
    <w:rsid w:val="006748F9"/>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9D5"/>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7EA"/>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BDB"/>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3C0"/>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A89"/>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4A3"/>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D5A"/>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40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E9"/>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3CB"/>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406"/>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B7C"/>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4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6C2E"/>
    <w:rsid w:val="008A728F"/>
    <w:rsid w:val="008A73C1"/>
    <w:rsid w:val="008A74D2"/>
    <w:rsid w:val="008A76A5"/>
    <w:rsid w:val="008A7D78"/>
    <w:rsid w:val="008B007B"/>
    <w:rsid w:val="008B052D"/>
    <w:rsid w:val="008B0782"/>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91A"/>
    <w:rsid w:val="008F1A55"/>
    <w:rsid w:val="008F1AF6"/>
    <w:rsid w:val="008F1DD9"/>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97FA1"/>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5D8"/>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9F2"/>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701"/>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DEC"/>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8A0"/>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32"/>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3F83"/>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2E2A"/>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277"/>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DD1"/>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632"/>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6AE"/>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31"/>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25"/>
    <w:rsid w:val="00BA3857"/>
    <w:rsid w:val="00BA3A00"/>
    <w:rsid w:val="00BA3CB8"/>
    <w:rsid w:val="00BA3CFD"/>
    <w:rsid w:val="00BA3D55"/>
    <w:rsid w:val="00BA4183"/>
    <w:rsid w:val="00BA449D"/>
    <w:rsid w:val="00BA45D8"/>
    <w:rsid w:val="00BA4F33"/>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4D15"/>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85C"/>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BA3"/>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3E4"/>
    <w:rsid w:val="00C6054F"/>
    <w:rsid w:val="00C60659"/>
    <w:rsid w:val="00C6066C"/>
    <w:rsid w:val="00C606D0"/>
    <w:rsid w:val="00C606E8"/>
    <w:rsid w:val="00C607BD"/>
    <w:rsid w:val="00C607C3"/>
    <w:rsid w:val="00C60C67"/>
    <w:rsid w:val="00C61064"/>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3FE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B8A"/>
    <w:rsid w:val="00CA5CEA"/>
    <w:rsid w:val="00CA5D19"/>
    <w:rsid w:val="00CA633D"/>
    <w:rsid w:val="00CA63D9"/>
    <w:rsid w:val="00CA6759"/>
    <w:rsid w:val="00CA76F9"/>
    <w:rsid w:val="00CA7700"/>
    <w:rsid w:val="00CA7755"/>
    <w:rsid w:val="00CA776B"/>
    <w:rsid w:val="00CA7A40"/>
    <w:rsid w:val="00CA7AA0"/>
    <w:rsid w:val="00CA7BAC"/>
    <w:rsid w:val="00CA7D9A"/>
    <w:rsid w:val="00CA7FB9"/>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722"/>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252"/>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42D"/>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256"/>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2FD"/>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2EB7"/>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996"/>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6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945"/>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7E5"/>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A48"/>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2E5"/>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157"/>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651"/>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1E"/>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290"/>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063"/>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83C"/>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6F4"/>
    <w:rsid w:val="00FE4734"/>
    <w:rsid w:val="00FE486D"/>
    <w:rsid w:val="00FE4A75"/>
    <w:rsid w:val="00FE4DE0"/>
    <w:rsid w:val="00FE4DF5"/>
    <w:rsid w:val="00FE4E3A"/>
    <w:rsid w:val="00FE5281"/>
    <w:rsid w:val="00FE52E1"/>
    <w:rsid w:val="00FE549E"/>
    <w:rsid w:val="00FE5668"/>
    <w:rsid w:val="00FE5A05"/>
    <w:rsid w:val="00FE5B78"/>
    <w:rsid w:val="00FE5CDA"/>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uiPriority w:val="99"/>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link w:val="Briefinglist1Char"/>
    <w:qFormat/>
    <w:rsid w:val="007E4EE6"/>
    <w:pPr>
      <w:spacing w:after="0"/>
      <w:jc w:val="left"/>
    </w:pPr>
    <w:rPr>
      <w:rFonts w:ascii="Times New Roman" w:hAnsi="Times New Roman"/>
      <w:szCs w:val="24"/>
    </w:rPr>
  </w:style>
  <w:style w:type="paragraph" w:customStyle="1" w:styleId="Briefingtext">
    <w:name w:val="Briefing text"/>
    <w:basedOn w:val="Normal"/>
    <w:link w:val="BriefingtextChar"/>
    <w:uiPriority w:val="99"/>
    <w:rsid w:val="00217E48"/>
    <w:rPr>
      <w:rFonts w:ascii="Arial" w:hAnsi="Arial" w:cs="Arial"/>
      <w:sz w:val="22"/>
      <w:szCs w:val="24"/>
      <w:lang w:eastAsia="en-US"/>
    </w:rPr>
  </w:style>
  <w:style w:type="character" w:customStyle="1" w:styleId="BriefingtextChar">
    <w:name w:val="Briefing text Char"/>
    <w:link w:val="Briefingtext"/>
    <w:uiPriority w:val="99"/>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uiPriority w:val="99"/>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lang w:eastAsia="en-GB"/>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eastAsia="en-GB"/>
    </w:rPr>
  </w:style>
  <w:style w:type="character" w:styleId="UnresolvedMention">
    <w:name w:val="Unresolved Mention"/>
    <w:uiPriority w:val="99"/>
    <w:semiHidden/>
    <w:unhideWhenUsed/>
    <w:rsid w:val="008F1DD9"/>
    <w:rPr>
      <w:color w:val="605E5C"/>
      <w:shd w:val="clear" w:color="auto" w:fill="E1DFDD"/>
    </w:rPr>
  </w:style>
  <w:style w:type="paragraph" w:customStyle="1" w:styleId="Briefingheading3">
    <w:name w:val="Briefing heading 3"/>
    <w:basedOn w:val="Briefingtext"/>
    <w:next w:val="Briefingtext"/>
    <w:qFormat/>
    <w:rsid w:val="00BD085C"/>
    <w:pPr>
      <w:keepNext/>
      <w:spacing w:before="120" w:after="120"/>
    </w:pPr>
    <w:rPr>
      <w:rFonts w:cs="Times New Roman"/>
      <w:b/>
      <w:i/>
      <w:szCs w:val="20"/>
    </w:rPr>
  </w:style>
  <w:style w:type="character" w:customStyle="1" w:styleId="Briefinglist1Char">
    <w:name w:val="Briefing list 1 Char"/>
    <w:link w:val="Briefinglist1"/>
    <w:qFormat/>
    <w:rsid w:val="00BD085C"/>
    <w:rPr>
      <w:sz w:val="24"/>
      <w:szCs w:val="24"/>
    </w:rPr>
  </w:style>
  <w:style w:type="character" w:customStyle="1" w:styleId="normaltextrun">
    <w:name w:val="normaltextrun"/>
    <w:basedOn w:val="DefaultParagraphFont"/>
    <w:rsid w:val="00BD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1449">
      <w:bodyDiv w:val="1"/>
      <w:marLeft w:val="0"/>
      <w:marRight w:val="0"/>
      <w:marTop w:val="0"/>
      <w:marBottom w:val="0"/>
      <w:divBdr>
        <w:top w:val="none" w:sz="0" w:space="0" w:color="auto"/>
        <w:left w:val="none" w:sz="0" w:space="0" w:color="auto"/>
        <w:bottom w:val="none" w:sz="0" w:space="0" w:color="auto"/>
        <w:right w:val="none" w:sz="0" w:space="0" w:color="auto"/>
      </w:divBdr>
    </w:div>
    <w:div w:id="344983132">
      <w:bodyDiv w:val="1"/>
      <w:marLeft w:val="0"/>
      <w:marRight w:val="0"/>
      <w:marTop w:val="0"/>
      <w:marBottom w:val="0"/>
      <w:divBdr>
        <w:top w:val="none" w:sz="0" w:space="0" w:color="auto"/>
        <w:left w:val="none" w:sz="0" w:space="0" w:color="auto"/>
        <w:bottom w:val="none" w:sz="0" w:space="0" w:color="auto"/>
        <w:right w:val="none" w:sz="0" w:space="0" w:color="auto"/>
      </w:divBdr>
    </w:div>
    <w:div w:id="814447848">
      <w:bodyDiv w:val="1"/>
      <w:marLeft w:val="0"/>
      <w:marRight w:val="0"/>
      <w:marTop w:val="0"/>
      <w:marBottom w:val="0"/>
      <w:divBdr>
        <w:top w:val="none" w:sz="0" w:space="0" w:color="auto"/>
        <w:left w:val="none" w:sz="0" w:space="0" w:color="auto"/>
        <w:bottom w:val="none" w:sz="0" w:space="0" w:color="auto"/>
        <w:right w:val="none" w:sz="0" w:space="0" w:color="auto"/>
      </w:divBdr>
      <w:divsChild>
        <w:div w:id="872041890">
          <w:marLeft w:val="0"/>
          <w:marRight w:val="0"/>
          <w:marTop w:val="0"/>
          <w:marBottom w:val="0"/>
          <w:divBdr>
            <w:top w:val="dotted" w:sz="6" w:space="11" w:color="BCBDBD"/>
            <w:left w:val="none" w:sz="0" w:space="0" w:color="BCBDBD"/>
            <w:bottom w:val="none" w:sz="0" w:space="11" w:color="BCBDBD"/>
            <w:right w:val="none" w:sz="0" w:space="11" w:color="BCBDBD"/>
          </w:divBdr>
          <w:divsChild>
            <w:div w:id="1542087485">
              <w:marLeft w:val="0"/>
              <w:marRight w:val="0"/>
              <w:marTop w:val="0"/>
              <w:marBottom w:val="0"/>
              <w:divBdr>
                <w:top w:val="none" w:sz="0" w:space="0" w:color="auto"/>
                <w:left w:val="none" w:sz="0" w:space="0" w:color="auto"/>
                <w:bottom w:val="none" w:sz="0" w:space="0" w:color="auto"/>
                <w:right w:val="none" w:sz="0" w:space="0" w:color="auto"/>
              </w:divBdr>
            </w:div>
          </w:divsChild>
        </w:div>
        <w:div w:id="414594336">
          <w:marLeft w:val="0"/>
          <w:marRight w:val="0"/>
          <w:marTop w:val="0"/>
          <w:marBottom w:val="0"/>
          <w:divBdr>
            <w:top w:val="dotted" w:sz="6" w:space="11" w:color="BCBDBD"/>
            <w:left w:val="none" w:sz="0" w:space="0" w:color="BCBDBD"/>
            <w:bottom w:val="none" w:sz="0" w:space="11" w:color="BCBDBD"/>
            <w:right w:val="none" w:sz="0" w:space="11" w:color="BCBDBD"/>
          </w:divBdr>
          <w:divsChild>
            <w:div w:id="177177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2982">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949893395">
      <w:bodyDiv w:val="1"/>
      <w:marLeft w:val="0"/>
      <w:marRight w:val="0"/>
      <w:marTop w:val="0"/>
      <w:marBottom w:val="0"/>
      <w:divBdr>
        <w:top w:val="none" w:sz="0" w:space="0" w:color="auto"/>
        <w:left w:val="none" w:sz="0" w:space="0" w:color="auto"/>
        <w:bottom w:val="none" w:sz="0" w:space="0" w:color="auto"/>
        <w:right w:val="none" w:sz="0" w:space="0" w:color="auto"/>
      </w:divBdr>
    </w:div>
    <w:div w:id="1019813931">
      <w:bodyDiv w:val="1"/>
      <w:marLeft w:val="0"/>
      <w:marRight w:val="0"/>
      <w:marTop w:val="0"/>
      <w:marBottom w:val="0"/>
      <w:divBdr>
        <w:top w:val="none" w:sz="0" w:space="0" w:color="auto"/>
        <w:left w:val="none" w:sz="0" w:space="0" w:color="auto"/>
        <w:bottom w:val="none" w:sz="0" w:space="0" w:color="auto"/>
        <w:right w:val="none" w:sz="0" w:space="0" w:color="auto"/>
      </w:divBdr>
    </w:div>
    <w:div w:id="11182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law/law-making-process/evaluating-and-improving-existing-laws/refit-making-eu-law-simpler-less-costly-and-future-proof/fit-future-platform-f4f_fr" TargetMode="External"/><Relationship Id="rId13" Type="http://schemas.openxmlformats.org/officeDocument/2006/relationships/hyperlink" Target="https://eur-lex.europa.eu/legal-content/FR/TXT/?uri=COM:2021:219:FIN" TargetMode="External"/><Relationship Id="rId18" Type="http://schemas.openxmlformats.org/officeDocument/2006/relationships/hyperlink" Target="https://commission.europa.eu/publications/2022-annual-burden-survey_en?prefLang=fr" TargetMode="External"/><Relationship Id="rId26" Type="http://schemas.openxmlformats.org/officeDocument/2006/relationships/hyperlink" Target="https://ec.europa.eu/solvit/index_fr.htm" TargetMode="External"/><Relationship Id="rId3" Type="http://schemas.openxmlformats.org/officeDocument/2006/relationships/styles" Target="styles.xml"/><Relationship Id="rId21" Type="http://schemas.openxmlformats.org/officeDocument/2006/relationships/hyperlink" Target="https://commission.europa.eu/law/law-making-process/regulatory-scrutiny-board_fr" TargetMode="External"/><Relationship Id="rId7" Type="http://schemas.openxmlformats.org/officeDocument/2006/relationships/endnotes" Target="endnotes.xml"/><Relationship Id="rId12" Type="http://schemas.openxmlformats.org/officeDocument/2006/relationships/hyperlink" Target="https://commission.europa.eu/system/files/2023-09/BRT-2023-Chapter%203-Identifying%20impacts%20in%20evaluations%20fitness%20checks%20and%20impact%20assessments.pdf" TargetMode="External"/><Relationship Id="rId17" Type="http://schemas.openxmlformats.org/officeDocument/2006/relationships/hyperlink" Target="https://commission.europa.eu/system/files/2023-07/BRT-2023-Appendix-Competitveness%20check.pdf" TargetMode="External"/><Relationship Id="rId25" Type="http://schemas.openxmlformats.org/officeDocument/2006/relationships/hyperlink" Target="https://single-market-economy.ec.europa.eu/single-market/single-market-enforcement-taskforce_en?prefLang=fr" TargetMode="External"/><Relationship Id="rId2" Type="http://schemas.openxmlformats.org/officeDocument/2006/relationships/numbering" Target="numbering.xml"/><Relationship Id="rId16" Type="http://schemas.openxmlformats.org/officeDocument/2006/relationships/hyperlink" Target="https://ec.europa.eu/docsroom/documents/57243?locale=fr" TargetMode="External"/><Relationship Id="rId20" Type="http://schemas.openxmlformats.org/officeDocument/2006/relationships/hyperlink" Target="https://commission.europa.eu/strategy-documents/commission-work-programme/commission-work-programme-2024_en?prefLang=f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ssion.europa.eu/system/files/2023-09/BRT-2023-Chapter%203-Identifying%20impacts%20in%20evaluations%20fitness%20checks%20and%20impact%20assessments.pdf" TargetMode="External"/><Relationship Id="rId24" Type="http://schemas.openxmlformats.org/officeDocument/2006/relationships/hyperlink" Target="https://ec.europa.eu/info/law/better-regulation/have-your-say/initiatives/13990-Charges-administratives-Rationalisation-des-obligations-dinformation_f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mission.europa.eu/system/files/2023-09/BRT-2023-Chapter%203-Identifying%20impacts%20in%20evaluations%20fitness%20checks%20and%20impact%20assessments.pdf" TargetMode="External"/><Relationship Id="rId23" Type="http://schemas.openxmlformats.org/officeDocument/2006/relationships/hyperlink" Target="https://ec.europa.eu/info/law/better-regulation/have-your-say_fr" TargetMode="External"/><Relationship Id="rId28" Type="http://schemas.openxmlformats.org/officeDocument/2006/relationships/footer" Target="footer1.xml"/><Relationship Id="rId10" Type="http://schemas.openxmlformats.org/officeDocument/2006/relationships/hyperlink" Target="https://commission.europa.eu/system/files/2023-09/BRT-2023-Chapter%207-Stakeholder%20consultation_0.pdf" TargetMode="External"/><Relationship Id="rId19" Type="http://schemas.openxmlformats.org/officeDocument/2006/relationships/hyperlink" Target="https://eur-lex.europa.eu/legal-content/FR/TXT/PDF/?uri=CELEX:52023DC016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r.europa.eu/fr/our-work/Pages/network-of-regional-hubs.aspx" TargetMode="External"/><Relationship Id="rId14" Type="http://schemas.openxmlformats.org/officeDocument/2006/relationships/hyperlink" Target="https://commission.europa.eu/system/files/2023-09/BRT-2023-Chapter%203-Identifying%20impacts%20in%20evaluations%20fitness%20checks%20and%20impact%20assessments.pdf" TargetMode="External"/><Relationship Id="rId22" Type="http://schemas.openxmlformats.org/officeDocument/2006/relationships/hyperlink" Target="https://commission.europa.eu/law/law-making-process/evaluating-and-improving-existing-laws/refit-making-eu-law-simpler-less-costly-and-future-proof/fit-future-platform-f4f_fr" TargetMode="External"/><Relationship Id="rId27" Type="http://schemas.openxmlformats.org/officeDocument/2006/relationships/hyperlink" Target="https://eur-lex.europa.eu/legal-content/FR/TXT/PDF/?uri=CELEX:52023DC0168" TargetMode="Externa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6</Pages>
  <Words>3622</Words>
  <Characters>20543</Characters>
  <Application>Microsoft Office Word</Application>
  <DocSecurity>0</DocSecurity>
  <PresentationFormat>Microsoft Word 8.0b</PresentationFormat>
  <Lines>297</Lines>
  <Paragraphs>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24109</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DELBAER Gerda (SG)</cp:lastModifiedBy>
  <cp:revision>2</cp:revision>
  <cp:lastPrinted>2017-11-23T08:27:00Z</cp:lastPrinted>
  <dcterms:created xsi:type="dcterms:W3CDTF">2024-03-25T15:03:00Z</dcterms:created>
  <dcterms:modified xsi:type="dcterms:W3CDTF">2024-03-25T15:03:00Z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ies>
</file>