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F37A" w14:textId="5335C35D" w:rsidR="00963420" w:rsidRPr="00C33439" w:rsidRDefault="00963420" w:rsidP="00BC6486">
      <w:pPr>
        <w:spacing w:after="600"/>
        <w:jc w:val="center"/>
        <w:rPr>
          <w:rFonts w:ascii="Times New Roman" w:hAnsi="Times New Roman"/>
          <w:b/>
          <w:bCs/>
          <w:szCs w:val="24"/>
        </w:rPr>
      </w:pPr>
      <w:r w:rsidRPr="00C33439">
        <w:rPr>
          <w:rFonts w:ascii="Times New Roman" w:hAnsi="Times New Roman"/>
          <w:b/>
          <w:szCs w:val="24"/>
        </w:rPr>
        <w:t xml:space="preserve">Follow-up to the </w:t>
      </w:r>
      <w:r w:rsidR="0067388A" w:rsidRPr="0067388A">
        <w:rPr>
          <w:rFonts w:ascii="Times New Roman" w:hAnsi="Times New Roman"/>
          <w:b/>
          <w:szCs w:val="24"/>
        </w:rPr>
        <w:t xml:space="preserve">European Parliament </w:t>
      </w:r>
      <w:r w:rsidR="00867C12">
        <w:rPr>
          <w:rFonts w:ascii="Times New Roman" w:hAnsi="Times New Roman"/>
          <w:b/>
          <w:szCs w:val="24"/>
        </w:rPr>
        <w:t xml:space="preserve">non-legislative </w:t>
      </w:r>
      <w:r w:rsidR="0067388A" w:rsidRPr="0067388A">
        <w:rPr>
          <w:rFonts w:ascii="Times New Roman" w:hAnsi="Times New Roman"/>
          <w:b/>
          <w:szCs w:val="24"/>
        </w:rPr>
        <w:t>resolution on the time the European</w:t>
      </w:r>
      <w:r w:rsidR="0067388A">
        <w:rPr>
          <w:rFonts w:ascii="Times New Roman" w:hAnsi="Times New Roman"/>
          <w:b/>
          <w:szCs w:val="24"/>
        </w:rPr>
        <w:t xml:space="preserve"> </w:t>
      </w:r>
      <w:r w:rsidR="0067388A" w:rsidRPr="0067388A">
        <w:rPr>
          <w:rFonts w:ascii="Times New Roman" w:hAnsi="Times New Roman"/>
          <w:b/>
          <w:szCs w:val="24"/>
        </w:rPr>
        <w:t>Commission takes to deal with requests for public access to documents</w:t>
      </w:r>
    </w:p>
    <w:p w14:paraId="222E65B7" w14:textId="68DED3E2" w:rsidR="00963420" w:rsidRPr="0067388A" w:rsidRDefault="00963420" w:rsidP="0084310E">
      <w:pPr>
        <w:numPr>
          <w:ilvl w:val="0"/>
          <w:numId w:val="34"/>
        </w:numPr>
        <w:ind w:left="567" w:hanging="567"/>
        <w:rPr>
          <w:rFonts w:ascii="Times New Roman" w:hAnsi="Times New Roman"/>
          <w:szCs w:val="24"/>
          <w:lang w:val="es-ES"/>
        </w:rPr>
      </w:pPr>
      <w:r w:rsidRPr="0067388A">
        <w:rPr>
          <w:rFonts w:ascii="Times New Roman" w:hAnsi="Times New Roman"/>
          <w:b/>
          <w:szCs w:val="24"/>
          <w:lang w:val="es-ES"/>
        </w:rPr>
        <w:t>Rapporteur:</w:t>
      </w:r>
      <w:r w:rsidRPr="0067388A">
        <w:rPr>
          <w:rFonts w:ascii="Times New Roman" w:hAnsi="Times New Roman"/>
          <w:szCs w:val="24"/>
          <w:lang w:val="es-ES"/>
        </w:rPr>
        <w:t xml:space="preserve"> </w:t>
      </w:r>
      <w:r w:rsidR="0067388A" w:rsidRPr="0067388A">
        <w:rPr>
          <w:rFonts w:ascii="Times New Roman" w:hAnsi="Times New Roman"/>
          <w:szCs w:val="24"/>
          <w:lang w:val="es-ES"/>
        </w:rPr>
        <w:t xml:space="preserve">Juan Fernando </w:t>
      </w:r>
      <w:r w:rsidR="00BB1257" w:rsidRPr="0067388A">
        <w:rPr>
          <w:rFonts w:ascii="Times New Roman" w:hAnsi="Times New Roman"/>
          <w:szCs w:val="24"/>
          <w:lang w:val="es-ES"/>
        </w:rPr>
        <w:t>L</w:t>
      </w:r>
      <w:r w:rsidR="00BB1257">
        <w:rPr>
          <w:rFonts w:ascii="Times New Roman" w:hAnsi="Times New Roman"/>
          <w:szCs w:val="24"/>
          <w:lang w:val="es-ES"/>
        </w:rPr>
        <w:t>ÓPEZ AGUILAR</w:t>
      </w:r>
      <w:r w:rsidR="00BB1257" w:rsidRPr="0067388A">
        <w:rPr>
          <w:rFonts w:ascii="Times New Roman" w:hAnsi="Times New Roman"/>
          <w:szCs w:val="24"/>
          <w:lang w:val="es-ES"/>
        </w:rPr>
        <w:t xml:space="preserve"> </w:t>
      </w:r>
      <w:r w:rsidR="001D4EEA" w:rsidRPr="0067388A">
        <w:rPr>
          <w:rFonts w:ascii="Times New Roman" w:hAnsi="Times New Roman"/>
          <w:szCs w:val="24"/>
          <w:lang w:val="es-ES"/>
        </w:rPr>
        <w:t>(S&amp;D / E</w:t>
      </w:r>
      <w:r w:rsidR="0067388A" w:rsidRPr="0067388A">
        <w:rPr>
          <w:rFonts w:ascii="Times New Roman" w:hAnsi="Times New Roman"/>
          <w:szCs w:val="24"/>
          <w:lang w:val="es-ES"/>
        </w:rPr>
        <w:t>S</w:t>
      </w:r>
      <w:r w:rsidR="001D4EEA" w:rsidRPr="0067388A">
        <w:rPr>
          <w:rFonts w:ascii="Times New Roman" w:hAnsi="Times New Roman"/>
          <w:szCs w:val="24"/>
          <w:lang w:val="es-ES"/>
        </w:rPr>
        <w:t>)</w:t>
      </w:r>
    </w:p>
    <w:p w14:paraId="6900E183" w14:textId="60633135" w:rsidR="00963420" w:rsidRPr="001D4EEA" w:rsidRDefault="00063DCE" w:rsidP="0084310E">
      <w:pPr>
        <w:pStyle w:val="Default"/>
        <w:numPr>
          <w:ilvl w:val="0"/>
          <w:numId w:val="34"/>
        </w:numPr>
        <w:spacing w:after="240"/>
        <w:ind w:left="567" w:hanging="567"/>
        <w:jc w:val="both"/>
        <w:rPr>
          <w:color w:val="auto"/>
          <w:lang w:val="en-IE"/>
        </w:rPr>
      </w:pPr>
      <w:r w:rsidRPr="001D4EEA">
        <w:rPr>
          <w:b/>
          <w:color w:val="auto"/>
          <w:lang w:val="en-IE"/>
        </w:rPr>
        <w:t>R</w:t>
      </w:r>
      <w:r w:rsidR="00963420" w:rsidRPr="001D4EEA">
        <w:rPr>
          <w:b/>
          <w:color w:val="auto"/>
          <w:lang w:val="en-IE"/>
        </w:rPr>
        <w:t xml:space="preserve">eference number: </w:t>
      </w:r>
      <w:r w:rsidR="0067388A" w:rsidRPr="0067388A">
        <w:rPr>
          <w:bCs/>
          <w:color w:val="auto"/>
          <w:lang w:val="en-IE"/>
        </w:rPr>
        <w:t>2023/2941</w:t>
      </w:r>
      <w:r w:rsidR="005142E0">
        <w:rPr>
          <w:bCs/>
          <w:color w:val="auto"/>
          <w:lang w:val="en-IE"/>
        </w:rPr>
        <w:t xml:space="preserve"> </w:t>
      </w:r>
      <w:r w:rsidR="0067388A" w:rsidRPr="0067388A">
        <w:rPr>
          <w:bCs/>
          <w:color w:val="auto"/>
          <w:lang w:val="en-IE"/>
        </w:rPr>
        <w:t>(RSP)</w:t>
      </w:r>
      <w:r w:rsidR="001D4EEA" w:rsidRPr="001D4EEA">
        <w:rPr>
          <w:color w:val="auto"/>
          <w:lang w:val="en-IE"/>
        </w:rPr>
        <w:t xml:space="preserve"> / </w:t>
      </w:r>
      <w:r w:rsidR="00214960" w:rsidRPr="00214960">
        <w:rPr>
          <w:color w:val="auto"/>
          <w:lang w:val="en-IE"/>
        </w:rPr>
        <w:t xml:space="preserve">B9-0162/2024 </w:t>
      </w:r>
      <w:r w:rsidR="001D4EEA" w:rsidRPr="001D4EEA">
        <w:rPr>
          <w:color w:val="auto"/>
          <w:lang w:val="en-IE"/>
        </w:rPr>
        <w:t xml:space="preserve">/ </w:t>
      </w:r>
      <w:r w:rsidR="0067388A" w:rsidRPr="0067388A">
        <w:rPr>
          <w:color w:val="auto"/>
          <w:lang w:val="en-IE"/>
        </w:rPr>
        <w:t>P9_TA(2024)0172</w:t>
      </w:r>
    </w:p>
    <w:p w14:paraId="61D85C18" w14:textId="5110A024" w:rsidR="001F0B89" w:rsidRPr="001D4EEA" w:rsidRDefault="00963420" w:rsidP="0084310E">
      <w:pPr>
        <w:numPr>
          <w:ilvl w:val="0"/>
          <w:numId w:val="34"/>
        </w:numPr>
        <w:ind w:left="567" w:hanging="567"/>
        <w:rPr>
          <w:rFonts w:ascii="Times New Roman" w:hAnsi="Times New Roman"/>
          <w:szCs w:val="24"/>
        </w:rPr>
      </w:pPr>
      <w:r w:rsidRPr="001D4EEA">
        <w:rPr>
          <w:rFonts w:ascii="Times New Roman" w:hAnsi="Times New Roman"/>
          <w:b/>
          <w:szCs w:val="24"/>
        </w:rPr>
        <w:t>Date of adoption of the resolution:</w:t>
      </w:r>
      <w:r w:rsidRPr="001D4EEA">
        <w:rPr>
          <w:rFonts w:ascii="Times New Roman" w:hAnsi="Times New Roman"/>
          <w:szCs w:val="24"/>
        </w:rPr>
        <w:t xml:space="preserve"> </w:t>
      </w:r>
      <w:r w:rsidR="001D4EEA" w:rsidRPr="001D4EEA">
        <w:rPr>
          <w:rFonts w:ascii="Times New Roman" w:hAnsi="Times New Roman"/>
          <w:szCs w:val="24"/>
        </w:rPr>
        <w:t>1</w:t>
      </w:r>
      <w:r w:rsidR="00214960">
        <w:rPr>
          <w:rFonts w:ascii="Times New Roman" w:hAnsi="Times New Roman"/>
          <w:szCs w:val="24"/>
        </w:rPr>
        <w:t>4 March</w:t>
      </w:r>
      <w:r w:rsidR="001D4EEA" w:rsidRPr="001D4EEA">
        <w:rPr>
          <w:rFonts w:ascii="Times New Roman" w:hAnsi="Times New Roman"/>
          <w:szCs w:val="24"/>
        </w:rPr>
        <w:t xml:space="preserve"> 202</w:t>
      </w:r>
      <w:r w:rsidR="00214960">
        <w:rPr>
          <w:rFonts w:ascii="Times New Roman" w:hAnsi="Times New Roman"/>
          <w:szCs w:val="24"/>
        </w:rPr>
        <w:t>4</w:t>
      </w:r>
    </w:p>
    <w:p w14:paraId="4451E813" w14:textId="1D86ED7D" w:rsidR="00963420" w:rsidRPr="001D4EEA" w:rsidRDefault="00963420" w:rsidP="0084310E">
      <w:pPr>
        <w:numPr>
          <w:ilvl w:val="0"/>
          <w:numId w:val="34"/>
        </w:numPr>
        <w:ind w:left="567" w:hanging="567"/>
        <w:rPr>
          <w:rFonts w:ascii="Times New Roman" w:hAnsi="Times New Roman"/>
          <w:szCs w:val="24"/>
        </w:rPr>
      </w:pPr>
      <w:r w:rsidRPr="001D4EEA">
        <w:rPr>
          <w:rFonts w:ascii="Times New Roman" w:hAnsi="Times New Roman"/>
          <w:b/>
          <w:szCs w:val="24"/>
        </w:rPr>
        <w:t xml:space="preserve">Competent Parliamentary Committee: </w:t>
      </w:r>
      <w:r w:rsidR="00EA2741" w:rsidRPr="001D4EEA">
        <w:rPr>
          <w:rFonts w:ascii="Times New Roman" w:hAnsi="Times New Roman"/>
          <w:szCs w:val="24"/>
        </w:rPr>
        <w:t xml:space="preserve">Committee on </w:t>
      </w:r>
      <w:r w:rsidRPr="001D4EEA">
        <w:rPr>
          <w:rFonts w:ascii="Times New Roman" w:hAnsi="Times New Roman"/>
          <w:szCs w:val="24"/>
        </w:rPr>
        <w:t>Civil Liberties, Justice and Home Affairs (LIBE</w:t>
      </w:r>
      <w:r w:rsidR="009E71AF" w:rsidRPr="001D4EEA">
        <w:rPr>
          <w:rFonts w:ascii="Times New Roman" w:hAnsi="Times New Roman"/>
          <w:szCs w:val="24"/>
        </w:rPr>
        <w:t>)</w:t>
      </w:r>
    </w:p>
    <w:p w14:paraId="4AE05E0A" w14:textId="77777777" w:rsidR="00BC6486" w:rsidRPr="00BC6486" w:rsidRDefault="00963420" w:rsidP="00BC6486">
      <w:pPr>
        <w:widowControl w:val="0"/>
        <w:numPr>
          <w:ilvl w:val="0"/>
          <w:numId w:val="34"/>
        </w:numPr>
        <w:spacing w:after="120"/>
        <w:ind w:left="567" w:hanging="567"/>
        <w:rPr>
          <w:rFonts w:ascii="Times New Roman" w:hAnsi="Times New Roman"/>
        </w:rPr>
      </w:pPr>
      <w:r w:rsidRPr="003B0EA5">
        <w:rPr>
          <w:rFonts w:ascii="Times New Roman" w:hAnsi="Times New Roman"/>
          <w:b/>
          <w:szCs w:val="24"/>
        </w:rPr>
        <w:t>Brief analysis/</w:t>
      </w:r>
      <w:r w:rsidR="00AB3960" w:rsidRPr="003B0EA5">
        <w:rPr>
          <w:rFonts w:ascii="Times New Roman" w:hAnsi="Times New Roman"/>
          <w:b/>
          <w:szCs w:val="24"/>
        </w:rPr>
        <w:t xml:space="preserve"> </w:t>
      </w:r>
      <w:r w:rsidRPr="003B0EA5">
        <w:rPr>
          <w:rFonts w:ascii="Times New Roman" w:hAnsi="Times New Roman"/>
          <w:b/>
          <w:szCs w:val="24"/>
        </w:rPr>
        <w:t>assessment of the resolution and requests made in it:</w:t>
      </w:r>
      <w:r w:rsidR="00146971" w:rsidRPr="003B0EA5">
        <w:rPr>
          <w:rFonts w:ascii="Times New Roman" w:hAnsi="Times New Roman"/>
          <w:b/>
          <w:szCs w:val="24"/>
        </w:rPr>
        <w:t xml:space="preserve"> </w:t>
      </w:r>
    </w:p>
    <w:p w14:paraId="1540F533" w14:textId="43C3D572" w:rsidR="00963420" w:rsidRPr="003B0EA5" w:rsidRDefault="001D4EEA" w:rsidP="00BC6486">
      <w:pPr>
        <w:widowControl w:val="0"/>
        <w:spacing w:after="120"/>
        <w:rPr>
          <w:rFonts w:ascii="Times New Roman" w:hAnsi="Times New Roman"/>
        </w:rPr>
      </w:pPr>
      <w:r w:rsidRPr="009B2A8B">
        <w:rPr>
          <w:rFonts w:ascii="Times New Roman" w:hAnsi="Times New Roman"/>
          <w:bCs/>
          <w:szCs w:val="24"/>
        </w:rPr>
        <w:t>The European Parliament adopted a resolution on</w:t>
      </w:r>
      <w:r w:rsidR="00214960" w:rsidRPr="009B2A8B">
        <w:rPr>
          <w:rFonts w:ascii="Times New Roman" w:hAnsi="Times New Roman"/>
          <w:bCs/>
          <w:szCs w:val="24"/>
        </w:rPr>
        <w:t xml:space="preserve"> the time the European Commission takes to deal with requests for public access to documents. </w:t>
      </w:r>
      <w:r w:rsidR="005B0AFB" w:rsidRPr="009B2A8B">
        <w:rPr>
          <w:rFonts w:ascii="Times New Roman" w:hAnsi="Times New Roman"/>
          <w:bCs/>
          <w:szCs w:val="24"/>
        </w:rPr>
        <w:t>The European Parliament recalled the basic principles enshrined in the Treaties, in Regulation (EC) No 1049/2001</w:t>
      </w:r>
      <w:r w:rsidR="005B0AFB" w:rsidRPr="009B2A8B">
        <w:rPr>
          <w:rStyle w:val="FootnoteReference"/>
          <w:rFonts w:ascii="Times New Roman" w:hAnsi="Times New Roman"/>
        </w:rPr>
        <w:footnoteReference w:id="2"/>
      </w:r>
      <w:r w:rsidR="005B0AFB" w:rsidRPr="009B2A8B">
        <w:rPr>
          <w:rFonts w:ascii="Times New Roman" w:hAnsi="Times New Roman"/>
          <w:bCs/>
          <w:szCs w:val="24"/>
        </w:rPr>
        <w:t xml:space="preserve"> on access to documents, the Statute of the European Ombudsman and the case-law of the EU Courts. </w:t>
      </w:r>
      <w:r w:rsidR="00214960" w:rsidRPr="009B2A8B">
        <w:rPr>
          <w:rFonts w:ascii="Times New Roman" w:hAnsi="Times New Roman"/>
          <w:bCs/>
          <w:szCs w:val="24"/>
        </w:rPr>
        <w:t xml:space="preserve">This resolution is related to </w:t>
      </w:r>
      <w:r w:rsidR="00214960" w:rsidRPr="009B2A8B">
        <w:rPr>
          <w:rFonts w:ascii="Times New Roman" w:hAnsi="Times New Roman"/>
        </w:rPr>
        <w:t xml:space="preserve">the special report of the European Ombudsman of 21 September 2023 in her strategic inquiry OI/2/2022/OAM. </w:t>
      </w:r>
      <w:r w:rsidR="003B0EA5" w:rsidRPr="009B2A8B">
        <w:rPr>
          <w:rFonts w:ascii="Times New Roman" w:hAnsi="Times New Roman"/>
          <w:bCs/>
          <w:szCs w:val="24"/>
        </w:rPr>
        <w:t>In support of the European Ombudsman’s findings, t</w:t>
      </w:r>
      <w:r w:rsidR="005B0AFB" w:rsidRPr="009B2A8B">
        <w:rPr>
          <w:rFonts w:ascii="Times New Roman" w:hAnsi="Times New Roman"/>
          <w:bCs/>
          <w:szCs w:val="24"/>
        </w:rPr>
        <w:t xml:space="preserve">he Parliament stressed that the EU institutions, </w:t>
      </w:r>
      <w:r w:rsidR="005B0AFB" w:rsidRPr="009B2A8B">
        <w:rPr>
          <w:rFonts w:ascii="Times New Roman" w:hAnsi="Times New Roman"/>
          <w:szCs w:val="24"/>
          <w:lang w:val="en-IE" w:eastAsia="en-IE"/>
        </w:rPr>
        <w:t>including the Commission,</w:t>
      </w:r>
      <w:r w:rsidR="005B0AFB" w:rsidRPr="009B2A8B">
        <w:rPr>
          <w:rFonts w:ascii="Times New Roman" w:hAnsi="Times New Roman"/>
          <w:bCs/>
          <w:szCs w:val="24"/>
        </w:rPr>
        <w:t xml:space="preserve"> adhere to the principle of transparency laid down in the Treaties and Regulation (EC) No 1049/2001 and urged the Commission to implement the European Ombudsman’s recommendations in this area.</w:t>
      </w:r>
      <w:r w:rsidR="003B0EA5" w:rsidRPr="009B2A8B">
        <w:rPr>
          <w:rFonts w:ascii="Times New Roman" w:hAnsi="Times New Roman"/>
          <w:bCs/>
          <w:szCs w:val="24"/>
        </w:rPr>
        <w:t xml:space="preserve"> In this regard, the European Parliament addressed several recommendations to the Commission and re</w:t>
      </w:r>
      <w:r w:rsidR="003B0EA5" w:rsidRPr="009B2A8B">
        <w:rPr>
          <w:rFonts w:ascii="Times New Roman" w:hAnsi="Times New Roman"/>
        </w:rPr>
        <w:t>quested to be informed about how the Commission plans</w:t>
      </w:r>
      <w:r w:rsidR="003B0EA5" w:rsidRPr="003B0EA5">
        <w:rPr>
          <w:rFonts w:ascii="Times New Roman" w:hAnsi="Times New Roman"/>
        </w:rPr>
        <w:t xml:space="preserve"> to comply with the time limits laid down in the relevant EU legislation.</w:t>
      </w:r>
    </w:p>
    <w:p w14:paraId="43E84470" w14:textId="77777777" w:rsidR="003A5A87" w:rsidRPr="003A5A87" w:rsidRDefault="00963420" w:rsidP="00944B97">
      <w:pPr>
        <w:widowControl w:val="0"/>
        <w:numPr>
          <w:ilvl w:val="0"/>
          <w:numId w:val="34"/>
        </w:numPr>
        <w:spacing w:after="120"/>
        <w:ind w:left="567" w:hanging="567"/>
        <w:rPr>
          <w:rFonts w:ascii="Times New Roman" w:hAnsi="Times New Roman"/>
          <w:szCs w:val="24"/>
        </w:rPr>
      </w:pPr>
      <w:r w:rsidRPr="00C33439">
        <w:rPr>
          <w:rFonts w:ascii="Times New Roman" w:hAnsi="Times New Roman"/>
          <w:b/>
          <w:szCs w:val="24"/>
        </w:rPr>
        <w:t>Response to requests and overview of action</w:t>
      </w:r>
      <w:r w:rsidR="001946EE">
        <w:rPr>
          <w:rFonts w:ascii="Times New Roman" w:hAnsi="Times New Roman"/>
          <w:b/>
          <w:szCs w:val="24"/>
        </w:rPr>
        <w:t>s</w:t>
      </w:r>
      <w:r w:rsidRPr="00C33439">
        <w:rPr>
          <w:rFonts w:ascii="Times New Roman" w:hAnsi="Times New Roman"/>
          <w:b/>
          <w:szCs w:val="24"/>
        </w:rPr>
        <w:t xml:space="preserve"> taken, or intended to be taken, by the Commission:</w:t>
      </w:r>
    </w:p>
    <w:p w14:paraId="1F1973B2" w14:textId="5600B01E" w:rsidR="0015622B" w:rsidRPr="005B15FD" w:rsidRDefault="0015622B" w:rsidP="009B2A8B">
      <w:pPr>
        <w:widowControl w:val="0"/>
        <w:spacing w:after="120"/>
        <w:rPr>
          <w:rFonts w:ascii="Times New Roman" w:hAnsi="Times New Roman"/>
          <w:bCs/>
          <w:szCs w:val="24"/>
        </w:rPr>
      </w:pPr>
      <w:r w:rsidRPr="00DF0E60">
        <w:rPr>
          <w:rFonts w:ascii="Times New Roman" w:hAnsi="Times New Roman"/>
          <w:szCs w:val="24"/>
        </w:rPr>
        <w:t>Regarding paragraphs 3</w:t>
      </w:r>
      <w:r w:rsidR="00863878" w:rsidRPr="00DF0E60">
        <w:rPr>
          <w:rFonts w:ascii="Times New Roman" w:hAnsi="Times New Roman"/>
          <w:szCs w:val="24"/>
        </w:rPr>
        <w:t xml:space="preserve"> and</w:t>
      </w:r>
      <w:r w:rsidRPr="00DF0E60">
        <w:rPr>
          <w:rFonts w:ascii="Times New Roman" w:hAnsi="Times New Roman"/>
          <w:szCs w:val="24"/>
        </w:rPr>
        <w:t xml:space="preserve"> 6</w:t>
      </w:r>
      <w:r w:rsidR="00863878" w:rsidRPr="00DF0E60">
        <w:rPr>
          <w:rFonts w:ascii="Times New Roman" w:hAnsi="Times New Roman"/>
          <w:szCs w:val="24"/>
        </w:rPr>
        <w:t>,</w:t>
      </w:r>
      <w:r w:rsidRPr="00DF0E60">
        <w:rPr>
          <w:rFonts w:ascii="Times New Roman" w:hAnsi="Times New Roman"/>
          <w:szCs w:val="24"/>
        </w:rPr>
        <w:t xml:space="preserve"> and</w:t>
      </w:r>
      <w:r w:rsidR="00863878" w:rsidRPr="00DF0E60">
        <w:rPr>
          <w:rFonts w:ascii="Times New Roman" w:hAnsi="Times New Roman"/>
          <w:szCs w:val="24"/>
        </w:rPr>
        <w:t xml:space="preserve"> the recommendation in paragraph</w:t>
      </w:r>
      <w:r w:rsidR="00101001">
        <w:rPr>
          <w:rFonts w:ascii="Times New Roman" w:hAnsi="Times New Roman"/>
          <w:szCs w:val="24"/>
        </w:rPr>
        <w:t>s 12 and</w:t>
      </w:r>
      <w:r w:rsidR="00863878" w:rsidRPr="00DF0E60">
        <w:rPr>
          <w:rFonts w:ascii="Times New Roman" w:hAnsi="Times New Roman"/>
          <w:szCs w:val="24"/>
        </w:rPr>
        <w:t xml:space="preserve"> </w:t>
      </w:r>
      <w:r w:rsidRPr="00DF0E60">
        <w:rPr>
          <w:rFonts w:ascii="Times New Roman" w:hAnsi="Times New Roman"/>
          <w:szCs w:val="24"/>
        </w:rPr>
        <w:t>16</w:t>
      </w:r>
      <w:r w:rsidR="00101001">
        <w:rPr>
          <w:rFonts w:ascii="Times New Roman" w:hAnsi="Times New Roman"/>
          <w:szCs w:val="24"/>
        </w:rPr>
        <w:t xml:space="preserve"> </w:t>
      </w:r>
      <w:r w:rsidR="00101001">
        <w:rPr>
          <w:rFonts w:ascii="Times New Roman" w:hAnsi="Times New Roman"/>
          <w:bCs/>
          <w:szCs w:val="24"/>
        </w:rPr>
        <w:t>on</w:t>
      </w:r>
      <w:r w:rsidR="00101001" w:rsidRPr="005D6773">
        <w:rPr>
          <w:rFonts w:ascii="Times New Roman" w:hAnsi="Times New Roman"/>
          <w:bCs/>
          <w:szCs w:val="24"/>
        </w:rPr>
        <w:t xml:space="preserve"> publication of all contracts for the purchase of COVID-</w:t>
      </w:r>
      <w:r w:rsidR="00101001" w:rsidRPr="005D6773">
        <w:rPr>
          <w:rFonts w:ascii="Times New Roman" w:hAnsi="Times New Roman"/>
          <w:bCs/>
          <w:szCs w:val="24"/>
          <w:lang w:val="en-IE"/>
        </w:rPr>
        <w:t>19 vaccines</w:t>
      </w:r>
      <w:r w:rsidR="00101001">
        <w:rPr>
          <w:rFonts w:ascii="Times New Roman" w:hAnsi="Times New Roman"/>
          <w:bCs/>
          <w:szCs w:val="24"/>
          <w:lang w:val="en-IE"/>
        </w:rPr>
        <w:t>,</w:t>
      </w:r>
      <w:r w:rsidRPr="00DF0E60">
        <w:rPr>
          <w:rFonts w:ascii="Times New Roman" w:hAnsi="Times New Roman"/>
          <w:szCs w:val="24"/>
        </w:rPr>
        <w:t xml:space="preserve"> on recording text and instant messages </w:t>
      </w:r>
      <w:r w:rsidR="001C4541" w:rsidRPr="00DF0E60">
        <w:rPr>
          <w:rFonts w:ascii="Times New Roman" w:hAnsi="Times New Roman"/>
          <w:szCs w:val="24"/>
        </w:rPr>
        <w:t>sent or received by staff members in their professional capacity,</w:t>
      </w:r>
      <w:r w:rsidRPr="00DF0E60">
        <w:rPr>
          <w:rFonts w:ascii="Times New Roman" w:hAnsi="Times New Roman"/>
          <w:szCs w:val="24"/>
        </w:rPr>
        <w:t xml:space="preserve"> and </w:t>
      </w:r>
      <w:r w:rsidRPr="003E5DCF">
        <w:rPr>
          <w:rFonts w:ascii="Times New Roman" w:hAnsi="Times New Roman"/>
          <w:szCs w:val="24"/>
        </w:rPr>
        <w:t xml:space="preserve">on </w:t>
      </w:r>
      <w:r w:rsidRPr="003E5DCF">
        <w:rPr>
          <w:rFonts w:ascii="Times New Roman" w:hAnsi="Times New Roman"/>
          <w:bCs/>
          <w:szCs w:val="24"/>
        </w:rPr>
        <w:t xml:space="preserve">the </w:t>
      </w:r>
      <w:r w:rsidR="002800FD" w:rsidRPr="005B15FD">
        <w:rPr>
          <w:rFonts w:ascii="Times New Roman" w:hAnsi="Times New Roman"/>
          <w:bCs/>
          <w:szCs w:val="24"/>
        </w:rPr>
        <w:t>alleged</w:t>
      </w:r>
      <w:r w:rsidR="002800FD" w:rsidRPr="003E5DCF">
        <w:rPr>
          <w:rFonts w:ascii="Times New Roman" w:hAnsi="Times New Roman"/>
          <w:bCs/>
          <w:szCs w:val="24"/>
        </w:rPr>
        <w:t xml:space="preserve"> </w:t>
      </w:r>
      <w:r w:rsidRPr="003E5DCF">
        <w:rPr>
          <w:rFonts w:ascii="Times New Roman" w:hAnsi="Times New Roman"/>
          <w:bCs/>
          <w:szCs w:val="24"/>
        </w:rPr>
        <w:t>text messages between the Commission’s President and the CEO of a</w:t>
      </w:r>
      <w:r w:rsidRPr="00DF0E60">
        <w:rPr>
          <w:rFonts w:ascii="Times New Roman" w:hAnsi="Times New Roman"/>
          <w:bCs/>
          <w:szCs w:val="24"/>
        </w:rPr>
        <w:t xml:space="preserve"> pharmaceutical company</w:t>
      </w:r>
      <w:r w:rsidR="00AA45A1" w:rsidRPr="008E04A4">
        <w:rPr>
          <w:rFonts w:ascii="Times New Roman" w:hAnsi="Times New Roman"/>
          <w:szCs w:val="24"/>
        </w:rPr>
        <w:t xml:space="preserve"> </w:t>
      </w:r>
      <w:r w:rsidR="00AA45A1" w:rsidRPr="00DF0E60">
        <w:rPr>
          <w:rFonts w:ascii="Times New Roman" w:hAnsi="Times New Roman"/>
          <w:szCs w:val="24"/>
        </w:rPr>
        <w:t>on</w:t>
      </w:r>
      <w:r w:rsidR="00AA45A1" w:rsidRPr="00DF0E60">
        <w:rPr>
          <w:rFonts w:ascii="Times New Roman" w:hAnsi="Times New Roman"/>
          <w:bCs/>
          <w:szCs w:val="24"/>
        </w:rPr>
        <w:t xml:space="preserve"> the purchase of COVID-19 vaccines</w:t>
      </w:r>
      <w:r w:rsidRPr="00DF0E60">
        <w:rPr>
          <w:rFonts w:ascii="Times New Roman" w:hAnsi="Times New Roman"/>
          <w:szCs w:val="24"/>
        </w:rPr>
        <w:t xml:space="preserve">, </w:t>
      </w:r>
      <w:r w:rsidR="00AA45A1" w:rsidRPr="00DF0E60">
        <w:rPr>
          <w:rFonts w:ascii="Times New Roman" w:hAnsi="Times New Roman"/>
          <w:szCs w:val="24"/>
        </w:rPr>
        <w:t>the Commission notes that the negotiations with vaccine producers w</w:t>
      </w:r>
      <w:r w:rsidR="00A36F56">
        <w:rPr>
          <w:rFonts w:ascii="Times New Roman" w:hAnsi="Times New Roman"/>
          <w:szCs w:val="24"/>
        </w:rPr>
        <w:t>ere</w:t>
      </w:r>
      <w:r w:rsidR="00AA45A1" w:rsidRPr="00DF0E60">
        <w:rPr>
          <w:rFonts w:ascii="Times New Roman" w:hAnsi="Times New Roman"/>
          <w:szCs w:val="24"/>
        </w:rPr>
        <w:t xml:space="preserve"> done in a structured way</w:t>
      </w:r>
      <w:r w:rsidR="00C458E5" w:rsidRPr="00DF0E60">
        <w:rPr>
          <w:rFonts w:ascii="Times New Roman" w:hAnsi="Times New Roman"/>
          <w:szCs w:val="24"/>
        </w:rPr>
        <w:t>,</w:t>
      </w:r>
      <w:r w:rsidR="00AA45A1" w:rsidRPr="00DF0E60">
        <w:rPr>
          <w:rFonts w:ascii="Times New Roman" w:hAnsi="Times New Roman"/>
          <w:szCs w:val="24"/>
        </w:rPr>
        <w:t xml:space="preserve"> </w:t>
      </w:r>
      <w:r w:rsidR="00C458E5" w:rsidRPr="00DF0E60">
        <w:rPr>
          <w:rFonts w:ascii="Times New Roman" w:hAnsi="Times New Roman"/>
          <w:szCs w:val="24"/>
        </w:rPr>
        <w:t xml:space="preserve">via the Emergency Support Instrument, </w:t>
      </w:r>
      <w:r w:rsidR="00AA45A1" w:rsidRPr="00DF0E60">
        <w:rPr>
          <w:rFonts w:ascii="Times New Roman" w:hAnsi="Times New Roman"/>
          <w:szCs w:val="24"/>
        </w:rPr>
        <w:t xml:space="preserve">through advance purchase agreements on behalf of the Member States. </w:t>
      </w:r>
      <w:r w:rsidR="002800FD" w:rsidRPr="005B15FD">
        <w:rPr>
          <w:rFonts w:ascii="Times New Roman" w:hAnsi="Times New Roman"/>
          <w:szCs w:val="24"/>
          <w:lang w:val="en-IE"/>
        </w:rPr>
        <w:t>In particular, the material negotiations of the very complex contracts concluded by the Commission, on behalf of the Member States of the Union, were done in accordance with the procedures envisaged in the agreements concluded with all the Member States</w:t>
      </w:r>
      <w:r w:rsidR="002800FD" w:rsidRPr="005B15FD">
        <w:rPr>
          <w:rFonts w:ascii="Times New Roman" w:hAnsi="Times New Roman"/>
          <w:szCs w:val="24"/>
          <w:vertAlign w:val="superscript"/>
          <w:lang w:val="en-IE"/>
        </w:rPr>
        <w:footnoteReference w:id="3"/>
      </w:r>
      <w:r w:rsidR="002800FD" w:rsidRPr="005B15FD">
        <w:rPr>
          <w:rFonts w:ascii="Times New Roman" w:hAnsi="Times New Roman"/>
          <w:szCs w:val="24"/>
          <w:lang w:val="en-IE"/>
        </w:rPr>
        <w:t>, mandating the Commission to negotiate with the vaccines producers, through the involvement of a joint negotiation team, composed by representatives of experts from some Member States, and under the control of a Steering Board, composed by representatives of all Member States</w:t>
      </w:r>
      <w:r w:rsidR="002800FD" w:rsidRPr="005B15FD">
        <w:rPr>
          <w:rFonts w:ascii="Times New Roman" w:hAnsi="Times New Roman"/>
          <w:szCs w:val="24"/>
          <w:vertAlign w:val="superscript"/>
          <w:lang w:val="en"/>
        </w:rPr>
        <w:footnoteReference w:id="4"/>
      </w:r>
      <w:r w:rsidR="002800FD" w:rsidRPr="005B15FD">
        <w:rPr>
          <w:rFonts w:ascii="Times New Roman" w:hAnsi="Times New Roman"/>
          <w:szCs w:val="24"/>
          <w:lang w:val="en-IE"/>
        </w:rPr>
        <w:t>.</w:t>
      </w:r>
      <w:r w:rsidR="00AA45A1" w:rsidRPr="00DF0E60">
        <w:rPr>
          <w:rFonts w:ascii="Times New Roman" w:hAnsi="Times New Roman"/>
          <w:szCs w:val="24"/>
        </w:rPr>
        <w:t xml:space="preserve">The Commission took significant steps to ensure transparency in the </w:t>
      </w:r>
      <w:r w:rsidR="00AA45A1" w:rsidRPr="00DF0E60">
        <w:rPr>
          <w:rFonts w:ascii="Times New Roman" w:hAnsi="Times New Roman"/>
          <w:szCs w:val="24"/>
        </w:rPr>
        <w:lastRenderedPageBreak/>
        <w:t>negotiation process, including the publication of contracts concluded with several manufacturers. T</w:t>
      </w:r>
      <w:r w:rsidR="001C4541" w:rsidRPr="00DF0E60">
        <w:rPr>
          <w:rFonts w:ascii="Times New Roman" w:hAnsi="Times New Roman"/>
          <w:szCs w:val="24"/>
        </w:rPr>
        <w:t xml:space="preserve">he Commission and the European Ombudsman do not disagree regarding the notion of what constitutes a ‘document’ under Regulation (EC) N°1049/2001. </w:t>
      </w:r>
      <w:r w:rsidR="00EC289D" w:rsidRPr="00DF0E60">
        <w:rPr>
          <w:rFonts w:ascii="Times New Roman" w:hAnsi="Times New Roman"/>
          <w:szCs w:val="24"/>
        </w:rPr>
        <w:t>The Commission agree</w:t>
      </w:r>
      <w:r w:rsidR="000D1A01" w:rsidRPr="00DF0E60">
        <w:rPr>
          <w:rFonts w:ascii="Times New Roman" w:hAnsi="Times New Roman"/>
          <w:szCs w:val="24"/>
        </w:rPr>
        <w:t>s</w:t>
      </w:r>
      <w:r w:rsidR="00EC289D" w:rsidRPr="00DF0E60">
        <w:rPr>
          <w:rFonts w:ascii="Times New Roman" w:hAnsi="Times New Roman"/>
          <w:szCs w:val="24"/>
        </w:rPr>
        <w:t xml:space="preserve"> that what matters is the content of a document</w:t>
      </w:r>
      <w:r w:rsidR="000D1A01" w:rsidRPr="00DF0E60">
        <w:rPr>
          <w:rFonts w:ascii="Times New Roman" w:hAnsi="Times New Roman"/>
          <w:szCs w:val="24"/>
        </w:rPr>
        <w:t xml:space="preserve"> and </w:t>
      </w:r>
      <w:r w:rsidR="002B3F52" w:rsidRPr="00DF0E60">
        <w:rPr>
          <w:rFonts w:ascii="Times New Roman" w:hAnsi="Times New Roman"/>
          <w:szCs w:val="24"/>
        </w:rPr>
        <w:t>recalls that according to Article 2(3) of th</w:t>
      </w:r>
      <w:r w:rsidR="00AF32B7" w:rsidRPr="00DF0E60">
        <w:rPr>
          <w:rFonts w:ascii="Times New Roman" w:hAnsi="Times New Roman"/>
          <w:szCs w:val="24"/>
        </w:rPr>
        <w:t xml:space="preserve">is </w:t>
      </w:r>
      <w:r w:rsidR="0065298E">
        <w:rPr>
          <w:rFonts w:ascii="Times New Roman" w:hAnsi="Times New Roman"/>
          <w:szCs w:val="24"/>
        </w:rPr>
        <w:t>r</w:t>
      </w:r>
      <w:r w:rsidR="002B3F52" w:rsidRPr="00DF0E60">
        <w:rPr>
          <w:rFonts w:ascii="Times New Roman" w:hAnsi="Times New Roman"/>
          <w:szCs w:val="24"/>
        </w:rPr>
        <w:t xml:space="preserve">egulation, the document </w:t>
      </w:r>
      <w:r w:rsidR="002E0666" w:rsidRPr="00DF0E60">
        <w:rPr>
          <w:rFonts w:ascii="Times New Roman" w:hAnsi="Times New Roman"/>
          <w:szCs w:val="24"/>
        </w:rPr>
        <w:t>must</w:t>
      </w:r>
      <w:r w:rsidR="002B3F52" w:rsidRPr="00DF0E60">
        <w:rPr>
          <w:rFonts w:ascii="Times New Roman" w:hAnsi="Times New Roman"/>
          <w:szCs w:val="24"/>
        </w:rPr>
        <w:t xml:space="preserve"> be in the possession of the</w:t>
      </w:r>
      <w:r w:rsidR="00AF32B7" w:rsidRPr="00DF0E60">
        <w:rPr>
          <w:rFonts w:ascii="Times New Roman" w:hAnsi="Times New Roman"/>
          <w:szCs w:val="24"/>
        </w:rPr>
        <w:t xml:space="preserve"> </w:t>
      </w:r>
      <w:r w:rsidR="002B3F52" w:rsidRPr="00DF0E60">
        <w:rPr>
          <w:rFonts w:ascii="Times New Roman" w:hAnsi="Times New Roman"/>
          <w:szCs w:val="24"/>
        </w:rPr>
        <w:t>institution</w:t>
      </w:r>
      <w:r w:rsidR="00AF32B7" w:rsidRPr="00DF0E60">
        <w:rPr>
          <w:rFonts w:ascii="Times New Roman" w:hAnsi="Times New Roman"/>
          <w:szCs w:val="24"/>
        </w:rPr>
        <w:t xml:space="preserve"> </w:t>
      </w:r>
      <w:r w:rsidR="002E0666" w:rsidRPr="00DF0E60">
        <w:rPr>
          <w:rFonts w:ascii="Times New Roman" w:hAnsi="Times New Roman"/>
          <w:szCs w:val="24"/>
        </w:rPr>
        <w:t>to</w:t>
      </w:r>
      <w:r w:rsidR="00AF32B7" w:rsidRPr="00DF0E60">
        <w:rPr>
          <w:rFonts w:ascii="Times New Roman" w:hAnsi="Times New Roman"/>
          <w:szCs w:val="24"/>
        </w:rPr>
        <w:t xml:space="preserve"> fall within the framework of </w:t>
      </w:r>
      <w:r w:rsidR="002E0666" w:rsidRPr="00DF0E60">
        <w:rPr>
          <w:rFonts w:ascii="Times New Roman" w:hAnsi="Times New Roman"/>
          <w:szCs w:val="24"/>
        </w:rPr>
        <w:t>this</w:t>
      </w:r>
      <w:r w:rsidR="00AF32B7" w:rsidRPr="00DF0E60">
        <w:rPr>
          <w:rFonts w:ascii="Times New Roman" w:hAnsi="Times New Roman"/>
          <w:szCs w:val="24"/>
        </w:rPr>
        <w:t xml:space="preserve"> </w:t>
      </w:r>
      <w:r w:rsidR="0065298E">
        <w:rPr>
          <w:rFonts w:ascii="Times New Roman" w:hAnsi="Times New Roman"/>
          <w:szCs w:val="24"/>
        </w:rPr>
        <w:t>r</w:t>
      </w:r>
      <w:r w:rsidR="00AF32B7" w:rsidRPr="00DF0E60">
        <w:rPr>
          <w:rFonts w:ascii="Times New Roman" w:hAnsi="Times New Roman"/>
          <w:szCs w:val="24"/>
        </w:rPr>
        <w:t>egulation</w:t>
      </w:r>
      <w:r w:rsidR="002B3F52" w:rsidRPr="00DF0E60">
        <w:rPr>
          <w:rFonts w:ascii="Times New Roman" w:hAnsi="Times New Roman"/>
          <w:szCs w:val="24"/>
        </w:rPr>
        <w:t>.</w:t>
      </w:r>
      <w:r w:rsidR="000D1A01" w:rsidRPr="00DF0E60">
        <w:rPr>
          <w:rFonts w:ascii="Times New Roman" w:hAnsi="Times New Roman"/>
          <w:szCs w:val="24"/>
        </w:rPr>
        <w:t xml:space="preserve"> </w:t>
      </w:r>
      <w:r w:rsidR="00973C91" w:rsidRPr="005B15FD">
        <w:rPr>
          <w:rFonts w:ascii="Times New Roman" w:hAnsi="Times New Roman"/>
          <w:szCs w:val="24"/>
        </w:rPr>
        <w:t xml:space="preserve">Any content whatever its medium may in principle constitute a ‘document’ under Regulation (EC) No 1049/2001, provided that: it concerns a matter relating to the policies, activities and decisions falling within the sphere of responsibility of the Commission, and </w:t>
      </w:r>
      <w:r w:rsidR="00973C91" w:rsidRPr="005B15FD">
        <w:rPr>
          <w:rFonts w:ascii="Times New Roman" w:hAnsi="Times New Roman"/>
          <w:bCs/>
          <w:szCs w:val="24"/>
          <w:lang w:val="en-US"/>
        </w:rPr>
        <w:t>it contains important information that is not short-lived or may involve action or follow-up by the European Commission or one of its departments</w:t>
      </w:r>
      <w:r w:rsidR="00973C91" w:rsidRPr="005B15FD">
        <w:rPr>
          <w:rFonts w:ascii="Times New Roman" w:hAnsi="Times New Roman"/>
          <w:szCs w:val="24"/>
        </w:rPr>
        <w:t>. The Commission has confirmed in its reply from 29 June 2022 to the Recommendation of the European Ombudsman that the search undertaken by the President’s cabinet for relevant text messages corresponding to the request for access to documents has not yielded any results.</w:t>
      </w:r>
    </w:p>
    <w:p w14:paraId="4C765E0C" w14:textId="41C80D6A" w:rsidR="00FE1306" w:rsidRPr="00FE1306" w:rsidRDefault="0015622B" w:rsidP="009B2A8B">
      <w:pPr>
        <w:widowControl w:val="0"/>
        <w:spacing w:after="120"/>
        <w:rPr>
          <w:rFonts w:ascii="Times New Roman" w:hAnsi="Times New Roman"/>
          <w:bCs/>
          <w:szCs w:val="24"/>
        </w:rPr>
      </w:pPr>
      <w:r w:rsidRPr="00AF047A">
        <w:rPr>
          <w:rFonts w:ascii="Times New Roman" w:hAnsi="Times New Roman"/>
          <w:szCs w:val="24"/>
        </w:rPr>
        <w:t>Regarding paragraph</w:t>
      </w:r>
      <w:r w:rsidR="00CC2400">
        <w:rPr>
          <w:rFonts w:ascii="Times New Roman" w:hAnsi="Times New Roman"/>
          <w:szCs w:val="24"/>
        </w:rPr>
        <w:t>s</w:t>
      </w:r>
      <w:r w:rsidRPr="00AF047A">
        <w:rPr>
          <w:rFonts w:ascii="Times New Roman" w:hAnsi="Times New Roman"/>
          <w:szCs w:val="24"/>
        </w:rPr>
        <w:t xml:space="preserve"> 4</w:t>
      </w:r>
      <w:r w:rsidR="00CC2400">
        <w:rPr>
          <w:rFonts w:ascii="Times New Roman" w:hAnsi="Times New Roman"/>
          <w:szCs w:val="24"/>
        </w:rPr>
        <w:t>, 5</w:t>
      </w:r>
      <w:r w:rsidR="00DF5C30">
        <w:rPr>
          <w:rFonts w:ascii="Times New Roman" w:hAnsi="Times New Roman"/>
          <w:szCs w:val="24"/>
        </w:rPr>
        <w:t>, 7</w:t>
      </w:r>
      <w:r w:rsidR="00CC2400">
        <w:rPr>
          <w:rFonts w:ascii="Times New Roman" w:hAnsi="Times New Roman"/>
          <w:szCs w:val="24"/>
        </w:rPr>
        <w:t xml:space="preserve"> and </w:t>
      </w:r>
      <w:r w:rsidR="00DF5C30">
        <w:rPr>
          <w:rFonts w:ascii="Times New Roman" w:hAnsi="Times New Roman"/>
          <w:szCs w:val="24"/>
        </w:rPr>
        <w:t>9</w:t>
      </w:r>
      <w:r w:rsidRPr="00AF047A">
        <w:rPr>
          <w:rFonts w:ascii="Times New Roman" w:hAnsi="Times New Roman"/>
          <w:szCs w:val="24"/>
        </w:rPr>
        <w:t xml:space="preserve"> </w:t>
      </w:r>
      <w:r w:rsidR="00DF1C1A" w:rsidRPr="00AF047A">
        <w:rPr>
          <w:rFonts w:ascii="Times New Roman" w:hAnsi="Times New Roman"/>
          <w:szCs w:val="24"/>
        </w:rPr>
        <w:t xml:space="preserve">on </w:t>
      </w:r>
      <w:r w:rsidR="00DF1C1A" w:rsidRPr="00AF047A">
        <w:rPr>
          <w:rFonts w:ascii="Times New Roman" w:hAnsi="Times New Roman"/>
          <w:bCs/>
          <w:szCs w:val="24"/>
        </w:rPr>
        <w:t>the delays the Commission takes to deal with requests for public access to documents</w:t>
      </w:r>
      <w:r w:rsidR="00DF1C1A">
        <w:rPr>
          <w:rFonts w:ascii="Times New Roman" w:hAnsi="Times New Roman"/>
          <w:bCs/>
          <w:szCs w:val="24"/>
        </w:rPr>
        <w:t xml:space="preserve">, </w:t>
      </w:r>
      <w:r w:rsidR="00DF1C1A">
        <w:rPr>
          <w:rFonts w:ascii="Times New Roman" w:hAnsi="Times New Roman"/>
          <w:szCs w:val="24"/>
        </w:rPr>
        <w:t>and the recommendation</w:t>
      </w:r>
      <w:r w:rsidR="002E5211">
        <w:rPr>
          <w:rFonts w:ascii="Times New Roman" w:hAnsi="Times New Roman"/>
          <w:szCs w:val="24"/>
        </w:rPr>
        <w:t>s</w:t>
      </w:r>
      <w:r w:rsidR="00DF1C1A">
        <w:rPr>
          <w:rFonts w:ascii="Times New Roman" w:hAnsi="Times New Roman"/>
          <w:szCs w:val="24"/>
        </w:rPr>
        <w:t xml:space="preserve"> in paragraph</w:t>
      </w:r>
      <w:r w:rsidR="002E5211">
        <w:rPr>
          <w:rFonts w:ascii="Times New Roman" w:hAnsi="Times New Roman"/>
          <w:szCs w:val="24"/>
        </w:rPr>
        <w:t>s</w:t>
      </w:r>
      <w:r w:rsidR="00DF1C1A">
        <w:rPr>
          <w:rFonts w:ascii="Times New Roman" w:hAnsi="Times New Roman"/>
          <w:szCs w:val="24"/>
        </w:rPr>
        <w:t xml:space="preserve"> 11</w:t>
      </w:r>
      <w:r w:rsidR="002E5211">
        <w:rPr>
          <w:rFonts w:ascii="Times New Roman" w:hAnsi="Times New Roman"/>
          <w:szCs w:val="24"/>
        </w:rPr>
        <w:t>, 13</w:t>
      </w:r>
      <w:r w:rsidR="00307ADA">
        <w:rPr>
          <w:rFonts w:ascii="Times New Roman" w:hAnsi="Times New Roman"/>
          <w:szCs w:val="24"/>
        </w:rPr>
        <w:t>, 14, 17</w:t>
      </w:r>
      <w:r w:rsidR="002E5211">
        <w:rPr>
          <w:rFonts w:ascii="Times New Roman" w:hAnsi="Times New Roman"/>
          <w:szCs w:val="24"/>
        </w:rPr>
        <w:t xml:space="preserve"> and 1</w:t>
      </w:r>
      <w:r w:rsidR="00307ADA">
        <w:rPr>
          <w:rFonts w:ascii="Times New Roman" w:hAnsi="Times New Roman"/>
          <w:szCs w:val="24"/>
        </w:rPr>
        <w:t>8</w:t>
      </w:r>
      <w:r w:rsidRPr="00AF047A">
        <w:rPr>
          <w:rFonts w:ascii="Times New Roman" w:hAnsi="Times New Roman"/>
          <w:bCs/>
          <w:szCs w:val="24"/>
        </w:rPr>
        <w:t>,</w:t>
      </w:r>
      <w:r w:rsidR="004A3C5D" w:rsidRPr="00AF047A">
        <w:rPr>
          <w:rFonts w:ascii="Times New Roman" w:hAnsi="Times New Roman"/>
          <w:szCs w:val="24"/>
        </w:rPr>
        <w:t xml:space="preserve"> </w:t>
      </w:r>
      <w:r w:rsidR="00AF047A">
        <w:rPr>
          <w:rFonts w:ascii="Times New Roman" w:hAnsi="Times New Roman"/>
          <w:szCs w:val="24"/>
        </w:rPr>
        <w:t>t</w:t>
      </w:r>
      <w:r w:rsidR="002039FE" w:rsidRPr="00AF047A">
        <w:rPr>
          <w:rFonts w:ascii="Times New Roman" w:hAnsi="Times New Roman"/>
          <w:szCs w:val="24"/>
        </w:rPr>
        <w:t>he Commission would like to reiterate that the European Ombudsman’s finding of maladministration concerns the confirmatory stage of the access to documents procedure, which represents only a limited part</w:t>
      </w:r>
      <w:r w:rsidR="00DF1C1A">
        <w:rPr>
          <w:rFonts w:ascii="Times New Roman" w:hAnsi="Times New Roman"/>
          <w:szCs w:val="24"/>
        </w:rPr>
        <w:t xml:space="preserve"> </w:t>
      </w:r>
      <w:r w:rsidR="002039FE" w:rsidRPr="00AF047A">
        <w:rPr>
          <w:rFonts w:ascii="Times New Roman" w:hAnsi="Times New Roman"/>
          <w:szCs w:val="24"/>
        </w:rPr>
        <w:t>of the total applications received by the Commission</w:t>
      </w:r>
      <w:r w:rsidR="00DF1C1A">
        <w:rPr>
          <w:rFonts w:ascii="Times New Roman" w:hAnsi="Times New Roman"/>
          <w:szCs w:val="24"/>
        </w:rPr>
        <w:t xml:space="preserve"> (</w:t>
      </w:r>
      <w:r w:rsidR="00EB62EA" w:rsidRPr="00EB62EA">
        <w:rPr>
          <w:rFonts w:ascii="Times New Roman" w:hAnsi="Times New Roman"/>
          <w:szCs w:val="24"/>
        </w:rPr>
        <w:t xml:space="preserve">4% in 2021 and </w:t>
      </w:r>
      <w:r w:rsidR="00DF1C1A" w:rsidRPr="00AF047A">
        <w:rPr>
          <w:rFonts w:ascii="Times New Roman" w:hAnsi="Times New Roman"/>
          <w:szCs w:val="24"/>
        </w:rPr>
        <w:t>5% in 2022</w:t>
      </w:r>
      <w:r w:rsidR="00DF1C1A">
        <w:rPr>
          <w:rFonts w:ascii="Times New Roman" w:hAnsi="Times New Roman"/>
          <w:szCs w:val="24"/>
        </w:rPr>
        <w:t>)</w:t>
      </w:r>
      <w:r w:rsidR="002039FE" w:rsidRPr="00AF047A">
        <w:rPr>
          <w:rFonts w:ascii="Times New Roman" w:hAnsi="Times New Roman"/>
          <w:szCs w:val="24"/>
        </w:rPr>
        <w:t>.</w:t>
      </w:r>
      <w:r w:rsidR="00AF047A" w:rsidRPr="00AF047A">
        <w:rPr>
          <w:rFonts w:ascii="Times New Roman" w:hAnsi="Times New Roman"/>
          <w:szCs w:val="24"/>
        </w:rPr>
        <w:t xml:space="preserve"> </w:t>
      </w:r>
      <w:r w:rsidR="00AF047A" w:rsidRPr="00AF047A">
        <w:rPr>
          <w:rFonts w:ascii="Times New Roman" w:hAnsi="Times New Roman"/>
          <w:bCs/>
          <w:szCs w:val="24"/>
        </w:rPr>
        <w:t>The Commission would like to underline that, as recognised by the</w:t>
      </w:r>
      <w:r w:rsidR="00DF1C1A">
        <w:rPr>
          <w:rFonts w:ascii="Times New Roman" w:hAnsi="Times New Roman"/>
          <w:bCs/>
          <w:szCs w:val="24"/>
        </w:rPr>
        <w:t xml:space="preserve"> European</w:t>
      </w:r>
      <w:r w:rsidR="00AF047A" w:rsidRPr="00AF047A">
        <w:rPr>
          <w:rFonts w:ascii="Times New Roman" w:hAnsi="Times New Roman"/>
          <w:bCs/>
          <w:szCs w:val="24"/>
        </w:rPr>
        <w:t xml:space="preserve"> Ombudsman, most </w:t>
      </w:r>
      <w:r w:rsidR="004424F8">
        <w:rPr>
          <w:rFonts w:ascii="Times New Roman" w:hAnsi="Times New Roman"/>
          <w:bCs/>
          <w:szCs w:val="24"/>
        </w:rPr>
        <w:t xml:space="preserve">applications </w:t>
      </w:r>
      <w:r w:rsidR="00AF047A" w:rsidRPr="00AF047A">
        <w:rPr>
          <w:rFonts w:ascii="Times New Roman" w:hAnsi="Times New Roman"/>
          <w:bCs/>
          <w:szCs w:val="24"/>
        </w:rPr>
        <w:t xml:space="preserve">for access to documents submitted to the Commission were handled in a timely manner. </w:t>
      </w:r>
      <w:r w:rsidR="00DF1C1A">
        <w:rPr>
          <w:rFonts w:ascii="Times New Roman" w:hAnsi="Times New Roman"/>
          <w:bCs/>
          <w:szCs w:val="24"/>
        </w:rPr>
        <w:t>Indeed, t</w:t>
      </w:r>
      <w:r w:rsidR="00AF047A" w:rsidRPr="00AF047A">
        <w:rPr>
          <w:rFonts w:ascii="Times New Roman" w:hAnsi="Times New Roman"/>
          <w:bCs/>
          <w:szCs w:val="24"/>
        </w:rPr>
        <w:t xml:space="preserve">he Commission welcomes the </w:t>
      </w:r>
      <w:r w:rsidR="00DF1C1A">
        <w:rPr>
          <w:rFonts w:ascii="Times New Roman" w:hAnsi="Times New Roman"/>
          <w:bCs/>
          <w:szCs w:val="24"/>
        </w:rPr>
        <w:t xml:space="preserve">European </w:t>
      </w:r>
      <w:r w:rsidR="00AF047A" w:rsidRPr="00AF047A">
        <w:rPr>
          <w:rFonts w:ascii="Times New Roman" w:hAnsi="Times New Roman"/>
          <w:bCs/>
          <w:szCs w:val="24"/>
        </w:rPr>
        <w:t xml:space="preserve">Ombudsman’s statement that in the vast majority of initial </w:t>
      </w:r>
      <w:r w:rsidR="00EB62EA">
        <w:rPr>
          <w:rFonts w:ascii="Times New Roman" w:hAnsi="Times New Roman"/>
          <w:bCs/>
          <w:szCs w:val="24"/>
        </w:rPr>
        <w:t>application</w:t>
      </w:r>
      <w:r w:rsidR="00AF047A" w:rsidRPr="00AF047A">
        <w:rPr>
          <w:rFonts w:ascii="Times New Roman" w:hAnsi="Times New Roman"/>
          <w:bCs/>
          <w:szCs w:val="24"/>
        </w:rPr>
        <w:t>s for access to documents, the</w:t>
      </w:r>
      <w:r w:rsidR="008F084D">
        <w:rPr>
          <w:rFonts w:ascii="Times New Roman" w:hAnsi="Times New Roman"/>
          <w:bCs/>
          <w:szCs w:val="24"/>
        </w:rPr>
        <w:t xml:space="preserve"> maximum</w:t>
      </w:r>
      <w:r w:rsidR="00AF047A" w:rsidRPr="00AF047A">
        <w:rPr>
          <w:rFonts w:ascii="Times New Roman" w:hAnsi="Times New Roman"/>
          <w:bCs/>
          <w:szCs w:val="24"/>
        </w:rPr>
        <w:t xml:space="preserve"> time limit of 30 working days was met. </w:t>
      </w:r>
      <w:r w:rsidR="00EB62EA">
        <w:rPr>
          <w:rFonts w:ascii="Times New Roman" w:hAnsi="Times New Roman"/>
          <w:bCs/>
          <w:szCs w:val="24"/>
        </w:rPr>
        <w:t>T</w:t>
      </w:r>
      <w:r w:rsidR="00AF047A" w:rsidRPr="00AF047A">
        <w:rPr>
          <w:rFonts w:ascii="Times New Roman" w:hAnsi="Times New Roman"/>
          <w:bCs/>
          <w:szCs w:val="24"/>
        </w:rPr>
        <w:t xml:space="preserve">he average duration (in working days) for the Commission to take a decision on initial </w:t>
      </w:r>
      <w:r w:rsidR="00EB62EA">
        <w:rPr>
          <w:rFonts w:ascii="Times New Roman" w:hAnsi="Times New Roman"/>
          <w:bCs/>
          <w:szCs w:val="24"/>
        </w:rPr>
        <w:t>application</w:t>
      </w:r>
      <w:r w:rsidR="00AF047A" w:rsidRPr="00AF047A">
        <w:rPr>
          <w:rFonts w:ascii="Times New Roman" w:hAnsi="Times New Roman"/>
          <w:bCs/>
          <w:szCs w:val="24"/>
        </w:rPr>
        <w:t xml:space="preserve">s for public access in 2021 was 20 days, which is fully in line with deadlines provided for under Regulation </w:t>
      </w:r>
      <w:r w:rsidR="005D6773">
        <w:rPr>
          <w:rFonts w:ascii="Times New Roman" w:hAnsi="Times New Roman"/>
          <w:bCs/>
          <w:szCs w:val="24"/>
        </w:rPr>
        <w:t xml:space="preserve">(EC) No </w:t>
      </w:r>
      <w:r w:rsidR="00AF047A" w:rsidRPr="00AF047A">
        <w:rPr>
          <w:rFonts w:ascii="Times New Roman" w:hAnsi="Times New Roman"/>
          <w:bCs/>
          <w:szCs w:val="24"/>
        </w:rPr>
        <w:t>1049/2001.</w:t>
      </w:r>
      <w:r w:rsidR="004668F6">
        <w:rPr>
          <w:rFonts w:ascii="Times New Roman" w:hAnsi="Times New Roman"/>
          <w:bCs/>
          <w:szCs w:val="24"/>
        </w:rPr>
        <w:t xml:space="preserve"> The Commission underlines that it receives on average more than 7000 initial requests for access to documents every year, </w:t>
      </w:r>
      <w:r w:rsidR="003A6FA6">
        <w:rPr>
          <w:rFonts w:ascii="Times New Roman" w:hAnsi="Times New Roman"/>
          <w:bCs/>
          <w:szCs w:val="24"/>
        </w:rPr>
        <w:t>i.</w:t>
      </w:r>
      <w:r w:rsidR="004668F6">
        <w:rPr>
          <w:rFonts w:ascii="Times New Roman" w:hAnsi="Times New Roman"/>
          <w:bCs/>
          <w:szCs w:val="24"/>
        </w:rPr>
        <w:t xml:space="preserve">e., more than 30 applications per working day, which represents an important workload for all Commission services. </w:t>
      </w:r>
      <w:r w:rsidR="00D92147">
        <w:rPr>
          <w:rFonts w:ascii="Times New Roman" w:hAnsi="Times New Roman"/>
          <w:bCs/>
          <w:szCs w:val="24"/>
        </w:rPr>
        <w:t>Moreover, t</w:t>
      </w:r>
      <w:r w:rsidR="00FE1306" w:rsidRPr="00FE1306">
        <w:rPr>
          <w:rFonts w:ascii="Times New Roman" w:hAnsi="Times New Roman"/>
          <w:bCs/>
          <w:szCs w:val="24"/>
        </w:rPr>
        <w:t xml:space="preserve">he documents requested or (partially) disclosed </w:t>
      </w:r>
      <w:r w:rsidR="00D92147">
        <w:rPr>
          <w:rFonts w:ascii="Times New Roman" w:hAnsi="Times New Roman"/>
          <w:bCs/>
          <w:szCs w:val="24"/>
        </w:rPr>
        <w:t xml:space="preserve">are </w:t>
      </w:r>
      <w:r w:rsidR="003B3523">
        <w:rPr>
          <w:rFonts w:ascii="Times New Roman" w:hAnsi="Times New Roman"/>
          <w:bCs/>
          <w:szCs w:val="24"/>
        </w:rPr>
        <w:t>even</w:t>
      </w:r>
      <w:r w:rsidR="00FE1306" w:rsidRPr="00FE1306">
        <w:rPr>
          <w:rFonts w:ascii="Times New Roman" w:hAnsi="Times New Roman"/>
          <w:bCs/>
          <w:szCs w:val="24"/>
        </w:rPr>
        <w:t xml:space="preserve"> more numerous because individual applications may concern several documents or even entire files concerning a specific subject or procedure.</w:t>
      </w:r>
      <w:r w:rsidR="003B3523">
        <w:rPr>
          <w:rFonts w:ascii="Times New Roman" w:hAnsi="Times New Roman"/>
          <w:bCs/>
          <w:szCs w:val="24"/>
        </w:rPr>
        <w:t xml:space="preserve"> In case of insufficiently precise or excessive applications, the Commission also has to confer </w:t>
      </w:r>
      <w:r w:rsidR="003B3523" w:rsidRPr="003B3523">
        <w:rPr>
          <w:rFonts w:ascii="Times New Roman" w:hAnsi="Times New Roman"/>
          <w:bCs/>
          <w:szCs w:val="24"/>
        </w:rPr>
        <w:t>with applicant</w:t>
      </w:r>
      <w:r w:rsidR="00AD2B0D">
        <w:rPr>
          <w:rFonts w:ascii="Times New Roman" w:hAnsi="Times New Roman"/>
          <w:bCs/>
          <w:szCs w:val="24"/>
        </w:rPr>
        <w:t>s</w:t>
      </w:r>
      <w:r w:rsidR="003B3523">
        <w:rPr>
          <w:rFonts w:ascii="Times New Roman" w:hAnsi="Times New Roman"/>
          <w:bCs/>
          <w:szCs w:val="24"/>
        </w:rPr>
        <w:t xml:space="preserve"> in accordance with Articles 6(2) and 6(3) of </w:t>
      </w:r>
      <w:r w:rsidR="003B3523" w:rsidRPr="00AF047A">
        <w:rPr>
          <w:rFonts w:ascii="Times New Roman" w:hAnsi="Times New Roman"/>
          <w:bCs/>
          <w:szCs w:val="24"/>
        </w:rPr>
        <w:t xml:space="preserve">Regulation </w:t>
      </w:r>
      <w:r w:rsidR="003B3523">
        <w:rPr>
          <w:rFonts w:ascii="Times New Roman" w:hAnsi="Times New Roman"/>
          <w:bCs/>
          <w:szCs w:val="24"/>
        </w:rPr>
        <w:t xml:space="preserve">(EC) No </w:t>
      </w:r>
      <w:r w:rsidR="003B3523" w:rsidRPr="00AF047A">
        <w:rPr>
          <w:rFonts w:ascii="Times New Roman" w:hAnsi="Times New Roman"/>
          <w:bCs/>
          <w:szCs w:val="24"/>
        </w:rPr>
        <w:t>1049/2001</w:t>
      </w:r>
      <w:r w:rsidR="003B3523">
        <w:rPr>
          <w:rFonts w:ascii="Times New Roman" w:hAnsi="Times New Roman"/>
          <w:bCs/>
          <w:szCs w:val="24"/>
        </w:rPr>
        <w:t>.</w:t>
      </w:r>
    </w:p>
    <w:p w14:paraId="0BFC806F" w14:textId="7B2C5549" w:rsidR="00307ADA" w:rsidRPr="00F61946" w:rsidRDefault="00AF047A" w:rsidP="009B2A8B">
      <w:pPr>
        <w:widowControl w:val="0"/>
        <w:spacing w:after="120"/>
        <w:rPr>
          <w:rFonts w:ascii="Times New Roman" w:hAnsi="Times New Roman"/>
          <w:bCs/>
          <w:szCs w:val="24"/>
        </w:rPr>
      </w:pPr>
      <w:r w:rsidRPr="00F61946">
        <w:rPr>
          <w:rFonts w:ascii="Times New Roman" w:hAnsi="Times New Roman"/>
          <w:szCs w:val="24"/>
        </w:rPr>
        <w:t>Furthermore, regarding paragraph</w:t>
      </w:r>
      <w:r w:rsidR="00CC2400" w:rsidRPr="00F61946">
        <w:rPr>
          <w:rFonts w:ascii="Times New Roman" w:hAnsi="Times New Roman"/>
          <w:szCs w:val="24"/>
        </w:rPr>
        <w:t>s</w:t>
      </w:r>
      <w:r w:rsidRPr="00F61946">
        <w:rPr>
          <w:rFonts w:ascii="Times New Roman" w:hAnsi="Times New Roman"/>
          <w:szCs w:val="24"/>
        </w:rPr>
        <w:t xml:space="preserve"> 4</w:t>
      </w:r>
      <w:r w:rsidR="00CC2400" w:rsidRPr="00F61946">
        <w:rPr>
          <w:rFonts w:ascii="Times New Roman" w:hAnsi="Times New Roman"/>
          <w:szCs w:val="24"/>
        </w:rPr>
        <w:t>, 5</w:t>
      </w:r>
      <w:r w:rsidR="00DF5C30" w:rsidRPr="00F61946">
        <w:rPr>
          <w:rFonts w:ascii="Times New Roman" w:hAnsi="Times New Roman"/>
          <w:szCs w:val="24"/>
        </w:rPr>
        <w:t>, 7</w:t>
      </w:r>
      <w:r w:rsidR="00CC2400" w:rsidRPr="00F61946">
        <w:rPr>
          <w:rFonts w:ascii="Times New Roman" w:hAnsi="Times New Roman"/>
          <w:szCs w:val="24"/>
        </w:rPr>
        <w:t xml:space="preserve"> and </w:t>
      </w:r>
      <w:r w:rsidR="00DF5C30" w:rsidRPr="00F61946">
        <w:rPr>
          <w:rFonts w:ascii="Times New Roman" w:hAnsi="Times New Roman"/>
          <w:szCs w:val="24"/>
        </w:rPr>
        <w:t>9</w:t>
      </w:r>
      <w:r w:rsidRPr="00F61946">
        <w:rPr>
          <w:rFonts w:ascii="Times New Roman" w:hAnsi="Times New Roman"/>
          <w:szCs w:val="24"/>
        </w:rPr>
        <w:t xml:space="preserve">, </w:t>
      </w:r>
      <w:r w:rsidR="00DF1C1A" w:rsidRPr="00F61946">
        <w:rPr>
          <w:rFonts w:ascii="Times New Roman" w:hAnsi="Times New Roman"/>
          <w:szCs w:val="24"/>
        </w:rPr>
        <w:t>and the recommendation</w:t>
      </w:r>
      <w:r w:rsidR="002E5211" w:rsidRPr="00F61946">
        <w:rPr>
          <w:rFonts w:ascii="Times New Roman" w:hAnsi="Times New Roman"/>
          <w:szCs w:val="24"/>
        </w:rPr>
        <w:t>s</w:t>
      </w:r>
      <w:r w:rsidR="00DF1C1A" w:rsidRPr="00F61946">
        <w:rPr>
          <w:rFonts w:ascii="Times New Roman" w:hAnsi="Times New Roman"/>
          <w:szCs w:val="24"/>
        </w:rPr>
        <w:t xml:space="preserve"> in paragraph</w:t>
      </w:r>
      <w:r w:rsidR="002E5211" w:rsidRPr="00F61946">
        <w:rPr>
          <w:rFonts w:ascii="Times New Roman" w:hAnsi="Times New Roman"/>
          <w:szCs w:val="24"/>
        </w:rPr>
        <w:t>s</w:t>
      </w:r>
      <w:r w:rsidR="00DF1C1A" w:rsidRPr="00F61946">
        <w:rPr>
          <w:rFonts w:ascii="Times New Roman" w:hAnsi="Times New Roman"/>
          <w:szCs w:val="24"/>
        </w:rPr>
        <w:t xml:space="preserve"> 11</w:t>
      </w:r>
      <w:r w:rsidR="002E5211" w:rsidRPr="00F61946">
        <w:rPr>
          <w:rFonts w:ascii="Times New Roman" w:hAnsi="Times New Roman"/>
          <w:szCs w:val="24"/>
        </w:rPr>
        <w:t>, 13</w:t>
      </w:r>
      <w:r w:rsidR="00307ADA" w:rsidRPr="00F61946">
        <w:rPr>
          <w:rFonts w:ascii="Times New Roman" w:hAnsi="Times New Roman"/>
          <w:szCs w:val="24"/>
        </w:rPr>
        <w:t xml:space="preserve">, 14, 17 </w:t>
      </w:r>
      <w:r w:rsidR="002E5211" w:rsidRPr="00F61946">
        <w:rPr>
          <w:rFonts w:ascii="Times New Roman" w:hAnsi="Times New Roman"/>
          <w:szCs w:val="24"/>
        </w:rPr>
        <w:t>and 1</w:t>
      </w:r>
      <w:r w:rsidR="00307ADA" w:rsidRPr="00F61946">
        <w:rPr>
          <w:rFonts w:ascii="Times New Roman" w:hAnsi="Times New Roman"/>
          <w:szCs w:val="24"/>
        </w:rPr>
        <w:t>8</w:t>
      </w:r>
      <w:r w:rsidR="00DF1C1A" w:rsidRPr="00F61946">
        <w:rPr>
          <w:rFonts w:ascii="Times New Roman" w:hAnsi="Times New Roman"/>
          <w:bCs/>
          <w:szCs w:val="24"/>
        </w:rPr>
        <w:t xml:space="preserve">, </w:t>
      </w:r>
      <w:r w:rsidRPr="00F61946">
        <w:rPr>
          <w:rFonts w:ascii="Times New Roman" w:hAnsi="Times New Roman"/>
          <w:szCs w:val="24"/>
        </w:rPr>
        <w:t xml:space="preserve">the Commission receives the highest number of applications for public access to documents of all the institutions. This trend is confirmed in the annual report for the year 2022. The number of initial applications received by the Commission in 2022 reached 7410. As regards confirmatory applications requesting a review by the Commission of initial replies fully or partially refusing access, their number reached 418 in 2022. According to the </w:t>
      </w:r>
      <w:r w:rsidR="008F63E0">
        <w:rPr>
          <w:rFonts w:ascii="Times New Roman" w:hAnsi="Times New Roman"/>
          <w:szCs w:val="24"/>
        </w:rPr>
        <w:t xml:space="preserve">most recent </w:t>
      </w:r>
      <w:r w:rsidRPr="00F61946">
        <w:rPr>
          <w:rFonts w:ascii="Times New Roman" w:hAnsi="Times New Roman"/>
          <w:szCs w:val="24"/>
        </w:rPr>
        <w:t>statistics, the</w:t>
      </w:r>
      <w:r w:rsidRPr="00F61946">
        <w:rPr>
          <w:rFonts w:ascii="Times New Roman" w:hAnsi="Times New Roman"/>
          <w:szCs w:val="24"/>
          <w:lang w:val="en-IE"/>
        </w:rPr>
        <w:t xml:space="preserve"> number of applications registered in 2023 reached 7274 at the initial stage and 599 at the confirmatory stage, which reflects a striking increase of more than 43% compared </w:t>
      </w:r>
      <w:r w:rsidR="004D7A73">
        <w:rPr>
          <w:rFonts w:ascii="Times New Roman" w:hAnsi="Times New Roman"/>
          <w:szCs w:val="24"/>
          <w:lang w:val="en-IE"/>
        </w:rPr>
        <w:t>with</w:t>
      </w:r>
      <w:r w:rsidRPr="00F61946">
        <w:rPr>
          <w:rFonts w:ascii="Times New Roman" w:hAnsi="Times New Roman"/>
          <w:szCs w:val="24"/>
          <w:lang w:val="en-IE"/>
        </w:rPr>
        <w:t xml:space="preserve"> the confirmatory applications received in 2022</w:t>
      </w:r>
      <w:r w:rsidRPr="00F61946">
        <w:rPr>
          <w:rFonts w:ascii="Times New Roman" w:hAnsi="Times New Roman"/>
          <w:szCs w:val="24"/>
        </w:rPr>
        <w:t xml:space="preserve">. </w:t>
      </w:r>
      <w:r w:rsidRPr="00F61946">
        <w:rPr>
          <w:rFonts w:ascii="Times New Roman" w:hAnsi="Times New Roman"/>
          <w:bCs/>
          <w:szCs w:val="24"/>
        </w:rPr>
        <w:t xml:space="preserve">Dealing with an ever-increasing number </w:t>
      </w:r>
      <w:r w:rsidR="00C1370C" w:rsidRPr="00F61946">
        <w:rPr>
          <w:rFonts w:ascii="Times New Roman" w:hAnsi="Times New Roman"/>
          <w:bCs/>
          <w:szCs w:val="24"/>
        </w:rPr>
        <w:t xml:space="preserve">and complexity </w:t>
      </w:r>
      <w:r w:rsidRPr="00F61946">
        <w:rPr>
          <w:rFonts w:ascii="Times New Roman" w:hAnsi="Times New Roman"/>
          <w:bCs/>
          <w:szCs w:val="24"/>
        </w:rPr>
        <w:t xml:space="preserve">of </w:t>
      </w:r>
      <w:r w:rsidR="00C1370C" w:rsidRPr="00F61946">
        <w:rPr>
          <w:rFonts w:ascii="Times New Roman" w:hAnsi="Times New Roman"/>
          <w:bCs/>
          <w:szCs w:val="24"/>
        </w:rPr>
        <w:t>applications l</w:t>
      </w:r>
      <w:r w:rsidRPr="00F61946">
        <w:rPr>
          <w:rFonts w:ascii="Times New Roman" w:hAnsi="Times New Roman"/>
          <w:bCs/>
          <w:szCs w:val="24"/>
        </w:rPr>
        <w:t>ogically poses some challenges for any public administration.</w:t>
      </w:r>
      <w:r w:rsidR="0017589F" w:rsidRPr="00F61946">
        <w:rPr>
          <w:rFonts w:ascii="Times New Roman" w:hAnsi="Times New Roman"/>
          <w:bCs/>
          <w:szCs w:val="24"/>
        </w:rPr>
        <w:t xml:space="preserve"> </w:t>
      </w:r>
      <w:r w:rsidR="002E5211" w:rsidRPr="00F61946">
        <w:rPr>
          <w:rFonts w:ascii="Times New Roman" w:hAnsi="Times New Roman"/>
          <w:szCs w:val="24"/>
        </w:rPr>
        <w:t xml:space="preserve">The Commission has already provided detailed elements in response to the European Ombudsman’s strategic inquiry OI/2/2022/OAM. </w:t>
      </w:r>
      <w:r w:rsidR="00C1370C" w:rsidRPr="00F61946">
        <w:rPr>
          <w:rFonts w:ascii="Times New Roman" w:hAnsi="Times New Roman"/>
          <w:bCs/>
          <w:szCs w:val="24"/>
        </w:rPr>
        <w:t>The Commission welcomes most of the European Ombudsman’s recommendations that largely correspond to its current practices.</w:t>
      </w:r>
      <w:r w:rsidR="0017589F" w:rsidRPr="00F61946">
        <w:rPr>
          <w:rFonts w:ascii="Times New Roman" w:hAnsi="Times New Roman"/>
          <w:bCs/>
          <w:szCs w:val="24"/>
        </w:rPr>
        <w:t xml:space="preserve"> </w:t>
      </w:r>
      <w:r w:rsidR="00C1370C" w:rsidRPr="00F61946">
        <w:rPr>
          <w:rFonts w:ascii="Times New Roman" w:hAnsi="Times New Roman"/>
          <w:bCs/>
          <w:szCs w:val="24"/>
        </w:rPr>
        <w:t xml:space="preserve">The Commission is aware </w:t>
      </w:r>
      <w:r w:rsidR="00C1370C" w:rsidRPr="00F61946">
        <w:rPr>
          <w:rFonts w:ascii="Times New Roman" w:hAnsi="Times New Roman"/>
          <w:bCs/>
          <w:szCs w:val="24"/>
        </w:rPr>
        <w:lastRenderedPageBreak/>
        <w:t xml:space="preserve">that certain delays occur at </w:t>
      </w:r>
      <w:r w:rsidR="004D7A73">
        <w:rPr>
          <w:rFonts w:ascii="Times New Roman" w:hAnsi="Times New Roman"/>
          <w:bCs/>
          <w:szCs w:val="24"/>
        </w:rPr>
        <w:t>the</w:t>
      </w:r>
      <w:r w:rsidR="00C1370C" w:rsidRPr="00F61946">
        <w:rPr>
          <w:rFonts w:ascii="Times New Roman" w:hAnsi="Times New Roman"/>
          <w:bCs/>
          <w:szCs w:val="24"/>
        </w:rPr>
        <w:t xml:space="preserve"> confirmatory stage due to the complexity and sensitivity of the </w:t>
      </w:r>
      <w:r w:rsidR="004D7A73">
        <w:rPr>
          <w:rFonts w:ascii="Times New Roman" w:hAnsi="Times New Roman"/>
          <w:bCs/>
          <w:szCs w:val="24"/>
        </w:rPr>
        <w:t xml:space="preserve">requested </w:t>
      </w:r>
      <w:r w:rsidR="00C1370C" w:rsidRPr="00F61946">
        <w:rPr>
          <w:rFonts w:ascii="Times New Roman" w:hAnsi="Times New Roman"/>
          <w:bCs/>
          <w:szCs w:val="24"/>
        </w:rPr>
        <w:t>document</w:t>
      </w:r>
      <w:r w:rsidR="004D7A73">
        <w:rPr>
          <w:rFonts w:ascii="Times New Roman" w:hAnsi="Times New Roman"/>
          <w:bCs/>
          <w:szCs w:val="24"/>
        </w:rPr>
        <w:t>s</w:t>
      </w:r>
      <w:r w:rsidR="00C1370C" w:rsidRPr="00F61946">
        <w:rPr>
          <w:rFonts w:ascii="Times New Roman" w:hAnsi="Times New Roman"/>
          <w:bCs/>
          <w:szCs w:val="24"/>
        </w:rPr>
        <w:t xml:space="preserve">, </w:t>
      </w:r>
      <w:r w:rsidR="00D4270A">
        <w:rPr>
          <w:rFonts w:ascii="Times New Roman" w:hAnsi="Times New Roman"/>
          <w:bCs/>
          <w:szCs w:val="24"/>
        </w:rPr>
        <w:t>as well as to</w:t>
      </w:r>
      <w:r w:rsidR="00C1370C" w:rsidRPr="00F61946">
        <w:rPr>
          <w:rFonts w:ascii="Times New Roman" w:hAnsi="Times New Roman"/>
          <w:bCs/>
          <w:szCs w:val="24"/>
        </w:rPr>
        <w:t xml:space="preserve"> the sheer number of documents requested by applicants and their volume. In this respect, the Commission has already reinforced the team in charge of confirmatory applications</w:t>
      </w:r>
      <w:r w:rsidR="004668F6">
        <w:rPr>
          <w:rFonts w:ascii="Times New Roman" w:hAnsi="Times New Roman"/>
          <w:bCs/>
          <w:szCs w:val="24"/>
        </w:rPr>
        <w:t xml:space="preserve"> within its Secretariat-General</w:t>
      </w:r>
      <w:r w:rsidR="00C1370C" w:rsidRPr="00F61946">
        <w:rPr>
          <w:rFonts w:ascii="Times New Roman" w:hAnsi="Times New Roman"/>
          <w:bCs/>
          <w:szCs w:val="24"/>
        </w:rPr>
        <w:t>.</w:t>
      </w:r>
      <w:r w:rsidR="00307ADA" w:rsidRPr="00F61946">
        <w:rPr>
          <w:rFonts w:ascii="Times New Roman" w:hAnsi="Times New Roman"/>
          <w:bCs/>
          <w:szCs w:val="24"/>
        </w:rPr>
        <w:t xml:space="preserve"> </w:t>
      </w:r>
      <w:r w:rsidR="00F61946" w:rsidRPr="00F61946">
        <w:rPr>
          <w:rFonts w:ascii="Times New Roman" w:hAnsi="Times New Roman"/>
          <w:bCs/>
          <w:szCs w:val="24"/>
        </w:rPr>
        <w:t>Building on a good record of proactive publication in relation, for example, to the Brexit or trade negotiations, the documents related to the purchase of vaccines against COVID-19 or to the Recovery and Resilience Facility</w:t>
      </w:r>
      <w:r w:rsidR="00307ADA" w:rsidRPr="00F61946">
        <w:rPr>
          <w:rFonts w:ascii="Times New Roman" w:hAnsi="Times New Roman"/>
          <w:bCs/>
          <w:szCs w:val="24"/>
        </w:rPr>
        <w:t>, the Commission will continue to proactively anticipate public interest and publish all necessary information on its websites and multiple registers.</w:t>
      </w:r>
    </w:p>
    <w:p w14:paraId="1A385DBF" w14:textId="42FDF8AF" w:rsidR="009E4126" w:rsidRPr="00DF5C30" w:rsidRDefault="00CC2400" w:rsidP="009B2A8B">
      <w:pPr>
        <w:widowControl w:val="0"/>
        <w:spacing w:after="120"/>
        <w:rPr>
          <w:rFonts w:ascii="Times New Roman" w:hAnsi="Times New Roman"/>
          <w:bCs/>
          <w:szCs w:val="24"/>
        </w:rPr>
      </w:pPr>
      <w:r>
        <w:rPr>
          <w:rFonts w:ascii="Times New Roman" w:hAnsi="Times New Roman"/>
          <w:bCs/>
          <w:szCs w:val="24"/>
        </w:rPr>
        <w:t xml:space="preserve">Regarding paragraph 8 on the use of exceptions laid down in Article 4 </w:t>
      </w:r>
      <w:r w:rsidRPr="00CC2400">
        <w:rPr>
          <w:rFonts w:ascii="Times New Roman" w:hAnsi="Times New Roman"/>
          <w:bCs/>
          <w:szCs w:val="24"/>
        </w:rPr>
        <w:t>of Regulation (EC) No 1049/2001</w:t>
      </w:r>
      <w:r>
        <w:rPr>
          <w:rFonts w:ascii="Times New Roman" w:hAnsi="Times New Roman"/>
          <w:szCs w:val="24"/>
        </w:rPr>
        <w:t>, t</w:t>
      </w:r>
      <w:r w:rsidRPr="0015622B">
        <w:rPr>
          <w:rFonts w:ascii="Times New Roman" w:hAnsi="Times New Roman"/>
          <w:szCs w:val="24"/>
        </w:rPr>
        <w:t>he statistics confirm the strict interpretation of the exceptions by the Commission</w:t>
      </w:r>
      <w:r w:rsidR="00D4270A">
        <w:rPr>
          <w:rFonts w:ascii="Times New Roman" w:hAnsi="Times New Roman"/>
          <w:szCs w:val="24"/>
        </w:rPr>
        <w:t>,</w:t>
      </w:r>
      <w:r w:rsidRPr="0015622B">
        <w:rPr>
          <w:rFonts w:ascii="Times New Roman" w:hAnsi="Times New Roman"/>
          <w:szCs w:val="24"/>
        </w:rPr>
        <w:t xml:space="preserve"> as requested documents were fully or partially disclosed in more than 77% of the cases at the initial stage and wider or even full access was granted in more than a half of the cases reviewed at the confirmatory stage</w:t>
      </w:r>
      <w:r>
        <w:rPr>
          <w:rFonts w:ascii="Times New Roman" w:hAnsi="Times New Roman"/>
          <w:szCs w:val="24"/>
        </w:rPr>
        <w:t xml:space="preserve"> in 2022</w:t>
      </w:r>
      <w:r w:rsidRPr="0015622B">
        <w:rPr>
          <w:rFonts w:ascii="Times New Roman" w:hAnsi="Times New Roman"/>
          <w:szCs w:val="24"/>
        </w:rPr>
        <w:t xml:space="preserve">. The data not only confirm the openness of the Commission, but also the commitment of the institution to the right of access to documents as part of its overall transparency policy. </w:t>
      </w:r>
      <w:r w:rsidR="00417FB9">
        <w:rPr>
          <w:rFonts w:ascii="Times New Roman" w:hAnsi="Times New Roman"/>
          <w:szCs w:val="24"/>
        </w:rPr>
        <w:t>T</w:t>
      </w:r>
      <w:r w:rsidRPr="0015622B">
        <w:rPr>
          <w:rFonts w:ascii="Times New Roman" w:hAnsi="Times New Roman"/>
          <w:szCs w:val="24"/>
        </w:rPr>
        <w:t xml:space="preserve">he Commission would </w:t>
      </w:r>
      <w:r w:rsidR="00417FB9">
        <w:rPr>
          <w:rFonts w:ascii="Times New Roman" w:hAnsi="Times New Roman"/>
          <w:szCs w:val="24"/>
        </w:rPr>
        <w:t xml:space="preserve">also </w:t>
      </w:r>
      <w:r w:rsidRPr="0015622B">
        <w:rPr>
          <w:rFonts w:ascii="Times New Roman" w:hAnsi="Times New Roman"/>
          <w:szCs w:val="24"/>
        </w:rPr>
        <w:t xml:space="preserve">like to stress that the applicants are duly notified regarding the available remedies. In this respect, it is noteworthy that, in 2022, the European Ombudsman found instances of maladministration in only two of the 44 closed cases. In the same vein, in 2022, the General Court handed down 26 judgments or orders in proceedings to which the Commission was a party in relation to decisions concerning the right of public access to documents and it ordered the full or partial annulment in only three cases. This further confirms </w:t>
      </w:r>
      <w:r w:rsidR="00E828B3">
        <w:rPr>
          <w:rFonts w:ascii="Times New Roman" w:hAnsi="Times New Roman"/>
          <w:szCs w:val="24"/>
        </w:rPr>
        <w:t xml:space="preserve">the </w:t>
      </w:r>
      <w:r w:rsidRPr="0015622B">
        <w:rPr>
          <w:rFonts w:ascii="Times New Roman" w:hAnsi="Times New Roman"/>
          <w:szCs w:val="24"/>
        </w:rPr>
        <w:t>high standards of the Commission’s implementation of Regulation (EC) No 1049/2001.</w:t>
      </w:r>
    </w:p>
    <w:p w14:paraId="0E484F27" w14:textId="75C3822A" w:rsidR="00DF5C30" w:rsidRPr="005D6773" w:rsidRDefault="00DF5C30" w:rsidP="009B2A8B">
      <w:pPr>
        <w:widowControl w:val="0"/>
        <w:spacing w:after="120"/>
        <w:rPr>
          <w:rFonts w:ascii="Times New Roman" w:hAnsi="Times New Roman"/>
          <w:bCs/>
          <w:szCs w:val="24"/>
        </w:rPr>
      </w:pPr>
      <w:r w:rsidRPr="00FD3353">
        <w:rPr>
          <w:rFonts w:ascii="Times New Roman" w:hAnsi="Times New Roman"/>
          <w:szCs w:val="24"/>
        </w:rPr>
        <w:t>Regarding paragraph</w:t>
      </w:r>
      <w:r>
        <w:rPr>
          <w:rFonts w:ascii="Times New Roman" w:hAnsi="Times New Roman"/>
          <w:szCs w:val="24"/>
        </w:rPr>
        <w:t xml:space="preserve"> 10</w:t>
      </w:r>
      <w:r w:rsidR="00C70A32">
        <w:rPr>
          <w:rFonts w:ascii="Times New Roman" w:hAnsi="Times New Roman"/>
          <w:szCs w:val="24"/>
        </w:rPr>
        <w:t xml:space="preserve"> on</w:t>
      </w:r>
      <w:r w:rsidRPr="00FD3353">
        <w:rPr>
          <w:rFonts w:ascii="Times New Roman" w:hAnsi="Times New Roman"/>
          <w:szCs w:val="24"/>
        </w:rPr>
        <w:t xml:space="preserve"> proactive publication</w:t>
      </w:r>
      <w:r w:rsidR="00F1300E">
        <w:rPr>
          <w:rFonts w:ascii="Times New Roman" w:hAnsi="Times New Roman"/>
          <w:szCs w:val="24"/>
        </w:rPr>
        <w:t xml:space="preserve"> of documents</w:t>
      </w:r>
      <w:r w:rsidRPr="00FD3353">
        <w:rPr>
          <w:rFonts w:ascii="Times New Roman" w:hAnsi="Times New Roman"/>
          <w:szCs w:val="24"/>
        </w:rPr>
        <w:t>, the Commission proactively publishes on different websites and registers a wide variety of legal, policy, administrative and other documents. Many are available on</w:t>
      </w:r>
      <w:r>
        <w:rPr>
          <w:rFonts w:ascii="Times New Roman" w:hAnsi="Times New Roman"/>
          <w:szCs w:val="24"/>
        </w:rPr>
        <w:t xml:space="preserve"> </w:t>
      </w:r>
      <w:r w:rsidR="00F1300E" w:rsidRPr="00B92979">
        <w:rPr>
          <w:rFonts w:ascii="Times New Roman" w:hAnsi="Times New Roman"/>
          <w:szCs w:val="24"/>
        </w:rPr>
        <w:t>the Register of Commission documents</w:t>
      </w:r>
      <w:r w:rsidR="00F1300E">
        <w:rPr>
          <w:rFonts w:ascii="Times New Roman" w:hAnsi="Times New Roman"/>
          <w:szCs w:val="24"/>
        </w:rPr>
        <w:t xml:space="preserve"> </w:t>
      </w:r>
      <w:r w:rsidR="00F1300E" w:rsidRPr="00282171">
        <w:rPr>
          <w:rFonts w:ascii="Times New Roman" w:hAnsi="Times New Roman"/>
          <w:szCs w:val="24"/>
        </w:rPr>
        <w:t>(RegDoc)</w:t>
      </w:r>
      <w:r w:rsidRPr="00FD3353">
        <w:rPr>
          <w:rFonts w:ascii="Times New Roman" w:hAnsi="Times New Roman"/>
          <w:szCs w:val="24"/>
        </w:rPr>
        <w:t xml:space="preserve">, Register of Delegated Acts and other corporate registers or EUR-Lex. </w:t>
      </w:r>
      <w:r>
        <w:rPr>
          <w:rFonts w:ascii="Times New Roman" w:hAnsi="Times New Roman"/>
          <w:bCs/>
          <w:szCs w:val="24"/>
        </w:rPr>
        <w:t>The Commission</w:t>
      </w:r>
      <w:r w:rsidRPr="00FD3353">
        <w:rPr>
          <w:rFonts w:ascii="Times New Roman" w:hAnsi="Times New Roman"/>
          <w:bCs/>
          <w:szCs w:val="24"/>
        </w:rPr>
        <w:t xml:space="preserve"> has already taken steps in improving its systems for proactive publication and request</w:t>
      </w:r>
      <w:r w:rsidR="00D83D5C">
        <w:rPr>
          <w:rFonts w:ascii="Times New Roman" w:hAnsi="Times New Roman"/>
          <w:bCs/>
          <w:szCs w:val="24"/>
        </w:rPr>
        <w:t>s</w:t>
      </w:r>
      <w:r w:rsidRPr="00FD3353">
        <w:rPr>
          <w:rFonts w:ascii="Times New Roman" w:hAnsi="Times New Roman"/>
          <w:bCs/>
          <w:szCs w:val="24"/>
        </w:rPr>
        <w:t xml:space="preserve"> handling. These developments are reflected in the recent annual reports on</w:t>
      </w:r>
      <w:r w:rsidR="00D96C56">
        <w:rPr>
          <w:rFonts w:ascii="Times New Roman" w:hAnsi="Times New Roman"/>
          <w:bCs/>
          <w:szCs w:val="24"/>
        </w:rPr>
        <w:t xml:space="preserve"> the</w:t>
      </w:r>
      <w:r w:rsidRPr="00FD3353">
        <w:rPr>
          <w:rFonts w:ascii="Times New Roman" w:hAnsi="Times New Roman"/>
          <w:bCs/>
          <w:szCs w:val="24"/>
        </w:rPr>
        <w:t xml:space="preserve"> implementation of Regulation (EC) No 1049/2001</w:t>
      </w:r>
      <w:r>
        <w:rPr>
          <w:rFonts w:ascii="Times New Roman" w:hAnsi="Times New Roman"/>
          <w:bCs/>
          <w:szCs w:val="24"/>
        </w:rPr>
        <w:t xml:space="preserve">, such as </w:t>
      </w:r>
      <w:r>
        <w:rPr>
          <w:rFonts w:ascii="Times New Roman" w:hAnsi="Times New Roman"/>
          <w:szCs w:val="24"/>
        </w:rPr>
        <w:t>t</w:t>
      </w:r>
      <w:r w:rsidRPr="00282171">
        <w:rPr>
          <w:rFonts w:ascii="Times New Roman" w:hAnsi="Times New Roman"/>
          <w:szCs w:val="24"/>
        </w:rPr>
        <w:t xml:space="preserve">he updated version of RegDoc which became operational on 17 May 2021. It features new search functionalities, improved user interface and improved presentation of documents. As of 2022, new document types (e.g., </w:t>
      </w:r>
      <w:r w:rsidR="00F1300E" w:rsidRPr="00FD3353">
        <w:rPr>
          <w:rFonts w:ascii="Times New Roman" w:hAnsi="Times New Roman"/>
          <w:szCs w:val="24"/>
        </w:rPr>
        <w:t>Commission and High Representative Joint Acts</w:t>
      </w:r>
      <w:r w:rsidRPr="00282171">
        <w:rPr>
          <w:rFonts w:ascii="Times New Roman" w:hAnsi="Times New Roman"/>
          <w:szCs w:val="24"/>
        </w:rPr>
        <w:t>) started being published on RegDoc</w:t>
      </w:r>
      <w:r w:rsidRPr="00282171">
        <w:rPr>
          <w:rFonts w:ascii="Times New Roman" w:hAnsi="Times New Roman"/>
          <w:bCs/>
          <w:szCs w:val="24"/>
        </w:rPr>
        <w:t>.</w:t>
      </w:r>
      <w:r>
        <w:rPr>
          <w:rFonts w:ascii="Times New Roman" w:hAnsi="Times New Roman"/>
          <w:szCs w:val="24"/>
        </w:rPr>
        <w:t xml:space="preserve"> </w:t>
      </w:r>
      <w:r w:rsidRPr="0033225C">
        <w:rPr>
          <w:rFonts w:ascii="Times New Roman" w:hAnsi="Times New Roman"/>
          <w:szCs w:val="24"/>
        </w:rPr>
        <w:t xml:space="preserve">Moreover, the Commission launched in September 2022 its current system for handling access to documents applications, namely ‘Electronic AccesS to European Commission Documents’ (EASE). It consists of a new online portal allowing citizens to – among other functionalities – submit initial and confirmatory applications, and a new case-management system allowing the Commission staff to handle these applications. Following the (partial) disclosure, EASE allows the Commission staff, in contrast to the </w:t>
      </w:r>
      <w:r>
        <w:rPr>
          <w:rFonts w:ascii="Times New Roman" w:hAnsi="Times New Roman"/>
          <w:szCs w:val="24"/>
        </w:rPr>
        <w:t xml:space="preserve">old </w:t>
      </w:r>
      <w:r w:rsidRPr="0033225C">
        <w:rPr>
          <w:rFonts w:ascii="Times New Roman" w:hAnsi="Times New Roman"/>
          <w:szCs w:val="24"/>
        </w:rPr>
        <w:t>GestDem system, to publish the</w:t>
      </w:r>
      <w:r w:rsidR="00DF1C1A">
        <w:rPr>
          <w:rFonts w:ascii="Times New Roman" w:hAnsi="Times New Roman"/>
          <w:szCs w:val="24"/>
        </w:rPr>
        <w:t xml:space="preserve"> disclosed</w:t>
      </w:r>
      <w:r w:rsidR="00F1300E">
        <w:rPr>
          <w:rFonts w:ascii="Times New Roman" w:hAnsi="Times New Roman"/>
          <w:szCs w:val="24"/>
        </w:rPr>
        <w:t xml:space="preserve"> </w:t>
      </w:r>
      <w:r w:rsidRPr="0033225C">
        <w:rPr>
          <w:rFonts w:ascii="Times New Roman" w:hAnsi="Times New Roman"/>
          <w:szCs w:val="24"/>
        </w:rPr>
        <w:t>documents on this new online portal</w:t>
      </w:r>
      <w:r w:rsidR="00D83D5C">
        <w:rPr>
          <w:rFonts w:ascii="Times New Roman" w:hAnsi="Times New Roman"/>
          <w:szCs w:val="24"/>
        </w:rPr>
        <w:t xml:space="preserve">. This feature </w:t>
      </w:r>
      <w:r>
        <w:rPr>
          <w:rFonts w:ascii="Times New Roman" w:hAnsi="Times New Roman"/>
          <w:szCs w:val="24"/>
        </w:rPr>
        <w:t xml:space="preserve">further </w:t>
      </w:r>
      <w:r w:rsidR="00D83D5C">
        <w:rPr>
          <w:rFonts w:ascii="Times New Roman" w:hAnsi="Times New Roman"/>
          <w:szCs w:val="24"/>
        </w:rPr>
        <w:t xml:space="preserve">reinforces the </w:t>
      </w:r>
      <w:r w:rsidRPr="0033225C">
        <w:rPr>
          <w:rFonts w:ascii="Times New Roman" w:hAnsi="Times New Roman"/>
          <w:szCs w:val="24"/>
        </w:rPr>
        <w:t>principle</w:t>
      </w:r>
      <w:r w:rsidR="00F1300E">
        <w:rPr>
          <w:rFonts w:ascii="Times New Roman" w:hAnsi="Times New Roman"/>
          <w:szCs w:val="24"/>
        </w:rPr>
        <w:t xml:space="preserve"> that documents disclosed under</w:t>
      </w:r>
      <w:r w:rsidRPr="0033225C">
        <w:rPr>
          <w:rFonts w:ascii="Times New Roman" w:hAnsi="Times New Roman"/>
          <w:szCs w:val="24"/>
        </w:rPr>
        <w:t xml:space="preserve"> Regulation (EC) No 1049/2001</w:t>
      </w:r>
      <w:r w:rsidR="00F1300E">
        <w:rPr>
          <w:rFonts w:ascii="Times New Roman" w:hAnsi="Times New Roman"/>
          <w:szCs w:val="24"/>
        </w:rPr>
        <w:t xml:space="preserve"> are disclosed to the public at large</w:t>
      </w:r>
      <w:r w:rsidRPr="0033225C">
        <w:rPr>
          <w:rFonts w:ascii="Times New Roman" w:hAnsi="Times New Roman"/>
          <w:szCs w:val="24"/>
        </w:rPr>
        <w:t>.</w:t>
      </w:r>
    </w:p>
    <w:p w14:paraId="05AF7284" w14:textId="3DEAC0FB" w:rsidR="00C45EA3" w:rsidRPr="00F61946" w:rsidRDefault="002E5211" w:rsidP="009B2A8B">
      <w:pPr>
        <w:widowControl w:val="0"/>
        <w:spacing w:after="120"/>
        <w:rPr>
          <w:rFonts w:ascii="Times New Roman" w:hAnsi="Times New Roman"/>
          <w:bCs/>
          <w:szCs w:val="24"/>
        </w:rPr>
      </w:pPr>
      <w:bookmarkStart w:id="0" w:name="_Hlk165224544"/>
      <w:r w:rsidRPr="00D96C56">
        <w:rPr>
          <w:rFonts w:ascii="Times New Roman" w:hAnsi="Times New Roman"/>
          <w:bCs/>
          <w:szCs w:val="24"/>
          <w:lang w:val="en-IE"/>
        </w:rPr>
        <w:t>Regarding the recommendation in paragraph 1</w:t>
      </w:r>
      <w:r w:rsidR="00D96C56" w:rsidRPr="00D96C56">
        <w:rPr>
          <w:rFonts w:ascii="Times New Roman" w:hAnsi="Times New Roman"/>
          <w:bCs/>
          <w:szCs w:val="24"/>
          <w:lang w:val="en-IE"/>
        </w:rPr>
        <w:t>5</w:t>
      </w:r>
      <w:r w:rsidR="00E828B3">
        <w:rPr>
          <w:rFonts w:ascii="Times New Roman" w:hAnsi="Times New Roman"/>
          <w:bCs/>
          <w:szCs w:val="24"/>
          <w:lang w:val="en-IE"/>
        </w:rPr>
        <w:t>,</w:t>
      </w:r>
      <w:r w:rsidRPr="00D96C56">
        <w:rPr>
          <w:rFonts w:ascii="Times New Roman" w:hAnsi="Times New Roman"/>
          <w:bCs/>
          <w:szCs w:val="24"/>
          <w:lang w:val="en-IE"/>
        </w:rPr>
        <w:t xml:space="preserve"> calling for the Commission’s </w:t>
      </w:r>
      <w:bookmarkStart w:id="1" w:name="_Hlk170286550"/>
      <w:r w:rsidRPr="00D96C56">
        <w:rPr>
          <w:rFonts w:ascii="Times New Roman" w:hAnsi="Times New Roman"/>
          <w:bCs/>
          <w:szCs w:val="24"/>
        </w:rPr>
        <w:t xml:space="preserve">proactive publication </w:t>
      </w:r>
      <w:bookmarkStart w:id="2" w:name="_Hlk170286986"/>
      <w:r w:rsidRPr="00D96C56">
        <w:rPr>
          <w:rFonts w:ascii="Times New Roman" w:hAnsi="Times New Roman"/>
          <w:bCs/>
          <w:szCs w:val="24"/>
        </w:rPr>
        <w:t>of documents on statistics</w:t>
      </w:r>
      <w:bookmarkEnd w:id="1"/>
      <w:r w:rsidRPr="00D96C56">
        <w:rPr>
          <w:rFonts w:ascii="Times New Roman" w:hAnsi="Times New Roman"/>
          <w:bCs/>
          <w:szCs w:val="24"/>
        </w:rPr>
        <w:t>, delays and handling of applications</w:t>
      </w:r>
      <w:bookmarkEnd w:id="2"/>
      <w:r w:rsidRPr="00D96C56">
        <w:rPr>
          <w:rFonts w:ascii="Times New Roman" w:hAnsi="Times New Roman"/>
          <w:bCs/>
          <w:szCs w:val="24"/>
        </w:rPr>
        <w:t xml:space="preserve">, </w:t>
      </w:r>
      <w:r w:rsidR="00004007" w:rsidRPr="00D96C56">
        <w:rPr>
          <w:rFonts w:ascii="Times New Roman" w:hAnsi="Times New Roman"/>
          <w:bCs/>
          <w:szCs w:val="24"/>
        </w:rPr>
        <w:t xml:space="preserve">the Commission proactively publishes </w:t>
      </w:r>
      <w:r w:rsidR="00D96C56" w:rsidRPr="00D96C56">
        <w:rPr>
          <w:rFonts w:ascii="Times New Roman" w:hAnsi="Times New Roman"/>
          <w:bCs/>
          <w:szCs w:val="24"/>
        </w:rPr>
        <w:t xml:space="preserve">its </w:t>
      </w:r>
      <w:r w:rsidR="00004007" w:rsidRPr="00D96C56">
        <w:rPr>
          <w:rFonts w:ascii="Times New Roman" w:hAnsi="Times New Roman"/>
          <w:bCs/>
          <w:szCs w:val="24"/>
        </w:rPr>
        <w:t xml:space="preserve">annual reports on </w:t>
      </w:r>
      <w:r w:rsidR="00D96C56" w:rsidRPr="00D96C56">
        <w:rPr>
          <w:rFonts w:ascii="Times New Roman" w:hAnsi="Times New Roman"/>
          <w:bCs/>
          <w:szCs w:val="24"/>
        </w:rPr>
        <w:t xml:space="preserve">the </w:t>
      </w:r>
      <w:r w:rsidR="00004007" w:rsidRPr="00D96C56">
        <w:rPr>
          <w:rFonts w:ascii="Times New Roman" w:hAnsi="Times New Roman"/>
          <w:bCs/>
          <w:szCs w:val="24"/>
        </w:rPr>
        <w:t>implementation of Regulation (EC) No 1049/2001</w:t>
      </w:r>
      <w:r w:rsidR="00D96C56" w:rsidRPr="00D96C56">
        <w:rPr>
          <w:rFonts w:ascii="Times New Roman" w:hAnsi="Times New Roman"/>
          <w:bCs/>
          <w:szCs w:val="24"/>
        </w:rPr>
        <w:t xml:space="preserve"> on the dedicated Europa webpage</w:t>
      </w:r>
      <w:r w:rsidR="00307ADA">
        <w:rPr>
          <w:rStyle w:val="FootnoteReference"/>
          <w:rFonts w:ascii="Times New Roman" w:hAnsi="Times New Roman"/>
          <w:bCs/>
          <w:szCs w:val="24"/>
        </w:rPr>
        <w:footnoteReference w:id="5"/>
      </w:r>
      <w:r w:rsidR="00004007" w:rsidRPr="00D96C56">
        <w:rPr>
          <w:rFonts w:ascii="Times New Roman" w:hAnsi="Times New Roman"/>
          <w:bCs/>
          <w:szCs w:val="24"/>
        </w:rPr>
        <w:t xml:space="preserve">. These reports contain statistics on the applications received and answered, including the level of access granted and the exceptions applied. The published statistics also cover the distribution of applications among the </w:t>
      </w:r>
      <w:r w:rsidR="00004007" w:rsidRPr="00D96C56">
        <w:rPr>
          <w:rFonts w:ascii="Times New Roman" w:hAnsi="Times New Roman"/>
          <w:bCs/>
          <w:szCs w:val="24"/>
        </w:rPr>
        <w:lastRenderedPageBreak/>
        <w:t>Commission departments and the social and occupational profile and the geographical origin of applicants.</w:t>
      </w:r>
      <w:bookmarkEnd w:id="0"/>
      <w:r w:rsidR="00D96C56">
        <w:rPr>
          <w:rFonts w:ascii="Times New Roman" w:hAnsi="Times New Roman"/>
          <w:bCs/>
          <w:szCs w:val="24"/>
        </w:rPr>
        <w:t xml:space="preserve"> </w:t>
      </w:r>
      <w:r w:rsidR="00004007" w:rsidRPr="00D96C56">
        <w:rPr>
          <w:rFonts w:ascii="Times New Roman" w:hAnsi="Times New Roman"/>
          <w:szCs w:val="24"/>
        </w:rPr>
        <w:t xml:space="preserve">Moreover, </w:t>
      </w:r>
      <w:bookmarkStart w:id="3" w:name="_Hlk170286721"/>
      <w:r w:rsidR="00004007" w:rsidRPr="00D96C56">
        <w:rPr>
          <w:rFonts w:ascii="Times New Roman" w:hAnsi="Times New Roman"/>
          <w:szCs w:val="24"/>
        </w:rPr>
        <w:t>t</w:t>
      </w:r>
      <w:r w:rsidR="0054483C" w:rsidRPr="00D96C56">
        <w:rPr>
          <w:rFonts w:ascii="Times New Roman" w:hAnsi="Times New Roman"/>
          <w:szCs w:val="24"/>
        </w:rPr>
        <w:t xml:space="preserve">he statistics on delays provided </w:t>
      </w:r>
      <w:r w:rsidR="00D96C56">
        <w:rPr>
          <w:rFonts w:ascii="Times New Roman" w:hAnsi="Times New Roman"/>
          <w:szCs w:val="24"/>
        </w:rPr>
        <w:t xml:space="preserve">by the Commission </w:t>
      </w:r>
      <w:r w:rsidR="0054483C" w:rsidRPr="00D96C56">
        <w:rPr>
          <w:rFonts w:ascii="Times New Roman" w:hAnsi="Times New Roman"/>
          <w:szCs w:val="24"/>
        </w:rPr>
        <w:t>to the European Ombudsman in the framework of th</w:t>
      </w:r>
      <w:r w:rsidR="00004007" w:rsidRPr="00D96C56">
        <w:rPr>
          <w:rFonts w:ascii="Times New Roman" w:hAnsi="Times New Roman"/>
          <w:szCs w:val="24"/>
        </w:rPr>
        <w:t>e</w:t>
      </w:r>
      <w:r w:rsidR="0054483C" w:rsidRPr="00D96C56">
        <w:rPr>
          <w:rFonts w:ascii="Times New Roman" w:hAnsi="Times New Roman"/>
          <w:szCs w:val="24"/>
        </w:rPr>
        <w:t xml:space="preserve"> strategic inquiry </w:t>
      </w:r>
      <w:r w:rsidRPr="00D96C56">
        <w:rPr>
          <w:rFonts w:ascii="Times New Roman" w:hAnsi="Times New Roman"/>
          <w:bCs/>
          <w:szCs w:val="24"/>
        </w:rPr>
        <w:t xml:space="preserve">OI/2/2022/OAM </w:t>
      </w:r>
      <w:r w:rsidR="0054483C" w:rsidRPr="00D96C56">
        <w:rPr>
          <w:rFonts w:ascii="Times New Roman" w:hAnsi="Times New Roman"/>
          <w:szCs w:val="24"/>
        </w:rPr>
        <w:t>are available to the public</w:t>
      </w:r>
      <w:r w:rsidR="00AE0E89" w:rsidRPr="00D96C56">
        <w:rPr>
          <w:rFonts w:ascii="Times New Roman" w:hAnsi="Times New Roman"/>
          <w:szCs w:val="24"/>
        </w:rPr>
        <w:t xml:space="preserve"> on the European Ombudsman’s website</w:t>
      </w:r>
      <w:bookmarkEnd w:id="3"/>
      <w:r w:rsidR="00307ADA">
        <w:rPr>
          <w:rStyle w:val="FootnoteReference"/>
          <w:rFonts w:ascii="Times New Roman" w:hAnsi="Times New Roman"/>
          <w:szCs w:val="24"/>
        </w:rPr>
        <w:footnoteReference w:id="6"/>
      </w:r>
      <w:r w:rsidR="004A3C5D" w:rsidRPr="00D96C56">
        <w:rPr>
          <w:rFonts w:ascii="Times New Roman" w:hAnsi="Times New Roman"/>
          <w:szCs w:val="24"/>
        </w:rPr>
        <w:t>.</w:t>
      </w:r>
    </w:p>
    <w:sectPr w:rsidR="00C45EA3" w:rsidRPr="00F61946" w:rsidSect="00812321">
      <w:footerReference w:type="even" r:id="rId11"/>
      <w:footerReference w:type="default" r:id="rId12"/>
      <w:footerReference w:type="first" r:id="rId13"/>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D632" w14:textId="77777777" w:rsidR="008D339C" w:rsidRDefault="008D339C">
      <w:r>
        <w:separator/>
      </w:r>
    </w:p>
  </w:endnote>
  <w:endnote w:type="continuationSeparator" w:id="0">
    <w:p w14:paraId="5D2E3659" w14:textId="77777777" w:rsidR="008D339C" w:rsidRDefault="008D339C">
      <w:r>
        <w:continuationSeparator/>
      </w:r>
    </w:p>
  </w:endnote>
  <w:endnote w:type="continuationNotice" w:id="1">
    <w:p w14:paraId="6BB7334C" w14:textId="77777777" w:rsidR="008D339C" w:rsidRDefault="008D33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2F22"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1CE8F934"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9ED6"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C4F">
      <w:rPr>
        <w:rStyle w:val="PageNumber"/>
        <w:noProof/>
      </w:rPr>
      <w:t>3</w:t>
    </w:r>
    <w:r>
      <w:rPr>
        <w:rStyle w:val="PageNumber"/>
      </w:rPr>
      <w:fldChar w:fldCharType="end"/>
    </w:r>
  </w:p>
  <w:p w14:paraId="76797D1D"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E69"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33CD">
      <w:rPr>
        <w:rStyle w:val="PageNumber"/>
        <w:noProof/>
      </w:rPr>
      <w:t>1</w:t>
    </w:r>
    <w:r>
      <w:rPr>
        <w:rStyle w:val="PageNumber"/>
      </w:rPr>
      <w:fldChar w:fldCharType="end"/>
    </w:r>
  </w:p>
  <w:p w14:paraId="244C2131"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EE6C" w14:textId="77777777" w:rsidR="008D339C" w:rsidRDefault="008D339C">
      <w:r>
        <w:separator/>
      </w:r>
    </w:p>
  </w:footnote>
  <w:footnote w:type="continuationSeparator" w:id="0">
    <w:p w14:paraId="6E9AE77E" w14:textId="77777777" w:rsidR="008D339C" w:rsidRDefault="008D339C">
      <w:r>
        <w:continuationSeparator/>
      </w:r>
    </w:p>
  </w:footnote>
  <w:footnote w:type="continuationNotice" w:id="1">
    <w:p w14:paraId="3DFE4880" w14:textId="77777777" w:rsidR="008D339C" w:rsidRDefault="008D339C">
      <w:pPr>
        <w:spacing w:after="0"/>
      </w:pPr>
    </w:p>
  </w:footnote>
  <w:footnote w:id="2">
    <w:p w14:paraId="0E4567A8" w14:textId="77777777" w:rsidR="005B0AFB" w:rsidRPr="009B2A8B" w:rsidRDefault="005B0AFB" w:rsidP="00BC6486">
      <w:pPr>
        <w:pStyle w:val="FootnoteText"/>
        <w:spacing w:after="0"/>
        <w:rPr>
          <w:rFonts w:ascii="Times New Roman" w:hAnsi="Times New Roman"/>
        </w:rPr>
      </w:pPr>
      <w:r w:rsidRPr="004667BB">
        <w:rPr>
          <w:rStyle w:val="FootnoteReference"/>
          <w:rFonts w:ascii="Times New Roman" w:hAnsi="Times New Roman"/>
        </w:rPr>
        <w:footnoteRef/>
      </w:r>
      <w:r w:rsidRPr="004667BB">
        <w:rPr>
          <w:rFonts w:ascii="Times New Roman" w:hAnsi="Times New Roman"/>
        </w:rPr>
        <w:t xml:space="preserve"> </w:t>
      </w:r>
      <w:r w:rsidRPr="004667BB">
        <w:rPr>
          <w:rFonts w:ascii="Times New Roman" w:hAnsi="Times New Roman"/>
        </w:rPr>
        <w:tab/>
      </w:r>
      <w:r w:rsidRPr="009B2A8B">
        <w:rPr>
          <w:rFonts w:ascii="Times New Roman" w:hAnsi="Times New Roman"/>
        </w:rPr>
        <w:t>Regulation (EC) No 1049/2001 of the European Parliament and of the Council of 30 May 2001 regarding public access to European Parliament, Council and Commission documents (</w:t>
      </w:r>
      <w:hyperlink r:id="rId1" w:history="1">
        <w:r w:rsidRPr="009B2A8B">
          <w:rPr>
            <w:rStyle w:val="Hyperlink"/>
            <w:rFonts w:ascii="Times New Roman" w:hAnsi="Times New Roman"/>
          </w:rPr>
          <w:t>OJ L 145, 31.5.2001, p. 43</w:t>
        </w:r>
      </w:hyperlink>
      <w:r w:rsidRPr="009B2A8B">
        <w:rPr>
          <w:rFonts w:ascii="Times New Roman" w:hAnsi="Times New Roman"/>
        </w:rPr>
        <w:t>).</w:t>
      </w:r>
    </w:p>
  </w:footnote>
  <w:footnote w:id="3">
    <w:p w14:paraId="25E84AA9" w14:textId="77777777" w:rsidR="002800FD" w:rsidRPr="009B2A8B" w:rsidRDefault="002800FD" w:rsidP="00BC6486">
      <w:pPr>
        <w:pStyle w:val="FootnoteText"/>
        <w:spacing w:after="0"/>
        <w:rPr>
          <w:rFonts w:ascii="Times New Roman" w:hAnsi="Times New Roman"/>
        </w:rPr>
      </w:pPr>
      <w:r w:rsidRPr="009B2A8B">
        <w:rPr>
          <w:rFonts w:ascii="Times New Roman" w:hAnsi="Times New Roman"/>
        </w:rPr>
        <w:footnoteRef/>
      </w:r>
      <w:r w:rsidRPr="009B2A8B">
        <w:rPr>
          <w:rFonts w:ascii="Times New Roman" w:hAnsi="Times New Roman"/>
        </w:rPr>
        <w:t xml:space="preserve"> </w:t>
      </w:r>
      <w:r w:rsidRPr="009B2A8B">
        <w:rPr>
          <w:rFonts w:ascii="Times New Roman" w:hAnsi="Times New Roman"/>
        </w:rPr>
        <w:tab/>
        <w:t>The agreements signed with the Member States follow the model approved in the Commission Decision C(2020) 4192 final of 18.6.2020 approving the agreement with the Member States on procuring Covid-19 vaccines on behalf of the Member States and related procedures and attached as an annex thereto.</w:t>
      </w:r>
    </w:p>
  </w:footnote>
  <w:footnote w:id="4">
    <w:p w14:paraId="5B850172" w14:textId="43EC086D" w:rsidR="002800FD" w:rsidRPr="00E35519" w:rsidRDefault="002800FD" w:rsidP="00BC6486">
      <w:pPr>
        <w:pStyle w:val="FootnoteText"/>
        <w:spacing w:after="0"/>
      </w:pPr>
      <w:r w:rsidRPr="009B2A8B">
        <w:rPr>
          <w:rFonts w:ascii="Times New Roman" w:hAnsi="Times New Roman"/>
        </w:rPr>
        <w:footnoteRef/>
      </w:r>
      <w:r w:rsidRPr="009B2A8B">
        <w:rPr>
          <w:rFonts w:ascii="Times New Roman" w:hAnsi="Times New Roman"/>
        </w:rPr>
        <w:t xml:space="preserve"> </w:t>
      </w:r>
      <w:r w:rsidRPr="009B2A8B">
        <w:rPr>
          <w:rFonts w:ascii="Times New Roman" w:hAnsi="Times New Roman"/>
        </w:rPr>
        <w:tab/>
        <w:t>Said agreements were concluded on the basis of Article 4 paragraph 5, point (b) of Council Regulation (EU) 2016/369 of 15 March 2016 on the provision of emergency support within the Union (OJ L 70, 16.3.2016, p.1) as amended by Council</w:t>
      </w:r>
      <w:r w:rsidRPr="005F3A79">
        <w:rPr>
          <w:rFonts w:ascii="Times New Roman" w:hAnsi="Times New Roman"/>
        </w:rPr>
        <w:t xml:space="preserve"> Regulation (EU) 2020/521 of 14 April 2020 activating the emergency support under Regulation (EU) 2016/369, and amending its provisions taking into account the COVID‐19 outbreak (OJ L 117, 15.4.2020, p. 3).</w:t>
      </w:r>
    </w:p>
  </w:footnote>
  <w:footnote w:id="5">
    <w:p w14:paraId="57AE1B9E" w14:textId="5766EBF9" w:rsidR="00307ADA" w:rsidRPr="00820A52" w:rsidRDefault="00307ADA" w:rsidP="009B2A8B">
      <w:pPr>
        <w:pStyle w:val="FootnoteText"/>
        <w:spacing w:after="0"/>
        <w:rPr>
          <w:rFonts w:ascii="Times New Roman" w:hAnsi="Times New Roman"/>
        </w:rPr>
      </w:pPr>
      <w:r w:rsidRPr="00307ADA">
        <w:rPr>
          <w:rStyle w:val="FootnoteReference"/>
          <w:rFonts w:ascii="Times New Roman" w:hAnsi="Times New Roman"/>
        </w:rPr>
        <w:footnoteRef/>
      </w:r>
      <w:r w:rsidRPr="00307ADA">
        <w:rPr>
          <w:rFonts w:ascii="Times New Roman" w:hAnsi="Times New Roman"/>
        </w:rPr>
        <w:t xml:space="preserve"> </w:t>
      </w:r>
      <w:r>
        <w:rPr>
          <w:rFonts w:ascii="Times New Roman" w:hAnsi="Times New Roman"/>
        </w:rPr>
        <w:tab/>
      </w:r>
      <w:hyperlink r:id="rId2" w:history="1">
        <w:r w:rsidRPr="00820A52">
          <w:rPr>
            <w:rStyle w:val="Hyperlink"/>
            <w:rFonts w:ascii="Times New Roman" w:hAnsi="Times New Roman"/>
          </w:rPr>
          <w:t>https://commission.europa.eu/publications/annual-reports-commission-application-regulation-10492001_en</w:t>
        </w:r>
      </w:hyperlink>
    </w:p>
  </w:footnote>
  <w:footnote w:id="6">
    <w:p w14:paraId="083BBE2F" w14:textId="2277A09A" w:rsidR="00307ADA" w:rsidRPr="00820A52" w:rsidRDefault="00307ADA" w:rsidP="00307ADA">
      <w:pPr>
        <w:pStyle w:val="FootnoteText"/>
        <w:spacing w:after="0"/>
        <w:rPr>
          <w:rFonts w:ascii="Times New Roman" w:hAnsi="Times New Roman"/>
        </w:rPr>
      </w:pPr>
      <w:r w:rsidRPr="00307ADA">
        <w:rPr>
          <w:rStyle w:val="FootnoteReference"/>
          <w:rFonts w:ascii="Times New Roman" w:hAnsi="Times New Roman"/>
        </w:rPr>
        <w:footnoteRef/>
      </w:r>
      <w:r w:rsidRPr="00307ADA">
        <w:rPr>
          <w:rFonts w:ascii="Times New Roman" w:hAnsi="Times New Roman"/>
        </w:rPr>
        <w:t xml:space="preserve"> </w:t>
      </w:r>
      <w:r>
        <w:rPr>
          <w:rFonts w:ascii="Times New Roman" w:hAnsi="Times New Roman"/>
        </w:rPr>
        <w:tab/>
      </w:r>
      <w:hyperlink r:id="rId3" w:history="1">
        <w:r w:rsidRPr="00820A52">
          <w:rPr>
            <w:rStyle w:val="Hyperlink"/>
            <w:rFonts w:ascii="Times New Roman" w:hAnsi="Times New Roman"/>
          </w:rPr>
          <w:t>https://www.ombudsman.europa.eu/en/special-report/en/175425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AC220BA"/>
    <w:multiLevelType w:val="hybridMultilevel"/>
    <w:tmpl w:val="04825B84"/>
    <w:lvl w:ilvl="0" w:tplc="426A5F28">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4"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1"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6"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1"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209342734">
    <w:abstractNumId w:val="7"/>
  </w:num>
  <w:num w:numId="2" w16cid:durableId="148182179">
    <w:abstractNumId w:val="1"/>
  </w:num>
  <w:num w:numId="3" w16cid:durableId="505511010">
    <w:abstractNumId w:val="34"/>
  </w:num>
  <w:num w:numId="4" w16cid:durableId="580018736">
    <w:abstractNumId w:val="14"/>
  </w:num>
  <w:num w:numId="5" w16cid:durableId="221647625">
    <w:abstractNumId w:val="30"/>
  </w:num>
  <w:num w:numId="6" w16cid:durableId="298344620">
    <w:abstractNumId w:val="10"/>
  </w:num>
  <w:num w:numId="7" w16cid:durableId="58093387">
    <w:abstractNumId w:val="6"/>
  </w:num>
  <w:num w:numId="8" w16cid:durableId="1122530581">
    <w:abstractNumId w:val="16"/>
  </w:num>
  <w:num w:numId="9" w16cid:durableId="1479684095">
    <w:abstractNumId w:val="33"/>
  </w:num>
  <w:num w:numId="10" w16cid:durableId="340007303">
    <w:abstractNumId w:val="25"/>
  </w:num>
  <w:num w:numId="11" w16cid:durableId="346519941">
    <w:abstractNumId w:val="27"/>
  </w:num>
  <w:num w:numId="12" w16cid:durableId="691036718">
    <w:abstractNumId w:val="12"/>
  </w:num>
  <w:num w:numId="13" w16cid:durableId="1452093781">
    <w:abstractNumId w:val="17"/>
  </w:num>
  <w:num w:numId="14" w16cid:durableId="906961314">
    <w:abstractNumId w:val="31"/>
  </w:num>
  <w:num w:numId="15" w16cid:durableId="1388455259">
    <w:abstractNumId w:val="15"/>
  </w:num>
  <w:num w:numId="16" w16cid:durableId="1677533267">
    <w:abstractNumId w:val="37"/>
  </w:num>
  <w:num w:numId="17" w16cid:durableId="961619330">
    <w:abstractNumId w:val="32"/>
  </w:num>
  <w:num w:numId="18" w16cid:durableId="1095638383">
    <w:abstractNumId w:val="23"/>
  </w:num>
  <w:num w:numId="19" w16cid:durableId="357776219">
    <w:abstractNumId w:val="24"/>
  </w:num>
  <w:num w:numId="20" w16cid:durableId="1481578588">
    <w:abstractNumId w:val="29"/>
  </w:num>
  <w:num w:numId="21" w16cid:durableId="1812137613">
    <w:abstractNumId w:val="3"/>
  </w:num>
  <w:num w:numId="22" w16cid:durableId="370300677">
    <w:abstractNumId w:val="4"/>
  </w:num>
  <w:num w:numId="23" w16cid:durableId="1948660650">
    <w:abstractNumId w:val="5"/>
  </w:num>
  <w:num w:numId="24" w16cid:durableId="1221136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6547536">
    <w:abstractNumId w:val="35"/>
  </w:num>
  <w:num w:numId="26" w16cid:durableId="1203983393">
    <w:abstractNumId w:val="26"/>
  </w:num>
  <w:num w:numId="27" w16cid:durableId="1149204463">
    <w:abstractNumId w:val="18"/>
  </w:num>
  <w:num w:numId="28" w16cid:durableId="614867515">
    <w:abstractNumId w:val="36"/>
  </w:num>
  <w:num w:numId="29" w16cid:durableId="1513490821">
    <w:abstractNumId w:val="2"/>
  </w:num>
  <w:num w:numId="30" w16cid:durableId="1269506392">
    <w:abstractNumId w:val="22"/>
  </w:num>
  <w:num w:numId="31" w16cid:durableId="160509948">
    <w:abstractNumId w:val="21"/>
  </w:num>
  <w:num w:numId="32" w16cid:durableId="146094414">
    <w:abstractNumId w:val="9"/>
  </w:num>
  <w:num w:numId="33" w16cid:durableId="2145806991">
    <w:abstractNumId w:val="11"/>
  </w:num>
  <w:num w:numId="34" w16cid:durableId="1322079617">
    <w:abstractNumId w:val="20"/>
  </w:num>
  <w:num w:numId="35" w16cid:durableId="1661734410">
    <w:abstractNumId w:val="19"/>
  </w:num>
  <w:num w:numId="36" w16cid:durableId="1816070214">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007"/>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912"/>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679"/>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3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8C8"/>
    <w:rsid w:val="00062919"/>
    <w:rsid w:val="0006296B"/>
    <w:rsid w:val="000629E6"/>
    <w:rsid w:val="00062BE7"/>
    <w:rsid w:val="00063101"/>
    <w:rsid w:val="00063505"/>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B21"/>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2F1"/>
    <w:rsid w:val="0009166A"/>
    <w:rsid w:val="00091786"/>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1F"/>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0E5A"/>
    <w:rsid w:val="000D1461"/>
    <w:rsid w:val="000D1A0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16"/>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001"/>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473"/>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07F"/>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6B7"/>
    <w:rsid w:val="00154908"/>
    <w:rsid w:val="00154E3C"/>
    <w:rsid w:val="00155050"/>
    <w:rsid w:val="00155265"/>
    <w:rsid w:val="001559B7"/>
    <w:rsid w:val="00155DAE"/>
    <w:rsid w:val="0015615D"/>
    <w:rsid w:val="001561D4"/>
    <w:rsid w:val="0015622B"/>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39D"/>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89F"/>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6EC"/>
    <w:rsid w:val="001946EE"/>
    <w:rsid w:val="0019484D"/>
    <w:rsid w:val="00194A0F"/>
    <w:rsid w:val="00195512"/>
    <w:rsid w:val="00196088"/>
    <w:rsid w:val="001960DC"/>
    <w:rsid w:val="001962D1"/>
    <w:rsid w:val="00196902"/>
    <w:rsid w:val="00196BE4"/>
    <w:rsid w:val="00196CC1"/>
    <w:rsid w:val="00196E3D"/>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353"/>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A7"/>
    <w:rsid w:val="001C18FB"/>
    <w:rsid w:val="001C19DF"/>
    <w:rsid w:val="001C1B45"/>
    <w:rsid w:val="001C1FB2"/>
    <w:rsid w:val="001C1FCF"/>
    <w:rsid w:val="001C2232"/>
    <w:rsid w:val="001C25DA"/>
    <w:rsid w:val="001C2668"/>
    <w:rsid w:val="001C2847"/>
    <w:rsid w:val="001C2D6D"/>
    <w:rsid w:val="001C2EEF"/>
    <w:rsid w:val="001C31B9"/>
    <w:rsid w:val="001C3321"/>
    <w:rsid w:val="001C394A"/>
    <w:rsid w:val="001C3D04"/>
    <w:rsid w:val="001C3EC5"/>
    <w:rsid w:val="001C4541"/>
    <w:rsid w:val="001C4737"/>
    <w:rsid w:val="001C4833"/>
    <w:rsid w:val="001C48DA"/>
    <w:rsid w:val="001C5709"/>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1809"/>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EEA"/>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9FE"/>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960"/>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03"/>
    <w:rsid w:val="002276B7"/>
    <w:rsid w:val="00227749"/>
    <w:rsid w:val="00227794"/>
    <w:rsid w:val="00227EC2"/>
    <w:rsid w:val="00230277"/>
    <w:rsid w:val="0023029C"/>
    <w:rsid w:val="002302FC"/>
    <w:rsid w:val="002303C6"/>
    <w:rsid w:val="00230A06"/>
    <w:rsid w:val="00230D30"/>
    <w:rsid w:val="00230D82"/>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930"/>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0FD"/>
    <w:rsid w:val="00280616"/>
    <w:rsid w:val="002806D9"/>
    <w:rsid w:val="0028080A"/>
    <w:rsid w:val="00280966"/>
    <w:rsid w:val="00280C3A"/>
    <w:rsid w:val="00280D64"/>
    <w:rsid w:val="00281040"/>
    <w:rsid w:val="002811E7"/>
    <w:rsid w:val="002814AE"/>
    <w:rsid w:val="002816AF"/>
    <w:rsid w:val="00281957"/>
    <w:rsid w:val="00281C23"/>
    <w:rsid w:val="00281D74"/>
    <w:rsid w:val="00282171"/>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52"/>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666"/>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211"/>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0F04"/>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ADA"/>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8F8"/>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5C"/>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5F91"/>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0DF"/>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34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87"/>
    <w:rsid w:val="003A5ACF"/>
    <w:rsid w:val="003A618E"/>
    <w:rsid w:val="003A66D7"/>
    <w:rsid w:val="003A6CDC"/>
    <w:rsid w:val="003A6FA6"/>
    <w:rsid w:val="003A7265"/>
    <w:rsid w:val="003A7367"/>
    <w:rsid w:val="003A797C"/>
    <w:rsid w:val="003A7A6F"/>
    <w:rsid w:val="003A7FF6"/>
    <w:rsid w:val="003B03F4"/>
    <w:rsid w:val="003B0413"/>
    <w:rsid w:val="003B0677"/>
    <w:rsid w:val="003B083A"/>
    <w:rsid w:val="003B0A0F"/>
    <w:rsid w:val="003B0B9C"/>
    <w:rsid w:val="003B0D40"/>
    <w:rsid w:val="003B0EA5"/>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523"/>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454"/>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DCF"/>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5D51"/>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EE9"/>
    <w:rsid w:val="00411F4F"/>
    <w:rsid w:val="00412042"/>
    <w:rsid w:val="004124B3"/>
    <w:rsid w:val="00412535"/>
    <w:rsid w:val="004126DB"/>
    <w:rsid w:val="00412A7B"/>
    <w:rsid w:val="00412B5E"/>
    <w:rsid w:val="00412C90"/>
    <w:rsid w:val="00412D0B"/>
    <w:rsid w:val="00412FF7"/>
    <w:rsid w:val="0041303A"/>
    <w:rsid w:val="00413097"/>
    <w:rsid w:val="004134C0"/>
    <w:rsid w:val="00413C08"/>
    <w:rsid w:val="00413FCB"/>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17FB9"/>
    <w:rsid w:val="0042018B"/>
    <w:rsid w:val="004203E3"/>
    <w:rsid w:val="0042055A"/>
    <w:rsid w:val="004206E0"/>
    <w:rsid w:val="00420BD0"/>
    <w:rsid w:val="00420CB0"/>
    <w:rsid w:val="00420F40"/>
    <w:rsid w:val="0042114F"/>
    <w:rsid w:val="00421840"/>
    <w:rsid w:val="00421975"/>
    <w:rsid w:val="00421BB3"/>
    <w:rsid w:val="00421F35"/>
    <w:rsid w:val="0042208B"/>
    <w:rsid w:val="00422404"/>
    <w:rsid w:val="004229AD"/>
    <w:rsid w:val="00422C05"/>
    <w:rsid w:val="00422F50"/>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35A"/>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4F8"/>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7BB"/>
    <w:rsid w:val="0046689D"/>
    <w:rsid w:val="004668F6"/>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6D4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3B"/>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C5D"/>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57"/>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3BE1"/>
    <w:rsid w:val="004B438E"/>
    <w:rsid w:val="004B440A"/>
    <w:rsid w:val="004B4930"/>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3F8"/>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A7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62B"/>
    <w:rsid w:val="004F385C"/>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2E0"/>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413"/>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83C"/>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A6D"/>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87E92"/>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B35"/>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AFB"/>
    <w:rsid w:val="005B0BE8"/>
    <w:rsid w:val="005B0C83"/>
    <w:rsid w:val="005B10C2"/>
    <w:rsid w:val="005B1338"/>
    <w:rsid w:val="005B141E"/>
    <w:rsid w:val="005B15FD"/>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73"/>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1DE"/>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BE7"/>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8E"/>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06"/>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6C1E"/>
    <w:rsid w:val="006675B0"/>
    <w:rsid w:val="00667961"/>
    <w:rsid w:val="00667D30"/>
    <w:rsid w:val="0067002B"/>
    <w:rsid w:val="00670147"/>
    <w:rsid w:val="0067029D"/>
    <w:rsid w:val="00670403"/>
    <w:rsid w:val="006704C3"/>
    <w:rsid w:val="00670A12"/>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8A"/>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5F2"/>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728"/>
    <w:rsid w:val="006B6CB7"/>
    <w:rsid w:val="006B6D0B"/>
    <w:rsid w:val="006B6ED5"/>
    <w:rsid w:val="006B6F1F"/>
    <w:rsid w:val="006B6F7D"/>
    <w:rsid w:val="006B7021"/>
    <w:rsid w:val="006B7082"/>
    <w:rsid w:val="006B709A"/>
    <w:rsid w:val="006B7254"/>
    <w:rsid w:val="006B7258"/>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772"/>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0DA"/>
    <w:rsid w:val="006E79B9"/>
    <w:rsid w:val="006F007E"/>
    <w:rsid w:val="006F02FD"/>
    <w:rsid w:val="006F0D91"/>
    <w:rsid w:val="006F0DA1"/>
    <w:rsid w:val="006F0E98"/>
    <w:rsid w:val="006F14F2"/>
    <w:rsid w:val="006F18BB"/>
    <w:rsid w:val="006F1A95"/>
    <w:rsid w:val="006F1B02"/>
    <w:rsid w:val="006F1BCA"/>
    <w:rsid w:val="006F1CA0"/>
    <w:rsid w:val="006F1D16"/>
    <w:rsid w:val="006F1E37"/>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6AA"/>
    <w:rsid w:val="007039BA"/>
    <w:rsid w:val="00703AFB"/>
    <w:rsid w:val="00703EFD"/>
    <w:rsid w:val="007040E6"/>
    <w:rsid w:val="007041F0"/>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8A"/>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0D6"/>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4BD"/>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CDA"/>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E84"/>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C0F"/>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12"/>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187"/>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30"/>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52"/>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404"/>
    <w:rsid w:val="00856992"/>
    <w:rsid w:val="00856A09"/>
    <w:rsid w:val="00856AA3"/>
    <w:rsid w:val="00857DEE"/>
    <w:rsid w:val="00857DF4"/>
    <w:rsid w:val="00860030"/>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878"/>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C3"/>
    <w:rsid w:val="00865FE9"/>
    <w:rsid w:val="00866341"/>
    <w:rsid w:val="0086637F"/>
    <w:rsid w:val="00866B94"/>
    <w:rsid w:val="00866EB5"/>
    <w:rsid w:val="00866EEF"/>
    <w:rsid w:val="00867014"/>
    <w:rsid w:val="00867290"/>
    <w:rsid w:val="008672FE"/>
    <w:rsid w:val="00867459"/>
    <w:rsid w:val="00867703"/>
    <w:rsid w:val="00867833"/>
    <w:rsid w:val="00867B6F"/>
    <w:rsid w:val="00867C12"/>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498"/>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A99"/>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39C"/>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4A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84D"/>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3E0"/>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397"/>
    <w:rsid w:val="009315BA"/>
    <w:rsid w:val="0093175F"/>
    <w:rsid w:val="00931AB8"/>
    <w:rsid w:val="00931BC2"/>
    <w:rsid w:val="00931DB3"/>
    <w:rsid w:val="00931E9E"/>
    <w:rsid w:val="00932106"/>
    <w:rsid w:val="00932504"/>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9CE"/>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7"/>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C91"/>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8BC"/>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2F71"/>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831"/>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A8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126"/>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1AF"/>
    <w:rsid w:val="009E72D8"/>
    <w:rsid w:val="009E734D"/>
    <w:rsid w:val="009E7364"/>
    <w:rsid w:val="009E74F7"/>
    <w:rsid w:val="009E76F9"/>
    <w:rsid w:val="009E77FC"/>
    <w:rsid w:val="009E7C1D"/>
    <w:rsid w:val="009E7CC8"/>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00F"/>
    <w:rsid w:val="00A21277"/>
    <w:rsid w:val="00A212EF"/>
    <w:rsid w:val="00A21569"/>
    <w:rsid w:val="00A217EC"/>
    <w:rsid w:val="00A21AE9"/>
    <w:rsid w:val="00A21B58"/>
    <w:rsid w:val="00A2222A"/>
    <w:rsid w:val="00A224EB"/>
    <w:rsid w:val="00A225CB"/>
    <w:rsid w:val="00A22951"/>
    <w:rsid w:val="00A22B7E"/>
    <w:rsid w:val="00A22CC1"/>
    <w:rsid w:val="00A23113"/>
    <w:rsid w:val="00A23177"/>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56"/>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8"/>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4E6"/>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0F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1A"/>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66D"/>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5A1"/>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11B"/>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6FDE"/>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B0D"/>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0E89"/>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47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2B7"/>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7E3"/>
    <w:rsid w:val="00B17AFB"/>
    <w:rsid w:val="00B17F37"/>
    <w:rsid w:val="00B17F6C"/>
    <w:rsid w:val="00B20090"/>
    <w:rsid w:val="00B202D4"/>
    <w:rsid w:val="00B20515"/>
    <w:rsid w:val="00B20E42"/>
    <w:rsid w:val="00B20E6A"/>
    <w:rsid w:val="00B20E83"/>
    <w:rsid w:val="00B21057"/>
    <w:rsid w:val="00B2112B"/>
    <w:rsid w:val="00B2145F"/>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9ED"/>
    <w:rsid w:val="00B60D86"/>
    <w:rsid w:val="00B60DEB"/>
    <w:rsid w:val="00B61127"/>
    <w:rsid w:val="00B6114D"/>
    <w:rsid w:val="00B6132E"/>
    <w:rsid w:val="00B613EC"/>
    <w:rsid w:val="00B615D3"/>
    <w:rsid w:val="00B61650"/>
    <w:rsid w:val="00B61714"/>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4BBD"/>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17"/>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979"/>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B"/>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B8"/>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257"/>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72"/>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462"/>
    <w:rsid w:val="00BC555E"/>
    <w:rsid w:val="00BC575C"/>
    <w:rsid w:val="00BC5923"/>
    <w:rsid w:val="00BC5A95"/>
    <w:rsid w:val="00BC5AD6"/>
    <w:rsid w:val="00BC61C4"/>
    <w:rsid w:val="00BC6486"/>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463"/>
    <w:rsid w:val="00BD1838"/>
    <w:rsid w:val="00BD1BAB"/>
    <w:rsid w:val="00BD1CFD"/>
    <w:rsid w:val="00BD20C3"/>
    <w:rsid w:val="00BD216D"/>
    <w:rsid w:val="00BD2C72"/>
    <w:rsid w:val="00BD2CF3"/>
    <w:rsid w:val="00BD3003"/>
    <w:rsid w:val="00BD30D1"/>
    <w:rsid w:val="00BD31D7"/>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83F"/>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398"/>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0CD"/>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1EA"/>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70C"/>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7"/>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801"/>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E5"/>
    <w:rsid w:val="00C458FE"/>
    <w:rsid w:val="00C45A54"/>
    <w:rsid w:val="00C45C73"/>
    <w:rsid w:val="00C45EA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5A"/>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A32"/>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474"/>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6EA9"/>
    <w:rsid w:val="00C770CE"/>
    <w:rsid w:val="00C7724F"/>
    <w:rsid w:val="00C77281"/>
    <w:rsid w:val="00C777A7"/>
    <w:rsid w:val="00C777E9"/>
    <w:rsid w:val="00C77804"/>
    <w:rsid w:val="00C80A72"/>
    <w:rsid w:val="00C80AF3"/>
    <w:rsid w:val="00C8110D"/>
    <w:rsid w:val="00C81331"/>
    <w:rsid w:val="00C81975"/>
    <w:rsid w:val="00C81ABC"/>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DFE"/>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0F7"/>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547"/>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1EC7"/>
    <w:rsid w:val="00CC20BF"/>
    <w:rsid w:val="00CC2255"/>
    <w:rsid w:val="00CC237C"/>
    <w:rsid w:val="00CC2400"/>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5"/>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73F"/>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528"/>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6A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70A"/>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7C5"/>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AD6"/>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CBA"/>
    <w:rsid w:val="00D70E1F"/>
    <w:rsid w:val="00D70EFA"/>
    <w:rsid w:val="00D711FF"/>
    <w:rsid w:val="00D714AE"/>
    <w:rsid w:val="00D7165F"/>
    <w:rsid w:val="00D717C5"/>
    <w:rsid w:val="00D72410"/>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3D5C"/>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147"/>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C56"/>
    <w:rsid w:val="00D96EA9"/>
    <w:rsid w:val="00D9732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49D"/>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64F"/>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0E60"/>
    <w:rsid w:val="00DF1197"/>
    <w:rsid w:val="00DF1548"/>
    <w:rsid w:val="00DF16FA"/>
    <w:rsid w:val="00DF17C5"/>
    <w:rsid w:val="00DF1B32"/>
    <w:rsid w:val="00DF1C1A"/>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C30"/>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33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46D"/>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1FE4"/>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C17"/>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EE4"/>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8B3"/>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47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8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2EA"/>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89D"/>
    <w:rsid w:val="00EC2C0C"/>
    <w:rsid w:val="00EC2CA9"/>
    <w:rsid w:val="00EC3557"/>
    <w:rsid w:val="00EC37A8"/>
    <w:rsid w:val="00EC38B5"/>
    <w:rsid w:val="00EC39C6"/>
    <w:rsid w:val="00EC3A6B"/>
    <w:rsid w:val="00EC3D09"/>
    <w:rsid w:val="00EC3F3C"/>
    <w:rsid w:val="00EC4B5E"/>
    <w:rsid w:val="00EC4DBB"/>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C01"/>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39"/>
    <w:rsid w:val="00F02197"/>
    <w:rsid w:val="00F0219B"/>
    <w:rsid w:val="00F023D8"/>
    <w:rsid w:val="00F02440"/>
    <w:rsid w:val="00F02465"/>
    <w:rsid w:val="00F02500"/>
    <w:rsid w:val="00F02759"/>
    <w:rsid w:val="00F027C0"/>
    <w:rsid w:val="00F02862"/>
    <w:rsid w:val="00F02901"/>
    <w:rsid w:val="00F0347F"/>
    <w:rsid w:val="00F037F9"/>
    <w:rsid w:val="00F03837"/>
    <w:rsid w:val="00F03934"/>
    <w:rsid w:val="00F03A8E"/>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4C4"/>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0E"/>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7F"/>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9CF"/>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976"/>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46"/>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3B8"/>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A2B"/>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AB4"/>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4A5"/>
    <w:rsid w:val="00FC4528"/>
    <w:rsid w:val="00FC48FE"/>
    <w:rsid w:val="00FC4D41"/>
    <w:rsid w:val="00FC4FC9"/>
    <w:rsid w:val="00FC52FB"/>
    <w:rsid w:val="00FC592E"/>
    <w:rsid w:val="00FC5937"/>
    <w:rsid w:val="00FC5C8E"/>
    <w:rsid w:val="00FC5FD2"/>
    <w:rsid w:val="00FC608D"/>
    <w:rsid w:val="00FC60A5"/>
    <w:rsid w:val="00FC6141"/>
    <w:rsid w:val="00FC617F"/>
    <w:rsid w:val="00FC6372"/>
    <w:rsid w:val="00FC63C2"/>
    <w:rsid w:val="00FC64B0"/>
    <w:rsid w:val="00FC64F6"/>
    <w:rsid w:val="00FC656F"/>
    <w:rsid w:val="00FC672F"/>
    <w:rsid w:val="00FC6C6D"/>
    <w:rsid w:val="00FC6C8E"/>
    <w:rsid w:val="00FC6CCF"/>
    <w:rsid w:val="00FC720C"/>
    <w:rsid w:val="00FC7346"/>
    <w:rsid w:val="00FC73EB"/>
    <w:rsid w:val="00FD0095"/>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35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51"/>
    <w:rsid w:val="00FD61DA"/>
    <w:rsid w:val="00FD6381"/>
    <w:rsid w:val="00FD6503"/>
    <w:rsid w:val="00FD6584"/>
    <w:rsid w:val="00FD65A8"/>
    <w:rsid w:val="00FD6833"/>
    <w:rsid w:val="00FD6CE6"/>
    <w:rsid w:val="00FD6E00"/>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306"/>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3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val="en-GB"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en-US" w:eastAsia="en-GB"/>
    </w:rPr>
  </w:style>
  <w:style w:type="character" w:styleId="UnresolvedMention">
    <w:name w:val="Unresolved Mention"/>
    <w:uiPriority w:val="99"/>
    <w:semiHidden/>
    <w:unhideWhenUsed/>
    <w:rsid w:val="008A1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5721">
      <w:bodyDiv w:val="1"/>
      <w:marLeft w:val="0"/>
      <w:marRight w:val="0"/>
      <w:marTop w:val="0"/>
      <w:marBottom w:val="0"/>
      <w:divBdr>
        <w:top w:val="none" w:sz="0" w:space="0" w:color="auto"/>
        <w:left w:val="none" w:sz="0" w:space="0" w:color="auto"/>
        <w:bottom w:val="none" w:sz="0" w:space="0" w:color="auto"/>
        <w:right w:val="none" w:sz="0" w:space="0" w:color="auto"/>
      </w:divBdr>
    </w:div>
    <w:div w:id="255598586">
      <w:bodyDiv w:val="1"/>
      <w:marLeft w:val="0"/>
      <w:marRight w:val="0"/>
      <w:marTop w:val="0"/>
      <w:marBottom w:val="0"/>
      <w:divBdr>
        <w:top w:val="none" w:sz="0" w:space="0" w:color="auto"/>
        <w:left w:val="none" w:sz="0" w:space="0" w:color="auto"/>
        <w:bottom w:val="none" w:sz="0" w:space="0" w:color="auto"/>
        <w:right w:val="none" w:sz="0" w:space="0" w:color="auto"/>
      </w:divBdr>
    </w:div>
    <w:div w:id="299312371">
      <w:bodyDiv w:val="1"/>
      <w:marLeft w:val="0"/>
      <w:marRight w:val="0"/>
      <w:marTop w:val="0"/>
      <w:marBottom w:val="0"/>
      <w:divBdr>
        <w:top w:val="none" w:sz="0" w:space="0" w:color="auto"/>
        <w:left w:val="none" w:sz="0" w:space="0" w:color="auto"/>
        <w:bottom w:val="none" w:sz="0" w:space="0" w:color="auto"/>
        <w:right w:val="none" w:sz="0" w:space="0" w:color="auto"/>
      </w:divBdr>
    </w:div>
    <w:div w:id="486551088">
      <w:bodyDiv w:val="1"/>
      <w:marLeft w:val="0"/>
      <w:marRight w:val="0"/>
      <w:marTop w:val="0"/>
      <w:marBottom w:val="0"/>
      <w:divBdr>
        <w:top w:val="none" w:sz="0" w:space="0" w:color="auto"/>
        <w:left w:val="none" w:sz="0" w:space="0" w:color="auto"/>
        <w:bottom w:val="none" w:sz="0" w:space="0" w:color="auto"/>
        <w:right w:val="none" w:sz="0" w:space="0" w:color="auto"/>
      </w:divBdr>
    </w:div>
    <w:div w:id="550120562">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222447501">
      <w:bodyDiv w:val="1"/>
      <w:marLeft w:val="0"/>
      <w:marRight w:val="0"/>
      <w:marTop w:val="0"/>
      <w:marBottom w:val="0"/>
      <w:divBdr>
        <w:top w:val="none" w:sz="0" w:space="0" w:color="auto"/>
        <w:left w:val="none" w:sz="0" w:space="0" w:color="auto"/>
        <w:bottom w:val="none" w:sz="0" w:space="0" w:color="auto"/>
        <w:right w:val="none" w:sz="0" w:space="0" w:color="auto"/>
      </w:divBdr>
    </w:div>
    <w:div w:id="1513757670">
      <w:bodyDiv w:val="1"/>
      <w:marLeft w:val="0"/>
      <w:marRight w:val="0"/>
      <w:marTop w:val="0"/>
      <w:marBottom w:val="0"/>
      <w:divBdr>
        <w:top w:val="none" w:sz="0" w:space="0" w:color="auto"/>
        <w:left w:val="none" w:sz="0" w:space="0" w:color="auto"/>
        <w:bottom w:val="none" w:sz="0" w:space="0" w:color="auto"/>
        <w:right w:val="none" w:sz="0" w:space="0" w:color="auto"/>
      </w:divBdr>
    </w:div>
    <w:div w:id="1722242203">
      <w:bodyDiv w:val="1"/>
      <w:marLeft w:val="0"/>
      <w:marRight w:val="0"/>
      <w:marTop w:val="0"/>
      <w:marBottom w:val="0"/>
      <w:divBdr>
        <w:top w:val="none" w:sz="0" w:space="0" w:color="auto"/>
        <w:left w:val="none" w:sz="0" w:space="0" w:color="auto"/>
        <w:bottom w:val="none" w:sz="0" w:space="0" w:color="auto"/>
        <w:right w:val="none" w:sz="0" w:space="0" w:color="auto"/>
      </w:divBdr>
    </w:div>
    <w:div w:id="21350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mbudsman.europa.eu/en/special-report/en/175425" TargetMode="External"/><Relationship Id="rId2" Type="http://schemas.openxmlformats.org/officeDocument/2006/relationships/hyperlink" Target="https://commission.europa.eu/publications/annual-reports-commission-application-regulation-10492001_en" TargetMode="External"/><Relationship Id="rId1" Type="http://schemas.openxmlformats.org/officeDocument/2006/relationships/hyperlink" Target="http://data.europa.eu/eli/reg/2001/1049/art_4/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5C865E-BA12-4523-B2A8-1366E8EA2917}">
  <we:reference id="b4c4b211-dd1c-4154-a798-ce3ee361a404" version="1.0.0.0" store="https://eceuropaeu.sharepoint.com/sites/AppC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0" ma:contentTypeDescription="Create a new document." ma:contentTypeScope="" ma:versionID="0840c3b318e24520dbf511279194a237">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c658aad04dc0d5db34ec98a782b9a146"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7A8C2-902D-40A2-8A1E-1210DE2B3D04}">
  <ds:schemaRefs>
    <ds:schemaRef ds:uri="http://schemas.microsoft.com/sharepoint/v3/contenttype/forms"/>
  </ds:schemaRefs>
</ds:datastoreItem>
</file>

<file path=customXml/itemProps2.xml><?xml version="1.0" encoding="utf-8"?>
<ds:datastoreItem xmlns:ds="http://schemas.openxmlformats.org/officeDocument/2006/customXml" ds:itemID="{2D543966-8ED5-4FB8-95B6-E43B4D6A1BCD}">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customXml/itemProps3.xml><?xml version="1.0" encoding="utf-8"?>
<ds:datastoreItem xmlns:ds="http://schemas.openxmlformats.org/officeDocument/2006/customXml" ds:itemID="{8700459C-FDC6-4A45-B856-F1FCD291A0BE}">
  <ds:schemaRefs>
    <ds:schemaRef ds:uri="http://schemas.openxmlformats.org/officeDocument/2006/bibliography"/>
  </ds:schemaRefs>
</ds:datastoreItem>
</file>

<file path=customXml/itemProps4.xml><?xml version="1.0" encoding="utf-8"?>
<ds:datastoreItem xmlns:ds="http://schemas.openxmlformats.org/officeDocument/2006/customXml" ds:itemID="{0D8F2C3C-B43E-4A17-A5DE-0D8DD0C66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5321-5d6d-40f3-a89c-b5482dd566c1"/>
    <ds:schemaRef ds:uri="af9dd6c6-cf8f-4aa4-be49-f1cc0da5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1765</Words>
  <Characters>9549</Characters>
  <Application>Microsoft Office Word</Application>
  <DocSecurity>0</DocSecurity>
  <PresentationFormat>Microsoft Word 8.0b</PresentationFormat>
  <Lines>136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2024-10-31T09:17:00Z</dcterms:created>
  <dcterms:modified xsi:type="dcterms:W3CDTF">2024-11-27T14:23:00Z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2024-10-30T23:02:00Z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115c951b-6468-47cf-a77b-347c6c68de3c</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MediaServiceImageTags">
    <vt:lpwstr/>
  </property>
</Properties>
</file>