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1C" w:rsidRPr="00E07F1C" w:rsidRDefault="00E07F1C" w:rsidP="00E07F1C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E07F1C">
        <w:rPr>
          <w:rFonts w:eastAsia="Times New Roman"/>
          <w:b/>
          <w:szCs w:val="20"/>
          <w:lang w:val="fr-FR" w:eastAsia="en-GB"/>
        </w:rPr>
        <w:t>PROCÉDURE LEGISLATIVE ORDINAIRE</w:t>
      </w:r>
    </w:p>
    <w:p w:rsidR="00E07F1C" w:rsidRPr="00E07F1C" w:rsidRDefault="00E07F1C" w:rsidP="00E07F1C">
      <w:pPr>
        <w:spacing w:after="600"/>
        <w:jc w:val="center"/>
        <w:rPr>
          <w:rFonts w:eastAsia="Times New Roman"/>
          <w:b/>
          <w:bCs/>
          <w:szCs w:val="20"/>
          <w:lang w:val="fr-FR" w:eastAsia="en-GB"/>
        </w:rPr>
      </w:pPr>
      <w:bookmarkStart w:id="1" w:name="CICUREL1"/>
      <w:r w:rsidRPr="00E07F1C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décision du Parlement européen et du Conseil relative à l’autorisation octroyée à la France de négocier un accord bilatéral avec l’Algérie sur des questions liées à la coopération judiciaire en matière civile et commerciale</w:t>
      </w:r>
      <w:bookmarkEnd w:id="1"/>
    </w:p>
    <w:p w:rsidR="00E07F1C" w:rsidRPr="00E07F1C" w:rsidRDefault="00E07F1C" w:rsidP="00E07F1C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E07F1C">
        <w:rPr>
          <w:rFonts w:eastAsia="Times New Roman"/>
          <w:b/>
          <w:szCs w:val="20"/>
          <w:lang w:val="fr-FR" w:eastAsia="en-GB"/>
        </w:rPr>
        <w:t>1.</w:t>
      </w:r>
      <w:r w:rsidRPr="00E07F1C">
        <w:rPr>
          <w:rFonts w:eastAsia="Times New Roman"/>
          <w:b/>
          <w:szCs w:val="20"/>
          <w:lang w:val="fr-FR" w:eastAsia="en-GB"/>
        </w:rPr>
        <w:tab/>
        <w:t xml:space="preserve">Rapporteure: </w:t>
      </w:r>
      <w:r w:rsidRPr="00E07F1C">
        <w:rPr>
          <w:rFonts w:eastAsia="Times New Roman"/>
          <w:szCs w:val="20"/>
          <w:lang w:val="fr-FR" w:eastAsia="en-GB"/>
        </w:rPr>
        <w:t>Ilana CICUREL (RENEW / FR)</w:t>
      </w:r>
    </w:p>
    <w:p w:rsidR="00E07F1C" w:rsidRPr="00E07F1C" w:rsidRDefault="00E07F1C" w:rsidP="00E07F1C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E07F1C">
        <w:rPr>
          <w:rFonts w:eastAsia="Times New Roman"/>
          <w:b/>
          <w:szCs w:val="20"/>
          <w:lang w:val="fr-FR" w:eastAsia="en-GB"/>
        </w:rPr>
        <w:t>2.</w:t>
      </w:r>
      <w:r w:rsidRPr="00E07F1C">
        <w:rPr>
          <w:rFonts w:eastAsia="Times New Roman"/>
          <w:b/>
          <w:szCs w:val="20"/>
          <w:lang w:val="fr-FR" w:eastAsia="en-GB"/>
        </w:rPr>
        <w:tab/>
        <w:t>Numéros de référence:</w:t>
      </w:r>
      <w:r w:rsidRPr="00E07F1C">
        <w:rPr>
          <w:rFonts w:eastAsia="Times New Roman"/>
          <w:szCs w:val="20"/>
          <w:lang w:val="fr-FR" w:eastAsia="en-GB"/>
        </w:rPr>
        <w:t xml:space="preserve"> 2023/0028 (COD) / A9-0356/2023 / P9_TA(2023)0448</w:t>
      </w:r>
    </w:p>
    <w:p w:rsidR="00E07F1C" w:rsidRPr="00E07F1C" w:rsidRDefault="00E07F1C" w:rsidP="00E07F1C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E07F1C">
        <w:rPr>
          <w:rFonts w:eastAsia="Times New Roman"/>
          <w:b/>
          <w:szCs w:val="20"/>
          <w:lang w:val="fr-FR" w:eastAsia="en-GB"/>
        </w:rPr>
        <w:t>3.</w:t>
      </w:r>
      <w:r w:rsidRPr="00E07F1C">
        <w:rPr>
          <w:rFonts w:eastAsia="Times New Roman"/>
          <w:b/>
          <w:szCs w:val="20"/>
          <w:lang w:val="fr-FR" w:eastAsia="en-GB"/>
        </w:rPr>
        <w:tab/>
        <w:t xml:space="preserve">Date d’adoption de la résolution: </w:t>
      </w:r>
      <w:r w:rsidRPr="00E07F1C">
        <w:rPr>
          <w:rFonts w:eastAsia="Times New Roman"/>
          <w:szCs w:val="20"/>
          <w:lang w:val="fr-FR" w:eastAsia="en-GB"/>
        </w:rPr>
        <w:t>12 décembre 2023</w:t>
      </w:r>
    </w:p>
    <w:p w:rsidR="00E07F1C" w:rsidRPr="00E07F1C" w:rsidRDefault="00E07F1C" w:rsidP="00E07F1C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E07F1C">
        <w:rPr>
          <w:rFonts w:eastAsia="Times New Roman"/>
          <w:b/>
          <w:szCs w:val="20"/>
          <w:lang w:val="fr-FR" w:eastAsia="en-GB"/>
        </w:rPr>
        <w:t>4.</w:t>
      </w:r>
      <w:r w:rsidRPr="00E07F1C">
        <w:rPr>
          <w:rFonts w:eastAsia="Times New Roman"/>
          <w:b/>
          <w:szCs w:val="20"/>
          <w:lang w:val="fr-FR" w:eastAsia="en-GB"/>
        </w:rPr>
        <w:tab/>
        <w:t xml:space="preserve">Base juridique: </w:t>
      </w:r>
      <w:r w:rsidRPr="00E07F1C">
        <w:rPr>
          <w:rFonts w:eastAsia="Times New Roman"/>
          <w:szCs w:val="20"/>
          <w:lang w:val="fr-FR" w:eastAsia="en-GB"/>
        </w:rPr>
        <w:t>article 81, paragraphe 2, du traité sur le fonctionnement de l’Union européenne</w:t>
      </w:r>
    </w:p>
    <w:p w:rsidR="00E07F1C" w:rsidRPr="00E07F1C" w:rsidRDefault="00E07F1C" w:rsidP="00E07F1C">
      <w:pPr>
        <w:spacing w:after="240" w:line="240" w:lineRule="atLeast"/>
        <w:ind w:left="567" w:hanging="567"/>
        <w:rPr>
          <w:rFonts w:eastAsia="Times New Roman"/>
          <w:i/>
          <w:szCs w:val="20"/>
          <w:lang w:val="fr-FR" w:eastAsia="en-GB"/>
        </w:rPr>
      </w:pPr>
      <w:r w:rsidRPr="00E07F1C">
        <w:rPr>
          <w:rFonts w:eastAsia="Times New Roman"/>
          <w:b/>
          <w:szCs w:val="20"/>
          <w:lang w:val="fr-FR" w:eastAsia="en-GB"/>
        </w:rPr>
        <w:t>5.</w:t>
      </w:r>
      <w:r w:rsidRPr="00E07F1C">
        <w:rPr>
          <w:rFonts w:eastAsia="Times New Roman"/>
          <w:b/>
          <w:szCs w:val="20"/>
          <w:lang w:val="fr-FR" w:eastAsia="en-GB"/>
        </w:rPr>
        <w:tab/>
        <w:t>Commission parlementaire compétente:</w:t>
      </w:r>
      <w:r w:rsidRPr="00E07F1C">
        <w:rPr>
          <w:rFonts w:eastAsia="Times New Roman"/>
          <w:szCs w:val="20"/>
          <w:lang w:val="fr-FR" w:eastAsia="en-GB"/>
        </w:rPr>
        <w:t xml:space="preserve"> commission des affaires juridiques (JURI)</w:t>
      </w:r>
    </w:p>
    <w:p w:rsidR="008765BE" w:rsidRDefault="00E07F1C" w:rsidP="00E07F1C">
      <w:r w:rsidRPr="00E07F1C">
        <w:rPr>
          <w:rFonts w:eastAsia="Times New Roman"/>
          <w:b/>
          <w:szCs w:val="20"/>
          <w:lang w:val="fr-FR" w:eastAsia="en-GB"/>
        </w:rPr>
        <w:t>6.</w:t>
      </w:r>
      <w:r w:rsidRPr="00E07F1C">
        <w:rPr>
          <w:rFonts w:eastAsia="Times New Roman"/>
          <w:b/>
          <w:szCs w:val="20"/>
          <w:lang w:val="fr-FR" w:eastAsia="en-GB"/>
        </w:rPr>
        <w:tab/>
        <w:t>Position de la Commission:</w:t>
      </w:r>
      <w:r w:rsidRPr="00E07F1C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E07F1C">
        <w:rPr>
          <w:rFonts w:eastAsia="Times New Roman"/>
          <w:color w:val="000000"/>
          <w:szCs w:val="20"/>
          <w:lang w:val="fr-FR" w:eastAsia="en-GB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1C"/>
    <w:rsid w:val="005762E3"/>
    <w:rsid w:val="008765BE"/>
    <w:rsid w:val="00E0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55D33-0E7B-40BD-AA4B-20D18098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2024-04-02T15:21:00Z</dcterms:created>
  <dcterms:modified xsi:type="dcterms:W3CDTF">2024-04-02T15:21:00Z</dcterms:modified>
</cp:coreProperties>
</file>