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86777" w14:textId="3EC561B6" w:rsidR="00521AC0" w:rsidRDefault="00963420" w:rsidP="00BD29AC">
      <w:pPr>
        <w:pStyle w:val="ATHeading3"/>
        <w:keepNext w:val="0"/>
        <w:keepLines w:val="0"/>
        <w:widowControl w:val="0"/>
        <w:spacing w:before="0" w:after="600"/>
        <w:jc w:val="center"/>
        <w:rPr>
          <w:lang w:eastAsia="fr-FR"/>
        </w:rPr>
      </w:pPr>
      <w:r w:rsidRPr="00C33439">
        <w:rPr>
          <w:szCs w:val="24"/>
        </w:rPr>
        <w:t xml:space="preserve">Follow-up to the European Parliament non-legislative resolution </w:t>
      </w:r>
      <w:r w:rsidRPr="00C33439">
        <w:rPr>
          <w:bCs/>
          <w:szCs w:val="24"/>
        </w:rPr>
        <w:t>on</w:t>
      </w:r>
      <w:bookmarkStart w:id="0" w:name="Sujet"/>
      <w:r w:rsidR="00BD29AC">
        <w:rPr>
          <w:bCs/>
          <w:szCs w:val="24"/>
        </w:rPr>
        <w:t xml:space="preserve"> </w:t>
      </w:r>
      <w:r w:rsidR="00521AC0">
        <w:t>monitoring the application of European Union Law in 2020, 2021 and 2022</w:t>
      </w:r>
      <w:bookmarkEnd w:id="0"/>
    </w:p>
    <w:p w14:paraId="222E65B7" w14:textId="1F4A7C9C" w:rsidR="00963420" w:rsidRPr="00BD29AC" w:rsidRDefault="00963420" w:rsidP="00E72788">
      <w:pPr>
        <w:numPr>
          <w:ilvl w:val="0"/>
          <w:numId w:val="34"/>
        </w:numPr>
        <w:ind w:left="567" w:hanging="567"/>
        <w:rPr>
          <w:rFonts w:ascii="Times New Roman" w:hAnsi="Times New Roman"/>
          <w:szCs w:val="24"/>
          <w:lang w:val="fr-FR"/>
        </w:rPr>
      </w:pPr>
      <w:r w:rsidRPr="00272103">
        <w:rPr>
          <w:rFonts w:ascii="Times New Roman" w:hAnsi="Times New Roman"/>
          <w:b/>
          <w:szCs w:val="24"/>
          <w:lang w:val="fr-FR"/>
        </w:rPr>
        <w:t>Rapporteur:</w:t>
      </w:r>
      <w:r w:rsidRPr="00272103">
        <w:rPr>
          <w:rFonts w:ascii="Times New Roman" w:hAnsi="Times New Roman"/>
          <w:szCs w:val="24"/>
          <w:lang w:val="fr-FR"/>
        </w:rPr>
        <w:t xml:space="preserve"> </w:t>
      </w:r>
      <w:r w:rsidR="007C7F45" w:rsidRPr="00BD29AC">
        <w:rPr>
          <w:rFonts w:ascii="Times New Roman" w:hAnsi="Times New Roman"/>
          <w:szCs w:val="24"/>
          <w:lang w:val="fr-FR"/>
        </w:rPr>
        <w:t>Catharina RINZEMA (Renew</w:t>
      </w:r>
      <w:r w:rsidR="00BD29AC" w:rsidRPr="00BD29AC">
        <w:rPr>
          <w:rFonts w:ascii="Times New Roman" w:hAnsi="Times New Roman"/>
          <w:szCs w:val="24"/>
          <w:lang w:val="fr-FR"/>
        </w:rPr>
        <w:t xml:space="preserve"> </w:t>
      </w:r>
      <w:r w:rsidR="007C7F45" w:rsidRPr="00BD29AC">
        <w:rPr>
          <w:rFonts w:ascii="Times New Roman" w:hAnsi="Times New Roman"/>
          <w:szCs w:val="24"/>
          <w:lang w:val="fr-FR"/>
        </w:rPr>
        <w:t>/</w:t>
      </w:r>
      <w:r w:rsidR="00BD29AC" w:rsidRPr="00BD29AC">
        <w:rPr>
          <w:rFonts w:ascii="Times New Roman" w:hAnsi="Times New Roman"/>
          <w:szCs w:val="24"/>
          <w:lang w:val="fr-FR"/>
        </w:rPr>
        <w:t xml:space="preserve"> </w:t>
      </w:r>
      <w:r w:rsidR="007C7F45" w:rsidRPr="00BD29AC">
        <w:rPr>
          <w:rFonts w:ascii="Times New Roman" w:hAnsi="Times New Roman"/>
          <w:szCs w:val="24"/>
          <w:lang w:val="fr-FR"/>
        </w:rPr>
        <w:t>NL)</w:t>
      </w:r>
    </w:p>
    <w:p w14:paraId="6900E183" w14:textId="4D71431C" w:rsidR="00963420" w:rsidRPr="00BD29AC" w:rsidRDefault="00063DCE" w:rsidP="00E72788">
      <w:pPr>
        <w:pStyle w:val="Default"/>
        <w:numPr>
          <w:ilvl w:val="0"/>
          <w:numId w:val="34"/>
        </w:numPr>
        <w:spacing w:after="240"/>
        <w:ind w:left="567" w:hanging="567"/>
        <w:jc w:val="both"/>
        <w:rPr>
          <w:iCs/>
          <w:color w:val="auto"/>
          <w:lang w:val="en-US"/>
        </w:rPr>
      </w:pPr>
      <w:r>
        <w:rPr>
          <w:b/>
          <w:color w:val="auto"/>
          <w:lang w:val="en-GB"/>
        </w:rPr>
        <w:t>R</w:t>
      </w:r>
      <w:r w:rsidR="00963420" w:rsidRPr="001F0B89">
        <w:rPr>
          <w:b/>
          <w:color w:val="auto"/>
          <w:lang w:val="en-GB"/>
        </w:rPr>
        <w:t xml:space="preserve">eference number: </w:t>
      </w:r>
      <w:r w:rsidR="007C7F45" w:rsidRPr="00BD29AC">
        <w:rPr>
          <w:iCs/>
          <w:color w:val="auto"/>
          <w:lang w:val="en-US"/>
        </w:rPr>
        <w:t>2023/2080</w:t>
      </w:r>
      <w:r w:rsidR="00BD29AC">
        <w:rPr>
          <w:iCs/>
          <w:color w:val="auto"/>
          <w:lang w:val="en-US"/>
        </w:rPr>
        <w:t xml:space="preserve"> </w:t>
      </w:r>
      <w:r w:rsidR="007C7F45" w:rsidRPr="00BD29AC">
        <w:rPr>
          <w:iCs/>
          <w:color w:val="auto"/>
          <w:lang w:val="en-US"/>
        </w:rPr>
        <w:t xml:space="preserve">(INI) / A9-0328/2023 / </w:t>
      </w:r>
      <w:r w:rsidR="00BD29AC">
        <w:t>P9_TA(2023)0443</w:t>
      </w:r>
    </w:p>
    <w:p w14:paraId="61D85C18" w14:textId="6DBFE689" w:rsidR="001F0B89" w:rsidRDefault="00963420" w:rsidP="00E72788">
      <w:pPr>
        <w:numPr>
          <w:ilvl w:val="0"/>
          <w:numId w:val="34"/>
        </w:numPr>
        <w:ind w:left="567" w:hanging="567"/>
        <w:rPr>
          <w:rFonts w:ascii="Times New Roman" w:hAnsi="Times New Roman"/>
          <w:szCs w:val="24"/>
        </w:rPr>
      </w:pPr>
      <w:r w:rsidRPr="001F0B89">
        <w:rPr>
          <w:rFonts w:ascii="Times New Roman" w:hAnsi="Times New Roman"/>
          <w:b/>
          <w:szCs w:val="24"/>
        </w:rPr>
        <w:t>Date of adoption of the resolution:</w:t>
      </w:r>
      <w:r w:rsidRPr="001F0B89">
        <w:rPr>
          <w:rFonts w:ascii="Times New Roman" w:hAnsi="Times New Roman"/>
          <w:szCs w:val="24"/>
        </w:rPr>
        <w:t xml:space="preserve"> </w:t>
      </w:r>
      <w:r w:rsidR="007C7F45" w:rsidRPr="00BD29AC">
        <w:rPr>
          <w:rFonts w:ascii="Times New Roman" w:hAnsi="Times New Roman"/>
          <w:iCs/>
          <w:szCs w:val="24"/>
        </w:rPr>
        <w:t>23 November 2023</w:t>
      </w:r>
    </w:p>
    <w:p w14:paraId="4451E813" w14:textId="3A7F3FF5" w:rsidR="00963420" w:rsidRPr="00BD29AC" w:rsidRDefault="0082408A" w:rsidP="00E72788">
      <w:pPr>
        <w:numPr>
          <w:ilvl w:val="0"/>
          <w:numId w:val="34"/>
        </w:numPr>
        <w:ind w:left="567" w:hanging="567"/>
        <w:rPr>
          <w:rFonts w:ascii="Times New Roman" w:hAnsi="Times New Roman"/>
          <w:szCs w:val="24"/>
        </w:rPr>
      </w:pPr>
      <w:r>
        <w:rPr>
          <w:rFonts w:ascii="Times New Roman" w:hAnsi="Times New Roman"/>
          <w:b/>
          <w:szCs w:val="24"/>
        </w:rPr>
        <w:t>Responsible</w:t>
      </w:r>
      <w:r w:rsidR="00963420" w:rsidRPr="001F0B89">
        <w:rPr>
          <w:rFonts w:ascii="Times New Roman" w:hAnsi="Times New Roman"/>
          <w:b/>
          <w:szCs w:val="24"/>
        </w:rPr>
        <w:t xml:space="preserve"> Parliamentary Committee:</w:t>
      </w:r>
      <w:r w:rsidR="00963420" w:rsidRPr="00A0010B">
        <w:rPr>
          <w:rFonts w:ascii="Times New Roman" w:hAnsi="Times New Roman"/>
          <w:b/>
          <w:szCs w:val="24"/>
        </w:rPr>
        <w:t xml:space="preserve"> </w:t>
      </w:r>
      <w:r w:rsidR="00EA2741" w:rsidRPr="00BD29AC">
        <w:rPr>
          <w:rFonts w:ascii="Times New Roman" w:hAnsi="Times New Roman"/>
          <w:szCs w:val="24"/>
        </w:rPr>
        <w:t>Committee on</w:t>
      </w:r>
      <w:r w:rsidR="00042DBB" w:rsidRPr="00BD29AC">
        <w:rPr>
          <w:rFonts w:ascii="Times New Roman" w:hAnsi="Times New Roman"/>
          <w:szCs w:val="24"/>
        </w:rPr>
        <w:t xml:space="preserve"> Legal Affairs</w:t>
      </w:r>
      <w:r w:rsidR="00BD29AC">
        <w:rPr>
          <w:rFonts w:ascii="Times New Roman" w:hAnsi="Times New Roman"/>
          <w:szCs w:val="24"/>
        </w:rPr>
        <w:t xml:space="preserve"> (JURI)</w:t>
      </w:r>
    </w:p>
    <w:p w14:paraId="306681B7" w14:textId="1D0886E4" w:rsidR="003A1DE6" w:rsidRDefault="00963420" w:rsidP="00E72788">
      <w:pPr>
        <w:widowControl w:val="0"/>
        <w:numPr>
          <w:ilvl w:val="0"/>
          <w:numId w:val="34"/>
        </w:numPr>
        <w:ind w:left="567" w:hanging="567"/>
        <w:rPr>
          <w:rFonts w:ascii="Times New Roman" w:hAnsi="Times New Roman"/>
          <w:b/>
          <w:szCs w:val="24"/>
        </w:rPr>
      </w:pPr>
      <w:r w:rsidRPr="00C33439">
        <w:rPr>
          <w:rFonts w:ascii="Times New Roman" w:hAnsi="Times New Roman"/>
          <w:b/>
          <w:szCs w:val="24"/>
        </w:rPr>
        <w:t>Brief analysis/assessment of the resolution and requests made in it:</w:t>
      </w:r>
      <w:r w:rsidR="00146971">
        <w:rPr>
          <w:rFonts w:ascii="Times New Roman" w:hAnsi="Times New Roman"/>
          <w:b/>
          <w:szCs w:val="24"/>
        </w:rPr>
        <w:t xml:space="preserve"> </w:t>
      </w:r>
    </w:p>
    <w:p w14:paraId="77D01559" w14:textId="13ECC733" w:rsidR="00F207C9" w:rsidRPr="00985075" w:rsidRDefault="5E323E38" w:rsidP="00BD29AC">
      <w:pPr>
        <w:widowControl w:val="0"/>
        <w:spacing w:after="120"/>
        <w:rPr>
          <w:rFonts w:ascii="Times New Roman" w:hAnsi="Times New Roman"/>
        </w:rPr>
      </w:pPr>
      <w:r w:rsidRPr="764750FE">
        <w:rPr>
          <w:rFonts w:ascii="Times New Roman" w:hAnsi="Times New Roman"/>
        </w:rPr>
        <w:t xml:space="preserve">The resolution </w:t>
      </w:r>
      <w:r w:rsidR="06074E58" w:rsidRPr="764750FE">
        <w:rPr>
          <w:rFonts w:ascii="Times New Roman" w:hAnsi="Times New Roman"/>
        </w:rPr>
        <w:t>w</w:t>
      </w:r>
      <w:r w:rsidR="70D992BA" w:rsidRPr="764750FE">
        <w:rPr>
          <w:rFonts w:ascii="Times New Roman" w:hAnsi="Times New Roman"/>
        </w:rPr>
        <w:t>elcomes the Commission’s 2020, 2021 and 2022 reports on monitoring the application of EU law</w:t>
      </w:r>
      <w:r w:rsidR="06074E58" w:rsidRPr="764750FE">
        <w:rPr>
          <w:rFonts w:ascii="Times New Roman" w:hAnsi="Times New Roman"/>
        </w:rPr>
        <w:t xml:space="preserve"> and considers </w:t>
      </w:r>
      <w:r w:rsidR="042A5DB3" w:rsidRPr="764750FE">
        <w:rPr>
          <w:rFonts w:ascii="Times New Roman" w:hAnsi="Times New Roman"/>
        </w:rPr>
        <w:t>that</w:t>
      </w:r>
      <w:r w:rsidR="0082408A">
        <w:rPr>
          <w:rFonts w:ascii="Times New Roman" w:hAnsi="Times New Roman"/>
        </w:rPr>
        <w:t xml:space="preserve"> the</w:t>
      </w:r>
      <w:r w:rsidR="042A5DB3" w:rsidRPr="764750FE">
        <w:rPr>
          <w:rFonts w:ascii="Times New Roman" w:hAnsi="Times New Roman"/>
        </w:rPr>
        <w:t xml:space="preserve"> </w:t>
      </w:r>
      <w:hyperlink r:id="rId11" w:history="1">
        <w:r w:rsidR="042A5DB3" w:rsidRPr="00BD6772">
          <w:rPr>
            <w:rStyle w:val="Hyperlink"/>
            <w:rFonts w:ascii="Times New Roman" w:hAnsi="Times New Roman"/>
          </w:rPr>
          <w:t>Commission’s report</w:t>
        </w:r>
        <w:r w:rsidR="37D93DB9" w:rsidRPr="00BD6772">
          <w:rPr>
            <w:rStyle w:val="Hyperlink"/>
            <w:rFonts w:ascii="Times New Roman" w:hAnsi="Times New Roman"/>
          </w:rPr>
          <w:t>s</w:t>
        </w:r>
      </w:hyperlink>
      <w:r w:rsidR="042A5DB3" w:rsidRPr="764750FE">
        <w:rPr>
          <w:rFonts w:ascii="Times New Roman" w:hAnsi="Times New Roman"/>
        </w:rPr>
        <w:t xml:space="preserve"> are </w:t>
      </w:r>
      <w:r w:rsidR="70D992BA" w:rsidRPr="764750FE">
        <w:rPr>
          <w:rFonts w:ascii="Times New Roman" w:hAnsi="Times New Roman"/>
        </w:rPr>
        <w:t xml:space="preserve">crucial tools to enable </w:t>
      </w:r>
      <w:r w:rsidR="06074E58" w:rsidRPr="764750FE">
        <w:rPr>
          <w:rFonts w:ascii="Times New Roman" w:hAnsi="Times New Roman"/>
        </w:rPr>
        <w:t>the European Parliament</w:t>
      </w:r>
      <w:r w:rsidR="042A5DB3" w:rsidRPr="764750FE">
        <w:rPr>
          <w:rFonts w:ascii="Times New Roman" w:hAnsi="Times New Roman"/>
        </w:rPr>
        <w:t xml:space="preserve"> to exercise its scrutiny on the application of EU law in </w:t>
      </w:r>
      <w:r w:rsidR="368E3B58" w:rsidRPr="764750FE">
        <w:rPr>
          <w:rFonts w:ascii="Times New Roman" w:hAnsi="Times New Roman"/>
        </w:rPr>
        <w:t>M</w:t>
      </w:r>
      <w:r w:rsidR="042A5DB3" w:rsidRPr="764750FE">
        <w:rPr>
          <w:rFonts w:ascii="Times New Roman" w:hAnsi="Times New Roman"/>
        </w:rPr>
        <w:t>ember States and on the work performed by the Commission as guardian of the Treaties</w:t>
      </w:r>
      <w:r w:rsidR="06074E58" w:rsidRPr="764750FE">
        <w:rPr>
          <w:rFonts w:ascii="Times New Roman" w:hAnsi="Times New Roman"/>
        </w:rPr>
        <w:t>.</w:t>
      </w:r>
    </w:p>
    <w:p w14:paraId="7A39E29E" w14:textId="683DA431" w:rsidR="008E2E3B" w:rsidRDefault="0C6CBEF4" w:rsidP="00BD29AC">
      <w:pPr>
        <w:widowControl w:val="0"/>
        <w:spacing w:after="120"/>
        <w:rPr>
          <w:rFonts w:ascii="Times New Roman" w:hAnsi="Times New Roman"/>
        </w:rPr>
      </w:pPr>
      <w:r w:rsidRPr="764750FE">
        <w:rPr>
          <w:rFonts w:ascii="Times New Roman" w:hAnsi="Times New Roman"/>
        </w:rPr>
        <w:t xml:space="preserve">The European </w:t>
      </w:r>
      <w:r w:rsidR="6B4E4D19" w:rsidRPr="764750FE">
        <w:rPr>
          <w:rFonts w:ascii="Times New Roman" w:hAnsi="Times New Roman"/>
        </w:rPr>
        <w:t>P</w:t>
      </w:r>
      <w:r w:rsidRPr="764750FE">
        <w:rPr>
          <w:rFonts w:ascii="Times New Roman" w:hAnsi="Times New Roman"/>
        </w:rPr>
        <w:t xml:space="preserve">arliament recognises the value of a </w:t>
      </w:r>
      <w:r w:rsidR="0F2CA665" w:rsidRPr="764750FE">
        <w:rPr>
          <w:rFonts w:ascii="Times New Roman" w:hAnsi="Times New Roman"/>
        </w:rPr>
        <w:t xml:space="preserve">constructive </w:t>
      </w:r>
      <w:r w:rsidR="70D992BA" w:rsidRPr="764750FE">
        <w:rPr>
          <w:rFonts w:ascii="Times New Roman" w:hAnsi="Times New Roman"/>
        </w:rPr>
        <w:t>dialogue with national authorities</w:t>
      </w:r>
      <w:r w:rsidRPr="764750FE">
        <w:rPr>
          <w:rFonts w:ascii="Times New Roman" w:hAnsi="Times New Roman"/>
        </w:rPr>
        <w:t xml:space="preserve"> but considers that th</w:t>
      </w:r>
      <w:r w:rsidR="6B4E4D19" w:rsidRPr="764750FE">
        <w:rPr>
          <w:rFonts w:ascii="Times New Roman" w:hAnsi="Times New Roman"/>
        </w:rPr>
        <w:t>is</w:t>
      </w:r>
      <w:r w:rsidRPr="764750FE">
        <w:rPr>
          <w:rFonts w:ascii="Times New Roman" w:hAnsi="Times New Roman"/>
        </w:rPr>
        <w:t xml:space="preserve"> may </w:t>
      </w:r>
      <w:r w:rsidR="00F50846">
        <w:rPr>
          <w:rFonts w:ascii="Times New Roman" w:hAnsi="Times New Roman"/>
        </w:rPr>
        <w:t>risk</w:t>
      </w:r>
      <w:r w:rsidR="4D29E9B4" w:rsidRPr="764750FE">
        <w:rPr>
          <w:rFonts w:ascii="Times New Roman" w:hAnsi="Times New Roman"/>
        </w:rPr>
        <w:t xml:space="preserve"> ‘political</w:t>
      </w:r>
      <w:r w:rsidRPr="764750FE">
        <w:rPr>
          <w:rFonts w:ascii="Times New Roman" w:hAnsi="Times New Roman"/>
        </w:rPr>
        <w:t xml:space="preserve"> horse</w:t>
      </w:r>
      <w:r w:rsidR="4D29E9B4" w:rsidRPr="764750FE">
        <w:rPr>
          <w:rFonts w:ascii="Times New Roman" w:hAnsi="Times New Roman"/>
        </w:rPr>
        <w:t xml:space="preserve"> </w:t>
      </w:r>
      <w:r w:rsidRPr="764750FE">
        <w:rPr>
          <w:rFonts w:ascii="Times New Roman" w:hAnsi="Times New Roman"/>
        </w:rPr>
        <w:t>trading</w:t>
      </w:r>
      <w:r w:rsidR="4D29E9B4" w:rsidRPr="764750FE">
        <w:rPr>
          <w:rFonts w:ascii="Times New Roman" w:hAnsi="Times New Roman"/>
        </w:rPr>
        <w:t>’</w:t>
      </w:r>
      <w:r w:rsidRPr="764750FE">
        <w:rPr>
          <w:rFonts w:ascii="Times New Roman" w:hAnsi="Times New Roman"/>
        </w:rPr>
        <w:t xml:space="preserve"> with </w:t>
      </w:r>
      <w:r w:rsidR="00BD29AC">
        <w:rPr>
          <w:rFonts w:ascii="Times New Roman" w:hAnsi="Times New Roman"/>
        </w:rPr>
        <w:t xml:space="preserve">the </w:t>
      </w:r>
      <w:r w:rsidRPr="764750FE">
        <w:rPr>
          <w:rFonts w:ascii="Times New Roman" w:hAnsi="Times New Roman"/>
        </w:rPr>
        <w:t xml:space="preserve">Member States. The resolution concludes that the Commission remains too reluctant to open infringement procedures and </w:t>
      </w:r>
      <w:r w:rsidR="0082408A">
        <w:rPr>
          <w:rFonts w:ascii="Times New Roman" w:hAnsi="Times New Roman"/>
        </w:rPr>
        <w:t xml:space="preserve">to </w:t>
      </w:r>
      <w:r w:rsidR="70D992BA" w:rsidRPr="764750FE">
        <w:rPr>
          <w:rFonts w:ascii="Times New Roman" w:hAnsi="Times New Roman"/>
        </w:rPr>
        <w:t xml:space="preserve">bring </w:t>
      </w:r>
      <w:r w:rsidR="00BD29AC">
        <w:rPr>
          <w:rFonts w:ascii="Times New Roman" w:hAnsi="Times New Roman"/>
        </w:rPr>
        <w:t xml:space="preserve">the </w:t>
      </w:r>
      <w:r w:rsidR="70D992BA" w:rsidRPr="764750FE">
        <w:rPr>
          <w:rFonts w:ascii="Times New Roman" w:hAnsi="Times New Roman"/>
        </w:rPr>
        <w:t>Member States before the Court of Justice of the European Union (CJEU</w:t>
      </w:r>
      <w:r w:rsidRPr="764750FE">
        <w:rPr>
          <w:rFonts w:ascii="Times New Roman" w:hAnsi="Times New Roman"/>
        </w:rPr>
        <w:t>)</w:t>
      </w:r>
      <w:r w:rsidR="6B4E4D19" w:rsidRPr="764750FE">
        <w:rPr>
          <w:rFonts w:ascii="Times New Roman" w:hAnsi="Times New Roman"/>
        </w:rPr>
        <w:t>.</w:t>
      </w:r>
      <w:r w:rsidRPr="764750FE">
        <w:rPr>
          <w:rFonts w:ascii="Times New Roman" w:hAnsi="Times New Roman"/>
        </w:rPr>
        <w:t xml:space="preserve"> In this context, it calls</w:t>
      </w:r>
      <w:r w:rsidR="0082408A">
        <w:rPr>
          <w:rFonts w:ascii="Times New Roman" w:hAnsi="Times New Roman"/>
        </w:rPr>
        <w:t xml:space="preserve"> upon</w:t>
      </w:r>
      <w:r w:rsidRPr="764750FE">
        <w:rPr>
          <w:rFonts w:ascii="Times New Roman" w:hAnsi="Times New Roman"/>
        </w:rPr>
        <w:t xml:space="preserve"> the Commission to clarify how the prioritisation policy is applied, </w:t>
      </w:r>
      <w:r w:rsidR="00F50846">
        <w:rPr>
          <w:rFonts w:ascii="Times New Roman" w:hAnsi="Times New Roman"/>
        </w:rPr>
        <w:t xml:space="preserve">and </w:t>
      </w:r>
      <w:r w:rsidRPr="764750FE">
        <w:rPr>
          <w:rFonts w:ascii="Times New Roman" w:hAnsi="Times New Roman"/>
        </w:rPr>
        <w:t xml:space="preserve">reiterates its requests to shorten the duration of </w:t>
      </w:r>
      <w:r w:rsidR="00B20477">
        <w:rPr>
          <w:rFonts w:ascii="Times New Roman" w:hAnsi="Times New Roman"/>
        </w:rPr>
        <w:t xml:space="preserve">the </w:t>
      </w:r>
      <w:r w:rsidRPr="764750FE">
        <w:rPr>
          <w:rFonts w:ascii="Times New Roman" w:hAnsi="Times New Roman"/>
        </w:rPr>
        <w:t xml:space="preserve">pre-litigation procedure and </w:t>
      </w:r>
      <w:r w:rsidR="0082408A">
        <w:rPr>
          <w:rFonts w:ascii="Times New Roman" w:hAnsi="Times New Roman"/>
        </w:rPr>
        <w:t xml:space="preserve">to </w:t>
      </w:r>
      <w:r w:rsidRPr="764750FE">
        <w:rPr>
          <w:rFonts w:ascii="Times New Roman" w:hAnsi="Times New Roman"/>
        </w:rPr>
        <w:t xml:space="preserve">introduce stricter procedural rules. </w:t>
      </w:r>
      <w:r w:rsidR="153B4CB4" w:rsidRPr="764750FE">
        <w:rPr>
          <w:rFonts w:ascii="Times New Roman" w:hAnsi="Times New Roman"/>
        </w:rPr>
        <w:t xml:space="preserve">The resolution </w:t>
      </w:r>
      <w:r w:rsidR="579566CC" w:rsidRPr="764750FE">
        <w:rPr>
          <w:rFonts w:ascii="Times New Roman" w:hAnsi="Times New Roman"/>
        </w:rPr>
        <w:t xml:space="preserve">regrets </w:t>
      </w:r>
      <w:r w:rsidR="00F50846">
        <w:rPr>
          <w:rFonts w:ascii="Times New Roman" w:hAnsi="Times New Roman"/>
        </w:rPr>
        <w:t>a</w:t>
      </w:r>
      <w:r w:rsidR="579566CC" w:rsidRPr="764750FE">
        <w:rPr>
          <w:rFonts w:ascii="Times New Roman" w:hAnsi="Times New Roman"/>
        </w:rPr>
        <w:t xml:space="preserve"> decrease </w:t>
      </w:r>
      <w:r w:rsidR="0082408A">
        <w:rPr>
          <w:rFonts w:ascii="Times New Roman" w:hAnsi="Times New Roman"/>
        </w:rPr>
        <w:t>over time of</w:t>
      </w:r>
      <w:r w:rsidR="3ECA6659" w:rsidRPr="764750FE">
        <w:rPr>
          <w:rFonts w:ascii="Times New Roman" w:hAnsi="Times New Roman"/>
        </w:rPr>
        <w:t xml:space="preserve"> the</w:t>
      </w:r>
      <w:r w:rsidR="579566CC" w:rsidRPr="764750FE">
        <w:rPr>
          <w:rFonts w:ascii="Times New Roman" w:hAnsi="Times New Roman"/>
        </w:rPr>
        <w:t xml:space="preserve"> number of infringement procedures </w:t>
      </w:r>
      <w:r w:rsidR="3F92C5AC" w:rsidRPr="764750FE">
        <w:rPr>
          <w:rFonts w:ascii="Times New Roman" w:hAnsi="Times New Roman"/>
        </w:rPr>
        <w:t>relat</w:t>
      </w:r>
      <w:r w:rsidR="7CD73C9F" w:rsidRPr="764750FE">
        <w:rPr>
          <w:rFonts w:ascii="Times New Roman" w:hAnsi="Times New Roman"/>
        </w:rPr>
        <w:t>ed</w:t>
      </w:r>
      <w:r w:rsidR="3F92C5AC" w:rsidRPr="764750FE">
        <w:rPr>
          <w:rFonts w:ascii="Times New Roman" w:hAnsi="Times New Roman"/>
        </w:rPr>
        <w:t xml:space="preserve"> to</w:t>
      </w:r>
      <w:r w:rsidR="579566CC" w:rsidRPr="764750FE">
        <w:rPr>
          <w:rFonts w:ascii="Times New Roman" w:hAnsi="Times New Roman"/>
        </w:rPr>
        <w:t xml:space="preserve"> the single market</w:t>
      </w:r>
      <w:r w:rsidR="0037026B">
        <w:rPr>
          <w:rFonts w:ascii="Times New Roman" w:hAnsi="Times New Roman"/>
        </w:rPr>
        <w:t>,</w:t>
      </w:r>
      <w:r w:rsidR="128E0EE1" w:rsidRPr="764750FE">
        <w:rPr>
          <w:rFonts w:ascii="Times New Roman" w:hAnsi="Times New Roman"/>
        </w:rPr>
        <w:t xml:space="preserve"> </w:t>
      </w:r>
      <w:r w:rsidR="1DB540E7" w:rsidRPr="764750FE">
        <w:rPr>
          <w:rFonts w:ascii="Times New Roman" w:hAnsi="Times New Roman"/>
        </w:rPr>
        <w:t>while it</w:t>
      </w:r>
      <w:r w:rsidR="579566CC" w:rsidRPr="764750FE">
        <w:rPr>
          <w:rFonts w:ascii="Times New Roman" w:hAnsi="Times New Roman"/>
        </w:rPr>
        <w:t xml:space="preserve"> </w:t>
      </w:r>
      <w:r w:rsidR="153B4CB4" w:rsidRPr="764750FE">
        <w:rPr>
          <w:rFonts w:ascii="Times New Roman" w:hAnsi="Times New Roman"/>
        </w:rPr>
        <w:t xml:space="preserve">expresses concern </w:t>
      </w:r>
      <w:r w:rsidR="00DB65BD">
        <w:rPr>
          <w:rFonts w:ascii="Times New Roman" w:hAnsi="Times New Roman"/>
        </w:rPr>
        <w:t>that the Commission has had to open a</w:t>
      </w:r>
      <w:r w:rsidR="7227AA3D" w:rsidRPr="764750FE">
        <w:rPr>
          <w:rFonts w:ascii="Times New Roman" w:hAnsi="Times New Roman"/>
        </w:rPr>
        <w:t xml:space="preserve"> large </w:t>
      </w:r>
      <w:r w:rsidR="1DB540E7" w:rsidRPr="764750FE">
        <w:rPr>
          <w:rFonts w:ascii="Times New Roman" w:hAnsi="Times New Roman"/>
        </w:rPr>
        <w:t xml:space="preserve">number of </w:t>
      </w:r>
      <w:r w:rsidR="153B4CB4" w:rsidRPr="764750FE">
        <w:rPr>
          <w:rFonts w:ascii="Times New Roman" w:hAnsi="Times New Roman"/>
        </w:rPr>
        <w:t xml:space="preserve">infringement cases related to the rule of law, organised crime, </w:t>
      </w:r>
      <w:r w:rsidR="00BD6772" w:rsidRPr="00BD6772">
        <w:rPr>
          <w:rFonts w:ascii="Times New Roman" w:hAnsi="Times New Roman"/>
        </w:rPr>
        <w:t>energy and environmental laws</w:t>
      </w:r>
      <w:r w:rsidR="00BD6772">
        <w:rPr>
          <w:rFonts w:ascii="Times New Roman" w:hAnsi="Times New Roman"/>
        </w:rPr>
        <w:t xml:space="preserve">, </w:t>
      </w:r>
      <w:r w:rsidR="0082408A">
        <w:rPr>
          <w:rFonts w:ascii="Times New Roman" w:hAnsi="Times New Roman"/>
        </w:rPr>
        <w:t xml:space="preserve">and </w:t>
      </w:r>
      <w:r w:rsidR="153B4CB4" w:rsidRPr="764750FE">
        <w:rPr>
          <w:rFonts w:ascii="Times New Roman" w:hAnsi="Times New Roman"/>
        </w:rPr>
        <w:t>employment and inclusion.</w:t>
      </w:r>
    </w:p>
    <w:p w14:paraId="02DA3C96" w14:textId="661DC295" w:rsidR="00F207C9" w:rsidRDefault="00F50846" w:rsidP="00BD29AC">
      <w:pPr>
        <w:widowControl w:val="0"/>
        <w:spacing w:after="120"/>
        <w:rPr>
          <w:rFonts w:ascii="Times New Roman" w:hAnsi="Times New Roman"/>
        </w:rPr>
      </w:pPr>
      <w:r>
        <w:rPr>
          <w:rFonts w:ascii="Times New Roman" w:hAnsi="Times New Roman"/>
        </w:rPr>
        <w:t>T</w:t>
      </w:r>
      <w:r w:rsidR="0C6CBEF4" w:rsidRPr="764750FE">
        <w:rPr>
          <w:rFonts w:ascii="Times New Roman" w:hAnsi="Times New Roman"/>
        </w:rPr>
        <w:t xml:space="preserve">he European Parliament </w:t>
      </w:r>
      <w:r>
        <w:rPr>
          <w:rFonts w:ascii="Times New Roman" w:hAnsi="Times New Roman"/>
        </w:rPr>
        <w:t xml:space="preserve">also </w:t>
      </w:r>
      <w:r w:rsidR="0C6CBEF4" w:rsidRPr="764750FE">
        <w:rPr>
          <w:rFonts w:ascii="Times New Roman" w:hAnsi="Times New Roman"/>
        </w:rPr>
        <w:t xml:space="preserve">calls </w:t>
      </w:r>
      <w:r w:rsidR="00DC35A8">
        <w:rPr>
          <w:rFonts w:ascii="Times New Roman" w:hAnsi="Times New Roman"/>
        </w:rPr>
        <w:t xml:space="preserve">on </w:t>
      </w:r>
      <w:r w:rsidR="0C6CBEF4" w:rsidRPr="764750FE">
        <w:rPr>
          <w:rFonts w:ascii="Times New Roman" w:hAnsi="Times New Roman"/>
        </w:rPr>
        <w:t xml:space="preserve">Member States to play their role in </w:t>
      </w:r>
      <w:r w:rsidR="553D9AEC" w:rsidRPr="764750FE">
        <w:rPr>
          <w:rFonts w:ascii="Times New Roman" w:hAnsi="Times New Roman"/>
        </w:rPr>
        <w:t xml:space="preserve">ensuring </w:t>
      </w:r>
      <w:r w:rsidR="0C6CBEF4" w:rsidRPr="764750FE">
        <w:rPr>
          <w:rFonts w:ascii="Times New Roman" w:hAnsi="Times New Roman"/>
        </w:rPr>
        <w:t xml:space="preserve">the timely and correct application of EU law. This </w:t>
      </w:r>
      <w:r w:rsidR="00F80A89">
        <w:rPr>
          <w:rFonts w:ascii="Times New Roman" w:hAnsi="Times New Roman"/>
        </w:rPr>
        <w:t>would indicate</w:t>
      </w:r>
      <w:r w:rsidR="00F80A89" w:rsidRPr="764750FE">
        <w:rPr>
          <w:rFonts w:ascii="Times New Roman" w:hAnsi="Times New Roman"/>
        </w:rPr>
        <w:t xml:space="preserve"> </w:t>
      </w:r>
      <w:r w:rsidR="0C6CBEF4" w:rsidRPr="764750FE">
        <w:rPr>
          <w:rFonts w:ascii="Times New Roman" w:hAnsi="Times New Roman"/>
        </w:rPr>
        <w:t xml:space="preserve">that the Parliament </w:t>
      </w:r>
      <w:r>
        <w:rPr>
          <w:rFonts w:ascii="Times New Roman" w:hAnsi="Times New Roman"/>
        </w:rPr>
        <w:t xml:space="preserve">acknowledges </w:t>
      </w:r>
      <w:r w:rsidR="0C6CBEF4" w:rsidRPr="764750FE">
        <w:rPr>
          <w:rFonts w:ascii="Times New Roman" w:hAnsi="Times New Roman"/>
        </w:rPr>
        <w:t xml:space="preserve">that enforcement of EU law </w:t>
      </w:r>
      <w:r w:rsidR="00F80A89">
        <w:rPr>
          <w:rFonts w:ascii="Times New Roman" w:hAnsi="Times New Roman"/>
        </w:rPr>
        <w:t>requires</w:t>
      </w:r>
      <w:r w:rsidR="0C6CBEF4" w:rsidRPr="764750FE">
        <w:rPr>
          <w:rFonts w:ascii="Times New Roman" w:hAnsi="Times New Roman"/>
        </w:rPr>
        <w:t xml:space="preserve"> combined efforts </w:t>
      </w:r>
      <w:r>
        <w:rPr>
          <w:rFonts w:ascii="Times New Roman" w:hAnsi="Times New Roman"/>
        </w:rPr>
        <w:t xml:space="preserve">between the Commission and Member States, the source of the Commission’s emphasis on </w:t>
      </w:r>
      <w:r w:rsidR="553D9AEC" w:rsidRPr="764750FE">
        <w:rPr>
          <w:rFonts w:ascii="Times New Roman" w:hAnsi="Times New Roman"/>
        </w:rPr>
        <w:t xml:space="preserve">a </w:t>
      </w:r>
      <w:r w:rsidR="0C6CBEF4" w:rsidRPr="764750FE">
        <w:rPr>
          <w:rFonts w:ascii="Times New Roman" w:hAnsi="Times New Roman"/>
        </w:rPr>
        <w:t>constructive partnership</w:t>
      </w:r>
      <w:r w:rsidR="00F80A89">
        <w:rPr>
          <w:rFonts w:ascii="Times New Roman" w:hAnsi="Times New Roman"/>
        </w:rPr>
        <w:t xml:space="preserve"> with Member States</w:t>
      </w:r>
      <w:r w:rsidR="0C6CBEF4" w:rsidRPr="764750FE">
        <w:rPr>
          <w:rFonts w:ascii="Times New Roman" w:hAnsi="Times New Roman"/>
        </w:rPr>
        <w:t xml:space="preserve">. The </w:t>
      </w:r>
      <w:r w:rsidR="6BE2EB89" w:rsidRPr="764750FE">
        <w:rPr>
          <w:rFonts w:ascii="Times New Roman" w:hAnsi="Times New Roman"/>
        </w:rPr>
        <w:t xml:space="preserve">Parliament pays attention to </w:t>
      </w:r>
      <w:r w:rsidR="285B1E27" w:rsidRPr="764750FE">
        <w:rPr>
          <w:rFonts w:ascii="Times New Roman" w:hAnsi="Times New Roman"/>
        </w:rPr>
        <w:t>the</w:t>
      </w:r>
      <w:r w:rsidR="0C6CBEF4" w:rsidRPr="764750FE">
        <w:rPr>
          <w:rFonts w:ascii="Times New Roman" w:hAnsi="Times New Roman"/>
        </w:rPr>
        <w:t xml:space="preserve"> concrete delivery </w:t>
      </w:r>
      <w:r w:rsidR="00F80A89" w:rsidRPr="764750FE">
        <w:rPr>
          <w:rFonts w:ascii="Times New Roman" w:hAnsi="Times New Roman"/>
        </w:rPr>
        <w:t>o</w:t>
      </w:r>
      <w:r w:rsidR="00F80A89">
        <w:rPr>
          <w:rFonts w:ascii="Times New Roman" w:hAnsi="Times New Roman"/>
        </w:rPr>
        <w:t>f</w:t>
      </w:r>
      <w:r w:rsidR="00F80A89" w:rsidRPr="764750FE">
        <w:rPr>
          <w:rFonts w:ascii="Times New Roman" w:hAnsi="Times New Roman"/>
        </w:rPr>
        <w:t xml:space="preserve"> </w:t>
      </w:r>
      <w:r w:rsidR="0C6CBEF4" w:rsidRPr="764750FE">
        <w:rPr>
          <w:rFonts w:ascii="Times New Roman" w:hAnsi="Times New Roman"/>
        </w:rPr>
        <w:t xml:space="preserve">key priorities </w:t>
      </w:r>
      <w:r w:rsidR="36229C5C" w:rsidRPr="764750FE">
        <w:rPr>
          <w:rFonts w:ascii="Times New Roman" w:hAnsi="Times New Roman"/>
        </w:rPr>
        <w:t>and asks</w:t>
      </w:r>
      <w:r w:rsidR="0C6CBEF4" w:rsidRPr="764750FE">
        <w:rPr>
          <w:rFonts w:ascii="Times New Roman" w:hAnsi="Times New Roman"/>
        </w:rPr>
        <w:t xml:space="preserve"> </w:t>
      </w:r>
      <w:r w:rsidR="553D9AEC" w:rsidRPr="764750FE">
        <w:rPr>
          <w:rFonts w:ascii="Times New Roman" w:hAnsi="Times New Roman"/>
        </w:rPr>
        <w:t>M</w:t>
      </w:r>
      <w:r w:rsidR="0C6CBEF4" w:rsidRPr="764750FE">
        <w:rPr>
          <w:rFonts w:ascii="Times New Roman" w:hAnsi="Times New Roman"/>
        </w:rPr>
        <w:t xml:space="preserve">ember States to </w:t>
      </w:r>
      <w:r w:rsidR="00F80A89">
        <w:rPr>
          <w:rFonts w:ascii="Times New Roman" w:hAnsi="Times New Roman"/>
        </w:rPr>
        <w:t xml:space="preserve">quickly </w:t>
      </w:r>
      <w:r w:rsidR="06074E58" w:rsidRPr="764750FE">
        <w:rPr>
          <w:rFonts w:ascii="Times New Roman" w:hAnsi="Times New Roman"/>
        </w:rPr>
        <w:t xml:space="preserve">address </w:t>
      </w:r>
      <w:r w:rsidR="00F80A89">
        <w:rPr>
          <w:rFonts w:ascii="Times New Roman" w:hAnsi="Times New Roman"/>
        </w:rPr>
        <w:t xml:space="preserve">infringements </w:t>
      </w:r>
      <w:r w:rsidR="06074E58" w:rsidRPr="764750FE">
        <w:rPr>
          <w:rFonts w:ascii="Times New Roman" w:hAnsi="Times New Roman"/>
        </w:rPr>
        <w:t>identified by the Commission</w:t>
      </w:r>
      <w:r w:rsidR="59589516" w:rsidRPr="764750FE">
        <w:rPr>
          <w:rFonts w:ascii="Times New Roman" w:hAnsi="Times New Roman"/>
        </w:rPr>
        <w:t xml:space="preserve">, </w:t>
      </w:r>
      <w:r>
        <w:rPr>
          <w:rFonts w:ascii="Times New Roman" w:hAnsi="Times New Roman"/>
        </w:rPr>
        <w:t xml:space="preserve">highlighting </w:t>
      </w:r>
      <w:r w:rsidR="59589516" w:rsidRPr="764750FE">
        <w:rPr>
          <w:rFonts w:ascii="Times New Roman" w:hAnsi="Times New Roman"/>
        </w:rPr>
        <w:t>in particular those</w:t>
      </w:r>
      <w:r w:rsidR="06074E58" w:rsidRPr="764750FE">
        <w:rPr>
          <w:rFonts w:ascii="Times New Roman" w:hAnsi="Times New Roman"/>
        </w:rPr>
        <w:t xml:space="preserve"> related to climate objectives </w:t>
      </w:r>
      <w:r w:rsidR="553D9AEC" w:rsidRPr="764750FE">
        <w:rPr>
          <w:rFonts w:ascii="Times New Roman" w:hAnsi="Times New Roman"/>
        </w:rPr>
        <w:t>or</w:t>
      </w:r>
      <w:r w:rsidR="06074E58" w:rsidRPr="764750FE">
        <w:rPr>
          <w:rFonts w:ascii="Times New Roman" w:hAnsi="Times New Roman"/>
        </w:rPr>
        <w:t xml:space="preserve"> fundamental rights.</w:t>
      </w:r>
    </w:p>
    <w:p w14:paraId="75E6A7DD" w14:textId="1FD0DA2C" w:rsidR="00F207C9" w:rsidRDefault="434168A8" w:rsidP="00BD29AC">
      <w:pPr>
        <w:widowControl w:val="0"/>
        <w:spacing w:after="120"/>
        <w:rPr>
          <w:rFonts w:ascii="Times New Roman" w:hAnsi="Times New Roman"/>
        </w:rPr>
      </w:pPr>
      <w:r w:rsidRPr="764750FE">
        <w:rPr>
          <w:rFonts w:ascii="Times New Roman" w:hAnsi="Times New Roman"/>
        </w:rPr>
        <w:t>O</w:t>
      </w:r>
      <w:r w:rsidR="553D9AEC" w:rsidRPr="764750FE">
        <w:rPr>
          <w:rFonts w:ascii="Times New Roman" w:hAnsi="Times New Roman"/>
        </w:rPr>
        <w:t xml:space="preserve">n the </w:t>
      </w:r>
      <w:r w:rsidR="00F80A89">
        <w:rPr>
          <w:rFonts w:ascii="Times New Roman" w:hAnsi="Times New Roman"/>
        </w:rPr>
        <w:t>30th</w:t>
      </w:r>
      <w:r w:rsidR="00F80A89" w:rsidRPr="764750FE">
        <w:rPr>
          <w:rFonts w:ascii="Times New Roman" w:hAnsi="Times New Roman"/>
        </w:rPr>
        <w:t xml:space="preserve"> </w:t>
      </w:r>
      <w:r w:rsidR="553D9AEC" w:rsidRPr="764750FE">
        <w:rPr>
          <w:rFonts w:ascii="Times New Roman" w:hAnsi="Times New Roman"/>
        </w:rPr>
        <w:t xml:space="preserve">anniversary of the single market, the </w:t>
      </w:r>
      <w:r w:rsidR="0037026B">
        <w:rPr>
          <w:rFonts w:ascii="Times New Roman" w:hAnsi="Times New Roman"/>
        </w:rPr>
        <w:t>r</w:t>
      </w:r>
      <w:r w:rsidR="553D9AEC" w:rsidRPr="764750FE">
        <w:rPr>
          <w:rFonts w:ascii="Times New Roman" w:hAnsi="Times New Roman"/>
        </w:rPr>
        <w:t xml:space="preserve">esolution devotes particular attention to </w:t>
      </w:r>
      <w:r w:rsidR="00F80A89">
        <w:rPr>
          <w:rFonts w:ascii="Times New Roman" w:hAnsi="Times New Roman"/>
        </w:rPr>
        <w:t>this subject</w:t>
      </w:r>
      <w:r w:rsidR="70D992BA" w:rsidRPr="764750FE">
        <w:rPr>
          <w:rFonts w:ascii="Times New Roman" w:hAnsi="Times New Roman"/>
        </w:rPr>
        <w:t xml:space="preserve"> </w:t>
      </w:r>
      <w:r w:rsidR="553D9AEC" w:rsidRPr="764750FE">
        <w:rPr>
          <w:rFonts w:ascii="Times New Roman" w:hAnsi="Times New Roman"/>
        </w:rPr>
        <w:t xml:space="preserve">and </w:t>
      </w:r>
      <w:r w:rsidR="00F80A89">
        <w:rPr>
          <w:rFonts w:ascii="Times New Roman" w:hAnsi="Times New Roman"/>
        </w:rPr>
        <w:t xml:space="preserve">to the </w:t>
      </w:r>
      <w:r w:rsidR="553D9AEC" w:rsidRPr="764750FE">
        <w:rPr>
          <w:rFonts w:ascii="Times New Roman" w:hAnsi="Times New Roman"/>
        </w:rPr>
        <w:t xml:space="preserve">challenges that can undermine </w:t>
      </w:r>
      <w:r w:rsidR="70D992BA" w:rsidRPr="764750FE">
        <w:rPr>
          <w:rFonts w:ascii="Times New Roman" w:hAnsi="Times New Roman"/>
        </w:rPr>
        <w:t>competitiveness</w:t>
      </w:r>
      <w:r w:rsidR="553D9AEC" w:rsidRPr="764750FE">
        <w:rPr>
          <w:rFonts w:ascii="Times New Roman" w:hAnsi="Times New Roman"/>
        </w:rPr>
        <w:t>.</w:t>
      </w:r>
      <w:r w:rsidR="6B4E4D19" w:rsidRPr="764750FE">
        <w:rPr>
          <w:rFonts w:ascii="Times New Roman" w:hAnsi="Times New Roman"/>
        </w:rPr>
        <w:t xml:space="preserve"> </w:t>
      </w:r>
      <w:r w:rsidR="0082408A">
        <w:rPr>
          <w:rFonts w:ascii="Times New Roman" w:hAnsi="Times New Roman"/>
        </w:rPr>
        <w:t>Th</w:t>
      </w:r>
      <w:r w:rsidR="00F50846">
        <w:rPr>
          <w:rFonts w:ascii="Times New Roman" w:hAnsi="Times New Roman"/>
        </w:rPr>
        <w:t xml:space="preserve">is reinforces </w:t>
      </w:r>
      <w:r w:rsidR="00DB65BD">
        <w:rPr>
          <w:rFonts w:ascii="Times New Roman" w:hAnsi="Times New Roman"/>
        </w:rPr>
        <w:t xml:space="preserve">the </w:t>
      </w:r>
      <w:r w:rsidR="0082408A">
        <w:rPr>
          <w:rFonts w:ascii="Times New Roman" w:hAnsi="Times New Roman"/>
        </w:rPr>
        <w:t xml:space="preserve">European Parliament </w:t>
      </w:r>
      <w:r w:rsidR="0340224C" w:rsidRPr="764750FE">
        <w:rPr>
          <w:rFonts w:ascii="Times New Roman" w:hAnsi="Times New Roman"/>
        </w:rPr>
        <w:t xml:space="preserve">concerns </w:t>
      </w:r>
      <w:r w:rsidR="0082408A">
        <w:rPr>
          <w:rFonts w:ascii="Times New Roman" w:hAnsi="Times New Roman"/>
        </w:rPr>
        <w:t>about</w:t>
      </w:r>
      <w:r w:rsidR="0340224C" w:rsidRPr="764750FE">
        <w:rPr>
          <w:rFonts w:ascii="Times New Roman" w:hAnsi="Times New Roman"/>
        </w:rPr>
        <w:t xml:space="preserve"> the decrease</w:t>
      </w:r>
      <w:r w:rsidR="553D9AEC" w:rsidRPr="764750FE">
        <w:rPr>
          <w:rFonts w:ascii="Times New Roman" w:hAnsi="Times New Roman"/>
        </w:rPr>
        <w:t xml:space="preserve"> of infringement</w:t>
      </w:r>
      <w:r w:rsidR="7F65E2A2" w:rsidRPr="764750FE">
        <w:rPr>
          <w:rFonts w:ascii="Times New Roman" w:hAnsi="Times New Roman"/>
        </w:rPr>
        <w:t xml:space="preserve"> procedures</w:t>
      </w:r>
      <w:r w:rsidR="553D9AEC" w:rsidRPr="764750FE">
        <w:rPr>
          <w:rFonts w:ascii="Times New Roman" w:hAnsi="Times New Roman"/>
        </w:rPr>
        <w:t xml:space="preserve"> </w:t>
      </w:r>
      <w:r w:rsidR="00F80A89">
        <w:rPr>
          <w:rFonts w:ascii="Times New Roman" w:hAnsi="Times New Roman"/>
        </w:rPr>
        <w:t>related to the single market</w:t>
      </w:r>
      <w:r w:rsidR="00F50846">
        <w:rPr>
          <w:rFonts w:ascii="Times New Roman" w:hAnsi="Times New Roman"/>
        </w:rPr>
        <w:t>. It</w:t>
      </w:r>
      <w:r w:rsidR="001D4797">
        <w:rPr>
          <w:rFonts w:ascii="Times New Roman" w:hAnsi="Times New Roman"/>
        </w:rPr>
        <w:t xml:space="preserve"> </w:t>
      </w:r>
      <w:r w:rsidR="553D9AEC" w:rsidRPr="764750FE">
        <w:rPr>
          <w:rFonts w:ascii="Times New Roman" w:hAnsi="Times New Roman"/>
        </w:rPr>
        <w:t>suggest</w:t>
      </w:r>
      <w:r w:rsidR="67E8A9D3" w:rsidRPr="764750FE">
        <w:rPr>
          <w:rFonts w:ascii="Times New Roman" w:hAnsi="Times New Roman"/>
        </w:rPr>
        <w:t>s</w:t>
      </w:r>
      <w:r w:rsidR="553D9AEC" w:rsidRPr="764750FE">
        <w:rPr>
          <w:rFonts w:ascii="Times New Roman" w:hAnsi="Times New Roman"/>
        </w:rPr>
        <w:t xml:space="preserve"> that the co-legislat</w:t>
      </w:r>
      <w:r w:rsidR="1CF5CD0C" w:rsidRPr="764750FE">
        <w:rPr>
          <w:rFonts w:ascii="Times New Roman" w:hAnsi="Times New Roman"/>
        </w:rPr>
        <w:t>ors</w:t>
      </w:r>
      <w:r w:rsidR="553D9AEC" w:rsidRPr="764750FE">
        <w:rPr>
          <w:rFonts w:ascii="Times New Roman" w:hAnsi="Times New Roman"/>
        </w:rPr>
        <w:t xml:space="preserve"> (and the Commission when presenting proposals) facilitate </w:t>
      </w:r>
      <w:r w:rsidR="0082408A">
        <w:rPr>
          <w:rFonts w:ascii="Times New Roman" w:hAnsi="Times New Roman"/>
        </w:rPr>
        <w:t xml:space="preserve">the </w:t>
      </w:r>
      <w:r w:rsidR="553D9AEC" w:rsidRPr="764750FE">
        <w:rPr>
          <w:rFonts w:ascii="Times New Roman" w:hAnsi="Times New Roman"/>
        </w:rPr>
        <w:t xml:space="preserve">direct application of EU rules by </w:t>
      </w:r>
      <w:r w:rsidR="0082408A">
        <w:rPr>
          <w:rFonts w:ascii="Times New Roman" w:hAnsi="Times New Roman"/>
        </w:rPr>
        <w:t xml:space="preserve">making more use </w:t>
      </w:r>
      <w:r w:rsidR="2A2EA8B2" w:rsidRPr="764750FE">
        <w:rPr>
          <w:rFonts w:ascii="Times New Roman" w:hAnsi="Times New Roman"/>
        </w:rPr>
        <w:t xml:space="preserve">of </w:t>
      </w:r>
      <w:r w:rsidR="553D9AEC" w:rsidRPr="764750FE">
        <w:rPr>
          <w:rFonts w:ascii="Times New Roman" w:hAnsi="Times New Roman"/>
        </w:rPr>
        <w:t xml:space="preserve">regulations. It finally asks </w:t>
      </w:r>
      <w:r w:rsidR="03EE3BF3" w:rsidRPr="764750FE">
        <w:rPr>
          <w:rFonts w:ascii="Times New Roman" w:hAnsi="Times New Roman"/>
        </w:rPr>
        <w:t>M</w:t>
      </w:r>
      <w:r w:rsidR="553D9AEC" w:rsidRPr="764750FE">
        <w:rPr>
          <w:rFonts w:ascii="Times New Roman" w:hAnsi="Times New Roman"/>
        </w:rPr>
        <w:t>ember States and the Commission to identify</w:t>
      </w:r>
      <w:r w:rsidR="0082408A">
        <w:rPr>
          <w:rFonts w:ascii="Times New Roman" w:hAnsi="Times New Roman"/>
        </w:rPr>
        <w:t>,</w:t>
      </w:r>
      <w:r w:rsidR="553D9AEC" w:rsidRPr="764750FE">
        <w:rPr>
          <w:rFonts w:ascii="Times New Roman" w:hAnsi="Times New Roman"/>
        </w:rPr>
        <w:t xml:space="preserve"> </w:t>
      </w:r>
      <w:r w:rsidR="77575427" w:rsidRPr="764750FE">
        <w:rPr>
          <w:rFonts w:ascii="Times New Roman" w:hAnsi="Times New Roman"/>
        </w:rPr>
        <w:t xml:space="preserve">and screen </w:t>
      </w:r>
      <w:r w:rsidR="553D9AEC" w:rsidRPr="764750FE">
        <w:rPr>
          <w:rFonts w:ascii="Times New Roman" w:hAnsi="Times New Roman"/>
        </w:rPr>
        <w:t>at an early stage</w:t>
      </w:r>
      <w:r w:rsidR="0082408A">
        <w:rPr>
          <w:rFonts w:ascii="Times New Roman" w:hAnsi="Times New Roman"/>
        </w:rPr>
        <w:t>,</w:t>
      </w:r>
      <w:r w:rsidR="553D9AEC" w:rsidRPr="764750FE">
        <w:rPr>
          <w:rFonts w:ascii="Times New Roman" w:hAnsi="Times New Roman"/>
        </w:rPr>
        <w:t xml:space="preserve"> the impact of unnecessary additional requirement</w:t>
      </w:r>
      <w:r w:rsidR="2FE9C4C0" w:rsidRPr="764750FE">
        <w:rPr>
          <w:rFonts w:ascii="Times New Roman" w:hAnsi="Times New Roman"/>
        </w:rPr>
        <w:t>s</w:t>
      </w:r>
      <w:r w:rsidR="001D4797">
        <w:rPr>
          <w:rFonts w:ascii="Times New Roman" w:hAnsi="Times New Roman"/>
        </w:rPr>
        <w:t xml:space="preserve"> (‘</w:t>
      </w:r>
      <w:r w:rsidR="553D9AEC" w:rsidRPr="764750FE">
        <w:rPr>
          <w:rFonts w:ascii="Times New Roman" w:hAnsi="Times New Roman"/>
        </w:rPr>
        <w:t>gold</w:t>
      </w:r>
      <w:r w:rsidR="1A2A24C3" w:rsidRPr="764750FE">
        <w:rPr>
          <w:rFonts w:ascii="Times New Roman" w:hAnsi="Times New Roman"/>
        </w:rPr>
        <w:t>-</w:t>
      </w:r>
      <w:r w:rsidR="553D9AEC" w:rsidRPr="764750FE">
        <w:rPr>
          <w:rFonts w:ascii="Times New Roman" w:hAnsi="Times New Roman"/>
        </w:rPr>
        <w:t>plating</w:t>
      </w:r>
      <w:r w:rsidR="001D4797">
        <w:rPr>
          <w:rFonts w:ascii="Times New Roman" w:hAnsi="Times New Roman"/>
        </w:rPr>
        <w:t>’)</w:t>
      </w:r>
      <w:r w:rsidR="553D9AEC" w:rsidRPr="764750FE">
        <w:rPr>
          <w:rFonts w:ascii="Times New Roman" w:hAnsi="Times New Roman"/>
        </w:rPr>
        <w:t>, that some Member States in</w:t>
      </w:r>
      <w:r w:rsidR="0082408A">
        <w:rPr>
          <w:rFonts w:ascii="Times New Roman" w:hAnsi="Times New Roman"/>
        </w:rPr>
        <w:t>clude</w:t>
      </w:r>
      <w:r w:rsidR="553D9AEC" w:rsidRPr="764750FE">
        <w:rPr>
          <w:rFonts w:ascii="Times New Roman" w:hAnsi="Times New Roman"/>
        </w:rPr>
        <w:t xml:space="preserve"> in national law when transposing directives.</w:t>
      </w:r>
    </w:p>
    <w:p w14:paraId="780B6643" w14:textId="13F7B183" w:rsidR="00963420" w:rsidRPr="00042DBB" w:rsidRDefault="00963420" w:rsidP="00E72788">
      <w:pPr>
        <w:widowControl w:val="0"/>
        <w:numPr>
          <w:ilvl w:val="0"/>
          <w:numId w:val="34"/>
        </w:numPr>
        <w:ind w:left="567" w:hanging="567"/>
        <w:rPr>
          <w:rFonts w:ascii="Times New Roman" w:hAnsi="Times New Roman"/>
          <w:b/>
          <w:szCs w:val="24"/>
        </w:rPr>
      </w:pPr>
      <w:r w:rsidRPr="00C33439">
        <w:rPr>
          <w:rFonts w:ascii="Times New Roman" w:hAnsi="Times New Roman"/>
          <w:b/>
          <w:szCs w:val="24"/>
        </w:rPr>
        <w:t>Response to requests and overview of action</w:t>
      </w:r>
      <w:r w:rsidR="001946EE">
        <w:rPr>
          <w:rFonts w:ascii="Times New Roman" w:hAnsi="Times New Roman"/>
          <w:b/>
          <w:szCs w:val="24"/>
        </w:rPr>
        <w:t>s</w:t>
      </w:r>
      <w:r w:rsidRPr="00C33439">
        <w:rPr>
          <w:rFonts w:ascii="Times New Roman" w:hAnsi="Times New Roman"/>
          <w:b/>
          <w:szCs w:val="24"/>
        </w:rPr>
        <w:t xml:space="preserve"> taken</w:t>
      </w:r>
      <w:r w:rsidR="0082408A">
        <w:rPr>
          <w:rFonts w:ascii="Times New Roman" w:hAnsi="Times New Roman"/>
          <w:b/>
          <w:szCs w:val="24"/>
        </w:rPr>
        <w:t xml:space="preserve"> or envisaged</w:t>
      </w:r>
      <w:r w:rsidRPr="00C33439">
        <w:rPr>
          <w:rFonts w:ascii="Times New Roman" w:hAnsi="Times New Roman"/>
          <w:b/>
          <w:szCs w:val="24"/>
        </w:rPr>
        <w:t xml:space="preserve"> by the Commission</w:t>
      </w:r>
    </w:p>
    <w:p w14:paraId="1D52C2CA" w14:textId="5D5F00B5" w:rsidR="00042DBB" w:rsidRPr="00522221" w:rsidRDefault="0038577A" w:rsidP="00BD29AC">
      <w:pPr>
        <w:widowControl w:val="0"/>
        <w:spacing w:after="120"/>
        <w:rPr>
          <w:rFonts w:ascii="Times New Roman" w:hAnsi="Times New Roman"/>
          <w:b/>
          <w:i/>
          <w:iCs/>
          <w:szCs w:val="24"/>
        </w:rPr>
      </w:pPr>
      <w:r>
        <w:rPr>
          <w:rFonts w:ascii="Times New Roman" w:hAnsi="Times New Roman"/>
          <w:b/>
          <w:i/>
          <w:iCs/>
          <w:szCs w:val="24"/>
        </w:rPr>
        <w:t xml:space="preserve">First part: </w:t>
      </w:r>
      <w:r w:rsidR="00042DBB" w:rsidRPr="00522221">
        <w:rPr>
          <w:rFonts w:ascii="Times New Roman" w:hAnsi="Times New Roman"/>
          <w:b/>
          <w:i/>
          <w:iCs/>
          <w:szCs w:val="24"/>
        </w:rPr>
        <w:t>monitoring and ensuring the application of EU law</w:t>
      </w:r>
    </w:p>
    <w:p w14:paraId="777546BE" w14:textId="2168C91B" w:rsidR="00042DBB" w:rsidRDefault="2766DB5B" w:rsidP="00BD29AC">
      <w:pPr>
        <w:widowControl w:val="0"/>
        <w:spacing w:after="120"/>
        <w:rPr>
          <w:rFonts w:ascii="Times New Roman" w:hAnsi="Times New Roman"/>
          <w:b/>
          <w:bCs/>
        </w:rPr>
      </w:pPr>
      <w:r w:rsidRPr="764750FE">
        <w:rPr>
          <w:rFonts w:ascii="Times New Roman" w:hAnsi="Times New Roman"/>
          <w:b/>
          <w:bCs/>
        </w:rPr>
        <w:t>P</w:t>
      </w:r>
      <w:r w:rsidR="00BD29AC">
        <w:rPr>
          <w:rFonts w:ascii="Times New Roman" w:hAnsi="Times New Roman"/>
          <w:b/>
          <w:bCs/>
        </w:rPr>
        <w:t>aragraphs</w:t>
      </w:r>
      <w:r w:rsidRPr="764750FE">
        <w:rPr>
          <w:rFonts w:ascii="Times New Roman" w:hAnsi="Times New Roman"/>
          <w:b/>
          <w:bCs/>
        </w:rPr>
        <w:t xml:space="preserve"> 2</w:t>
      </w:r>
      <w:r w:rsidR="2F7124E6" w:rsidRPr="764750FE">
        <w:rPr>
          <w:rFonts w:ascii="Times New Roman" w:hAnsi="Times New Roman"/>
          <w:b/>
          <w:bCs/>
        </w:rPr>
        <w:t xml:space="preserve"> and 5: </w:t>
      </w:r>
      <w:r w:rsidR="093D0A25" w:rsidRPr="764750FE">
        <w:rPr>
          <w:rFonts w:ascii="Times New Roman" w:hAnsi="Times New Roman"/>
          <w:b/>
          <w:bCs/>
        </w:rPr>
        <w:t>on the Commission</w:t>
      </w:r>
      <w:r w:rsidR="3B41E0A4" w:rsidRPr="764750FE">
        <w:rPr>
          <w:rFonts w:ascii="Times New Roman" w:hAnsi="Times New Roman"/>
          <w:b/>
          <w:bCs/>
        </w:rPr>
        <w:t>’s</w:t>
      </w:r>
      <w:r w:rsidR="093D0A25" w:rsidRPr="764750FE">
        <w:rPr>
          <w:rFonts w:ascii="Times New Roman" w:hAnsi="Times New Roman"/>
          <w:b/>
          <w:bCs/>
        </w:rPr>
        <w:t xml:space="preserve"> enforcement policy</w:t>
      </w:r>
    </w:p>
    <w:p w14:paraId="6364CD65" w14:textId="13C20EF7" w:rsidR="00BB73F8" w:rsidRPr="00BB73F8" w:rsidRDefault="00BB73F8" w:rsidP="00BD29AC">
      <w:pPr>
        <w:widowControl w:val="0"/>
        <w:spacing w:after="120"/>
        <w:rPr>
          <w:rFonts w:ascii="Times New Roman" w:hAnsi="Times New Roman"/>
          <w:bCs/>
          <w:szCs w:val="24"/>
        </w:rPr>
      </w:pPr>
      <w:r w:rsidRPr="00BB73F8">
        <w:rPr>
          <w:rFonts w:ascii="Times New Roman" w:hAnsi="Times New Roman"/>
          <w:bCs/>
          <w:szCs w:val="24"/>
        </w:rPr>
        <w:t xml:space="preserve">Effective and smart enforcement </w:t>
      </w:r>
      <w:r w:rsidR="00F04968">
        <w:rPr>
          <w:rFonts w:ascii="Times New Roman" w:hAnsi="Times New Roman"/>
          <w:bCs/>
          <w:szCs w:val="24"/>
        </w:rPr>
        <w:t>requires acting before it is too late</w:t>
      </w:r>
      <w:r w:rsidR="00A72139">
        <w:rPr>
          <w:rFonts w:ascii="Times New Roman" w:hAnsi="Times New Roman"/>
          <w:bCs/>
          <w:szCs w:val="24"/>
        </w:rPr>
        <w:t xml:space="preserve"> and</w:t>
      </w:r>
      <w:r w:rsidR="00F50846">
        <w:rPr>
          <w:rFonts w:ascii="Times New Roman" w:hAnsi="Times New Roman"/>
          <w:bCs/>
          <w:szCs w:val="24"/>
        </w:rPr>
        <w:t>,</w:t>
      </w:r>
      <w:r w:rsidR="00A72139">
        <w:rPr>
          <w:rFonts w:ascii="Times New Roman" w:hAnsi="Times New Roman"/>
          <w:bCs/>
          <w:szCs w:val="24"/>
        </w:rPr>
        <w:t xml:space="preserve"> where possible,</w:t>
      </w:r>
      <w:r w:rsidRPr="00BB73F8">
        <w:rPr>
          <w:rFonts w:ascii="Times New Roman" w:hAnsi="Times New Roman"/>
          <w:bCs/>
          <w:szCs w:val="24"/>
        </w:rPr>
        <w:t xml:space="preserve"> </w:t>
      </w:r>
      <w:r w:rsidRPr="00BB73F8">
        <w:rPr>
          <w:rFonts w:ascii="Times New Roman" w:hAnsi="Times New Roman"/>
          <w:bCs/>
          <w:szCs w:val="24"/>
        </w:rPr>
        <w:lastRenderedPageBreak/>
        <w:t xml:space="preserve">preventing breaches </w:t>
      </w:r>
      <w:r w:rsidR="00F04968">
        <w:rPr>
          <w:rFonts w:ascii="Times New Roman" w:hAnsi="Times New Roman"/>
          <w:bCs/>
          <w:szCs w:val="24"/>
        </w:rPr>
        <w:t xml:space="preserve">of EU law </w:t>
      </w:r>
      <w:r w:rsidRPr="00BB73F8">
        <w:rPr>
          <w:rFonts w:ascii="Times New Roman" w:hAnsi="Times New Roman"/>
          <w:bCs/>
          <w:szCs w:val="24"/>
        </w:rPr>
        <w:t>from happening in the first place. This is why the Commission continue</w:t>
      </w:r>
      <w:r w:rsidR="00F04968">
        <w:rPr>
          <w:rFonts w:ascii="Times New Roman" w:hAnsi="Times New Roman"/>
          <w:bCs/>
          <w:szCs w:val="24"/>
        </w:rPr>
        <w:t>s</w:t>
      </w:r>
      <w:r w:rsidRPr="00BB73F8">
        <w:rPr>
          <w:rFonts w:ascii="Times New Roman" w:hAnsi="Times New Roman"/>
          <w:bCs/>
          <w:szCs w:val="24"/>
        </w:rPr>
        <w:t xml:space="preserve"> its efforts in this regard, for example by providing early support to Member States on how to ensure effective implementation of EU law and to identify </w:t>
      </w:r>
      <w:r w:rsidR="00A72139">
        <w:rPr>
          <w:rFonts w:ascii="Times New Roman" w:hAnsi="Times New Roman"/>
          <w:bCs/>
          <w:szCs w:val="24"/>
        </w:rPr>
        <w:t xml:space="preserve">and flag </w:t>
      </w:r>
      <w:r w:rsidRPr="00BB73F8">
        <w:rPr>
          <w:rFonts w:ascii="Times New Roman" w:hAnsi="Times New Roman"/>
          <w:bCs/>
          <w:szCs w:val="24"/>
        </w:rPr>
        <w:t xml:space="preserve">potential problems at an early stage. </w:t>
      </w:r>
      <w:r w:rsidR="00553143">
        <w:rPr>
          <w:rFonts w:ascii="Times New Roman" w:hAnsi="Times New Roman"/>
          <w:bCs/>
          <w:szCs w:val="24"/>
        </w:rPr>
        <w:t>T</w:t>
      </w:r>
      <w:r w:rsidRPr="00BB73F8">
        <w:rPr>
          <w:rFonts w:ascii="Times New Roman" w:hAnsi="Times New Roman"/>
          <w:bCs/>
          <w:szCs w:val="24"/>
        </w:rPr>
        <w:t xml:space="preserve">he Commission </w:t>
      </w:r>
      <w:r w:rsidR="00553143">
        <w:rPr>
          <w:rFonts w:ascii="Times New Roman" w:hAnsi="Times New Roman"/>
          <w:bCs/>
          <w:szCs w:val="24"/>
        </w:rPr>
        <w:t>works</w:t>
      </w:r>
      <w:r w:rsidRPr="00BB73F8">
        <w:rPr>
          <w:rFonts w:ascii="Times New Roman" w:hAnsi="Times New Roman"/>
          <w:bCs/>
          <w:szCs w:val="24"/>
        </w:rPr>
        <w:t xml:space="preserve"> together with </w:t>
      </w:r>
      <w:r w:rsidR="00BD29AC">
        <w:rPr>
          <w:rFonts w:ascii="Times New Roman" w:hAnsi="Times New Roman"/>
          <w:bCs/>
          <w:szCs w:val="24"/>
        </w:rPr>
        <w:t xml:space="preserve">the </w:t>
      </w:r>
      <w:r w:rsidRPr="00BB73F8">
        <w:rPr>
          <w:rFonts w:ascii="Times New Roman" w:hAnsi="Times New Roman"/>
          <w:bCs/>
          <w:szCs w:val="24"/>
        </w:rPr>
        <w:t xml:space="preserve">Member States in numerous committees or expert groups to promote the </w:t>
      </w:r>
      <w:r w:rsidR="00A72139">
        <w:rPr>
          <w:rFonts w:ascii="Times New Roman" w:hAnsi="Times New Roman"/>
          <w:bCs/>
          <w:szCs w:val="24"/>
        </w:rPr>
        <w:t>proper and timely</w:t>
      </w:r>
      <w:r w:rsidRPr="00BB73F8">
        <w:rPr>
          <w:rFonts w:ascii="Times New Roman" w:hAnsi="Times New Roman"/>
          <w:bCs/>
          <w:szCs w:val="24"/>
        </w:rPr>
        <w:t xml:space="preserve"> implementation of EU law. It also </w:t>
      </w:r>
      <w:r w:rsidR="00553143" w:rsidRPr="00BB73F8">
        <w:rPr>
          <w:rFonts w:ascii="Times New Roman" w:hAnsi="Times New Roman"/>
          <w:bCs/>
          <w:szCs w:val="24"/>
        </w:rPr>
        <w:t>provide</w:t>
      </w:r>
      <w:r w:rsidR="00553143">
        <w:rPr>
          <w:rFonts w:ascii="Times New Roman" w:hAnsi="Times New Roman"/>
          <w:bCs/>
          <w:szCs w:val="24"/>
        </w:rPr>
        <w:t>s</w:t>
      </w:r>
      <w:r w:rsidR="00553143" w:rsidRPr="00BB73F8">
        <w:rPr>
          <w:rFonts w:ascii="Times New Roman" w:hAnsi="Times New Roman"/>
          <w:bCs/>
          <w:szCs w:val="24"/>
        </w:rPr>
        <w:t xml:space="preserve"> </w:t>
      </w:r>
      <w:r w:rsidRPr="00BB73F8">
        <w:rPr>
          <w:rFonts w:ascii="Times New Roman" w:hAnsi="Times New Roman"/>
          <w:bCs/>
          <w:szCs w:val="24"/>
        </w:rPr>
        <w:t>written guidelines on the interpretation and implementation of EU law in all main policy areas.</w:t>
      </w:r>
    </w:p>
    <w:p w14:paraId="0112BD21" w14:textId="16C4E094" w:rsidR="00380FAE" w:rsidRPr="00BB73F8" w:rsidRDefault="3BC227CE" w:rsidP="00BD29AC">
      <w:pPr>
        <w:widowControl w:val="0"/>
        <w:spacing w:after="120"/>
        <w:rPr>
          <w:rFonts w:ascii="Times New Roman" w:hAnsi="Times New Roman"/>
        </w:rPr>
      </w:pPr>
      <w:r w:rsidRPr="764750FE">
        <w:rPr>
          <w:rFonts w:ascii="Times New Roman" w:hAnsi="Times New Roman"/>
        </w:rPr>
        <w:t>Where serious breaches of EU law persist, the Commission does not hesitate to open or pursue infringement procedures</w:t>
      </w:r>
      <w:r w:rsidR="00A72139">
        <w:rPr>
          <w:rFonts w:ascii="Times New Roman" w:hAnsi="Times New Roman"/>
        </w:rPr>
        <w:t>. While the number of infringement procedures may vary from year to year, a longer-term perspective reliably shows the Commission</w:t>
      </w:r>
      <w:r w:rsidR="00A65F9F">
        <w:rPr>
          <w:rFonts w:ascii="Times New Roman" w:hAnsi="Times New Roman"/>
        </w:rPr>
        <w:t>’</w:t>
      </w:r>
      <w:r w:rsidR="00A72139">
        <w:rPr>
          <w:rFonts w:ascii="Times New Roman" w:hAnsi="Times New Roman"/>
        </w:rPr>
        <w:t xml:space="preserve">s resolve in this respect: </w:t>
      </w:r>
      <w:r w:rsidRPr="764750FE">
        <w:rPr>
          <w:rFonts w:ascii="Times New Roman" w:hAnsi="Times New Roman"/>
        </w:rPr>
        <w:t xml:space="preserve">in the years 2020 to 2022 the Commission launched over 2,300 infringement procedures, </w:t>
      </w:r>
      <w:r w:rsidR="007B6243">
        <w:rPr>
          <w:rFonts w:ascii="Times New Roman" w:hAnsi="Times New Roman"/>
        </w:rPr>
        <w:t xml:space="preserve">which represents </w:t>
      </w:r>
      <w:r w:rsidRPr="764750FE">
        <w:rPr>
          <w:rFonts w:ascii="Times New Roman" w:hAnsi="Times New Roman"/>
        </w:rPr>
        <w:t>an increase compared to the previous three years. In 202</w:t>
      </w:r>
      <w:r w:rsidR="00D311A8">
        <w:rPr>
          <w:rFonts w:ascii="Times New Roman" w:hAnsi="Times New Roman"/>
        </w:rPr>
        <w:t>3</w:t>
      </w:r>
      <w:r w:rsidRPr="764750FE">
        <w:rPr>
          <w:rFonts w:ascii="Times New Roman" w:hAnsi="Times New Roman"/>
        </w:rPr>
        <w:t xml:space="preserve"> alone, the Commission </w:t>
      </w:r>
      <w:r w:rsidR="00B6702D">
        <w:rPr>
          <w:rFonts w:ascii="Times New Roman" w:hAnsi="Times New Roman"/>
        </w:rPr>
        <w:t xml:space="preserve">decided to </w:t>
      </w:r>
      <w:r w:rsidRPr="764750FE">
        <w:rPr>
          <w:rFonts w:ascii="Times New Roman" w:hAnsi="Times New Roman"/>
        </w:rPr>
        <w:t xml:space="preserve">refer a total of </w:t>
      </w:r>
      <w:r w:rsidR="00B6702D">
        <w:rPr>
          <w:rFonts w:ascii="Times New Roman" w:hAnsi="Times New Roman"/>
        </w:rPr>
        <w:t>82</w:t>
      </w:r>
      <w:r w:rsidRPr="764750FE">
        <w:rPr>
          <w:rFonts w:ascii="Times New Roman" w:hAnsi="Times New Roman"/>
        </w:rPr>
        <w:t xml:space="preserve"> cases to the </w:t>
      </w:r>
      <w:r w:rsidR="6D185447" w:rsidRPr="764750FE">
        <w:rPr>
          <w:rFonts w:ascii="Times New Roman" w:hAnsi="Times New Roman"/>
        </w:rPr>
        <w:t>CJEU</w:t>
      </w:r>
      <w:r w:rsidRPr="764750FE">
        <w:rPr>
          <w:rFonts w:ascii="Times New Roman" w:hAnsi="Times New Roman"/>
        </w:rPr>
        <w:t xml:space="preserve">. </w:t>
      </w:r>
      <w:r w:rsidR="1FB7DF51" w:rsidRPr="764750FE">
        <w:rPr>
          <w:rFonts w:ascii="Times New Roman" w:hAnsi="Times New Roman"/>
        </w:rPr>
        <w:t>And</w:t>
      </w:r>
      <w:r w:rsidR="00BD29AC">
        <w:rPr>
          <w:rFonts w:ascii="Times New Roman" w:hAnsi="Times New Roman"/>
        </w:rPr>
        <w:t>,</w:t>
      </w:r>
      <w:r w:rsidR="1FB7DF51" w:rsidRPr="764750FE">
        <w:rPr>
          <w:rFonts w:ascii="Times New Roman" w:hAnsi="Times New Roman"/>
        </w:rPr>
        <w:t xml:space="preserve"> in </w:t>
      </w:r>
      <w:r w:rsidR="00B6702D">
        <w:rPr>
          <w:rFonts w:ascii="Times New Roman" w:hAnsi="Times New Roman"/>
        </w:rPr>
        <w:t>45</w:t>
      </w:r>
      <w:r w:rsidR="1FB7DF51" w:rsidRPr="764750FE">
        <w:rPr>
          <w:rFonts w:ascii="Times New Roman" w:hAnsi="Times New Roman"/>
        </w:rPr>
        <w:t xml:space="preserve"> cases</w:t>
      </w:r>
      <w:r w:rsidR="007B6243">
        <w:rPr>
          <w:rFonts w:ascii="Times New Roman" w:hAnsi="Times New Roman"/>
        </w:rPr>
        <w:t>,</w:t>
      </w:r>
      <w:r w:rsidR="00215367">
        <w:rPr>
          <w:rFonts w:ascii="Times New Roman" w:hAnsi="Times New Roman"/>
        </w:rPr>
        <w:t xml:space="preserve"> </w:t>
      </w:r>
      <w:r w:rsidR="1FB7DF51" w:rsidRPr="764750FE">
        <w:rPr>
          <w:rFonts w:ascii="Times New Roman" w:hAnsi="Times New Roman"/>
        </w:rPr>
        <w:t>the Commission decided to request the Court to impose financial sanctions against the Member State concerned</w:t>
      </w:r>
      <w:r w:rsidR="00B6702D">
        <w:rPr>
          <w:rFonts w:ascii="Times New Roman" w:hAnsi="Times New Roman"/>
        </w:rPr>
        <w:t xml:space="preserve">, most of </w:t>
      </w:r>
      <w:r w:rsidR="00B6702D" w:rsidRPr="764750FE">
        <w:rPr>
          <w:rFonts w:ascii="Times New Roman" w:hAnsi="Times New Roman"/>
        </w:rPr>
        <w:t>which due to the late transposition of directives</w:t>
      </w:r>
      <w:r w:rsidR="00B6702D">
        <w:rPr>
          <w:rFonts w:ascii="Times New Roman" w:hAnsi="Times New Roman"/>
        </w:rPr>
        <w:t>.</w:t>
      </w:r>
    </w:p>
    <w:p w14:paraId="680F0653" w14:textId="3488550E" w:rsidR="00221DC6" w:rsidRDefault="7544EE80" w:rsidP="00BD29AC">
      <w:pPr>
        <w:widowControl w:val="0"/>
        <w:spacing w:after="120"/>
        <w:rPr>
          <w:rFonts w:ascii="Times New Roman" w:hAnsi="Times New Roman"/>
        </w:rPr>
      </w:pPr>
      <w:r w:rsidRPr="764750FE">
        <w:rPr>
          <w:rFonts w:ascii="Times New Roman" w:hAnsi="Times New Roman"/>
        </w:rPr>
        <w:t xml:space="preserve">This is </w:t>
      </w:r>
      <w:r w:rsidR="7182E92F" w:rsidRPr="764750FE">
        <w:rPr>
          <w:rFonts w:ascii="Times New Roman" w:hAnsi="Times New Roman"/>
        </w:rPr>
        <w:t xml:space="preserve">a clear indication that the Commission does not shy away from referring a </w:t>
      </w:r>
      <w:r w:rsidRPr="764750FE">
        <w:rPr>
          <w:rFonts w:ascii="Times New Roman" w:hAnsi="Times New Roman"/>
        </w:rPr>
        <w:t xml:space="preserve">Member State to the </w:t>
      </w:r>
      <w:r w:rsidR="22FB4217" w:rsidRPr="764750FE">
        <w:rPr>
          <w:rFonts w:ascii="Times New Roman" w:hAnsi="Times New Roman"/>
        </w:rPr>
        <w:t>CJEU</w:t>
      </w:r>
      <w:r w:rsidR="7182E92F" w:rsidRPr="764750FE">
        <w:rPr>
          <w:rFonts w:ascii="Times New Roman" w:hAnsi="Times New Roman"/>
        </w:rPr>
        <w:t xml:space="preserve"> where needed to achieve compliance with EU law. </w:t>
      </w:r>
      <w:r w:rsidR="66533C02" w:rsidRPr="764750FE">
        <w:rPr>
          <w:rFonts w:ascii="Times New Roman" w:hAnsi="Times New Roman"/>
        </w:rPr>
        <w:t>In fact, the Commission’s policy to re</w:t>
      </w:r>
      <w:r w:rsidR="10829964" w:rsidRPr="764750FE">
        <w:rPr>
          <w:rFonts w:ascii="Times New Roman" w:hAnsi="Times New Roman"/>
        </w:rPr>
        <w:t>sort</w:t>
      </w:r>
      <w:r w:rsidR="66533C02" w:rsidRPr="764750FE">
        <w:rPr>
          <w:rFonts w:ascii="Times New Roman" w:hAnsi="Times New Roman"/>
        </w:rPr>
        <w:t xml:space="preserve"> to financial sanctions </w:t>
      </w:r>
      <w:r w:rsidR="00A22AC6">
        <w:rPr>
          <w:rFonts w:ascii="Times New Roman" w:hAnsi="Times New Roman"/>
        </w:rPr>
        <w:t xml:space="preserve">(lump sum and daily penalty payment) </w:t>
      </w:r>
      <w:r w:rsidR="66533C02" w:rsidRPr="764750FE">
        <w:rPr>
          <w:rFonts w:ascii="Times New Roman" w:hAnsi="Times New Roman"/>
        </w:rPr>
        <w:t>has become stricter over time and is now used systematically in cases of late transposition of directives. Where a Member State rectifies the infringement by transposing the directive in the course of the court proceedings, the Commission no longer withdraw</w:t>
      </w:r>
      <w:r w:rsidR="00AC5ACC">
        <w:rPr>
          <w:rFonts w:ascii="Times New Roman" w:hAnsi="Times New Roman"/>
        </w:rPr>
        <w:t>s</w:t>
      </w:r>
      <w:r w:rsidR="66533C02" w:rsidRPr="764750FE">
        <w:rPr>
          <w:rFonts w:ascii="Times New Roman" w:hAnsi="Times New Roman"/>
        </w:rPr>
        <w:t xml:space="preserve"> its action from the </w:t>
      </w:r>
      <w:r w:rsidR="751E67A3" w:rsidRPr="764750FE">
        <w:rPr>
          <w:rFonts w:ascii="Times New Roman" w:hAnsi="Times New Roman"/>
        </w:rPr>
        <w:t>C</w:t>
      </w:r>
      <w:r w:rsidR="66533C02" w:rsidRPr="764750FE">
        <w:rPr>
          <w:rFonts w:ascii="Times New Roman" w:hAnsi="Times New Roman"/>
        </w:rPr>
        <w:t>ourt</w:t>
      </w:r>
      <w:r w:rsidR="00F50846">
        <w:rPr>
          <w:rFonts w:ascii="Times New Roman" w:hAnsi="Times New Roman"/>
        </w:rPr>
        <w:t>,</w:t>
      </w:r>
      <w:r w:rsidR="66533C02" w:rsidRPr="764750FE">
        <w:rPr>
          <w:rFonts w:ascii="Times New Roman" w:hAnsi="Times New Roman"/>
        </w:rPr>
        <w:t xml:space="preserve"> as it would have done in the past. Instead, it </w:t>
      </w:r>
      <w:r w:rsidR="00A72139">
        <w:rPr>
          <w:rFonts w:ascii="Times New Roman" w:hAnsi="Times New Roman"/>
        </w:rPr>
        <w:t xml:space="preserve">still </w:t>
      </w:r>
      <w:r w:rsidR="66533C02" w:rsidRPr="764750FE">
        <w:rPr>
          <w:rFonts w:ascii="Times New Roman" w:hAnsi="Times New Roman"/>
        </w:rPr>
        <w:t>seeks a financial sanction for the breach having occurred in the first place.</w:t>
      </w:r>
    </w:p>
    <w:p w14:paraId="4BC9ADA6" w14:textId="166319E7" w:rsidR="00BB73F8" w:rsidRPr="00862BD2" w:rsidRDefault="18FC45D5" w:rsidP="00BD29AC">
      <w:pPr>
        <w:widowControl w:val="0"/>
        <w:spacing w:after="120"/>
        <w:rPr>
          <w:rFonts w:ascii="Times New Roman" w:hAnsi="Times New Roman"/>
        </w:rPr>
      </w:pPr>
      <w:r w:rsidRPr="764750FE">
        <w:rPr>
          <w:rFonts w:ascii="Times New Roman" w:hAnsi="Times New Roman"/>
        </w:rPr>
        <w:t xml:space="preserve">The launch of infringement procedures in new areas, for example on equality, rule of law, democracy and </w:t>
      </w:r>
      <w:r w:rsidR="54BD5CC9" w:rsidRPr="764750FE">
        <w:rPr>
          <w:rFonts w:ascii="Times New Roman" w:hAnsi="Times New Roman"/>
        </w:rPr>
        <w:t xml:space="preserve">EU </w:t>
      </w:r>
      <w:r w:rsidRPr="764750FE">
        <w:rPr>
          <w:rFonts w:ascii="Times New Roman" w:hAnsi="Times New Roman"/>
        </w:rPr>
        <w:t xml:space="preserve">citizenship, </w:t>
      </w:r>
      <w:r w:rsidR="376F5765" w:rsidRPr="764750FE">
        <w:rPr>
          <w:rFonts w:ascii="Times New Roman" w:hAnsi="Times New Roman"/>
        </w:rPr>
        <w:t xml:space="preserve">including referrals to the </w:t>
      </w:r>
      <w:r w:rsidR="0DFE36C7" w:rsidRPr="764750FE">
        <w:rPr>
          <w:rFonts w:ascii="Times New Roman" w:hAnsi="Times New Roman"/>
        </w:rPr>
        <w:t>CJEU</w:t>
      </w:r>
      <w:r w:rsidR="376F5765" w:rsidRPr="764750FE">
        <w:rPr>
          <w:rFonts w:ascii="Times New Roman" w:hAnsi="Times New Roman"/>
        </w:rPr>
        <w:t xml:space="preserve"> where necessary, </w:t>
      </w:r>
      <w:r w:rsidR="007B6243">
        <w:rPr>
          <w:rFonts w:ascii="Times New Roman" w:hAnsi="Times New Roman"/>
        </w:rPr>
        <w:t>is</w:t>
      </w:r>
      <w:r w:rsidR="007B6243" w:rsidRPr="764750FE">
        <w:rPr>
          <w:rFonts w:ascii="Times New Roman" w:hAnsi="Times New Roman"/>
        </w:rPr>
        <w:t xml:space="preserve"> </w:t>
      </w:r>
      <w:r w:rsidR="00F50846">
        <w:rPr>
          <w:rFonts w:ascii="Times New Roman" w:hAnsi="Times New Roman"/>
        </w:rPr>
        <w:t xml:space="preserve">acknowledged </w:t>
      </w:r>
      <w:r w:rsidR="00A72139">
        <w:rPr>
          <w:rFonts w:ascii="Times New Roman" w:hAnsi="Times New Roman"/>
        </w:rPr>
        <w:t xml:space="preserve">by the European Parliament and is </w:t>
      </w:r>
      <w:r w:rsidR="00F50846">
        <w:rPr>
          <w:rFonts w:ascii="Times New Roman" w:hAnsi="Times New Roman"/>
        </w:rPr>
        <w:t>further evidence</w:t>
      </w:r>
      <w:r w:rsidRPr="764750FE">
        <w:rPr>
          <w:rFonts w:ascii="Times New Roman" w:hAnsi="Times New Roman"/>
        </w:rPr>
        <w:t xml:space="preserve"> </w:t>
      </w:r>
      <w:r w:rsidR="00A72139">
        <w:rPr>
          <w:rFonts w:ascii="Times New Roman" w:hAnsi="Times New Roman"/>
        </w:rPr>
        <w:t xml:space="preserve">that the </w:t>
      </w:r>
      <w:r w:rsidRPr="764750FE">
        <w:rPr>
          <w:rFonts w:ascii="Times New Roman" w:hAnsi="Times New Roman"/>
        </w:rPr>
        <w:t>Commission</w:t>
      </w:r>
      <w:r w:rsidR="00A72139">
        <w:rPr>
          <w:rFonts w:ascii="Times New Roman" w:hAnsi="Times New Roman"/>
        </w:rPr>
        <w:t xml:space="preserve"> </w:t>
      </w:r>
      <w:r w:rsidR="001B30B0">
        <w:rPr>
          <w:rFonts w:ascii="Times New Roman" w:hAnsi="Times New Roman"/>
        </w:rPr>
        <w:t>is determined to enforce</w:t>
      </w:r>
      <w:r w:rsidRPr="764750FE">
        <w:rPr>
          <w:rFonts w:ascii="Times New Roman" w:hAnsi="Times New Roman"/>
        </w:rPr>
        <w:t xml:space="preserve"> EU law</w:t>
      </w:r>
      <w:r w:rsidR="000D3F82">
        <w:rPr>
          <w:rFonts w:ascii="Times New Roman" w:hAnsi="Times New Roman"/>
        </w:rPr>
        <w:t xml:space="preserve"> also</w:t>
      </w:r>
      <w:r w:rsidR="00A72139">
        <w:rPr>
          <w:rFonts w:ascii="Times New Roman" w:hAnsi="Times New Roman"/>
        </w:rPr>
        <w:t xml:space="preserve"> in areas that are often politically sensitive</w:t>
      </w:r>
      <w:r w:rsidRPr="764750FE">
        <w:rPr>
          <w:rFonts w:ascii="Times New Roman" w:hAnsi="Times New Roman"/>
        </w:rPr>
        <w:t>.</w:t>
      </w:r>
    </w:p>
    <w:p w14:paraId="344F686B" w14:textId="19E84A7F" w:rsidR="00E36DF9" w:rsidRDefault="79692EA9" w:rsidP="00BD29AC">
      <w:pPr>
        <w:widowControl w:val="0"/>
        <w:spacing w:after="120"/>
        <w:rPr>
          <w:rFonts w:ascii="Times New Roman" w:hAnsi="Times New Roman"/>
        </w:rPr>
      </w:pPr>
      <w:r w:rsidRPr="764750FE">
        <w:rPr>
          <w:rFonts w:ascii="Times New Roman" w:hAnsi="Times New Roman"/>
        </w:rPr>
        <w:t xml:space="preserve">The Commission’s enforcement policy has evolved over time, to </w:t>
      </w:r>
      <w:r w:rsidR="27290501" w:rsidRPr="764750FE">
        <w:rPr>
          <w:rFonts w:ascii="Times New Roman" w:hAnsi="Times New Roman"/>
        </w:rPr>
        <w:t>ensure</w:t>
      </w:r>
      <w:r w:rsidRPr="764750FE">
        <w:rPr>
          <w:rFonts w:ascii="Times New Roman" w:hAnsi="Times New Roman"/>
        </w:rPr>
        <w:t xml:space="preserve"> </w:t>
      </w:r>
      <w:r w:rsidR="00A72139">
        <w:rPr>
          <w:rFonts w:ascii="Times New Roman" w:hAnsi="Times New Roman"/>
        </w:rPr>
        <w:t xml:space="preserve">its </w:t>
      </w:r>
      <w:r w:rsidR="7C5BF056" w:rsidRPr="764750FE">
        <w:rPr>
          <w:rFonts w:ascii="Times New Roman" w:hAnsi="Times New Roman"/>
        </w:rPr>
        <w:t>continued effectiveness</w:t>
      </w:r>
      <w:r w:rsidRPr="764750FE">
        <w:rPr>
          <w:rFonts w:ascii="Times New Roman" w:hAnsi="Times New Roman"/>
        </w:rPr>
        <w:t>. The 2016 Communication ‘</w:t>
      </w:r>
      <w:hyperlink r:id="rId12" w:history="1">
        <w:r w:rsidRPr="00192F56">
          <w:rPr>
            <w:rStyle w:val="Hyperlink"/>
            <w:rFonts w:ascii="Times New Roman" w:hAnsi="Times New Roman"/>
          </w:rPr>
          <w:t>EU law: Better results through better application</w:t>
        </w:r>
      </w:hyperlink>
      <w:r w:rsidRPr="764750FE">
        <w:rPr>
          <w:rFonts w:ascii="Times New Roman" w:hAnsi="Times New Roman"/>
        </w:rPr>
        <w:t xml:space="preserve">’ set out a strategic and focused use of infringement procedures. It gives priority to tackling breaches with the biggest impact on the interests of people and businesses. These include, for instance, the failure by a Member State to transpose a directive in time or </w:t>
      </w:r>
      <w:r w:rsidR="007B548A" w:rsidRPr="764750FE">
        <w:rPr>
          <w:rFonts w:ascii="Times New Roman" w:hAnsi="Times New Roman"/>
        </w:rPr>
        <w:t>infringements that affect the capacity of national judicial systems to contribute to the effective application of EU law</w:t>
      </w:r>
      <w:r w:rsidRPr="764750FE">
        <w:rPr>
          <w:rFonts w:ascii="Times New Roman" w:hAnsi="Times New Roman"/>
        </w:rPr>
        <w:t>.</w:t>
      </w:r>
    </w:p>
    <w:p w14:paraId="65689717" w14:textId="7F7EB938" w:rsidR="00A411E5" w:rsidRDefault="007B548A" w:rsidP="00BD29AC">
      <w:pPr>
        <w:widowControl w:val="0"/>
        <w:spacing w:after="120"/>
        <w:rPr>
          <w:rFonts w:ascii="Times New Roman" w:hAnsi="Times New Roman"/>
        </w:rPr>
      </w:pPr>
      <w:r>
        <w:rPr>
          <w:rFonts w:ascii="Times New Roman" w:hAnsi="Times New Roman"/>
        </w:rPr>
        <w:t>T</w:t>
      </w:r>
      <w:r w:rsidR="79692EA9" w:rsidRPr="764750FE">
        <w:rPr>
          <w:rFonts w:ascii="Times New Roman" w:hAnsi="Times New Roman"/>
        </w:rPr>
        <w:t xml:space="preserve">he failure by a Member State to comply with a judgment of the </w:t>
      </w:r>
      <w:r w:rsidR="35D72011" w:rsidRPr="764750FE">
        <w:rPr>
          <w:rFonts w:ascii="Times New Roman" w:hAnsi="Times New Roman"/>
        </w:rPr>
        <w:t>CJEU</w:t>
      </w:r>
      <w:r w:rsidR="79692EA9" w:rsidRPr="764750FE">
        <w:rPr>
          <w:rFonts w:ascii="Times New Roman" w:hAnsi="Times New Roman"/>
        </w:rPr>
        <w:t xml:space="preserve"> as referred to in Article 260(2)</w:t>
      </w:r>
      <w:r w:rsidR="7CB8B737" w:rsidRPr="764750FE">
        <w:rPr>
          <w:rFonts w:ascii="Times New Roman" w:hAnsi="Times New Roman"/>
        </w:rPr>
        <w:t xml:space="preserve"> of the Treaty on the Functioning of the European Union (</w:t>
      </w:r>
      <w:r w:rsidR="79692EA9" w:rsidRPr="764750FE">
        <w:rPr>
          <w:rFonts w:ascii="Times New Roman" w:hAnsi="Times New Roman"/>
        </w:rPr>
        <w:t>TFEU</w:t>
      </w:r>
      <w:r w:rsidR="33A7A4FB" w:rsidRPr="764750FE">
        <w:rPr>
          <w:rFonts w:ascii="Times New Roman" w:hAnsi="Times New Roman"/>
        </w:rPr>
        <w:t>)</w:t>
      </w:r>
      <w:r>
        <w:rPr>
          <w:rFonts w:ascii="Times New Roman" w:hAnsi="Times New Roman"/>
        </w:rPr>
        <w:t xml:space="preserve"> is </w:t>
      </w:r>
      <w:r w:rsidR="00E36882">
        <w:rPr>
          <w:rFonts w:ascii="Times New Roman" w:hAnsi="Times New Roman"/>
        </w:rPr>
        <w:t>another example of priority cases</w:t>
      </w:r>
      <w:r>
        <w:rPr>
          <w:rFonts w:ascii="Times New Roman" w:hAnsi="Times New Roman"/>
        </w:rPr>
        <w:t>.</w:t>
      </w:r>
      <w:r w:rsidR="0087022D">
        <w:rPr>
          <w:rFonts w:ascii="Times New Roman" w:hAnsi="Times New Roman"/>
        </w:rPr>
        <w:t xml:space="preserve"> </w:t>
      </w:r>
      <w:r>
        <w:rPr>
          <w:rFonts w:ascii="Times New Roman" w:hAnsi="Times New Roman"/>
        </w:rPr>
        <w:t>After having issued a letter of formal notice, t</w:t>
      </w:r>
      <w:r w:rsidR="0087022D">
        <w:rPr>
          <w:rFonts w:ascii="Times New Roman" w:hAnsi="Times New Roman"/>
        </w:rPr>
        <w:t xml:space="preserve">he Commission will </w:t>
      </w:r>
      <w:r>
        <w:rPr>
          <w:rFonts w:ascii="Times New Roman" w:hAnsi="Times New Roman"/>
        </w:rPr>
        <w:t>refer</w:t>
      </w:r>
      <w:r w:rsidR="0087022D">
        <w:rPr>
          <w:rFonts w:ascii="Times New Roman" w:hAnsi="Times New Roman"/>
        </w:rPr>
        <w:t xml:space="preserve"> the matter</w:t>
      </w:r>
      <w:r>
        <w:rPr>
          <w:rFonts w:ascii="Times New Roman" w:hAnsi="Times New Roman"/>
        </w:rPr>
        <w:t xml:space="preserve"> back</w:t>
      </w:r>
      <w:r w:rsidR="0087022D">
        <w:rPr>
          <w:rFonts w:ascii="Times New Roman" w:hAnsi="Times New Roman"/>
        </w:rPr>
        <w:t xml:space="preserve"> to the Court with a request for financial sanctions to be ordered against the Member State concerned.</w:t>
      </w:r>
    </w:p>
    <w:p w14:paraId="6061A2BA" w14:textId="5019A2F7" w:rsidR="00A411E5" w:rsidRPr="008F54C7" w:rsidRDefault="00A411E5" w:rsidP="00BD29AC">
      <w:pPr>
        <w:widowControl w:val="0"/>
        <w:spacing w:after="120"/>
        <w:rPr>
          <w:rFonts w:ascii="Times New Roman" w:hAnsi="Times New Roman"/>
          <w:bCs/>
          <w:szCs w:val="24"/>
        </w:rPr>
      </w:pPr>
      <w:r w:rsidRPr="008F54C7">
        <w:rPr>
          <w:rFonts w:ascii="Times New Roman" w:hAnsi="Times New Roman"/>
          <w:bCs/>
          <w:szCs w:val="24"/>
        </w:rPr>
        <w:t>The primary purpose of the infringement procedure is to ensure that the Member States give effect to EU law in the general interest. It is not designed to offer concrete solutions for individuals or ensure individual redress. This is why an individual case of misapplication of EU law</w:t>
      </w:r>
      <w:r w:rsidR="00E72788">
        <w:rPr>
          <w:rFonts w:ascii="Times New Roman" w:hAnsi="Times New Roman"/>
          <w:bCs/>
          <w:szCs w:val="24"/>
        </w:rPr>
        <w:t xml:space="preserve"> –</w:t>
      </w:r>
      <w:r w:rsidRPr="008F54C7">
        <w:rPr>
          <w:rFonts w:ascii="Times New Roman" w:hAnsi="Times New Roman"/>
          <w:bCs/>
          <w:szCs w:val="24"/>
        </w:rPr>
        <w:t xml:space="preserve"> where there are insufficient indications of a general practice or systemic failure of compliance with EU law</w:t>
      </w:r>
      <w:r w:rsidR="00E72788">
        <w:rPr>
          <w:rFonts w:ascii="Times New Roman" w:hAnsi="Times New Roman"/>
          <w:bCs/>
          <w:szCs w:val="24"/>
        </w:rPr>
        <w:t xml:space="preserve"> –</w:t>
      </w:r>
      <w:r w:rsidRPr="008F54C7">
        <w:rPr>
          <w:rFonts w:ascii="Times New Roman" w:hAnsi="Times New Roman"/>
          <w:bCs/>
          <w:szCs w:val="24"/>
        </w:rPr>
        <w:t xml:space="preserve"> are </w:t>
      </w:r>
      <w:r w:rsidR="00A72139">
        <w:rPr>
          <w:rFonts w:ascii="Times New Roman" w:hAnsi="Times New Roman"/>
          <w:bCs/>
          <w:szCs w:val="24"/>
        </w:rPr>
        <w:t>better</w:t>
      </w:r>
      <w:r w:rsidRPr="008F54C7">
        <w:rPr>
          <w:rFonts w:ascii="Times New Roman" w:hAnsi="Times New Roman"/>
          <w:bCs/>
          <w:szCs w:val="24"/>
        </w:rPr>
        <w:t xml:space="preserve"> dealt with by redress mechanisms at national level, such as national courts, regulatory bodies</w:t>
      </w:r>
      <w:r w:rsidR="00BD29AC">
        <w:rPr>
          <w:rFonts w:ascii="Times New Roman" w:hAnsi="Times New Roman"/>
          <w:bCs/>
          <w:szCs w:val="24"/>
        </w:rPr>
        <w:t>,</w:t>
      </w:r>
      <w:r w:rsidRPr="008F54C7">
        <w:rPr>
          <w:rFonts w:ascii="Times New Roman" w:hAnsi="Times New Roman"/>
          <w:bCs/>
          <w:szCs w:val="24"/>
        </w:rPr>
        <w:t xml:space="preserve"> or ombudsmen. If the problem has a cross-border dimension, the SOLVIT network may offer </w:t>
      </w:r>
      <w:r w:rsidR="00E72788">
        <w:rPr>
          <w:rFonts w:ascii="Times New Roman" w:hAnsi="Times New Roman"/>
          <w:bCs/>
          <w:szCs w:val="24"/>
        </w:rPr>
        <w:t xml:space="preserve">a swift </w:t>
      </w:r>
      <w:r w:rsidRPr="008F54C7">
        <w:rPr>
          <w:rFonts w:ascii="Times New Roman" w:hAnsi="Times New Roman"/>
          <w:bCs/>
          <w:szCs w:val="24"/>
        </w:rPr>
        <w:t>remed</w:t>
      </w:r>
      <w:r w:rsidR="00E72788">
        <w:rPr>
          <w:rFonts w:ascii="Times New Roman" w:hAnsi="Times New Roman"/>
          <w:bCs/>
          <w:szCs w:val="24"/>
        </w:rPr>
        <w:t>y</w:t>
      </w:r>
      <w:r w:rsidRPr="008F54C7">
        <w:rPr>
          <w:rFonts w:ascii="Times New Roman" w:hAnsi="Times New Roman"/>
          <w:bCs/>
          <w:szCs w:val="24"/>
        </w:rPr>
        <w:t>.</w:t>
      </w:r>
    </w:p>
    <w:p w14:paraId="1CACB32E" w14:textId="028DBA32" w:rsidR="00A411E5" w:rsidRDefault="1780FDA4" w:rsidP="00BD29AC">
      <w:pPr>
        <w:widowControl w:val="0"/>
        <w:spacing w:after="120"/>
        <w:rPr>
          <w:rFonts w:ascii="Times New Roman" w:hAnsi="Times New Roman"/>
        </w:rPr>
      </w:pPr>
      <w:r w:rsidRPr="764750FE">
        <w:rPr>
          <w:rFonts w:ascii="Times New Roman" w:hAnsi="Times New Roman"/>
        </w:rPr>
        <w:t>It must be borne in mind that the</w:t>
      </w:r>
      <w:r w:rsidR="40E8F50A" w:rsidRPr="764750FE">
        <w:rPr>
          <w:rFonts w:ascii="Times New Roman" w:hAnsi="Times New Roman"/>
        </w:rPr>
        <w:t xml:space="preserve"> CJEU</w:t>
      </w:r>
      <w:r w:rsidRPr="764750FE">
        <w:rPr>
          <w:rFonts w:ascii="Times New Roman" w:hAnsi="Times New Roman"/>
        </w:rPr>
        <w:t xml:space="preserve"> is ultimately called upon to decide on </w:t>
      </w:r>
      <w:r w:rsidR="00A1025D">
        <w:rPr>
          <w:rFonts w:ascii="Times New Roman" w:hAnsi="Times New Roman"/>
        </w:rPr>
        <w:t xml:space="preserve">the </w:t>
      </w:r>
      <w:r w:rsidRPr="764750FE">
        <w:rPr>
          <w:rFonts w:ascii="Times New Roman" w:hAnsi="Times New Roman"/>
        </w:rPr>
        <w:t>compliance of Member States’ legal systems with EU law. To prove a systemic or structural breach of EU law, the Commission must produce sufficient evidence to show that a Member State’s authorities have developed a repeated, widespread</w:t>
      </w:r>
      <w:r w:rsidR="00BD29AC">
        <w:rPr>
          <w:rFonts w:ascii="Times New Roman" w:hAnsi="Times New Roman"/>
        </w:rPr>
        <w:t>,</w:t>
      </w:r>
      <w:r w:rsidRPr="764750FE">
        <w:rPr>
          <w:rFonts w:ascii="Times New Roman" w:hAnsi="Times New Roman"/>
        </w:rPr>
        <w:t xml:space="preserve"> and persistent practice which is </w:t>
      </w:r>
      <w:r w:rsidRPr="764750FE">
        <w:rPr>
          <w:rFonts w:ascii="Times New Roman" w:hAnsi="Times New Roman"/>
        </w:rPr>
        <w:lastRenderedPageBreak/>
        <w:t>contrary to EU law. The Commission cannot rely on simple presumptions but must provide concrete evidence that the Member State concerned has generally and persistently failed to fulfil its obligations under EU law. Therefore, an accumulation of individual cases is not</w:t>
      </w:r>
      <w:r w:rsidR="00A1025D">
        <w:rPr>
          <w:rFonts w:ascii="Times New Roman" w:hAnsi="Times New Roman"/>
        </w:rPr>
        <w:t>,</w:t>
      </w:r>
      <w:r w:rsidRPr="764750FE">
        <w:rPr>
          <w:rFonts w:ascii="Times New Roman" w:hAnsi="Times New Roman"/>
        </w:rPr>
        <w:t xml:space="preserve"> as such</w:t>
      </w:r>
      <w:r w:rsidR="00A1025D">
        <w:rPr>
          <w:rFonts w:ascii="Times New Roman" w:hAnsi="Times New Roman"/>
        </w:rPr>
        <w:t>,</w:t>
      </w:r>
      <w:r w:rsidRPr="764750FE">
        <w:rPr>
          <w:rFonts w:ascii="Times New Roman" w:hAnsi="Times New Roman"/>
        </w:rPr>
        <w:t xml:space="preserve"> sufficient to prove </w:t>
      </w:r>
      <w:r w:rsidR="34991B6D" w:rsidRPr="764750FE">
        <w:rPr>
          <w:rFonts w:ascii="Times New Roman" w:hAnsi="Times New Roman"/>
        </w:rPr>
        <w:t>the</w:t>
      </w:r>
      <w:r w:rsidRPr="764750FE">
        <w:rPr>
          <w:rFonts w:ascii="Times New Roman" w:hAnsi="Times New Roman"/>
        </w:rPr>
        <w:t xml:space="preserve"> systemic nature of a breach.</w:t>
      </w:r>
    </w:p>
    <w:p w14:paraId="0343132F" w14:textId="05C4F3C9" w:rsidR="006E3D08" w:rsidRPr="008F54C7" w:rsidRDefault="372858B5" w:rsidP="00BD29AC">
      <w:pPr>
        <w:widowControl w:val="0"/>
        <w:spacing w:after="120"/>
        <w:rPr>
          <w:rFonts w:ascii="Times New Roman" w:hAnsi="Times New Roman"/>
        </w:rPr>
      </w:pPr>
      <w:r w:rsidRPr="764750FE">
        <w:rPr>
          <w:rFonts w:ascii="Times New Roman" w:hAnsi="Times New Roman"/>
        </w:rPr>
        <w:t xml:space="preserve">The </w:t>
      </w:r>
      <w:hyperlink r:id="rId13" w:history="1">
        <w:r w:rsidRPr="00192F56">
          <w:rPr>
            <w:rStyle w:val="Hyperlink"/>
            <w:rFonts w:ascii="Times New Roman" w:hAnsi="Times New Roman"/>
          </w:rPr>
          <w:t>Commission’s 2022 Communication ‘Enforcing EU law for a Europe that delivers’</w:t>
        </w:r>
      </w:hyperlink>
      <w:r w:rsidRPr="764750FE">
        <w:rPr>
          <w:rFonts w:ascii="Times New Roman" w:hAnsi="Times New Roman"/>
        </w:rPr>
        <w:t xml:space="preserve"> </w:t>
      </w:r>
      <w:r w:rsidR="00A72139">
        <w:rPr>
          <w:rFonts w:ascii="Times New Roman" w:hAnsi="Times New Roman"/>
        </w:rPr>
        <w:t xml:space="preserve">further </w:t>
      </w:r>
      <w:r w:rsidRPr="764750FE">
        <w:rPr>
          <w:rFonts w:ascii="Times New Roman" w:hAnsi="Times New Roman"/>
        </w:rPr>
        <w:t xml:space="preserve">explains the Commission’s strategic approach to enforcement through illustrative examples and by setting out the various tools </w:t>
      </w:r>
      <w:r w:rsidR="00A72139">
        <w:rPr>
          <w:rFonts w:ascii="Times New Roman" w:hAnsi="Times New Roman"/>
        </w:rPr>
        <w:t>that it uses</w:t>
      </w:r>
      <w:r w:rsidRPr="764750FE">
        <w:rPr>
          <w:rFonts w:ascii="Times New Roman" w:hAnsi="Times New Roman"/>
        </w:rPr>
        <w:t xml:space="preserve">. The Commission also refers to </w:t>
      </w:r>
      <w:r w:rsidR="623E1641" w:rsidRPr="764750FE">
        <w:rPr>
          <w:rFonts w:ascii="Times New Roman" w:hAnsi="Times New Roman"/>
        </w:rPr>
        <w:t xml:space="preserve">its reply to </w:t>
      </w:r>
      <w:r w:rsidR="0365A346" w:rsidRPr="764750FE">
        <w:rPr>
          <w:rFonts w:ascii="Times New Roman" w:hAnsi="Times New Roman"/>
        </w:rPr>
        <w:t>the o</w:t>
      </w:r>
      <w:r w:rsidR="623E1641" w:rsidRPr="764750FE">
        <w:rPr>
          <w:rFonts w:ascii="Times New Roman" w:hAnsi="Times New Roman"/>
        </w:rPr>
        <w:t>ral question</w:t>
      </w:r>
      <w:r w:rsidR="0365A346" w:rsidRPr="764750FE">
        <w:rPr>
          <w:rFonts w:ascii="Times New Roman" w:hAnsi="Times New Roman"/>
        </w:rPr>
        <w:t xml:space="preserve"> </w:t>
      </w:r>
      <w:r w:rsidR="623E1641" w:rsidRPr="764750FE">
        <w:rPr>
          <w:rFonts w:ascii="Times New Roman" w:hAnsi="Times New Roman"/>
        </w:rPr>
        <w:t>‘Improving the strategic approach on the enforcement of EU Law’</w:t>
      </w:r>
      <w:r w:rsidR="0365A346" w:rsidRPr="764750FE">
        <w:rPr>
          <w:rFonts w:ascii="Times New Roman" w:hAnsi="Times New Roman"/>
        </w:rPr>
        <w:t xml:space="preserve"> </w:t>
      </w:r>
      <w:hyperlink r:id="rId14">
        <w:r w:rsidR="0365A346" w:rsidRPr="764750FE">
          <w:rPr>
            <w:rStyle w:val="Hyperlink"/>
            <w:rFonts w:ascii="Times New Roman" w:hAnsi="Times New Roman"/>
          </w:rPr>
          <w:t>(O-000047/2023)</w:t>
        </w:r>
      </w:hyperlink>
      <w:r w:rsidR="0365A346" w:rsidRPr="764750FE">
        <w:rPr>
          <w:rFonts w:ascii="Times New Roman" w:hAnsi="Times New Roman"/>
        </w:rPr>
        <w:t xml:space="preserve"> of 14 December</w:t>
      </w:r>
      <w:r w:rsidR="7236D958" w:rsidRPr="764750FE">
        <w:rPr>
          <w:rFonts w:ascii="Times New Roman" w:hAnsi="Times New Roman"/>
        </w:rPr>
        <w:t xml:space="preserve"> 2023</w:t>
      </w:r>
      <w:r w:rsidR="43B2033D" w:rsidRPr="764750FE">
        <w:rPr>
          <w:rFonts w:ascii="Times New Roman" w:hAnsi="Times New Roman"/>
        </w:rPr>
        <w:t>, i</w:t>
      </w:r>
      <w:r w:rsidR="114D10C1" w:rsidRPr="764750FE">
        <w:rPr>
          <w:rFonts w:ascii="Times New Roman" w:hAnsi="Times New Roman"/>
        </w:rPr>
        <w:t>n</w:t>
      </w:r>
      <w:r w:rsidR="43B2033D" w:rsidRPr="764750FE">
        <w:rPr>
          <w:rFonts w:ascii="Times New Roman" w:hAnsi="Times New Roman"/>
        </w:rPr>
        <w:t xml:space="preserve"> which the Commission has </w:t>
      </w:r>
      <w:r w:rsidR="603E12A4" w:rsidRPr="764750FE">
        <w:rPr>
          <w:rFonts w:ascii="Times New Roman" w:hAnsi="Times New Roman"/>
        </w:rPr>
        <w:t xml:space="preserve">recalled its </w:t>
      </w:r>
      <w:r w:rsidR="0EE0A199" w:rsidRPr="764750FE">
        <w:rPr>
          <w:rFonts w:ascii="Times New Roman" w:hAnsi="Times New Roman"/>
        </w:rPr>
        <w:t>strategy</w:t>
      </w:r>
      <w:r w:rsidR="603E12A4" w:rsidRPr="764750FE">
        <w:rPr>
          <w:rFonts w:ascii="Times New Roman" w:hAnsi="Times New Roman"/>
        </w:rPr>
        <w:t xml:space="preserve"> and </w:t>
      </w:r>
      <w:r w:rsidR="603E12A4" w:rsidRPr="00F80276">
        <w:rPr>
          <w:rFonts w:ascii="Times New Roman" w:hAnsi="Times New Roman"/>
          <w:szCs w:val="24"/>
        </w:rPr>
        <w:t xml:space="preserve">the concrete benefits </w:t>
      </w:r>
      <w:r w:rsidR="2568A0E9" w:rsidRPr="764750FE">
        <w:rPr>
          <w:rFonts w:ascii="Times New Roman" w:hAnsi="Times New Roman"/>
          <w:szCs w:val="24"/>
        </w:rPr>
        <w:t xml:space="preserve">that </w:t>
      </w:r>
      <w:r w:rsidR="00A72139">
        <w:rPr>
          <w:rFonts w:ascii="Times New Roman" w:hAnsi="Times New Roman"/>
          <w:szCs w:val="24"/>
        </w:rPr>
        <w:t>its</w:t>
      </w:r>
      <w:r w:rsidR="603E12A4" w:rsidRPr="00F80276">
        <w:rPr>
          <w:rFonts w:ascii="Times New Roman" w:hAnsi="Times New Roman"/>
          <w:szCs w:val="24"/>
        </w:rPr>
        <w:t xml:space="preserve"> enforcement action brings to people and businesses</w:t>
      </w:r>
      <w:r w:rsidR="7236D958" w:rsidRPr="764750FE">
        <w:rPr>
          <w:rFonts w:ascii="Times New Roman" w:hAnsi="Times New Roman"/>
        </w:rPr>
        <w:t>.</w:t>
      </w:r>
    </w:p>
    <w:p w14:paraId="57E5AE6B" w14:textId="582DABEE" w:rsidR="00D83C76" w:rsidRDefault="55706144" w:rsidP="00BD29AC">
      <w:pPr>
        <w:widowControl w:val="0"/>
        <w:spacing w:after="120"/>
        <w:rPr>
          <w:rFonts w:ascii="Times New Roman" w:hAnsi="Times New Roman"/>
        </w:rPr>
      </w:pPr>
      <w:r w:rsidRPr="764750FE">
        <w:rPr>
          <w:rFonts w:ascii="Times New Roman" w:hAnsi="Times New Roman"/>
        </w:rPr>
        <w:t>T</w:t>
      </w:r>
      <w:r w:rsidR="631CE9FA" w:rsidRPr="764750FE">
        <w:rPr>
          <w:rFonts w:ascii="Times New Roman" w:hAnsi="Times New Roman"/>
        </w:rPr>
        <w:t>he Commission</w:t>
      </w:r>
      <w:r w:rsidRPr="764750FE">
        <w:rPr>
          <w:rFonts w:ascii="Times New Roman" w:hAnsi="Times New Roman"/>
        </w:rPr>
        <w:t>’s strategic approach to enforcement</w:t>
      </w:r>
      <w:r w:rsidR="147836C2" w:rsidRPr="764750FE">
        <w:rPr>
          <w:rFonts w:ascii="Times New Roman" w:hAnsi="Times New Roman"/>
        </w:rPr>
        <w:t xml:space="preserve"> </w:t>
      </w:r>
      <w:r w:rsidR="00A72139">
        <w:rPr>
          <w:rFonts w:ascii="Times New Roman" w:hAnsi="Times New Roman"/>
        </w:rPr>
        <w:t>was</w:t>
      </w:r>
      <w:r w:rsidR="36E5C999" w:rsidRPr="764750FE">
        <w:rPr>
          <w:rFonts w:ascii="Times New Roman" w:hAnsi="Times New Roman"/>
        </w:rPr>
        <w:t xml:space="preserve"> designed to increase the effectiveness of the Commission’s enforcement action and</w:t>
      </w:r>
      <w:r w:rsidR="631CE9FA" w:rsidRPr="764750FE">
        <w:rPr>
          <w:rFonts w:ascii="Times New Roman" w:hAnsi="Times New Roman"/>
        </w:rPr>
        <w:t xml:space="preserve"> to achieve compliance</w:t>
      </w:r>
      <w:r w:rsidR="147836C2" w:rsidRPr="764750FE">
        <w:rPr>
          <w:rFonts w:ascii="Times New Roman" w:hAnsi="Times New Roman"/>
        </w:rPr>
        <w:t xml:space="preserve"> with EU law</w:t>
      </w:r>
      <w:r w:rsidR="631CE9FA" w:rsidRPr="764750FE">
        <w:rPr>
          <w:rFonts w:ascii="Times New Roman" w:hAnsi="Times New Roman"/>
        </w:rPr>
        <w:t xml:space="preserve"> as soon as possible</w:t>
      </w:r>
      <w:r w:rsidR="147836C2" w:rsidRPr="764750FE">
        <w:rPr>
          <w:rFonts w:ascii="Times New Roman" w:hAnsi="Times New Roman"/>
        </w:rPr>
        <w:t xml:space="preserve">. </w:t>
      </w:r>
      <w:r w:rsidR="5B9A7C21" w:rsidRPr="764750FE">
        <w:rPr>
          <w:rFonts w:ascii="Times New Roman" w:hAnsi="Times New Roman"/>
        </w:rPr>
        <w:t xml:space="preserve">If preventive measures </w:t>
      </w:r>
      <w:r w:rsidR="6E837C54" w:rsidRPr="764750FE">
        <w:rPr>
          <w:rFonts w:ascii="Times New Roman" w:hAnsi="Times New Roman"/>
        </w:rPr>
        <w:t xml:space="preserve">fail </w:t>
      </w:r>
      <w:r w:rsidR="7ECA9741" w:rsidRPr="764750FE">
        <w:rPr>
          <w:rFonts w:ascii="Times New Roman" w:hAnsi="Times New Roman"/>
        </w:rPr>
        <w:t xml:space="preserve">and the Commission launches an infringement procedure to address the breach of EU law, </w:t>
      </w:r>
      <w:r w:rsidR="00A72139">
        <w:rPr>
          <w:rFonts w:ascii="Times New Roman" w:hAnsi="Times New Roman"/>
        </w:rPr>
        <w:t xml:space="preserve">it is and remains </w:t>
      </w:r>
      <w:r w:rsidR="08A33ED6" w:rsidRPr="764750FE">
        <w:rPr>
          <w:rFonts w:ascii="Times New Roman" w:hAnsi="Times New Roman"/>
        </w:rPr>
        <w:t xml:space="preserve">the Commission’s objective to resolve the issue at an early stage of the procedure. </w:t>
      </w:r>
      <w:r w:rsidR="40DDADDB" w:rsidRPr="764750FE">
        <w:rPr>
          <w:rFonts w:ascii="Times New Roman" w:hAnsi="Times New Roman"/>
        </w:rPr>
        <w:t xml:space="preserve">Figures show that the current enforcement approach is effective: </w:t>
      </w:r>
      <w:r w:rsidR="67D5ABE6" w:rsidRPr="764750FE">
        <w:rPr>
          <w:rFonts w:ascii="Times New Roman" w:hAnsi="Times New Roman"/>
        </w:rPr>
        <w:t>i</w:t>
      </w:r>
      <w:r w:rsidR="20462691" w:rsidRPr="764750FE">
        <w:rPr>
          <w:rFonts w:ascii="Times New Roman" w:hAnsi="Times New Roman"/>
        </w:rPr>
        <w:t xml:space="preserve">n 2023 alone, </w:t>
      </w:r>
      <w:r w:rsidR="1CECE649" w:rsidRPr="764750FE">
        <w:rPr>
          <w:rFonts w:ascii="Times New Roman" w:hAnsi="Times New Roman"/>
        </w:rPr>
        <w:t xml:space="preserve">the Commission was able to close </w:t>
      </w:r>
      <w:r w:rsidR="20462691" w:rsidRPr="764750FE">
        <w:rPr>
          <w:rFonts w:ascii="Times New Roman" w:hAnsi="Times New Roman"/>
        </w:rPr>
        <w:t xml:space="preserve">over </w:t>
      </w:r>
      <w:r w:rsidR="40DDADDB" w:rsidRPr="764750FE">
        <w:rPr>
          <w:rFonts w:ascii="Times New Roman" w:hAnsi="Times New Roman"/>
        </w:rPr>
        <w:t>1,</w:t>
      </w:r>
      <w:r w:rsidR="20462691" w:rsidRPr="764750FE">
        <w:rPr>
          <w:rFonts w:ascii="Times New Roman" w:hAnsi="Times New Roman"/>
        </w:rPr>
        <w:t>0</w:t>
      </w:r>
      <w:r w:rsidR="40DDADDB" w:rsidRPr="764750FE">
        <w:rPr>
          <w:rFonts w:ascii="Times New Roman" w:hAnsi="Times New Roman"/>
        </w:rPr>
        <w:t>00 infringement cases as Member States achieved compliance</w:t>
      </w:r>
      <w:r w:rsidR="6EE3493E" w:rsidRPr="764750FE">
        <w:rPr>
          <w:rFonts w:ascii="Times New Roman" w:hAnsi="Times New Roman"/>
        </w:rPr>
        <w:t>;</w:t>
      </w:r>
      <w:r w:rsidR="40DDADDB" w:rsidRPr="764750FE">
        <w:rPr>
          <w:rFonts w:ascii="Times New Roman" w:hAnsi="Times New Roman"/>
        </w:rPr>
        <w:t xml:space="preserve"> over 9</w:t>
      </w:r>
      <w:r w:rsidR="20462691" w:rsidRPr="764750FE">
        <w:rPr>
          <w:rFonts w:ascii="Times New Roman" w:hAnsi="Times New Roman"/>
        </w:rPr>
        <w:t>5</w:t>
      </w:r>
      <w:r w:rsidR="40DDADDB" w:rsidRPr="764750FE">
        <w:rPr>
          <w:rFonts w:ascii="Times New Roman" w:hAnsi="Times New Roman"/>
        </w:rPr>
        <w:t xml:space="preserve">% of them </w:t>
      </w:r>
      <w:r w:rsidR="6EE3493E" w:rsidRPr="764750FE">
        <w:rPr>
          <w:rFonts w:ascii="Times New Roman" w:hAnsi="Times New Roman"/>
        </w:rPr>
        <w:t xml:space="preserve">were </w:t>
      </w:r>
      <w:r w:rsidR="40DDADDB" w:rsidRPr="764750FE">
        <w:rPr>
          <w:rFonts w:ascii="Times New Roman" w:hAnsi="Times New Roman"/>
        </w:rPr>
        <w:t>resolved before going to Court</w:t>
      </w:r>
      <w:r w:rsidR="3510410E" w:rsidRPr="764750FE">
        <w:rPr>
          <w:rFonts w:ascii="Times New Roman" w:hAnsi="Times New Roman"/>
        </w:rPr>
        <w:t xml:space="preserve">, </w:t>
      </w:r>
      <w:r w:rsidR="4EEC63FE" w:rsidRPr="764750FE">
        <w:rPr>
          <w:rFonts w:ascii="Times New Roman" w:hAnsi="Times New Roman"/>
        </w:rPr>
        <w:t xml:space="preserve">resulting in faster compliance </w:t>
      </w:r>
      <w:r w:rsidR="00A72139">
        <w:rPr>
          <w:rFonts w:ascii="Times New Roman" w:hAnsi="Times New Roman"/>
        </w:rPr>
        <w:t xml:space="preserve">by avoiding lengthy </w:t>
      </w:r>
      <w:r w:rsidR="4EEC63FE" w:rsidRPr="764750FE">
        <w:rPr>
          <w:rFonts w:ascii="Times New Roman" w:hAnsi="Times New Roman"/>
        </w:rPr>
        <w:t>court proceedings.</w:t>
      </w:r>
    </w:p>
    <w:p w14:paraId="348FDC8A" w14:textId="22B2C23F" w:rsidR="00147565" w:rsidRPr="008F54C7" w:rsidRDefault="658675A6" w:rsidP="00BD29AC">
      <w:pPr>
        <w:widowControl w:val="0"/>
        <w:spacing w:after="120"/>
        <w:rPr>
          <w:rFonts w:ascii="Times New Roman" w:hAnsi="Times New Roman"/>
        </w:rPr>
      </w:pPr>
      <w:r w:rsidRPr="764750FE">
        <w:rPr>
          <w:rFonts w:ascii="Times New Roman" w:hAnsi="Times New Roman"/>
        </w:rPr>
        <w:t xml:space="preserve">The Commission </w:t>
      </w:r>
      <w:r w:rsidR="5EA106E2" w:rsidRPr="764750FE">
        <w:rPr>
          <w:rFonts w:ascii="Times New Roman" w:hAnsi="Times New Roman"/>
        </w:rPr>
        <w:t xml:space="preserve">therefore fully </w:t>
      </w:r>
      <w:r w:rsidRPr="764750FE">
        <w:rPr>
          <w:rFonts w:ascii="Times New Roman" w:hAnsi="Times New Roman"/>
        </w:rPr>
        <w:t xml:space="preserve">agrees that the primary objective </w:t>
      </w:r>
      <w:r w:rsidR="00A72139">
        <w:rPr>
          <w:rFonts w:ascii="Times New Roman" w:hAnsi="Times New Roman"/>
        </w:rPr>
        <w:t>should be</w:t>
      </w:r>
      <w:r w:rsidRPr="764750FE">
        <w:rPr>
          <w:rFonts w:ascii="Times New Roman" w:hAnsi="Times New Roman"/>
        </w:rPr>
        <w:t xml:space="preserve"> to find a solution as quickly as possible. </w:t>
      </w:r>
      <w:r w:rsidR="00A72139">
        <w:rPr>
          <w:rFonts w:ascii="Times New Roman" w:hAnsi="Times New Roman"/>
        </w:rPr>
        <w:t>In</w:t>
      </w:r>
      <w:r w:rsidRPr="764750FE">
        <w:rPr>
          <w:rFonts w:ascii="Times New Roman" w:hAnsi="Times New Roman"/>
        </w:rPr>
        <w:t xml:space="preserve"> the context of </w:t>
      </w:r>
      <w:r w:rsidR="529235CD" w:rsidRPr="764750FE">
        <w:rPr>
          <w:rFonts w:ascii="Times New Roman" w:hAnsi="Times New Roman"/>
        </w:rPr>
        <w:t xml:space="preserve">the </w:t>
      </w:r>
      <w:r w:rsidRPr="764750FE">
        <w:rPr>
          <w:rFonts w:ascii="Times New Roman" w:hAnsi="Times New Roman"/>
        </w:rPr>
        <w:t>infringement procedure</w:t>
      </w:r>
      <w:r w:rsidR="7B79AFAF" w:rsidRPr="764750FE">
        <w:rPr>
          <w:rFonts w:ascii="Times New Roman" w:hAnsi="Times New Roman"/>
        </w:rPr>
        <w:t xml:space="preserve">, one </w:t>
      </w:r>
      <w:r w:rsidRPr="764750FE">
        <w:rPr>
          <w:rFonts w:ascii="Times New Roman" w:hAnsi="Times New Roman"/>
        </w:rPr>
        <w:t xml:space="preserve">must </w:t>
      </w:r>
      <w:r w:rsidR="00A72139">
        <w:rPr>
          <w:rFonts w:ascii="Times New Roman" w:hAnsi="Times New Roman"/>
        </w:rPr>
        <w:t xml:space="preserve">of course </w:t>
      </w:r>
      <w:r w:rsidRPr="764750FE">
        <w:rPr>
          <w:rFonts w:ascii="Times New Roman" w:hAnsi="Times New Roman"/>
        </w:rPr>
        <w:t xml:space="preserve">take into account the right of defence of </w:t>
      </w:r>
      <w:r w:rsidR="79DAF8B1" w:rsidRPr="764750FE">
        <w:rPr>
          <w:rFonts w:ascii="Times New Roman" w:hAnsi="Times New Roman"/>
        </w:rPr>
        <w:t xml:space="preserve">the </w:t>
      </w:r>
      <w:r w:rsidRPr="764750FE">
        <w:rPr>
          <w:rFonts w:ascii="Times New Roman" w:hAnsi="Times New Roman"/>
        </w:rPr>
        <w:t>Member States and</w:t>
      </w:r>
      <w:r w:rsidR="7B79AFAF" w:rsidRPr="764750FE">
        <w:rPr>
          <w:rFonts w:ascii="Times New Roman" w:hAnsi="Times New Roman"/>
        </w:rPr>
        <w:t xml:space="preserve">, when a </w:t>
      </w:r>
      <w:r w:rsidR="0A850D49" w:rsidRPr="764750FE">
        <w:rPr>
          <w:rFonts w:ascii="Times New Roman" w:hAnsi="Times New Roman"/>
        </w:rPr>
        <w:t xml:space="preserve">satisfactory </w:t>
      </w:r>
      <w:r w:rsidR="7B79AFAF" w:rsidRPr="764750FE">
        <w:rPr>
          <w:rFonts w:ascii="Times New Roman" w:hAnsi="Times New Roman"/>
        </w:rPr>
        <w:t>remedy</w:t>
      </w:r>
      <w:r w:rsidR="0A850D49" w:rsidRPr="764750FE">
        <w:rPr>
          <w:rFonts w:ascii="Times New Roman" w:hAnsi="Times New Roman"/>
        </w:rPr>
        <w:t xml:space="preserve"> is identified, the time needed to implement it</w:t>
      </w:r>
      <w:r w:rsidRPr="764750FE">
        <w:rPr>
          <w:rFonts w:ascii="Times New Roman" w:hAnsi="Times New Roman"/>
        </w:rPr>
        <w:t>.</w:t>
      </w:r>
      <w:r w:rsidR="338DD469" w:rsidRPr="764750FE">
        <w:rPr>
          <w:rFonts w:ascii="Times New Roman" w:hAnsi="Times New Roman"/>
        </w:rPr>
        <w:t xml:space="preserve"> </w:t>
      </w:r>
      <w:r w:rsidR="645304B1" w:rsidRPr="764750FE">
        <w:rPr>
          <w:rFonts w:ascii="Times New Roman" w:hAnsi="Times New Roman"/>
        </w:rPr>
        <w:t xml:space="preserve">However, </w:t>
      </w:r>
      <w:r w:rsidR="00A72139">
        <w:rPr>
          <w:rFonts w:ascii="Times New Roman" w:hAnsi="Times New Roman"/>
        </w:rPr>
        <w:t>in some cases swift action is particularly important. In its handling of infringement procedures</w:t>
      </w:r>
      <w:r w:rsidR="645304B1" w:rsidRPr="764750FE">
        <w:rPr>
          <w:rFonts w:ascii="Times New Roman" w:hAnsi="Times New Roman"/>
        </w:rPr>
        <w:t xml:space="preserve">, </w:t>
      </w:r>
      <w:r w:rsidR="4FE4B1FB" w:rsidRPr="764750FE">
        <w:rPr>
          <w:rFonts w:ascii="Times New Roman" w:hAnsi="Times New Roman"/>
        </w:rPr>
        <w:t xml:space="preserve">the Commission may shorten the normal timeline </w:t>
      </w:r>
      <w:r w:rsidR="502E4F26" w:rsidRPr="764750FE">
        <w:rPr>
          <w:rFonts w:ascii="Times New Roman" w:hAnsi="Times New Roman"/>
        </w:rPr>
        <w:t>of the procedure</w:t>
      </w:r>
      <w:r w:rsidR="645304B1" w:rsidRPr="764750FE">
        <w:rPr>
          <w:rFonts w:ascii="Times New Roman" w:hAnsi="Times New Roman"/>
        </w:rPr>
        <w:t xml:space="preserve"> when major violation</w:t>
      </w:r>
      <w:r w:rsidR="361957AF" w:rsidRPr="764750FE">
        <w:rPr>
          <w:rFonts w:ascii="Times New Roman" w:hAnsi="Times New Roman"/>
        </w:rPr>
        <w:t>s</w:t>
      </w:r>
      <w:r w:rsidR="645304B1" w:rsidRPr="764750FE">
        <w:rPr>
          <w:rFonts w:ascii="Times New Roman" w:hAnsi="Times New Roman"/>
        </w:rPr>
        <w:t xml:space="preserve"> of principles of EU law are at stake or there is a risk of irreversible damage, </w:t>
      </w:r>
      <w:r w:rsidR="502E4F26" w:rsidRPr="764750FE">
        <w:rPr>
          <w:rFonts w:ascii="Times New Roman" w:hAnsi="Times New Roman"/>
        </w:rPr>
        <w:t xml:space="preserve">and </w:t>
      </w:r>
      <w:r w:rsidR="4FE4B1FB" w:rsidRPr="764750FE">
        <w:rPr>
          <w:rFonts w:ascii="Times New Roman" w:hAnsi="Times New Roman"/>
        </w:rPr>
        <w:t xml:space="preserve">once the case </w:t>
      </w:r>
      <w:r w:rsidR="5782295F" w:rsidRPr="764750FE">
        <w:rPr>
          <w:rFonts w:ascii="Times New Roman" w:hAnsi="Times New Roman"/>
        </w:rPr>
        <w:t xml:space="preserve">is </w:t>
      </w:r>
      <w:r w:rsidR="4FE4B1FB" w:rsidRPr="764750FE">
        <w:rPr>
          <w:rFonts w:ascii="Times New Roman" w:hAnsi="Times New Roman"/>
        </w:rPr>
        <w:t xml:space="preserve">referred to the </w:t>
      </w:r>
      <w:r w:rsidR="17F02742" w:rsidRPr="764750FE">
        <w:rPr>
          <w:rFonts w:ascii="Times New Roman" w:hAnsi="Times New Roman"/>
        </w:rPr>
        <w:t>CJEU</w:t>
      </w:r>
      <w:r w:rsidR="5782295F" w:rsidRPr="764750FE">
        <w:rPr>
          <w:rFonts w:ascii="Times New Roman" w:hAnsi="Times New Roman"/>
        </w:rPr>
        <w:t>, it can</w:t>
      </w:r>
      <w:r w:rsidR="4FE4B1FB" w:rsidRPr="764750FE">
        <w:rPr>
          <w:rFonts w:ascii="Times New Roman" w:hAnsi="Times New Roman"/>
        </w:rPr>
        <w:t xml:space="preserve"> request </w:t>
      </w:r>
      <w:r w:rsidR="00A72139">
        <w:rPr>
          <w:rFonts w:ascii="Times New Roman" w:hAnsi="Times New Roman"/>
        </w:rPr>
        <w:t xml:space="preserve">the CJEU to apply </w:t>
      </w:r>
      <w:r w:rsidR="4854151A" w:rsidRPr="764750FE">
        <w:rPr>
          <w:rFonts w:ascii="Times New Roman" w:hAnsi="Times New Roman"/>
        </w:rPr>
        <w:t>an expedite</w:t>
      </w:r>
      <w:r w:rsidR="0075417A">
        <w:rPr>
          <w:rFonts w:ascii="Times New Roman" w:hAnsi="Times New Roman"/>
        </w:rPr>
        <w:t>d</w:t>
      </w:r>
      <w:r w:rsidR="4854151A" w:rsidRPr="764750FE">
        <w:rPr>
          <w:rFonts w:ascii="Times New Roman" w:hAnsi="Times New Roman"/>
        </w:rPr>
        <w:t xml:space="preserve"> procedure and </w:t>
      </w:r>
      <w:r w:rsidR="00A72139">
        <w:rPr>
          <w:rFonts w:ascii="Times New Roman" w:hAnsi="Times New Roman"/>
        </w:rPr>
        <w:t xml:space="preserve">to impose </w:t>
      </w:r>
      <w:r w:rsidR="4FE4B1FB" w:rsidRPr="764750FE">
        <w:rPr>
          <w:rFonts w:ascii="Times New Roman" w:hAnsi="Times New Roman"/>
        </w:rPr>
        <w:t>interim measures.</w:t>
      </w:r>
      <w:r w:rsidR="502E4F26" w:rsidRPr="764750FE">
        <w:rPr>
          <w:rFonts w:ascii="Times New Roman" w:hAnsi="Times New Roman"/>
        </w:rPr>
        <w:t xml:space="preserve"> </w:t>
      </w:r>
      <w:r w:rsidR="06A8C537" w:rsidRPr="764750FE">
        <w:rPr>
          <w:rFonts w:ascii="Times New Roman" w:hAnsi="Times New Roman"/>
        </w:rPr>
        <w:t xml:space="preserve">Examples of </w:t>
      </w:r>
      <w:r w:rsidR="427AC615" w:rsidRPr="764750FE">
        <w:rPr>
          <w:rFonts w:ascii="Times New Roman" w:hAnsi="Times New Roman"/>
        </w:rPr>
        <w:t>t</w:t>
      </w:r>
      <w:r w:rsidR="06A8C537" w:rsidRPr="764750FE">
        <w:rPr>
          <w:rFonts w:ascii="Times New Roman" w:hAnsi="Times New Roman"/>
        </w:rPr>
        <w:t xml:space="preserve">his faster </w:t>
      </w:r>
      <w:r w:rsidR="5984118C" w:rsidRPr="764750FE">
        <w:rPr>
          <w:rFonts w:ascii="Times New Roman" w:hAnsi="Times New Roman"/>
        </w:rPr>
        <w:t xml:space="preserve">way of proceeding </w:t>
      </w:r>
      <w:r w:rsidR="427AC615" w:rsidRPr="764750FE">
        <w:rPr>
          <w:rFonts w:ascii="Times New Roman" w:hAnsi="Times New Roman"/>
        </w:rPr>
        <w:t>can be found</w:t>
      </w:r>
      <w:r w:rsidR="502E4F26" w:rsidRPr="764750FE">
        <w:rPr>
          <w:rFonts w:ascii="Times New Roman" w:hAnsi="Times New Roman"/>
        </w:rPr>
        <w:t xml:space="preserve"> in cases related to </w:t>
      </w:r>
      <w:r w:rsidR="0075417A">
        <w:rPr>
          <w:rFonts w:ascii="Times New Roman" w:hAnsi="Times New Roman"/>
        </w:rPr>
        <w:t xml:space="preserve">the </w:t>
      </w:r>
      <w:r w:rsidR="502E4F26" w:rsidRPr="764750FE">
        <w:rPr>
          <w:rFonts w:ascii="Times New Roman" w:hAnsi="Times New Roman"/>
        </w:rPr>
        <w:t>rule of law</w:t>
      </w:r>
      <w:r w:rsidR="69B2B101" w:rsidRPr="764750FE">
        <w:rPr>
          <w:rFonts w:ascii="Times New Roman" w:hAnsi="Times New Roman"/>
        </w:rPr>
        <w:t>, key values</w:t>
      </w:r>
      <w:r w:rsidR="502E4F26" w:rsidRPr="764750FE">
        <w:rPr>
          <w:rFonts w:ascii="Times New Roman" w:hAnsi="Times New Roman"/>
        </w:rPr>
        <w:t xml:space="preserve"> </w:t>
      </w:r>
      <w:r w:rsidR="0075417A">
        <w:rPr>
          <w:rFonts w:ascii="Times New Roman" w:hAnsi="Times New Roman"/>
        </w:rPr>
        <w:t xml:space="preserve">of the EU </w:t>
      </w:r>
      <w:r w:rsidR="502E4F26" w:rsidRPr="764750FE">
        <w:rPr>
          <w:rFonts w:ascii="Times New Roman" w:hAnsi="Times New Roman"/>
        </w:rPr>
        <w:t xml:space="preserve">or </w:t>
      </w:r>
      <w:r w:rsidR="427AC615" w:rsidRPr="764750FE">
        <w:rPr>
          <w:rFonts w:ascii="Times New Roman" w:hAnsi="Times New Roman"/>
        </w:rPr>
        <w:t xml:space="preserve">violations of </w:t>
      </w:r>
      <w:r w:rsidR="50A30A85" w:rsidRPr="764750FE">
        <w:rPr>
          <w:rFonts w:ascii="Times New Roman" w:hAnsi="Times New Roman"/>
        </w:rPr>
        <w:t xml:space="preserve">the </w:t>
      </w:r>
      <w:r w:rsidR="502E4F26" w:rsidRPr="764750FE">
        <w:rPr>
          <w:rFonts w:ascii="Times New Roman" w:hAnsi="Times New Roman"/>
        </w:rPr>
        <w:t>environmental legislation.</w:t>
      </w:r>
    </w:p>
    <w:p w14:paraId="5BFBEDA1" w14:textId="3ED2AD0C" w:rsidR="00147565" w:rsidRPr="008F54C7" w:rsidRDefault="5961A7EC" w:rsidP="00BD29AC">
      <w:pPr>
        <w:widowControl w:val="0"/>
        <w:spacing w:after="120"/>
        <w:rPr>
          <w:rFonts w:ascii="Times New Roman" w:hAnsi="Times New Roman"/>
        </w:rPr>
      </w:pPr>
      <w:r w:rsidRPr="764750FE">
        <w:rPr>
          <w:rFonts w:ascii="Times New Roman" w:hAnsi="Times New Roman"/>
        </w:rPr>
        <w:t xml:space="preserve">To ensure that </w:t>
      </w:r>
      <w:r w:rsidR="00A72139">
        <w:rPr>
          <w:rFonts w:ascii="Times New Roman" w:hAnsi="Times New Roman"/>
        </w:rPr>
        <w:t xml:space="preserve">the Commission’s working methods in enforcing EU law remains </w:t>
      </w:r>
      <w:r w:rsidRPr="764750FE">
        <w:rPr>
          <w:rFonts w:ascii="Times New Roman" w:hAnsi="Times New Roman"/>
        </w:rPr>
        <w:t xml:space="preserve">future-proof, </w:t>
      </w:r>
      <w:r w:rsidR="00A72139">
        <w:rPr>
          <w:rFonts w:ascii="Times New Roman" w:hAnsi="Times New Roman"/>
        </w:rPr>
        <w:t xml:space="preserve">it has conducted </w:t>
      </w:r>
      <w:r w:rsidR="00A72139" w:rsidRPr="764750FE">
        <w:rPr>
          <w:rFonts w:ascii="Times New Roman" w:hAnsi="Times New Roman"/>
        </w:rPr>
        <w:t xml:space="preserve">a stocktaking exercise </w:t>
      </w:r>
      <w:r w:rsidRPr="764750FE">
        <w:rPr>
          <w:rFonts w:ascii="Times New Roman" w:hAnsi="Times New Roman"/>
        </w:rPr>
        <w:t>over the last year.</w:t>
      </w:r>
      <w:r w:rsidR="2DC0D238" w:rsidRPr="764750FE">
        <w:rPr>
          <w:rFonts w:ascii="Times New Roman" w:hAnsi="Times New Roman"/>
        </w:rPr>
        <w:t xml:space="preserve"> </w:t>
      </w:r>
      <w:r w:rsidR="7977F544" w:rsidRPr="764750FE">
        <w:rPr>
          <w:rFonts w:ascii="Times New Roman" w:hAnsi="Times New Roman"/>
        </w:rPr>
        <w:t xml:space="preserve">This led in July 2023 to </w:t>
      </w:r>
      <w:r w:rsidR="3A1B5BC8" w:rsidRPr="764750FE">
        <w:rPr>
          <w:rFonts w:ascii="Times New Roman" w:hAnsi="Times New Roman"/>
        </w:rPr>
        <w:t xml:space="preserve">the publication of a </w:t>
      </w:r>
      <w:hyperlink r:id="rId15" w:history="1">
        <w:r w:rsidR="00F80276" w:rsidRPr="00F80276">
          <w:rPr>
            <w:rStyle w:val="Hyperlink"/>
            <w:rFonts w:ascii="Times New Roman" w:hAnsi="Times New Roman"/>
          </w:rPr>
          <w:t>Stocktaking report</w:t>
        </w:r>
      </w:hyperlink>
      <w:r w:rsidR="00F80276" w:rsidRPr="00F80276">
        <w:rPr>
          <w:rFonts w:ascii="Times New Roman" w:hAnsi="Times New Roman"/>
        </w:rPr>
        <w:t xml:space="preserve"> on the Commission</w:t>
      </w:r>
      <w:r w:rsidR="00C754FE">
        <w:rPr>
          <w:rFonts w:ascii="Times New Roman" w:hAnsi="Times New Roman"/>
        </w:rPr>
        <w:t>’s</w:t>
      </w:r>
      <w:r w:rsidR="00F80276" w:rsidRPr="00F80276">
        <w:rPr>
          <w:rFonts w:ascii="Times New Roman" w:hAnsi="Times New Roman"/>
        </w:rPr>
        <w:t xml:space="preserve"> working methods for monitoring the application of EU law</w:t>
      </w:r>
      <w:r w:rsidR="00C754FE">
        <w:rPr>
          <w:rFonts w:ascii="Times New Roman" w:hAnsi="Times New Roman"/>
        </w:rPr>
        <w:t>. The report</w:t>
      </w:r>
      <w:r w:rsidR="3A1B5BC8" w:rsidRPr="764750FE">
        <w:rPr>
          <w:rFonts w:ascii="Times New Roman" w:hAnsi="Times New Roman"/>
        </w:rPr>
        <w:t xml:space="preserve"> present</w:t>
      </w:r>
      <w:r w:rsidR="00C754FE">
        <w:rPr>
          <w:rFonts w:ascii="Times New Roman" w:hAnsi="Times New Roman"/>
        </w:rPr>
        <w:t>s</w:t>
      </w:r>
      <w:r w:rsidR="3A1B5BC8" w:rsidRPr="764750FE">
        <w:rPr>
          <w:rFonts w:ascii="Times New Roman" w:hAnsi="Times New Roman"/>
        </w:rPr>
        <w:t xml:space="preserve"> </w:t>
      </w:r>
      <w:r w:rsidR="7977F544" w:rsidRPr="764750FE">
        <w:rPr>
          <w:rFonts w:ascii="Times New Roman" w:hAnsi="Times New Roman"/>
        </w:rPr>
        <w:t xml:space="preserve">targeted recommendations, </w:t>
      </w:r>
      <w:r w:rsidR="00C754FE">
        <w:rPr>
          <w:rFonts w:ascii="Times New Roman" w:hAnsi="Times New Roman"/>
        </w:rPr>
        <w:t>which are currently being implemented</w:t>
      </w:r>
      <w:r w:rsidR="7977F544" w:rsidRPr="764750FE">
        <w:rPr>
          <w:rFonts w:ascii="Times New Roman" w:hAnsi="Times New Roman"/>
        </w:rPr>
        <w:t>, where appropriate together with Member States.</w:t>
      </w:r>
    </w:p>
    <w:p w14:paraId="520E69A1" w14:textId="69D6F751" w:rsidR="00042DBB" w:rsidRDefault="2766DB5B" w:rsidP="00BD29AC">
      <w:pPr>
        <w:widowControl w:val="0"/>
        <w:spacing w:after="120"/>
        <w:rPr>
          <w:rFonts w:ascii="Times New Roman" w:hAnsi="Times New Roman"/>
          <w:b/>
          <w:bCs/>
        </w:rPr>
      </w:pPr>
      <w:r w:rsidRPr="764750FE">
        <w:rPr>
          <w:rFonts w:ascii="Times New Roman" w:hAnsi="Times New Roman"/>
          <w:b/>
          <w:bCs/>
        </w:rPr>
        <w:t>P</w:t>
      </w:r>
      <w:r w:rsidR="002C28A0">
        <w:rPr>
          <w:rFonts w:ascii="Times New Roman" w:hAnsi="Times New Roman"/>
          <w:b/>
          <w:bCs/>
        </w:rPr>
        <w:t>aragraph</w:t>
      </w:r>
      <w:r w:rsidRPr="764750FE">
        <w:rPr>
          <w:rFonts w:ascii="Times New Roman" w:hAnsi="Times New Roman"/>
          <w:b/>
          <w:bCs/>
        </w:rPr>
        <w:t xml:space="preserve"> 3</w:t>
      </w:r>
      <w:r w:rsidR="42C7E369" w:rsidRPr="764750FE">
        <w:rPr>
          <w:rFonts w:ascii="Times New Roman" w:hAnsi="Times New Roman"/>
          <w:b/>
          <w:bCs/>
        </w:rPr>
        <w:t xml:space="preserve">: on the enforcement of </w:t>
      </w:r>
      <w:r w:rsidR="5A5601B0" w:rsidRPr="764750FE">
        <w:rPr>
          <w:rFonts w:ascii="Times New Roman" w:hAnsi="Times New Roman"/>
          <w:b/>
          <w:bCs/>
        </w:rPr>
        <w:t xml:space="preserve">the </w:t>
      </w:r>
      <w:r w:rsidR="42C7E369" w:rsidRPr="764750FE">
        <w:rPr>
          <w:rFonts w:ascii="Times New Roman" w:hAnsi="Times New Roman"/>
          <w:b/>
          <w:bCs/>
        </w:rPr>
        <w:t xml:space="preserve">rule of law and the </w:t>
      </w:r>
      <w:r w:rsidR="545C21E4" w:rsidRPr="764750FE">
        <w:rPr>
          <w:rFonts w:ascii="Times New Roman" w:hAnsi="Times New Roman"/>
          <w:b/>
          <w:bCs/>
        </w:rPr>
        <w:t>conclusion of an interinstitutional agreement on democracy, rule of law and fundamental rights</w:t>
      </w:r>
    </w:p>
    <w:p w14:paraId="7126F457" w14:textId="5C5371F8" w:rsidR="00A9196B" w:rsidRDefault="00E72788" w:rsidP="00BD29AC">
      <w:pPr>
        <w:widowControl w:val="0"/>
        <w:spacing w:after="120"/>
        <w:rPr>
          <w:rFonts w:ascii="Times New Roman" w:hAnsi="Times New Roman"/>
          <w:bCs/>
          <w:szCs w:val="24"/>
        </w:rPr>
      </w:pPr>
      <w:r>
        <w:rPr>
          <w:rFonts w:ascii="Times New Roman" w:hAnsi="Times New Roman"/>
          <w:bCs/>
          <w:szCs w:val="24"/>
        </w:rPr>
        <w:t>In recent</w:t>
      </w:r>
      <w:r w:rsidR="00A9196B" w:rsidRPr="00A9196B">
        <w:rPr>
          <w:rFonts w:ascii="Times New Roman" w:hAnsi="Times New Roman"/>
          <w:bCs/>
          <w:szCs w:val="24"/>
        </w:rPr>
        <w:t xml:space="preserve"> years, the rule of law has been a prominent theme on the European agenda, with the annual Rule of Law Reports bringing a major contribution to informing the debate at both EU and national level. The Commission has worked continuously on strengthening the Rule of Law Report, for example by in</w:t>
      </w:r>
      <w:r w:rsidR="00C754FE">
        <w:rPr>
          <w:rFonts w:ascii="Times New Roman" w:hAnsi="Times New Roman"/>
          <w:bCs/>
          <w:szCs w:val="24"/>
        </w:rPr>
        <w:t>cluding</w:t>
      </w:r>
      <w:r w:rsidR="00A9196B" w:rsidRPr="00A9196B">
        <w:rPr>
          <w:rFonts w:ascii="Times New Roman" w:hAnsi="Times New Roman"/>
          <w:bCs/>
          <w:szCs w:val="24"/>
        </w:rPr>
        <w:t xml:space="preserve"> specific recommendations to Member States</w:t>
      </w:r>
      <w:r w:rsidR="00C754FE">
        <w:rPr>
          <w:rFonts w:ascii="Times New Roman" w:hAnsi="Times New Roman"/>
          <w:bCs/>
          <w:szCs w:val="24"/>
        </w:rPr>
        <w:t>. These recommendations are issued to support the</w:t>
      </w:r>
      <w:r w:rsidR="002C28A0">
        <w:rPr>
          <w:rFonts w:ascii="Times New Roman" w:hAnsi="Times New Roman"/>
          <w:bCs/>
          <w:szCs w:val="24"/>
        </w:rPr>
        <w:t>m</w:t>
      </w:r>
      <w:r w:rsidR="00C754FE">
        <w:rPr>
          <w:rFonts w:ascii="Times New Roman" w:hAnsi="Times New Roman"/>
          <w:bCs/>
          <w:szCs w:val="24"/>
        </w:rPr>
        <w:t xml:space="preserve"> </w:t>
      </w:r>
      <w:r w:rsidR="00A9196B" w:rsidRPr="00A9196B">
        <w:rPr>
          <w:rFonts w:ascii="Times New Roman" w:hAnsi="Times New Roman"/>
          <w:bCs/>
          <w:szCs w:val="24"/>
        </w:rPr>
        <w:t>in their efforts to take forward ongoing or planned reforms, to encourage positive developments and to help them identify where improvements or follow-up is needed</w:t>
      </w:r>
      <w:r w:rsidR="00C754FE">
        <w:rPr>
          <w:rFonts w:ascii="Times New Roman" w:hAnsi="Times New Roman"/>
          <w:bCs/>
          <w:szCs w:val="24"/>
        </w:rPr>
        <w:t xml:space="preserve"> to address isolated or even </w:t>
      </w:r>
      <w:r w:rsidR="00A9196B" w:rsidRPr="00A9196B">
        <w:rPr>
          <w:rFonts w:ascii="Times New Roman" w:hAnsi="Times New Roman"/>
          <w:bCs/>
          <w:szCs w:val="24"/>
        </w:rPr>
        <w:t>systemic challenges.</w:t>
      </w:r>
    </w:p>
    <w:p w14:paraId="3F3003D6" w14:textId="08483128" w:rsidR="00E236E6" w:rsidRDefault="00A9196B" w:rsidP="00BD29AC">
      <w:pPr>
        <w:widowControl w:val="0"/>
        <w:spacing w:after="120"/>
        <w:rPr>
          <w:rFonts w:ascii="Times New Roman" w:hAnsi="Times New Roman"/>
          <w:bCs/>
          <w:szCs w:val="24"/>
        </w:rPr>
      </w:pPr>
      <w:r w:rsidRPr="00A9196B">
        <w:rPr>
          <w:rFonts w:ascii="Times New Roman" w:hAnsi="Times New Roman"/>
          <w:bCs/>
          <w:szCs w:val="24"/>
        </w:rPr>
        <w:t xml:space="preserve">The </w:t>
      </w:r>
      <w:hyperlink r:id="rId16" w:history="1">
        <w:r w:rsidRPr="0025194C">
          <w:rPr>
            <w:rStyle w:val="Hyperlink"/>
            <w:rFonts w:ascii="Times New Roman" w:hAnsi="Times New Roman"/>
            <w:bCs/>
            <w:szCs w:val="24"/>
          </w:rPr>
          <w:t>2023 report</w:t>
        </w:r>
      </w:hyperlink>
      <w:r w:rsidRPr="00A9196B">
        <w:rPr>
          <w:rFonts w:ascii="Times New Roman" w:hAnsi="Times New Roman"/>
          <w:bCs/>
          <w:szCs w:val="24"/>
        </w:rPr>
        <w:t xml:space="preserve"> presents the Commission’s assessment based on a well-established methodology and a diversity of sources. The report assesses the follow-up given to the </w:t>
      </w:r>
      <w:r w:rsidR="00D91B25">
        <w:rPr>
          <w:rFonts w:ascii="Times New Roman" w:hAnsi="Times New Roman"/>
          <w:bCs/>
          <w:szCs w:val="24"/>
        </w:rPr>
        <w:t xml:space="preserve">specific </w:t>
      </w:r>
      <w:r w:rsidRPr="00A9196B">
        <w:rPr>
          <w:rFonts w:ascii="Times New Roman" w:hAnsi="Times New Roman"/>
          <w:bCs/>
          <w:szCs w:val="24"/>
        </w:rPr>
        <w:t xml:space="preserve">recommendations of the previous year. </w:t>
      </w:r>
      <w:r w:rsidR="00351E04">
        <w:rPr>
          <w:rFonts w:ascii="Times New Roman" w:hAnsi="Times New Roman"/>
          <w:bCs/>
          <w:szCs w:val="24"/>
        </w:rPr>
        <w:t>R</w:t>
      </w:r>
      <w:r w:rsidR="004D6150">
        <w:rPr>
          <w:rFonts w:ascii="Times New Roman" w:hAnsi="Times New Roman"/>
          <w:bCs/>
          <w:szCs w:val="24"/>
        </w:rPr>
        <w:t>esu</w:t>
      </w:r>
      <w:r w:rsidR="00B9144B">
        <w:rPr>
          <w:rFonts w:ascii="Times New Roman" w:hAnsi="Times New Roman"/>
          <w:bCs/>
          <w:szCs w:val="24"/>
        </w:rPr>
        <w:t>lts show that the</w:t>
      </w:r>
      <w:r w:rsidR="004D6150" w:rsidRPr="00A9196B">
        <w:rPr>
          <w:rFonts w:ascii="Times New Roman" w:hAnsi="Times New Roman"/>
          <w:bCs/>
          <w:szCs w:val="24"/>
        </w:rPr>
        <w:t xml:space="preserve"> </w:t>
      </w:r>
      <w:r w:rsidRPr="00A9196B">
        <w:rPr>
          <w:rFonts w:ascii="Times New Roman" w:hAnsi="Times New Roman"/>
          <w:bCs/>
          <w:szCs w:val="24"/>
        </w:rPr>
        <w:t>report has become a</w:t>
      </w:r>
      <w:r w:rsidR="009F3ABE">
        <w:rPr>
          <w:rFonts w:ascii="Times New Roman" w:hAnsi="Times New Roman"/>
          <w:bCs/>
          <w:szCs w:val="24"/>
        </w:rPr>
        <w:t xml:space="preserve"> significant</w:t>
      </w:r>
      <w:r w:rsidRPr="00A9196B">
        <w:rPr>
          <w:rFonts w:ascii="Times New Roman" w:hAnsi="Times New Roman"/>
          <w:bCs/>
          <w:szCs w:val="24"/>
        </w:rPr>
        <w:t xml:space="preserve"> driver </w:t>
      </w:r>
      <w:r w:rsidR="009F3ABE">
        <w:rPr>
          <w:rFonts w:ascii="Times New Roman" w:hAnsi="Times New Roman"/>
          <w:bCs/>
          <w:szCs w:val="24"/>
        </w:rPr>
        <w:t>for</w:t>
      </w:r>
      <w:r w:rsidRPr="00A9196B">
        <w:rPr>
          <w:rFonts w:ascii="Times New Roman" w:hAnsi="Times New Roman"/>
          <w:bCs/>
          <w:szCs w:val="24"/>
        </w:rPr>
        <w:t xml:space="preserve"> positive reforms</w:t>
      </w:r>
      <w:r w:rsidR="00B9144B">
        <w:rPr>
          <w:rFonts w:ascii="Times New Roman" w:hAnsi="Times New Roman"/>
          <w:bCs/>
          <w:szCs w:val="24"/>
        </w:rPr>
        <w:t xml:space="preserve"> and</w:t>
      </w:r>
      <w:r w:rsidRPr="00A9196B">
        <w:rPr>
          <w:rFonts w:ascii="Times New Roman" w:hAnsi="Times New Roman"/>
          <w:bCs/>
          <w:szCs w:val="24"/>
        </w:rPr>
        <w:t xml:space="preserve"> </w:t>
      </w:r>
      <w:r w:rsidR="00B9144B">
        <w:rPr>
          <w:rFonts w:ascii="Times New Roman" w:hAnsi="Times New Roman"/>
          <w:bCs/>
          <w:szCs w:val="24"/>
        </w:rPr>
        <w:t>that</w:t>
      </w:r>
      <w:r w:rsidRPr="00A9196B">
        <w:rPr>
          <w:rFonts w:ascii="Times New Roman" w:hAnsi="Times New Roman"/>
          <w:bCs/>
          <w:szCs w:val="24"/>
        </w:rPr>
        <w:t xml:space="preserve"> important efforts are ongoing in many Member States to follow up on the recommendations of the previous year. </w:t>
      </w:r>
      <w:r w:rsidR="00CC330A" w:rsidRPr="00CC330A">
        <w:rPr>
          <w:rFonts w:ascii="Times New Roman" w:hAnsi="Times New Roman"/>
          <w:bCs/>
          <w:szCs w:val="24"/>
        </w:rPr>
        <w:t xml:space="preserve">Almost 65% of the specific recommendations issued last year to Member States have already been followed up. </w:t>
      </w:r>
      <w:r w:rsidRPr="00A9196B">
        <w:rPr>
          <w:rFonts w:ascii="Times New Roman" w:hAnsi="Times New Roman"/>
          <w:bCs/>
          <w:szCs w:val="24"/>
        </w:rPr>
        <w:t xml:space="preserve">The Commission will continue </w:t>
      </w:r>
      <w:r w:rsidR="0007174D">
        <w:rPr>
          <w:rFonts w:ascii="Times New Roman" w:hAnsi="Times New Roman"/>
          <w:bCs/>
          <w:szCs w:val="24"/>
        </w:rPr>
        <w:t>to monitor progress on t</w:t>
      </w:r>
      <w:r w:rsidR="0007174D" w:rsidRPr="00A9196B">
        <w:rPr>
          <w:rFonts w:ascii="Times New Roman" w:hAnsi="Times New Roman"/>
          <w:bCs/>
          <w:szCs w:val="24"/>
        </w:rPr>
        <w:t>he 2023 recommendations</w:t>
      </w:r>
      <w:r w:rsidR="00C754FE">
        <w:rPr>
          <w:rFonts w:ascii="Times New Roman" w:hAnsi="Times New Roman"/>
          <w:bCs/>
          <w:szCs w:val="24"/>
        </w:rPr>
        <w:t xml:space="preserve"> which </w:t>
      </w:r>
      <w:r w:rsidR="00C754FE">
        <w:rPr>
          <w:rFonts w:ascii="Times New Roman" w:hAnsi="Times New Roman"/>
          <w:bCs/>
          <w:szCs w:val="24"/>
        </w:rPr>
        <w:lastRenderedPageBreak/>
        <w:t>were not or only partially implemented</w:t>
      </w:r>
      <w:r w:rsidR="0007174D" w:rsidRPr="00A9196B">
        <w:rPr>
          <w:rFonts w:ascii="Times New Roman" w:hAnsi="Times New Roman"/>
          <w:bCs/>
          <w:szCs w:val="24"/>
        </w:rPr>
        <w:t xml:space="preserve">, </w:t>
      </w:r>
      <w:r w:rsidR="00351E04">
        <w:rPr>
          <w:rFonts w:ascii="Times New Roman" w:hAnsi="Times New Roman"/>
          <w:bCs/>
          <w:szCs w:val="24"/>
        </w:rPr>
        <w:t>and to address</w:t>
      </w:r>
      <w:r w:rsidR="0007174D" w:rsidRPr="00A9196B">
        <w:rPr>
          <w:rFonts w:ascii="Times New Roman" w:hAnsi="Times New Roman"/>
          <w:bCs/>
          <w:szCs w:val="24"/>
        </w:rPr>
        <w:t xml:space="preserve"> new challenges</w:t>
      </w:r>
      <w:r w:rsidRPr="00A9196B">
        <w:rPr>
          <w:rFonts w:ascii="Times New Roman" w:hAnsi="Times New Roman"/>
          <w:bCs/>
          <w:szCs w:val="24"/>
        </w:rPr>
        <w:t>.</w:t>
      </w:r>
    </w:p>
    <w:p w14:paraId="0E376CB4" w14:textId="4F98ADAE" w:rsidR="00B42A7D" w:rsidRPr="00B42A7D" w:rsidRDefault="00A9196B" w:rsidP="00BD29AC">
      <w:pPr>
        <w:widowControl w:val="0"/>
        <w:spacing w:after="120"/>
        <w:rPr>
          <w:rFonts w:ascii="Times New Roman" w:hAnsi="Times New Roman"/>
          <w:bCs/>
          <w:szCs w:val="24"/>
        </w:rPr>
      </w:pPr>
      <w:r w:rsidRPr="00A9196B">
        <w:rPr>
          <w:rFonts w:ascii="Times New Roman" w:hAnsi="Times New Roman"/>
          <w:bCs/>
          <w:szCs w:val="24"/>
        </w:rPr>
        <w:t xml:space="preserve">The Rule of Law Report complements a number of other mechanisms and instruments at EU level in the </w:t>
      </w:r>
      <w:hyperlink r:id="rId17" w:history="1">
        <w:r w:rsidRPr="009815E5">
          <w:rPr>
            <w:rStyle w:val="Hyperlink"/>
            <w:rFonts w:ascii="Times New Roman" w:hAnsi="Times New Roman"/>
            <w:bCs/>
            <w:szCs w:val="24"/>
          </w:rPr>
          <w:t>EU Rule of Law toolbox</w:t>
        </w:r>
      </w:hyperlink>
      <w:r w:rsidRPr="00A9196B">
        <w:rPr>
          <w:rFonts w:ascii="Times New Roman" w:hAnsi="Times New Roman"/>
          <w:bCs/>
          <w:szCs w:val="24"/>
        </w:rPr>
        <w:t xml:space="preserve">, each </w:t>
      </w:r>
      <w:r w:rsidR="00C754FE">
        <w:rPr>
          <w:rFonts w:ascii="Times New Roman" w:hAnsi="Times New Roman"/>
          <w:bCs/>
          <w:szCs w:val="24"/>
        </w:rPr>
        <w:t xml:space="preserve">of which has its </w:t>
      </w:r>
      <w:r w:rsidRPr="00A9196B">
        <w:rPr>
          <w:rFonts w:ascii="Times New Roman" w:hAnsi="Times New Roman"/>
          <w:bCs/>
          <w:szCs w:val="24"/>
        </w:rPr>
        <w:t xml:space="preserve">own purpose. These tools seek to ensure that the rule of law is not just a principle, but a tangible reality </w:t>
      </w:r>
      <w:r w:rsidR="009F3ABE">
        <w:rPr>
          <w:rFonts w:ascii="Times New Roman" w:hAnsi="Times New Roman"/>
          <w:bCs/>
          <w:szCs w:val="24"/>
        </w:rPr>
        <w:t>on which</w:t>
      </w:r>
      <w:r w:rsidRPr="00A9196B">
        <w:rPr>
          <w:rFonts w:ascii="Times New Roman" w:hAnsi="Times New Roman"/>
          <w:bCs/>
          <w:szCs w:val="24"/>
        </w:rPr>
        <w:t xml:space="preserve"> </w:t>
      </w:r>
      <w:r w:rsidR="002363C7">
        <w:rPr>
          <w:rFonts w:ascii="Times New Roman" w:hAnsi="Times New Roman"/>
          <w:bCs/>
          <w:szCs w:val="24"/>
        </w:rPr>
        <w:t>people</w:t>
      </w:r>
      <w:r w:rsidRPr="00A9196B">
        <w:rPr>
          <w:rFonts w:ascii="Times New Roman" w:hAnsi="Times New Roman"/>
          <w:bCs/>
          <w:szCs w:val="24"/>
        </w:rPr>
        <w:t xml:space="preserve"> and business</w:t>
      </w:r>
      <w:r w:rsidR="002363C7">
        <w:rPr>
          <w:rFonts w:ascii="Times New Roman" w:hAnsi="Times New Roman"/>
          <w:bCs/>
          <w:szCs w:val="24"/>
        </w:rPr>
        <w:t>es</w:t>
      </w:r>
      <w:r w:rsidRPr="00A9196B">
        <w:rPr>
          <w:rFonts w:ascii="Times New Roman" w:hAnsi="Times New Roman"/>
          <w:bCs/>
          <w:szCs w:val="24"/>
        </w:rPr>
        <w:t xml:space="preserve"> can</w:t>
      </w:r>
      <w:r w:rsidR="005D377A">
        <w:rPr>
          <w:rFonts w:ascii="Times New Roman" w:hAnsi="Times New Roman"/>
          <w:bCs/>
          <w:szCs w:val="24"/>
        </w:rPr>
        <w:t xml:space="preserve"> rely on</w:t>
      </w:r>
      <w:r w:rsidRPr="00A9196B">
        <w:rPr>
          <w:rFonts w:ascii="Times New Roman" w:hAnsi="Times New Roman"/>
          <w:bCs/>
          <w:szCs w:val="24"/>
        </w:rPr>
        <w:t>.</w:t>
      </w:r>
    </w:p>
    <w:p w14:paraId="348A0578" w14:textId="60B5B2F0" w:rsidR="00B42A7D" w:rsidRPr="00B42A7D" w:rsidRDefault="7796E1A7" w:rsidP="00BD29AC">
      <w:pPr>
        <w:widowControl w:val="0"/>
        <w:spacing w:after="120"/>
        <w:rPr>
          <w:rFonts w:ascii="Times New Roman" w:hAnsi="Times New Roman"/>
        </w:rPr>
      </w:pPr>
      <w:r w:rsidRPr="764750FE">
        <w:rPr>
          <w:rFonts w:ascii="Times New Roman" w:hAnsi="Times New Roman"/>
        </w:rPr>
        <w:t xml:space="preserve">As indicated in the letter of 29 November 2023 by President von der Leyen to President Metsola, the Commission welcomes the objective to broaden discussions on </w:t>
      </w:r>
      <w:r w:rsidR="00C754FE">
        <w:rPr>
          <w:rFonts w:ascii="Times New Roman" w:hAnsi="Times New Roman"/>
        </w:rPr>
        <w:t>cross-cutting</w:t>
      </w:r>
      <w:r w:rsidRPr="764750FE">
        <w:rPr>
          <w:rFonts w:ascii="Times New Roman" w:hAnsi="Times New Roman"/>
        </w:rPr>
        <w:t xml:space="preserve"> matters as well as </w:t>
      </w:r>
      <w:r w:rsidR="00C754FE">
        <w:rPr>
          <w:rFonts w:ascii="Times New Roman" w:hAnsi="Times New Roman"/>
        </w:rPr>
        <w:t>on</w:t>
      </w:r>
      <w:r w:rsidRPr="764750FE">
        <w:rPr>
          <w:rFonts w:ascii="Times New Roman" w:hAnsi="Times New Roman"/>
        </w:rPr>
        <w:t xml:space="preserve"> the situation in </w:t>
      </w:r>
      <w:r w:rsidR="00C754FE">
        <w:rPr>
          <w:rFonts w:ascii="Times New Roman" w:hAnsi="Times New Roman"/>
        </w:rPr>
        <w:t xml:space="preserve">individual </w:t>
      </w:r>
      <w:r w:rsidRPr="764750FE">
        <w:rPr>
          <w:rFonts w:ascii="Times New Roman" w:hAnsi="Times New Roman"/>
        </w:rPr>
        <w:t xml:space="preserve">Member States. The Commission is of course ready to support the </w:t>
      </w:r>
      <w:r w:rsidR="00D82D35">
        <w:rPr>
          <w:rFonts w:ascii="Times New Roman" w:hAnsi="Times New Roman"/>
        </w:rPr>
        <w:t xml:space="preserve">Parliament in this </w:t>
      </w:r>
      <w:r w:rsidRPr="764750FE">
        <w:rPr>
          <w:rFonts w:ascii="Times New Roman" w:hAnsi="Times New Roman"/>
        </w:rPr>
        <w:t xml:space="preserve">process, and the Rule of Law Report should provide a strong </w:t>
      </w:r>
      <w:r w:rsidR="00D602DB">
        <w:rPr>
          <w:rFonts w:ascii="Times New Roman" w:hAnsi="Times New Roman"/>
        </w:rPr>
        <w:t>basis</w:t>
      </w:r>
      <w:r w:rsidRPr="764750FE">
        <w:rPr>
          <w:rFonts w:ascii="Times New Roman" w:hAnsi="Times New Roman"/>
        </w:rPr>
        <w:t xml:space="preserve"> for this work. As regards the scope of these discussions, the Commission underlines that the Rule of Law Report </w:t>
      </w:r>
      <w:r w:rsidR="00D602DB">
        <w:rPr>
          <w:rFonts w:ascii="Times New Roman" w:hAnsi="Times New Roman"/>
        </w:rPr>
        <w:t>already covers</w:t>
      </w:r>
      <w:r w:rsidRPr="764750FE">
        <w:rPr>
          <w:rFonts w:ascii="Times New Roman" w:hAnsi="Times New Roman"/>
        </w:rPr>
        <w:t xml:space="preserve"> broad areas: justice systems, anti-corruption frameworks, media pluralism and media freedom</w:t>
      </w:r>
      <w:r w:rsidR="00D602DB">
        <w:rPr>
          <w:rFonts w:ascii="Times New Roman" w:hAnsi="Times New Roman"/>
        </w:rPr>
        <w:t>,</w:t>
      </w:r>
      <w:r w:rsidRPr="764750FE">
        <w:rPr>
          <w:rFonts w:ascii="Times New Roman" w:hAnsi="Times New Roman"/>
        </w:rPr>
        <w:t xml:space="preserve"> and other institutional issues related to checks and balances. The Commission stands ready to further structure the rule of law dialogues with the European Parliament, as is being done in the Council. To that end, the Commission proposed an informal contact group, where Commission representatives would be available to conduct regular discussions with Members of Parliament and where the Presidency of the Council and relevant Member States could also be </w:t>
      </w:r>
      <w:r w:rsidR="00D602DB">
        <w:rPr>
          <w:rFonts w:ascii="Times New Roman" w:hAnsi="Times New Roman"/>
        </w:rPr>
        <w:t>involved</w:t>
      </w:r>
      <w:r w:rsidRPr="764750FE">
        <w:rPr>
          <w:rFonts w:ascii="Times New Roman" w:hAnsi="Times New Roman"/>
        </w:rPr>
        <w:t>.</w:t>
      </w:r>
    </w:p>
    <w:p w14:paraId="02D676FA" w14:textId="2057B9E0" w:rsidR="4EE3837B" w:rsidRPr="005040C0" w:rsidRDefault="4EE3837B" w:rsidP="00BD29AC">
      <w:pPr>
        <w:spacing w:after="120"/>
        <w:rPr>
          <w:rFonts w:ascii="Times New Roman" w:hAnsi="Times New Roman"/>
        </w:rPr>
      </w:pPr>
      <w:r w:rsidRPr="005040C0">
        <w:rPr>
          <w:rFonts w:ascii="Times New Roman" w:hAnsi="Times New Roman"/>
        </w:rPr>
        <w:t xml:space="preserve">The </w:t>
      </w:r>
      <w:r w:rsidR="00167659">
        <w:rPr>
          <w:rStyle w:val="Hyperlink"/>
          <w:rFonts w:ascii="Times New Roman" w:hAnsi="Times New Roman"/>
        </w:rPr>
        <w:t>Budget</w:t>
      </w:r>
      <w:hyperlink r:id="rId18" w:history="1">
        <w:r w:rsidR="00167659" w:rsidRPr="00F172FC">
          <w:rPr>
            <w:rStyle w:val="Hyperlink"/>
            <w:rFonts w:ascii="Times New Roman" w:hAnsi="Times New Roman"/>
          </w:rPr>
          <w:t xml:space="preserve"> Conditionality Regulation</w:t>
        </w:r>
      </w:hyperlink>
      <w:r w:rsidR="000D3B66">
        <w:rPr>
          <w:rFonts w:ascii="Times New Roman" w:hAnsi="Times New Roman"/>
        </w:rPr>
        <w:t xml:space="preserve"> (Regulation EU 2020/2092</w:t>
      </w:r>
      <w:r w:rsidRPr="005040C0">
        <w:rPr>
          <w:rFonts w:ascii="Times New Roman" w:hAnsi="Times New Roman"/>
        </w:rPr>
        <w:t xml:space="preserve"> on a general regime of conditionality</w:t>
      </w:r>
      <w:r w:rsidR="00D602DB">
        <w:rPr>
          <w:rFonts w:ascii="Times New Roman" w:hAnsi="Times New Roman"/>
        </w:rPr>
        <w:t>)</w:t>
      </w:r>
      <w:r w:rsidRPr="005040C0">
        <w:rPr>
          <w:rFonts w:ascii="Times New Roman" w:hAnsi="Times New Roman"/>
        </w:rPr>
        <w:t xml:space="preserve"> is another specific tool </w:t>
      </w:r>
      <w:r w:rsidR="00D602DB">
        <w:rPr>
          <w:rFonts w:ascii="Times New Roman" w:hAnsi="Times New Roman"/>
        </w:rPr>
        <w:t>that helps</w:t>
      </w:r>
      <w:r w:rsidRPr="005040C0">
        <w:rPr>
          <w:rFonts w:ascii="Times New Roman" w:hAnsi="Times New Roman"/>
        </w:rPr>
        <w:t xml:space="preserve"> the Union to protect its budget</w:t>
      </w:r>
      <w:r w:rsidR="00D602DB">
        <w:rPr>
          <w:rFonts w:ascii="Times New Roman" w:hAnsi="Times New Roman"/>
        </w:rPr>
        <w:t xml:space="preserve"> in cases where </w:t>
      </w:r>
      <w:r w:rsidRPr="005040C0">
        <w:rPr>
          <w:rFonts w:ascii="Times New Roman" w:hAnsi="Times New Roman"/>
        </w:rPr>
        <w:t xml:space="preserve">breaches of the principles of the rule of law in a Member State affect or seriously risk affecting the sound financial management of the Union’s budget or the protection of the financial interests of the Union in a sufficiently direct way. The general regime of conditionality complements other tools and procedures to protect the EU budget, </w:t>
      </w:r>
      <w:r w:rsidR="00D602DB">
        <w:rPr>
          <w:rFonts w:ascii="Times New Roman" w:hAnsi="Times New Roman"/>
        </w:rPr>
        <w:t xml:space="preserve">like </w:t>
      </w:r>
      <w:r w:rsidRPr="005040C0">
        <w:rPr>
          <w:rFonts w:ascii="Times New Roman" w:hAnsi="Times New Roman"/>
        </w:rPr>
        <w:t xml:space="preserve">checks and audits or financial corrections, or investigations by the EU's anti-fraud office </w:t>
      </w:r>
      <w:r w:rsidR="00D82D35">
        <w:rPr>
          <w:rFonts w:ascii="Times New Roman" w:hAnsi="Times New Roman"/>
        </w:rPr>
        <w:t>(</w:t>
      </w:r>
      <w:r w:rsidRPr="005040C0">
        <w:rPr>
          <w:rFonts w:ascii="Times New Roman" w:hAnsi="Times New Roman"/>
        </w:rPr>
        <w:t>OLAF</w:t>
      </w:r>
      <w:r w:rsidR="00D82D35">
        <w:rPr>
          <w:rFonts w:ascii="Times New Roman" w:hAnsi="Times New Roman"/>
        </w:rPr>
        <w:t>)</w:t>
      </w:r>
      <w:r w:rsidRPr="005040C0">
        <w:rPr>
          <w:rFonts w:ascii="Times New Roman" w:hAnsi="Times New Roman"/>
        </w:rPr>
        <w:t xml:space="preserve">. The Commission can only initiate a procedure under </w:t>
      </w:r>
      <w:r w:rsidR="007B48C2">
        <w:rPr>
          <w:rFonts w:ascii="Times New Roman" w:hAnsi="Times New Roman"/>
        </w:rPr>
        <w:t xml:space="preserve">the </w:t>
      </w:r>
      <w:r w:rsidR="00167659">
        <w:rPr>
          <w:rFonts w:ascii="Times New Roman" w:hAnsi="Times New Roman"/>
        </w:rPr>
        <w:t>budget conditionality mechanism</w:t>
      </w:r>
      <w:r w:rsidR="007B48C2" w:rsidRPr="005040C0">
        <w:rPr>
          <w:rFonts w:ascii="Times New Roman" w:hAnsi="Times New Roman"/>
        </w:rPr>
        <w:t xml:space="preserve"> </w:t>
      </w:r>
      <w:r w:rsidRPr="005040C0">
        <w:rPr>
          <w:rFonts w:ascii="Times New Roman" w:hAnsi="Times New Roman"/>
        </w:rPr>
        <w:t xml:space="preserve">if the other </w:t>
      </w:r>
      <w:r w:rsidR="00D602DB">
        <w:rPr>
          <w:rFonts w:ascii="Times New Roman" w:hAnsi="Times New Roman"/>
        </w:rPr>
        <w:t xml:space="preserve">tools to protect the </w:t>
      </w:r>
      <w:r w:rsidRPr="005040C0">
        <w:rPr>
          <w:rFonts w:ascii="Times New Roman" w:hAnsi="Times New Roman"/>
        </w:rPr>
        <w:t>Union budget cannot protect the Union budget more effectively.</w:t>
      </w:r>
    </w:p>
    <w:p w14:paraId="0EAE860F" w14:textId="47B46D22" w:rsidR="00522221" w:rsidRDefault="00522221" w:rsidP="00BD29AC">
      <w:pPr>
        <w:widowControl w:val="0"/>
        <w:spacing w:after="120"/>
        <w:rPr>
          <w:rFonts w:ascii="Times New Roman" w:hAnsi="Times New Roman"/>
          <w:b/>
          <w:bCs/>
        </w:rPr>
      </w:pPr>
      <w:r w:rsidRPr="48650DA4">
        <w:rPr>
          <w:rFonts w:ascii="Times New Roman" w:hAnsi="Times New Roman"/>
          <w:b/>
          <w:bCs/>
        </w:rPr>
        <w:t>P</w:t>
      </w:r>
      <w:r w:rsidR="002C28A0">
        <w:rPr>
          <w:rFonts w:ascii="Times New Roman" w:hAnsi="Times New Roman"/>
          <w:b/>
          <w:bCs/>
        </w:rPr>
        <w:t>aragraph</w:t>
      </w:r>
      <w:r w:rsidRPr="48650DA4">
        <w:rPr>
          <w:rFonts w:ascii="Times New Roman" w:hAnsi="Times New Roman"/>
          <w:b/>
          <w:bCs/>
        </w:rPr>
        <w:t xml:space="preserve"> 6</w:t>
      </w:r>
      <w:r w:rsidR="009F1D58">
        <w:rPr>
          <w:rFonts w:ascii="Times New Roman" w:hAnsi="Times New Roman"/>
          <w:b/>
          <w:bCs/>
        </w:rPr>
        <w:t xml:space="preserve">, on supporting </w:t>
      </w:r>
      <w:r w:rsidR="00022B49">
        <w:rPr>
          <w:rFonts w:ascii="Times New Roman" w:hAnsi="Times New Roman"/>
          <w:b/>
          <w:bCs/>
        </w:rPr>
        <w:t>national and regional authorities in transposing EU legislation</w:t>
      </w:r>
    </w:p>
    <w:p w14:paraId="4CF56F3A" w14:textId="6DFD9037" w:rsidR="006F7ABB" w:rsidRPr="008F54C7" w:rsidRDefault="006F7ABB" w:rsidP="00BD29AC">
      <w:pPr>
        <w:widowControl w:val="0"/>
        <w:spacing w:after="120"/>
        <w:rPr>
          <w:rFonts w:ascii="Times New Roman" w:hAnsi="Times New Roman"/>
          <w:bCs/>
          <w:szCs w:val="24"/>
        </w:rPr>
      </w:pPr>
      <w:r w:rsidRPr="008F54C7">
        <w:rPr>
          <w:rFonts w:ascii="Times New Roman" w:hAnsi="Times New Roman"/>
          <w:bCs/>
          <w:szCs w:val="24"/>
        </w:rPr>
        <w:t>The proper application of EU law is a collective responsibility, shared between the Commission, as the guardian of the Treaties, national authorities</w:t>
      </w:r>
      <w:r w:rsidR="002C28A0">
        <w:rPr>
          <w:rFonts w:ascii="Times New Roman" w:hAnsi="Times New Roman"/>
          <w:bCs/>
          <w:szCs w:val="24"/>
        </w:rPr>
        <w:t>,</w:t>
      </w:r>
      <w:r w:rsidRPr="008F54C7">
        <w:rPr>
          <w:rFonts w:ascii="Times New Roman" w:hAnsi="Times New Roman"/>
          <w:bCs/>
          <w:szCs w:val="24"/>
        </w:rPr>
        <w:t xml:space="preserve"> and courts. Therefore, the Commission welcomes </w:t>
      </w:r>
      <w:r w:rsidR="002C1445">
        <w:rPr>
          <w:rFonts w:ascii="Times New Roman" w:hAnsi="Times New Roman"/>
          <w:bCs/>
          <w:szCs w:val="24"/>
        </w:rPr>
        <w:t>the</w:t>
      </w:r>
      <w:r w:rsidRPr="008F54C7">
        <w:rPr>
          <w:rFonts w:ascii="Times New Roman" w:hAnsi="Times New Roman"/>
          <w:bCs/>
          <w:szCs w:val="24"/>
        </w:rPr>
        <w:t xml:space="preserve"> call on national authorities to be proactive in taking the necessary measures to</w:t>
      </w:r>
      <w:r w:rsidR="002C1445">
        <w:rPr>
          <w:rFonts w:ascii="Times New Roman" w:hAnsi="Times New Roman"/>
          <w:bCs/>
          <w:szCs w:val="24"/>
        </w:rPr>
        <w:t xml:space="preserve"> address breaches of EU law</w:t>
      </w:r>
      <w:r w:rsidRPr="008F54C7">
        <w:rPr>
          <w:rFonts w:ascii="Times New Roman" w:hAnsi="Times New Roman"/>
          <w:bCs/>
          <w:szCs w:val="24"/>
        </w:rPr>
        <w:t xml:space="preserve">. </w:t>
      </w:r>
    </w:p>
    <w:p w14:paraId="2A1070C8" w14:textId="16584332" w:rsidR="006F7ABB" w:rsidRPr="008F54C7" w:rsidRDefault="006F7ABB" w:rsidP="00BD29AC">
      <w:pPr>
        <w:widowControl w:val="0"/>
        <w:spacing w:after="120"/>
        <w:rPr>
          <w:rFonts w:ascii="Times New Roman" w:hAnsi="Times New Roman"/>
          <w:bCs/>
          <w:szCs w:val="24"/>
        </w:rPr>
      </w:pPr>
      <w:r w:rsidRPr="008F54C7">
        <w:rPr>
          <w:rFonts w:ascii="Times New Roman" w:hAnsi="Times New Roman"/>
          <w:bCs/>
          <w:szCs w:val="24"/>
        </w:rPr>
        <w:t xml:space="preserve">The Commission </w:t>
      </w:r>
      <w:r w:rsidR="003C1B24" w:rsidRPr="008F54C7">
        <w:rPr>
          <w:rFonts w:ascii="Times New Roman" w:hAnsi="Times New Roman"/>
          <w:bCs/>
          <w:szCs w:val="24"/>
        </w:rPr>
        <w:t>continue</w:t>
      </w:r>
      <w:r w:rsidR="003C1B24">
        <w:rPr>
          <w:rFonts w:ascii="Times New Roman" w:hAnsi="Times New Roman"/>
          <w:bCs/>
          <w:szCs w:val="24"/>
        </w:rPr>
        <w:t>s</w:t>
      </w:r>
      <w:r w:rsidR="003C1B24" w:rsidRPr="008F54C7">
        <w:rPr>
          <w:rFonts w:ascii="Times New Roman" w:hAnsi="Times New Roman"/>
          <w:bCs/>
          <w:szCs w:val="24"/>
        </w:rPr>
        <w:t xml:space="preserve"> </w:t>
      </w:r>
      <w:r w:rsidRPr="008F54C7">
        <w:rPr>
          <w:rFonts w:ascii="Times New Roman" w:hAnsi="Times New Roman"/>
          <w:bCs/>
          <w:szCs w:val="24"/>
        </w:rPr>
        <w:t>its efforts to prevent breaches from happening in the first place, for example by providing early support to</w:t>
      </w:r>
      <w:r w:rsidR="002C28A0">
        <w:rPr>
          <w:rFonts w:ascii="Times New Roman" w:hAnsi="Times New Roman"/>
          <w:bCs/>
          <w:szCs w:val="24"/>
        </w:rPr>
        <w:t xml:space="preserve"> the</w:t>
      </w:r>
      <w:r w:rsidRPr="008F54C7">
        <w:rPr>
          <w:rFonts w:ascii="Times New Roman" w:hAnsi="Times New Roman"/>
          <w:bCs/>
          <w:szCs w:val="24"/>
        </w:rPr>
        <w:t xml:space="preserve"> Member States on the implementation of EU law through practical guidance (over 40 written guidelines on the interpretation and implementation of EU law in 2022), meetings, training</w:t>
      </w:r>
      <w:r w:rsidR="00A65F9F">
        <w:rPr>
          <w:rFonts w:ascii="Times New Roman" w:hAnsi="Times New Roman"/>
          <w:bCs/>
          <w:szCs w:val="24"/>
        </w:rPr>
        <w:t xml:space="preserve"> session</w:t>
      </w:r>
      <w:r w:rsidRPr="008F54C7">
        <w:rPr>
          <w:rFonts w:ascii="Times New Roman" w:hAnsi="Times New Roman"/>
          <w:bCs/>
          <w:szCs w:val="24"/>
        </w:rPr>
        <w:t>s and technical assistance.</w:t>
      </w:r>
    </w:p>
    <w:p w14:paraId="06946F7F" w14:textId="608286F6" w:rsidR="006F7ABB" w:rsidRPr="008F54C7" w:rsidRDefault="2D8105F8" w:rsidP="00BD29AC">
      <w:pPr>
        <w:widowControl w:val="0"/>
        <w:spacing w:after="120"/>
        <w:rPr>
          <w:rFonts w:ascii="Times New Roman" w:hAnsi="Times New Roman"/>
        </w:rPr>
      </w:pPr>
      <w:r w:rsidRPr="764750FE">
        <w:rPr>
          <w:rFonts w:ascii="Times New Roman" w:hAnsi="Times New Roman"/>
        </w:rPr>
        <w:t xml:space="preserve">The Commission opened 279 new EU Pilot files in 2022 to </w:t>
      </w:r>
      <w:r w:rsidR="00C264D2">
        <w:rPr>
          <w:rFonts w:ascii="Times New Roman" w:hAnsi="Times New Roman"/>
        </w:rPr>
        <w:t>ensure</w:t>
      </w:r>
      <w:r w:rsidR="00C264D2" w:rsidRPr="764750FE">
        <w:rPr>
          <w:rFonts w:ascii="Times New Roman" w:hAnsi="Times New Roman"/>
        </w:rPr>
        <w:t xml:space="preserve"> </w:t>
      </w:r>
      <w:r w:rsidRPr="764750FE">
        <w:rPr>
          <w:rFonts w:ascii="Times New Roman" w:hAnsi="Times New Roman"/>
        </w:rPr>
        <w:t>swift compliance, or in some instances to collect information to perform its assessment (in 2021 the</w:t>
      </w:r>
      <w:r w:rsidR="00A65F9F">
        <w:rPr>
          <w:rFonts w:ascii="Times New Roman" w:hAnsi="Times New Roman"/>
        </w:rPr>
        <w:t>re</w:t>
      </w:r>
      <w:r w:rsidRPr="764750FE">
        <w:rPr>
          <w:rFonts w:ascii="Times New Roman" w:hAnsi="Times New Roman"/>
        </w:rPr>
        <w:t xml:space="preserve"> were 246</w:t>
      </w:r>
      <w:r w:rsidR="00A65F9F">
        <w:rPr>
          <w:rFonts w:ascii="Times New Roman" w:hAnsi="Times New Roman"/>
        </w:rPr>
        <w:t xml:space="preserve"> new files</w:t>
      </w:r>
      <w:r w:rsidRPr="764750FE">
        <w:rPr>
          <w:rFonts w:ascii="Times New Roman" w:hAnsi="Times New Roman"/>
        </w:rPr>
        <w:t>). 74% of such cases handled last year led to a solution with the Member States concerned, avoiding the need to resort to an infringement procedure.</w:t>
      </w:r>
    </w:p>
    <w:p w14:paraId="7AA745BB" w14:textId="29595B15" w:rsidR="2CA9AD0C" w:rsidRDefault="2CA9AD0C" w:rsidP="00BD29AC">
      <w:pPr>
        <w:widowControl w:val="0"/>
        <w:spacing w:after="120"/>
        <w:rPr>
          <w:rFonts w:ascii="Times New Roman" w:hAnsi="Times New Roman"/>
        </w:rPr>
      </w:pPr>
      <w:r w:rsidRPr="764750FE">
        <w:rPr>
          <w:rFonts w:ascii="Times New Roman" w:hAnsi="Times New Roman"/>
        </w:rPr>
        <w:t xml:space="preserve">The Commission also offers technical and financial support to </w:t>
      </w:r>
      <w:r w:rsidR="002C28A0">
        <w:rPr>
          <w:rFonts w:ascii="Times New Roman" w:hAnsi="Times New Roman"/>
        </w:rPr>
        <w:t xml:space="preserve">the </w:t>
      </w:r>
      <w:r w:rsidRPr="764750FE">
        <w:rPr>
          <w:rFonts w:ascii="Times New Roman" w:hAnsi="Times New Roman"/>
        </w:rPr>
        <w:t xml:space="preserve">Member States in their implementation efforts and </w:t>
      </w:r>
      <w:r w:rsidR="00A65F9F">
        <w:rPr>
          <w:rFonts w:ascii="Times New Roman" w:hAnsi="Times New Roman"/>
        </w:rPr>
        <w:t xml:space="preserve">provides </w:t>
      </w:r>
      <w:r w:rsidRPr="764750FE">
        <w:rPr>
          <w:rFonts w:ascii="Times New Roman" w:hAnsi="Times New Roman"/>
        </w:rPr>
        <w:t>expertise underpinning structural reforms, as well as specialised training programmes.</w:t>
      </w:r>
    </w:p>
    <w:p w14:paraId="539F2391" w14:textId="07138B2C" w:rsidR="00522221" w:rsidRDefault="00683FBF" w:rsidP="00BD29AC">
      <w:pPr>
        <w:widowControl w:val="0"/>
        <w:spacing w:after="120"/>
        <w:rPr>
          <w:rFonts w:ascii="Times New Roman" w:hAnsi="Times New Roman"/>
        </w:rPr>
      </w:pPr>
      <w:r>
        <w:rPr>
          <w:rFonts w:ascii="Times New Roman" w:hAnsi="Times New Roman"/>
        </w:rPr>
        <w:t>Some of the recommendations of</w:t>
      </w:r>
      <w:r w:rsidRPr="764750FE">
        <w:rPr>
          <w:rFonts w:ascii="Times New Roman" w:hAnsi="Times New Roman"/>
        </w:rPr>
        <w:t xml:space="preserve"> </w:t>
      </w:r>
      <w:r w:rsidR="08885AA4" w:rsidRPr="764750FE">
        <w:rPr>
          <w:rFonts w:ascii="Times New Roman" w:hAnsi="Times New Roman"/>
        </w:rPr>
        <w:t xml:space="preserve">the stocktaking </w:t>
      </w:r>
      <w:r>
        <w:rPr>
          <w:rFonts w:ascii="Times New Roman" w:hAnsi="Times New Roman"/>
        </w:rPr>
        <w:t>report of</w:t>
      </w:r>
      <w:r w:rsidR="5FC83E50" w:rsidRPr="764750FE">
        <w:rPr>
          <w:rFonts w:ascii="Times New Roman" w:hAnsi="Times New Roman"/>
        </w:rPr>
        <w:t xml:space="preserve"> July 2023</w:t>
      </w:r>
      <w:r>
        <w:rPr>
          <w:rFonts w:ascii="Times New Roman" w:hAnsi="Times New Roman"/>
        </w:rPr>
        <w:t xml:space="preserve">, which the Commission is currently </w:t>
      </w:r>
      <w:r w:rsidR="00A65F9F">
        <w:rPr>
          <w:rFonts w:ascii="Times New Roman" w:hAnsi="Times New Roman"/>
        </w:rPr>
        <w:t>implementing</w:t>
      </w:r>
      <w:r>
        <w:rPr>
          <w:rFonts w:ascii="Times New Roman" w:hAnsi="Times New Roman"/>
        </w:rPr>
        <w:t>, aim to further improve</w:t>
      </w:r>
      <w:r w:rsidR="08885AA4" w:rsidRPr="764750FE">
        <w:rPr>
          <w:rFonts w:ascii="Times New Roman" w:hAnsi="Times New Roman"/>
        </w:rPr>
        <w:t xml:space="preserve"> the support </w:t>
      </w:r>
      <w:r>
        <w:rPr>
          <w:rFonts w:ascii="Times New Roman" w:hAnsi="Times New Roman"/>
        </w:rPr>
        <w:t xml:space="preserve">that </w:t>
      </w:r>
      <w:r w:rsidR="08885AA4" w:rsidRPr="764750FE">
        <w:rPr>
          <w:rFonts w:ascii="Times New Roman" w:hAnsi="Times New Roman"/>
        </w:rPr>
        <w:t xml:space="preserve">the Commission provides to </w:t>
      </w:r>
      <w:r w:rsidR="002C28A0">
        <w:rPr>
          <w:rFonts w:ascii="Times New Roman" w:hAnsi="Times New Roman"/>
        </w:rPr>
        <w:t xml:space="preserve">the </w:t>
      </w:r>
      <w:r w:rsidR="08885AA4" w:rsidRPr="764750FE">
        <w:rPr>
          <w:rFonts w:ascii="Times New Roman" w:hAnsi="Times New Roman"/>
        </w:rPr>
        <w:t xml:space="preserve">Member States </w:t>
      </w:r>
      <w:r>
        <w:rPr>
          <w:rFonts w:ascii="Times New Roman" w:hAnsi="Times New Roman"/>
        </w:rPr>
        <w:t>for the</w:t>
      </w:r>
      <w:r w:rsidR="08885AA4" w:rsidRPr="764750FE">
        <w:rPr>
          <w:rFonts w:ascii="Times New Roman" w:hAnsi="Times New Roman"/>
        </w:rPr>
        <w:t xml:space="preserve"> </w:t>
      </w:r>
      <w:r w:rsidRPr="764750FE">
        <w:rPr>
          <w:rFonts w:ascii="Times New Roman" w:hAnsi="Times New Roman"/>
        </w:rPr>
        <w:t>transpos</w:t>
      </w:r>
      <w:r>
        <w:rPr>
          <w:rFonts w:ascii="Times New Roman" w:hAnsi="Times New Roman"/>
        </w:rPr>
        <w:t>ition</w:t>
      </w:r>
      <w:r w:rsidRPr="764750FE">
        <w:rPr>
          <w:rFonts w:ascii="Times New Roman" w:hAnsi="Times New Roman"/>
        </w:rPr>
        <w:t xml:space="preserve"> </w:t>
      </w:r>
      <w:r w:rsidR="6C3DD6EB" w:rsidRPr="764750FE">
        <w:rPr>
          <w:rFonts w:ascii="Times New Roman" w:hAnsi="Times New Roman"/>
        </w:rPr>
        <w:t xml:space="preserve">and </w:t>
      </w:r>
      <w:r w:rsidR="08885AA4" w:rsidRPr="764750FE">
        <w:rPr>
          <w:rFonts w:ascii="Times New Roman" w:hAnsi="Times New Roman"/>
        </w:rPr>
        <w:t>implement</w:t>
      </w:r>
      <w:r>
        <w:rPr>
          <w:rFonts w:ascii="Times New Roman" w:hAnsi="Times New Roman"/>
        </w:rPr>
        <w:t>ation of</w:t>
      </w:r>
      <w:r w:rsidR="08885AA4" w:rsidRPr="764750FE">
        <w:rPr>
          <w:rFonts w:ascii="Times New Roman" w:hAnsi="Times New Roman"/>
        </w:rPr>
        <w:t xml:space="preserve"> EU law.</w:t>
      </w:r>
    </w:p>
    <w:p w14:paraId="7C4CD65A" w14:textId="5E31F981" w:rsidR="00042DBB" w:rsidRDefault="00042DBB" w:rsidP="00BD29AC">
      <w:pPr>
        <w:widowControl w:val="0"/>
        <w:spacing w:after="120"/>
        <w:rPr>
          <w:rFonts w:ascii="Times New Roman" w:hAnsi="Times New Roman"/>
          <w:b/>
          <w:szCs w:val="24"/>
        </w:rPr>
      </w:pPr>
      <w:r>
        <w:rPr>
          <w:rFonts w:ascii="Times New Roman" w:hAnsi="Times New Roman"/>
          <w:b/>
          <w:szCs w:val="24"/>
        </w:rPr>
        <w:lastRenderedPageBreak/>
        <w:t>P</w:t>
      </w:r>
      <w:r w:rsidR="002C28A0">
        <w:rPr>
          <w:rFonts w:ascii="Times New Roman" w:hAnsi="Times New Roman"/>
          <w:b/>
          <w:szCs w:val="24"/>
        </w:rPr>
        <w:t>aragraph</w:t>
      </w:r>
      <w:r>
        <w:rPr>
          <w:rFonts w:ascii="Times New Roman" w:hAnsi="Times New Roman"/>
          <w:b/>
          <w:szCs w:val="24"/>
        </w:rPr>
        <w:t xml:space="preserve"> 7</w:t>
      </w:r>
      <w:r w:rsidR="00FE02A2">
        <w:rPr>
          <w:rFonts w:ascii="Times New Roman" w:hAnsi="Times New Roman"/>
          <w:b/>
          <w:szCs w:val="24"/>
        </w:rPr>
        <w:t>, on the effective follow-up to Court of Justice rulings</w:t>
      </w:r>
    </w:p>
    <w:p w14:paraId="182823C2" w14:textId="3E3DAA99" w:rsidR="00C272A5" w:rsidRPr="008F54C7" w:rsidRDefault="2D8105F8" w:rsidP="00BD29AC">
      <w:pPr>
        <w:widowControl w:val="0"/>
        <w:spacing w:after="120"/>
        <w:rPr>
          <w:rFonts w:ascii="Times New Roman" w:hAnsi="Times New Roman"/>
        </w:rPr>
      </w:pPr>
      <w:r w:rsidRPr="764750FE">
        <w:rPr>
          <w:rFonts w:ascii="Times New Roman" w:hAnsi="Times New Roman"/>
        </w:rPr>
        <w:t xml:space="preserve">The Commission fully shares the view that breaches on which the </w:t>
      </w:r>
      <w:r w:rsidR="6035D86E" w:rsidRPr="764750FE">
        <w:rPr>
          <w:rFonts w:ascii="Times New Roman" w:hAnsi="Times New Roman"/>
        </w:rPr>
        <w:t>CJEU</w:t>
      </w:r>
      <w:r w:rsidRPr="764750FE">
        <w:rPr>
          <w:rFonts w:ascii="Times New Roman" w:hAnsi="Times New Roman"/>
        </w:rPr>
        <w:t xml:space="preserve"> has ruled must be addresse</w:t>
      </w:r>
      <w:r w:rsidR="7D3EABC7" w:rsidRPr="764750FE">
        <w:rPr>
          <w:rFonts w:ascii="Times New Roman" w:hAnsi="Times New Roman"/>
        </w:rPr>
        <w:t>d</w:t>
      </w:r>
      <w:r w:rsidRPr="764750FE">
        <w:rPr>
          <w:rFonts w:ascii="Times New Roman" w:hAnsi="Times New Roman"/>
        </w:rPr>
        <w:t xml:space="preserve"> quickly and that the adoption of new legislation is not always a sufficient remedy if it does not </w:t>
      </w:r>
      <w:r w:rsidR="3192EB43" w:rsidRPr="764750FE">
        <w:rPr>
          <w:rFonts w:ascii="Times New Roman" w:hAnsi="Times New Roman"/>
        </w:rPr>
        <w:t xml:space="preserve">address </w:t>
      </w:r>
      <w:r w:rsidRPr="764750FE">
        <w:rPr>
          <w:rFonts w:ascii="Times New Roman" w:hAnsi="Times New Roman"/>
        </w:rPr>
        <w:t xml:space="preserve">the </w:t>
      </w:r>
      <w:r w:rsidR="3192EB43" w:rsidRPr="764750FE">
        <w:rPr>
          <w:rFonts w:ascii="Times New Roman" w:hAnsi="Times New Roman"/>
        </w:rPr>
        <w:t>breach identified by the Court</w:t>
      </w:r>
      <w:r w:rsidRPr="764750FE">
        <w:rPr>
          <w:rFonts w:ascii="Times New Roman" w:hAnsi="Times New Roman"/>
        </w:rPr>
        <w:t>.</w:t>
      </w:r>
    </w:p>
    <w:p w14:paraId="40645F4C" w14:textId="5EC6762A" w:rsidR="00042DBB" w:rsidRPr="008F54C7" w:rsidRDefault="42BD2F72" w:rsidP="00BD29AC">
      <w:pPr>
        <w:widowControl w:val="0"/>
        <w:spacing w:after="120"/>
        <w:rPr>
          <w:rFonts w:ascii="Times New Roman" w:hAnsi="Times New Roman"/>
        </w:rPr>
      </w:pPr>
      <w:r w:rsidRPr="764750FE">
        <w:rPr>
          <w:rFonts w:ascii="Times New Roman" w:hAnsi="Times New Roman"/>
        </w:rPr>
        <w:t>In the context of infringement procedures, t</w:t>
      </w:r>
      <w:r w:rsidR="2D8105F8" w:rsidRPr="764750FE">
        <w:rPr>
          <w:rFonts w:ascii="Times New Roman" w:hAnsi="Times New Roman"/>
        </w:rPr>
        <w:t xml:space="preserve">he Commission </w:t>
      </w:r>
      <w:r w:rsidRPr="764750FE">
        <w:rPr>
          <w:rFonts w:ascii="Times New Roman" w:hAnsi="Times New Roman"/>
        </w:rPr>
        <w:t xml:space="preserve">resumes contacts with the national authorities after the </w:t>
      </w:r>
      <w:r w:rsidR="3192EB43" w:rsidRPr="764750FE">
        <w:rPr>
          <w:rFonts w:ascii="Times New Roman" w:hAnsi="Times New Roman"/>
        </w:rPr>
        <w:t xml:space="preserve">Court </w:t>
      </w:r>
      <w:r w:rsidRPr="764750FE">
        <w:rPr>
          <w:rFonts w:ascii="Times New Roman" w:hAnsi="Times New Roman"/>
        </w:rPr>
        <w:t>ruling</w:t>
      </w:r>
      <w:r w:rsidR="00A65F9F">
        <w:rPr>
          <w:rFonts w:ascii="Times New Roman" w:hAnsi="Times New Roman"/>
        </w:rPr>
        <w:t xml:space="preserve"> confirming the breach,</w:t>
      </w:r>
      <w:r w:rsidRPr="764750FE">
        <w:rPr>
          <w:rFonts w:ascii="Times New Roman" w:hAnsi="Times New Roman"/>
        </w:rPr>
        <w:t xml:space="preserve"> to </w:t>
      </w:r>
      <w:r w:rsidR="00A65F9F">
        <w:rPr>
          <w:rFonts w:ascii="Times New Roman" w:hAnsi="Times New Roman"/>
        </w:rPr>
        <w:t xml:space="preserve">ask the </w:t>
      </w:r>
      <w:r w:rsidRPr="764750FE">
        <w:rPr>
          <w:rFonts w:ascii="Times New Roman" w:hAnsi="Times New Roman"/>
        </w:rPr>
        <w:t xml:space="preserve">national authorities </w:t>
      </w:r>
      <w:r w:rsidR="00A65F9F">
        <w:rPr>
          <w:rFonts w:ascii="Times New Roman" w:hAnsi="Times New Roman"/>
        </w:rPr>
        <w:t xml:space="preserve">how they intend to </w:t>
      </w:r>
      <w:r w:rsidRPr="764750FE">
        <w:rPr>
          <w:rFonts w:ascii="Times New Roman" w:hAnsi="Times New Roman"/>
        </w:rPr>
        <w:t xml:space="preserve">implement </w:t>
      </w:r>
      <w:r w:rsidR="00A65F9F">
        <w:rPr>
          <w:rFonts w:ascii="Times New Roman" w:hAnsi="Times New Roman"/>
        </w:rPr>
        <w:t>the ruling</w:t>
      </w:r>
      <w:r w:rsidRPr="764750FE">
        <w:rPr>
          <w:rFonts w:ascii="Times New Roman" w:hAnsi="Times New Roman"/>
        </w:rPr>
        <w:t xml:space="preserve">. When the reply is not satisfactory or the necessary measures </w:t>
      </w:r>
      <w:r w:rsidR="00A65F9F">
        <w:rPr>
          <w:rFonts w:ascii="Times New Roman" w:hAnsi="Times New Roman"/>
        </w:rPr>
        <w:t>are</w:t>
      </w:r>
      <w:r w:rsidR="00C37322">
        <w:rPr>
          <w:rFonts w:ascii="Times New Roman" w:hAnsi="Times New Roman"/>
        </w:rPr>
        <w:t xml:space="preserve"> delayed</w:t>
      </w:r>
      <w:r w:rsidRPr="764750FE">
        <w:rPr>
          <w:rFonts w:ascii="Times New Roman" w:hAnsi="Times New Roman"/>
        </w:rPr>
        <w:t xml:space="preserve">, </w:t>
      </w:r>
      <w:r w:rsidR="00C37322">
        <w:rPr>
          <w:rFonts w:ascii="Times New Roman" w:hAnsi="Times New Roman"/>
        </w:rPr>
        <w:t>the Commission</w:t>
      </w:r>
      <w:r w:rsidRPr="764750FE">
        <w:rPr>
          <w:rFonts w:ascii="Times New Roman" w:hAnsi="Times New Roman"/>
        </w:rPr>
        <w:t xml:space="preserve"> continues the infringement procedure under </w:t>
      </w:r>
      <w:r w:rsidR="3192EB43" w:rsidRPr="764750FE">
        <w:rPr>
          <w:rFonts w:ascii="Times New Roman" w:hAnsi="Times New Roman"/>
        </w:rPr>
        <w:t>A</w:t>
      </w:r>
      <w:r w:rsidRPr="764750FE">
        <w:rPr>
          <w:rFonts w:ascii="Times New Roman" w:hAnsi="Times New Roman"/>
        </w:rPr>
        <w:t>rticle 260</w:t>
      </w:r>
      <w:r w:rsidR="3192EB43" w:rsidRPr="764750FE">
        <w:rPr>
          <w:rFonts w:ascii="Times New Roman" w:hAnsi="Times New Roman"/>
        </w:rPr>
        <w:t>(2)</w:t>
      </w:r>
      <w:r w:rsidRPr="764750FE">
        <w:rPr>
          <w:rFonts w:ascii="Times New Roman" w:hAnsi="Times New Roman"/>
        </w:rPr>
        <w:t xml:space="preserve"> of the Treaty.</w:t>
      </w:r>
      <w:r w:rsidR="57729A69" w:rsidRPr="764750FE">
        <w:rPr>
          <w:rFonts w:ascii="Times New Roman" w:hAnsi="Times New Roman"/>
        </w:rPr>
        <w:t xml:space="preserve"> </w:t>
      </w:r>
      <w:r w:rsidR="006513E9">
        <w:rPr>
          <w:rFonts w:ascii="Times New Roman" w:hAnsi="Times New Roman"/>
        </w:rPr>
        <w:t>A</w:t>
      </w:r>
      <w:r w:rsidR="6B19F87A" w:rsidRPr="764750FE">
        <w:rPr>
          <w:rFonts w:ascii="Times New Roman" w:hAnsi="Times New Roman"/>
        </w:rPr>
        <w:t>t the end of 2022</w:t>
      </w:r>
      <w:r w:rsidR="002C28A0">
        <w:rPr>
          <w:rFonts w:ascii="Times New Roman" w:hAnsi="Times New Roman"/>
        </w:rPr>
        <w:t>,</w:t>
      </w:r>
      <w:r w:rsidR="6B19F87A" w:rsidRPr="764750FE">
        <w:rPr>
          <w:rFonts w:ascii="Times New Roman" w:hAnsi="Times New Roman"/>
        </w:rPr>
        <w:t xml:space="preserve"> there were 100 infringement procedures</w:t>
      </w:r>
      <w:r w:rsidR="1FAE065F" w:rsidRPr="764750FE">
        <w:rPr>
          <w:rFonts w:ascii="Times New Roman" w:hAnsi="Times New Roman"/>
        </w:rPr>
        <w:t xml:space="preserve"> pending in relation to cases </w:t>
      </w:r>
      <w:r w:rsidR="00C37322">
        <w:rPr>
          <w:rFonts w:ascii="Times New Roman" w:hAnsi="Times New Roman"/>
        </w:rPr>
        <w:t>which have already been subject to</w:t>
      </w:r>
      <w:r w:rsidR="00C37322" w:rsidRPr="764750FE">
        <w:rPr>
          <w:rFonts w:ascii="Times New Roman" w:hAnsi="Times New Roman"/>
        </w:rPr>
        <w:t xml:space="preserve"> </w:t>
      </w:r>
      <w:r w:rsidR="1FAE065F" w:rsidRPr="764750FE">
        <w:rPr>
          <w:rFonts w:ascii="Times New Roman" w:hAnsi="Times New Roman"/>
        </w:rPr>
        <w:t xml:space="preserve">a judgment of the </w:t>
      </w:r>
      <w:r w:rsidR="35DF5BDA" w:rsidRPr="764750FE">
        <w:rPr>
          <w:rFonts w:ascii="Times New Roman" w:hAnsi="Times New Roman"/>
        </w:rPr>
        <w:t>CJEU</w:t>
      </w:r>
      <w:r w:rsidR="00C37322">
        <w:rPr>
          <w:rFonts w:ascii="Times New Roman" w:hAnsi="Times New Roman"/>
        </w:rPr>
        <w:t>. T</w:t>
      </w:r>
      <w:r w:rsidR="00B6702D">
        <w:rPr>
          <w:rFonts w:ascii="Times New Roman" w:hAnsi="Times New Roman"/>
        </w:rPr>
        <w:t xml:space="preserve">he Commission is following up on these </w:t>
      </w:r>
      <w:r w:rsidR="00C37322">
        <w:rPr>
          <w:rFonts w:ascii="Times New Roman" w:hAnsi="Times New Roman"/>
        </w:rPr>
        <w:t xml:space="preserve">cases </w:t>
      </w:r>
      <w:r w:rsidR="00B6702D">
        <w:rPr>
          <w:rFonts w:ascii="Times New Roman" w:hAnsi="Times New Roman"/>
        </w:rPr>
        <w:t>with the Member States concerned to ensure</w:t>
      </w:r>
      <w:r w:rsidR="00215367">
        <w:rPr>
          <w:rFonts w:ascii="Times New Roman" w:hAnsi="Times New Roman"/>
        </w:rPr>
        <w:t xml:space="preserve"> </w:t>
      </w:r>
      <w:r w:rsidR="57186D2D" w:rsidRPr="764750FE">
        <w:rPr>
          <w:rFonts w:ascii="Times New Roman" w:hAnsi="Times New Roman"/>
        </w:rPr>
        <w:t xml:space="preserve">the full implementation of the </w:t>
      </w:r>
      <w:r w:rsidR="00C37322">
        <w:rPr>
          <w:rFonts w:ascii="Times New Roman" w:hAnsi="Times New Roman"/>
        </w:rPr>
        <w:t>Court’s rulings</w:t>
      </w:r>
      <w:r w:rsidR="57186D2D" w:rsidRPr="764750FE">
        <w:rPr>
          <w:rFonts w:ascii="Times New Roman" w:hAnsi="Times New Roman"/>
        </w:rPr>
        <w:t>.</w:t>
      </w:r>
    </w:p>
    <w:p w14:paraId="7BA1923E" w14:textId="7E048DE7" w:rsidR="00C272A5" w:rsidRPr="008F54C7" w:rsidRDefault="42BD2F72" w:rsidP="00BD29AC">
      <w:pPr>
        <w:widowControl w:val="0"/>
        <w:spacing w:after="120"/>
        <w:rPr>
          <w:rFonts w:ascii="Times New Roman" w:hAnsi="Times New Roman"/>
        </w:rPr>
      </w:pPr>
      <w:r w:rsidRPr="764750FE">
        <w:rPr>
          <w:rFonts w:ascii="Times New Roman" w:hAnsi="Times New Roman"/>
        </w:rPr>
        <w:t>In the context of preliminary ruling</w:t>
      </w:r>
      <w:r w:rsidR="0D86E675" w:rsidRPr="764750FE">
        <w:rPr>
          <w:rFonts w:ascii="Times New Roman" w:hAnsi="Times New Roman"/>
        </w:rPr>
        <w:t>s</w:t>
      </w:r>
      <w:r w:rsidRPr="764750FE">
        <w:rPr>
          <w:rFonts w:ascii="Times New Roman" w:hAnsi="Times New Roman"/>
        </w:rPr>
        <w:t>, the Commission</w:t>
      </w:r>
      <w:r w:rsidR="69751867" w:rsidRPr="764750FE">
        <w:rPr>
          <w:rFonts w:ascii="Times New Roman" w:hAnsi="Times New Roman"/>
        </w:rPr>
        <w:t>’s</w:t>
      </w:r>
      <w:r w:rsidRPr="764750FE">
        <w:rPr>
          <w:rFonts w:ascii="Times New Roman" w:hAnsi="Times New Roman"/>
        </w:rPr>
        <w:t xml:space="preserve"> practice is to </w:t>
      </w:r>
      <w:r w:rsidR="1A1FC820" w:rsidRPr="764750FE">
        <w:rPr>
          <w:rFonts w:ascii="Times New Roman" w:hAnsi="Times New Roman"/>
        </w:rPr>
        <w:t xml:space="preserve">first </w:t>
      </w:r>
      <w:r w:rsidR="1EB11177" w:rsidRPr="764750FE">
        <w:rPr>
          <w:rFonts w:ascii="Times New Roman" w:hAnsi="Times New Roman"/>
        </w:rPr>
        <w:t>identify</w:t>
      </w:r>
      <w:r w:rsidRPr="764750FE">
        <w:rPr>
          <w:rFonts w:ascii="Times New Roman" w:hAnsi="Times New Roman"/>
        </w:rPr>
        <w:t xml:space="preserve"> </w:t>
      </w:r>
      <w:r w:rsidR="22DE7402" w:rsidRPr="764750FE">
        <w:rPr>
          <w:rFonts w:ascii="Times New Roman" w:hAnsi="Times New Roman"/>
        </w:rPr>
        <w:t>the instances in which</w:t>
      </w:r>
      <w:r w:rsidR="3192EB43" w:rsidRPr="764750FE">
        <w:rPr>
          <w:rFonts w:ascii="Times New Roman" w:hAnsi="Times New Roman"/>
        </w:rPr>
        <w:t xml:space="preserve"> the Court declared that national legislation is in breach of EU law. </w:t>
      </w:r>
      <w:r w:rsidR="00C37322">
        <w:rPr>
          <w:rFonts w:ascii="Times New Roman" w:hAnsi="Times New Roman"/>
        </w:rPr>
        <w:t>T</w:t>
      </w:r>
      <w:r w:rsidR="6030E4A0" w:rsidRPr="764750FE">
        <w:rPr>
          <w:rFonts w:ascii="Times New Roman" w:hAnsi="Times New Roman"/>
        </w:rPr>
        <w:t>he Commission then</w:t>
      </w:r>
      <w:r w:rsidR="3192EB43" w:rsidRPr="764750FE">
        <w:rPr>
          <w:rFonts w:ascii="Times New Roman" w:hAnsi="Times New Roman"/>
        </w:rPr>
        <w:t xml:space="preserve"> monitors </w:t>
      </w:r>
      <w:r w:rsidRPr="764750FE">
        <w:rPr>
          <w:rFonts w:ascii="Times New Roman" w:hAnsi="Times New Roman"/>
        </w:rPr>
        <w:t xml:space="preserve">how Member States </w:t>
      </w:r>
      <w:r w:rsidR="00C264D2">
        <w:rPr>
          <w:rFonts w:ascii="Times New Roman" w:hAnsi="Times New Roman"/>
        </w:rPr>
        <w:t>amend</w:t>
      </w:r>
      <w:r w:rsidR="00C264D2" w:rsidRPr="764750FE">
        <w:rPr>
          <w:rFonts w:ascii="Times New Roman" w:hAnsi="Times New Roman"/>
        </w:rPr>
        <w:t xml:space="preserve"> </w:t>
      </w:r>
      <w:r w:rsidRPr="764750FE">
        <w:rPr>
          <w:rFonts w:ascii="Times New Roman" w:hAnsi="Times New Roman"/>
        </w:rPr>
        <w:t xml:space="preserve">the </w:t>
      </w:r>
      <w:r w:rsidR="3192EB43" w:rsidRPr="764750FE">
        <w:rPr>
          <w:rFonts w:ascii="Times New Roman" w:hAnsi="Times New Roman"/>
        </w:rPr>
        <w:t>legislation</w:t>
      </w:r>
      <w:r w:rsidRPr="764750FE">
        <w:rPr>
          <w:rFonts w:ascii="Times New Roman" w:hAnsi="Times New Roman"/>
        </w:rPr>
        <w:t xml:space="preserve"> </w:t>
      </w:r>
      <w:r w:rsidR="046A1A74" w:rsidRPr="764750FE">
        <w:rPr>
          <w:rFonts w:ascii="Times New Roman" w:hAnsi="Times New Roman"/>
        </w:rPr>
        <w:t>deemed</w:t>
      </w:r>
      <w:r w:rsidRPr="764750FE">
        <w:rPr>
          <w:rFonts w:ascii="Times New Roman" w:hAnsi="Times New Roman"/>
        </w:rPr>
        <w:t xml:space="preserve"> by the Court as incompatible with EU law. </w:t>
      </w:r>
      <w:r w:rsidR="005D377A">
        <w:rPr>
          <w:rFonts w:ascii="Times New Roman" w:hAnsi="Times New Roman"/>
        </w:rPr>
        <w:t>If instances of non-compliance remain</w:t>
      </w:r>
      <w:r w:rsidRPr="764750FE">
        <w:rPr>
          <w:rFonts w:ascii="Times New Roman" w:hAnsi="Times New Roman"/>
        </w:rPr>
        <w:t>, the Commission may decide to open an infringement procedure based on the assessment of the Court.</w:t>
      </w:r>
    </w:p>
    <w:p w14:paraId="1810D4C0" w14:textId="0159A1FE" w:rsidR="00042DBB" w:rsidRDefault="00042DBB" w:rsidP="00BD29AC">
      <w:pPr>
        <w:widowControl w:val="0"/>
        <w:spacing w:after="120"/>
        <w:rPr>
          <w:rFonts w:ascii="Times New Roman" w:hAnsi="Times New Roman"/>
          <w:b/>
          <w:szCs w:val="24"/>
        </w:rPr>
      </w:pPr>
      <w:r>
        <w:rPr>
          <w:rFonts w:ascii="Times New Roman" w:hAnsi="Times New Roman"/>
          <w:b/>
          <w:szCs w:val="24"/>
        </w:rPr>
        <w:t>P</w:t>
      </w:r>
      <w:r w:rsidR="002C28A0">
        <w:rPr>
          <w:rFonts w:ascii="Times New Roman" w:hAnsi="Times New Roman"/>
          <w:b/>
          <w:szCs w:val="24"/>
        </w:rPr>
        <w:t>aragraph</w:t>
      </w:r>
      <w:r>
        <w:rPr>
          <w:rFonts w:ascii="Times New Roman" w:hAnsi="Times New Roman"/>
          <w:b/>
          <w:szCs w:val="24"/>
        </w:rPr>
        <w:t xml:space="preserve"> 9</w:t>
      </w:r>
      <w:r w:rsidR="007F25D0">
        <w:rPr>
          <w:rFonts w:ascii="Times New Roman" w:hAnsi="Times New Roman"/>
          <w:b/>
          <w:szCs w:val="24"/>
        </w:rPr>
        <w:t>, on strengthening the work of the Single Market Task Force in cooperation with SOLVIT</w:t>
      </w:r>
      <w:r w:rsidR="00430193">
        <w:rPr>
          <w:rFonts w:ascii="Times New Roman" w:hAnsi="Times New Roman"/>
          <w:b/>
          <w:szCs w:val="24"/>
        </w:rPr>
        <w:t xml:space="preserve"> </w:t>
      </w:r>
      <w:r w:rsidR="005F118C">
        <w:rPr>
          <w:rFonts w:ascii="Times New Roman" w:hAnsi="Times New Roman"/>
          <w:b/>
          <w:szCs w:val="24"/>
        </w:rPr>
        <w:t xml:space="preserve">and on </w:t>
      </w:r>
      <w:r w:rsidR="00083F39">
        <w:rPr>
          <w:rFonts w:ascii="Times New Roman" w:hAnsi="Times New Roman"/>
          <w:b/>
          <w:szCs w:val="24"/>
        </w:rPr>
        <w:t xml:space="preserve">a possible injunction system against </w:t>
      </w:r>
      <w:r w:rsidR="009B7778">
        <w:rPr>
          <w:rFonts w:ascii="Times New Roman" w:hAnsi="Times New Roman"/>
          <w:b/>
          <w:szCs w:val="24"/>
        </w:rPr>
        <w:t>public authorities</w:t>
      </w:r>
    </w:p>
    <w:p w14:paraId="234F9528" w14:textId="66A83548" w:rsidR="5565FA5F" w:rsidRDefault="3CA86941" w:rsidP="00BD29AC">
      <w:pPr>
        <w:spacing w:after="120"/>
        <w:rPr>
          <w:rFonts w:ascii="Times New Roman" w:hAnsi="Times New Roman"/>
        </w:rPr>
      </w:pPr>
      <w:r w:rsidRPr="764750FE">
        <w:rPr>
          <w:rFonts w:ascii="Times New Roman" w:hAnsi="Times New Roman"/>
        </w:rPr>
        <w:t>The Commission welcomes the Parliament’s call to further strengthen the cooperation between the Single Market Enforcement Task</w:t>
      </w:r>
      <w:r w:rsidR="005D2892">
        <w:rPr>
          <w:rFonts w:ascii="Times New Roman" w:hAnsi="Times New Roman"/>
        </w:rPr>
        <w:t>f</w:t>
      </w:r>
      <w:r w:rsidRPr="764750FE">
        <w:rPr>
          <w:rFonts w:ascii="Times New Roman" w:hAnsi="Times New Roman"/>
        </w:rPr>
        <w:t xml:space="preserve">orce (SMET) and the SOLVIT network. They both share the common objective of facilitating the smooth functioning of the single market by removing barriers and helping </w:t>
      </w:r>
      <w:r w:rsidR="49759609" w:rsidRPr="764750FE">
        <w:rPr>
          <w:rFonts w:ascii="Times New Roman" w:hAnsi="Times New Roman"/>
        </w:rPr>
        <w:t xml:space="preserve">people </w:t>
      </w:r>
      <w:r w:rsidRPr="764750FE">
        <w:rPr>
          <w:rFonts w:ascii="Times New Roman" w:hAnsi="Times New Roman"/>
        </w:rPr>
        <w:t xml:space="preserve">and businesses to solve problems they encounter when moving or doing business </w:t>
      </w:r>
      <w:r w:rsidR="00A65F9F">
        <w:rPr>
          <w:rFonts w:ascii="Times New Roman" w:hAnsi="Times New Roman"/>
        </w:rPr>
        <w:t>a</w:t>
      </w:r>
      <w:r w:rsidRPr="764750FE">
        <w:rPr>
          <w:rFonts w:ascii="Times New Roman" w:hAnsi="Times New Roman"/>
        </w:rPr>
        <w:t>cross</w:t>
      </w:r>
      <w:r w:rsidR="00A65F9F">
        <w:rPr>
          <w:rFonts w:ascii="Times New Roman" w:hAnsi="Times New Roman"/>
        </w:rPr>
        <w:t xml:space="preserve"> </w:t>
      </w:r>
      <w:r w:rsidRPr="764750FE">
        <w:rPr>
          <w:rFonts w:ascii="Times New Roman" w:hAnsi="Times New Roman"/>
        </w:rPr>
        <w:t>border</w:t>
      </w:r>
      <w:r w:rsidR="00A65F9F">
        <w:rPr>
          <w:rFonts w:ascii="Times New Roman" w:hAnsi="Times New Roman"/>
        </w:rPr>
        <w:t>s</w:t>
      </w:r>
      <w:r w:rsidRPr="764750FE">
        <w:rPr>
          <w:rFonts w:ascii="Times New Roman" w:hAnsi="Times New Roman"/>
        </w:rPr>
        <w:t xml:space="preserve">. The Commission is already exploring the synergies between </w:t>
      </w:r>
      <w:r w:rsidR="00C37322">
        <w:rPr>
          <w:rFonts w:ascii="Times New Roman" w:hAnsi="Times New Roman"/>
        </w:rPr>
        <w:t>the two bodies</w:t>
      </w:r>
      <w:r w:rsidRPr="764750FE">
        <w:rPr>
          <w:rFonts w:ascii="Times New Roman" w:hAnsi="Times New Roman"/>
        </w:rPr>
        <w:t>.</w:t>
      </w:r>
    </w:p>
    <w:p w14:paraId="041AE023" w14:textId="5E110B35" w:rsidR="5565FA5F" w:rsidRPr="007F25D0" w:rsidRDefault="5565FA5F" w:rsidP="00BD29AC">
      <w:pPr>
        <w:spacing w:after="120"/>
        <w:rPr>
          <w:rFonts w:ascii="Times New Roman" w:hAnsi="Times New Roman"/>
        </w:rPr>
      </w:pPr>
      <w:r w:rsidRPr="007F25D0">
        <w:rPr>
          <w:rFonts w:ascii="Times New Roman" w:hAnsi="Times New Roman"/>
        </w:rPr>
        <w:t xml:space="preserve">To further improve the functioning of SOLVIT and increase its effectiveness and efficiency in dealing with barriers </w:t>
      </w:r>
      <w:r w:rsidR="00FD68DB">
        <w:rPr>
          <w:rFonts w:ascii="Times New Roman" w:hAnsi="Times New Roman"/>
        </w:rPr>
        <w:t>in</w:t>
      </w:r>
      <w:r w:rsidR="00FD68DB" w:rsidRPr="007F25D0">
        <w:rPr>
          <w:rFonts w:ascii="Times New Roman" w:hAnsi="Times New Roman"/>
        </w:rPr>
        <w:t xml:space="preserve"> </w:t>
      </w:r>
      <w:r w:rsidRPr="007F25D0">
        <w:rPr>
          <w:rFonts w:ascii="Times New Roman" w:hAnsi="Times New Roman"/>
        </w:rPr>
        <w:t>the single market</w:t>
      </w:r>
      <w:r w:rsidR="00FD68DB">
        <w:rPr>
          <w:rFonts w:ascii="Times New Roman" w:hAnsi="Times New Roman"/>
        </w:rPr>
        <w:t>,</w:t>
      </w:r>
      <w:r w:rsidRPr="007F25D0">
        <w:rPr>
          <w:rFonts w:ascii="Times New Roman" w:hAnsi="Times New Roman"/>
        </w:rPr>
        <w:t xml:space="preserve"> Member States agreed in the SMET to use data and evidence from SOLVIT cases</w:t>
      </w:r>
      <w:r w:rsidR="00043531">
        <w:rPr>
          <w:rFonts w:ascii="Times New Roman" w:hAnsi="Times New Roman"/>
        </w:rPr>
        <w:t>. This should not only help the work</w:t>
      </w:r>
      <w:r w:rsidRPr="007F25D0">
        <w:rPr>
          <w:rFonts w:ascii="Times New Roman" w:hAnsi="Times New Roman"/>
        </w:rPr>
        <w:t xml:space="preserve"> on already identified priorities</w:t>
      </w:r>
      <w:r w:rsidR="00043531">
        <w:rPr>
          <w:rFonts w:ascii="Times New Roman" w:hAnsi="Times New Roman"/>
        </w:rPr>
        <w:t>, but also to propose</w:t>
      </w:r>
      <w:r w:rsidRPr="007F25D0">
        <w:rPr>
          <w:rFonts w:ascii="Times New Roman" w:hAnsi="Times New Roman"/>
        </w:rPr>
        <w:t xml:space="preserve"> new priorities for future work, to establish or reinforc</w:t>
      </w:r>
      <w:r w:rsidR="00A65F9F">
        <w:rPr>
          <w:rFonts w:ascii="Times New Roman" w:hAnsi="Times New Roman"/>
        </w:rPr>
        <w:t>e</w:t>
      </w:r>
      <w:r w:rsidRPr="007F25D0">
        <w:rPr>
          <w:rFonts w:ascii="Times New Roman" w:hAnsi="Times New Roman"/>
        </w:rPr>
        <w:t xml:space="preserve"> cooperation between SOLVIT centres and SMET members</w:t>
      </w:r>
      <w:r w:rsidR="00A65F9F">
        <w:rPr>
          <w:rFonts w:ascii="Times New Roman" w:hAnsi="Times New Roman"/>
        </w:rPr>
        <w:t>,</w:t>
      </w:r>
      <w:r w:rsidRPr="007F25D0">
        <w:rPr>
          <w:rFonts w:ascii="Times New Roman" w:hAnsi="Times New Roman"/>
        </w:rPr>
        <w:t xml:space="preserve"> as well as to improve the administrative capacity of SOLVIT centres</w:t>
      </w:r>
      <w:r w:rsidR="00A65F9F">
        <w:rPr>
          <w:rFonts w:ascii="Times New Roman" w:hAnsi="Times New Roman"/>
        </w:rPr>
        <w:t xml:space="preserve">. </w:t>
      </w:r>
      <w:r w:rsidRPr="007F25D0">
        <w:rPr>
          <w:rFonts w:ascii="Times New Roman" w:hAnsi="Times New Roman"/>
        </w:rPr>
        <w:t xml:space="preserve">SOLVIT experience </w:t>
      </w:r>
      <w:r w:rsidR="00A65F9F">
        <w:rPr>
          <w:rFonts w:ascii="Times New Roman" w:hAnsi="Times New Roman"/>
        </w:rPr>
        <w:t xml:space="preserve">can also be put to good use </w:t>
      </w:r>
      <w:r w:rsidRPr="007F25D0">
        <w:rPr>
          <w:rFonts w:ascii="Times New Roman" w:hAnsi="Times New Roman"/>
        </w:rPr>
        <w:t>in EU policy and compliance work at national level.</w:t>
      </w:r>
    </w:p>
    <w:p w14:paraId="184EC6D5" w14:textId="4A1B2634" w:rsidR="5565FA5F" w:rsidRPr="00EE52D5" w:rsidRDefault="3CA86941" w:rsidP="00BD29AC">
      <w:pPr>
        <w:widowControl w:val="0"/>
        <w:spacing w:after="120"/>
        <w:rPr>
          <w:rFonts w:ascii="Times New Roman" w:hAnsi="Times New Roman"/>
        </w:rPr>
      </w:pPr>
      <w:r w:rsidRPr="764750FE">
        <w:rPr>
          <w:rFonts w:ascii="Times New Roman" w:hAnsi="Times New Roman"/>
        </w:rPr>
        <w:t>The results of this cooperation will be published in the SMET annual report</w:t>
      </w:r>
      <w:r w:rsidR="228EA43C" w:rsidRPr="764750FE">
        <w:rPr>
          <w:rFonts w:ascii="Times New Roman" w:hAnsi="Times New Roman"/>
        </w:rPr>
        <w:t xml:space="preserve"> in the course of 2024</w:t>
      </w:r>
      <w:r w:rsidR="739AD2ED" w:rsidRPr="764750FE">
        <w:rPr>
          <w:rFonts w:ascii="Times New Roman" w:hAnsi="Times New Roman"/>
        </w:rPr>
        <w:t>,</w:t>
      </w:r>
      <w:r w:rsidRPr="764750FE">
        <w:rPr>
          <w:rFonts w:ascii="Times New Roman" w:hAnsi="Times New Roman"/>
        </w:rPr>
        <w:t xml:space="preserve"> which is addressed to the European Parliament and the Council</w:t>
      </w:r>
      <w:r w:rsidR="2774481A" w:rsidRPr="764750FE">
        <w:rPr>
          <w:rFonts w:ascii="Times New Roman" w:hAnsi="Times New Roman"/>
        </w:rPr>
        <w:t>.</w:t>
      </w:r>
    </w:p>
    <w:p w14:paraId="0104884A" w14:textId="5A8B8784" w:rsidR="002A0DA7" w:rsidRDefault="0072297D" w:rsidP="00BD29AC">
      <w:pPr>
        <w:widowControl w:val="0"/>
        <w:spacing w:after="120"/>
        <w:rPr>
          <w:rFonts w:ascii="Times New Roman" w:hAnsi="Times New Roman"/>
        </w:rPr>
      </w:pPr>
      <w:r>
        <w:rPr>
          <w:rFonts w:ascii="Times New Roman" w:hAnsi="Times New Roman"/>
        </w:rPr>
        <w:t>As regards the request for an injunction system, t</w:t>
      </w:r>
      <w:r w:rsidR="1F0F2C57" w:rsidRPr="764750FE">
        <w:rPr>
          <w:rFonts w:ascii="Times New Roman" w:hAnsi="Times New Roman"/>
        </w:rPr>
        <w:t>he Commission</w:t>
      </w:r>
      <w:r>
        <w:rPr>
          <w:rFonts w:ascii="Times New Roman" w:hAnsi="Times New Roman"/>
        </w:rPr>
        <w:t xml:space="preserve"> recalls that it</w:t>
      </w:r>
      <w:r w:rsidR="00AB7D5A">
        <w:rPr>
          <w:rFonts w:ascii="Times New Roman" w:hAnsi="Times New Roman"/>
        </w:rPr>
        <w:t xml:space="preserve">s role as </w:t>
      </w:r>
      <w:r w:rsidR="3192EB43" w:rsidRPr="764750FE">
        <w:rPr>
          <w:rFonts w:ascii="Times New Roman" w:hAnsi="Times New Roman"/>
        </w:rPr>
        <w:t xml:space="preserve">the </w:t>
      </w:r>
      <w:r w:rsidR="6103E27E" w:rsidRPr="764750FE">
        <w:rPr>
          <w:rFonts w:ascii="Times New Roman" w:hAnsi="Times New Roman"/>
        </w:rPr>
        <w:t>g</w:t>
      </w:r>
      <w:r w:rsidR="3192EB43" w:rsidRPr="764750FE">
        <w:rPr>
          <w:rFonts w:ascii="Times New Roman" w:hAnsi="Times New Roman"/>
        </w:rPr>
        <w:t xml:space="preserve">uardian of the Treaties, </w:t>
      </w:r>
      <w:r w:rsidR="00AB7D5A">
        <w:rPr>
          <w:rFonts w:ascii="Times New Roman" w:hAnsi="Times New Roman"/>
        </w:rPr>
        <w:t>is</w:t>
      </w:r>
      <w:r w:rsidR="3192EB43" w:rsidRPr="764750FE">
        <w:rPr>
          <w:rFonts w:ascii="Times New Roman" w:hAnsi="Times New Roman"/>
        </w:rPr>
        <w:t xml:space="preserve"> strictly defined and limited by the Treat</w:t>
      </w:r>
      <w:r w:rsidR="00AB7D5A">
        <w:rPr>
          <w:rFonts w:ascii="Times New Roman" w:hAnsi="Times New Roman"/>
        </w:rPr>
        <w:t>ies themselves</w:t>
      </w:r>
      <w:r w:rsidR="3192EB43" w:rsidRPr="764750FE">
        <w:rPr>
          <w:rFonts w:ascii="Times New Roman" w:hAnsi="Times New Roman"/>
        </w:rPr>
        <w:t xml:space="preserve">. </w:t>
      </w:r>
      <w:r w:rsidR="00AB7D5A" w:rsidRPr="764750FE">
        <w:rPr>
          <w:rFonts w:ascii="Times New Roman" w:hAnsi="Times New Roman"/>
        </w:rPr>
        <w:t>The</w:t>
      </w:r>
      <w:r w:rsidR="00AB7D5A">
        <w:rPr>
          <w:rFonts w:ascii="Times New Roman" w:hAnsi="Times New Roman"/>
        </w:rPr>
        <w:t xml:space="preserve"> powers conferred </w:t>
      </w:r>
      <w:r w:rsidR="00F51510">
        <w:rPr>
          <w:rFonts w:ascii="Times New Roman" w:hAnsi="Times New Roman"/>
        </w:rPr>
        <w:t>on</w:t>
      </w:r>
      <w:r w:rsidR="00AB7D5A">
        <w:rPr>
          <w:rFonts w:ascii="Times New Roman" w:hAnsi="Times New Roman"/>
        </w:rPr>
        <w:t xml:space="preserve"> the Commission</w:t>
      </w:r>
      <w:r w:rsidR="00AB7D5A" w:rsidRPr="764750FE">
        <w:rPr>
          <w:rFonts w:ascii="Times New Roman" w:hAnsi="Times New Roman"/>
        </w:rPr>
        <w:t xml:space="preserve"> </w:t>
      </w:r>
      <w:r w:rsidR="3192EB43" w:rsidRPr="764750FE">
        <w:rPr>
          <w:rFonts w:ascii="Times New Roman" w:hAnsi="Times New Roman"/>
        </w:rPr>
        <w:t>do not include the possibility to address injunctions or other directly enforceable requests to Member States.</w:t>
      </w:r>
    </w:p>
    <w:p w14:paraId="5C7C4F17" w14:textId="341FEBD6" w:rsidR="00042DBB" w:rsidRPr="00FC17B5" w:rsidRDefault="00F51510" w:rsidP="00BD29AC">
      <w:pPr>
        <w:widowControl w:val="0"/>
        <w:spacing w:after="120"/>
        <w:rPr>
          <w:rFonts w:ascii="Times New Roman" w:hAnsi="Times New Roman"/>
        </w:rPr>
      </w:pPr>
      <w:r>
        <w:rPr>
          <w:rFonts w:ascii="Times New Roman" w:hAnsi="Times New Roman"/>
        </w:rPr>
        <w:t>Nor do</w:t>
      </w:r>
      <w:r w:rsidR="1DCEB288" w:rsidRPr="764750FE">
        <w:rPr>
          <w:rFonts w:ascii="Times New Roman" w:hAnsi="Times New Roman"/>
        </w:rPr>
        <w:t xml:space="preserve"> </w:t>
      </w:r>
      <w:r>
        <w:rPr>
          <w:rFonts w:ascii="Times New Roman" w:hAnsi="Times New Roman"/>
        </w:rPr>
        <w:t>the remit</w:t>
      </w:r>
      <w:r w:rsidR="1DCEB288" w:rsidRPr="764750FE">
        <w:rPr>
          <w:rFonts w:ascii="Times New Roman" w:hAnsi="Times New Roman"/>
        </w:rPr>
        <w:t xml:space="preserve"> and powers of the </w:t>
      </w:r>
      <w:r w:rsidR="38A588AC" w:rsidRPr="764750FE">
        <w:rPr>
          <w:rFonts w:ascii="Times New Roman" w:hAnsi="Times New Roman"/>
        </w:rPr>
        <w:t>CJEU</w:t>
      </w:r>
      <w:r w:rsidR="0072297D">
        <w:rPr>
          <w:rFonts w:ascii="Times New Roman" w:hAnsi="Times New Roman"/>
        </w:rPr>
        <w:t xml:space="preserve"> </w:t>
      </w:r>
      <w:r w:rsidR="1DCEB288" w:rsidRPr="764750FE">
        <w:rPr>
          <w:rFonts w:ascii="Times New Roman" w:hAnsi="Times New Roman"/>
        </w:rPr>
        <w:t xml:space="preserve">include the possibility for the Court to issue injunctions to secure or clarify citizens’ rights or </w:t>
      </w:r>
      <w:r w:rsidR="7D915914" w:rsidRPr="764750FE">
        <w:rPr>
          <w:rFonts w:ascii="Times New Roman" w:hAnsi="Times New Roman"/>
        </w:rPr>
        <w:t xml:space="preserve">to </w:t>
      </w:r>
      <w:r w:rsidR="1DCEB288" w:rsidRPr="764750FE">
        <w:rPr>
          <w:rFonts w:ascii="Times New Roman" w:hAnsi="Times New Roman"/>
        </w:rPr>
        <w:t>rule in the context of simplified procedures</w:t>
      </w:r>
      <w:r>
        <w:rPr>
          <w:rFonts w:ascii="Times New Roman" w:hAnsi="Times New Roman"/>
        </w:rPr>
        <w:t>,</w:t>
      </w:r>
      <w:r w:rsidR="1DCEB288" w:rsidRPr="764750FE">
        <w:rPr>
          <w:rFonts w:ascii="Times New Roman" w:hAnsi="Times New Roman"/>
        </w:rPr>
        <w:t xml:space="preserve"> as envisaged in the resolution. However, the Rules of Procedure of the Court </w:t>
      </w:r>
      <w:r>
        <w:rPr>
          <w:rFonts w:ascii="Times New Roman" w:hAnsi="Times New Roman"/>
        </w:rPr>
        <w:t xml:space="preserve">do </w:t>
      </w:r>
      <w:r w:rsidR="1DCEB288" w:rsidRPr="764750FE">
        <w:rPr>
          <w:rFonts w:ascii="Times New Roman" w:hAnsi="Times New Roman"/>
        </w:rPr>
        <w:t xml:space="preserve">provide </w:t>
      </w:r>
      <w:r w:rsidR="2D33E13B" w:rsidRPr="764750FE">
        <w:rPr>
          <w:rFonts w:ascii="Times New Roman" w:hAnsi="Times New Roman"/>
        </w:rPr>
        <w:t>for an expedite</w:t>
      </w:r>
      <w:r w:rsidR="0072297D">
        <w:rPr>
          <w:rFonts w:ascii="Times New Roman" w:hAnsi="Times New Roman"/>
        </w:rPr>
        <w:t>d</w:t>
      </w:r>
      <w:r w:rsidR="2D33E13B" w:rsidRPr="764750FE">
        <w:rPr>
          <w:rFonts w:ascii="Times New Roman" w:hAnsi="Times New Roman"/>
        </w:rPr>
        <w:t xml:space="preserve"> and accelerated procedure upon request of the referring national </w:t>
      </w:r>
      <w:r w:rsidR="0F070420" w:rsidRPr="764750FE">
        <w:rPr>
          <w:rFonts w:ascii="Times New Roman" w:hAnsi="Times New Roman"/>
        </w:rPr>
        <w:t>c</w:t>
      </w:r>
      <w:r w:rsidR="2D33E13B" w:rsidRPr="764750FE">
        <w:rPr>
          <w:rFonts w:ascii="Times New Roman" w:hAnsi="Times New Roman"/>
        </w:rPr>
        <w:t xml:space="preserve">ourt or the party concerned in case of direct action. </w:t>
      </w:r>
    </w:p>
    <w:p w14:paraId="6E8E256D" w14:textId="47A7432A" w:rsidR="00042DBB" w:rsidRPr="00FB43EC" w:rsidRDefault="0082408A" w:rsidP="00BD29AC">
      <w:pPr>
        <w:pStyle w:val="NormalHanging0"/>
        <w:spacing w:after="120"/>
        <w:ind w:left="0" w:firstLine="0"/>
        <w:rPr>
          <w:b/>
          <w:i/>
        </w:rPr>
      </w:pPr>
      <w:r>
        <w:rPr>
          <w:b/>
          <w:i/>
        </w:rPr>
        <w:t>Second part</w:t>
      </w:r>
      <w:r w:rsidR="00B40730">
        <w:rPr>
          <w:b/>
          <w:i/>
        </w:rPr>
        <w:t xml:space="preserve">: </w:t>
      </w:r>
      <w:r w:rsidR="00042DBB" w:rsidRPr="00FB43EC">
        <w:rPr>
          <w:b/>
          <w:i/>
        </w:rPr>
        <w:t>harmonising the implementation of EU law</w:t>
      </w:r>
    </w:p>
    <w:p w14:paraId="785C2580" w14:textId="01071497" w:rsidR="00042DBB" w:rsidRPr="008F54C7" w:rsidRDefault="00042DBB" w:rsidP="00BD29AC">
      <w:pPr>
        <w:widowControl w:val="0"/>
        <w:spacing w:after="120"/>
        <w:rPr>
          <w:rFonts w:ascii="Times New Roman" w:hAnsi="Times New Roman"/>
          <w:bCs/>
          <w:i/>
          <w:iCs/>
          <w:szCs w:val="24"/>
        </w:rPr>
      </w:pPr>
      <w:r>
        <w:rPr>
          <w:rFonts w:ascii="Times New Roman" w:hAnsi="Times New Roman"/>
          <w:b/>
          <w:szCs w:val="24"/>
        </w:rPr>
        <w:t>P</w:t>
      </w:r>
      <w:r w:rsidR="002C28A0">
        <w:rPr>
          <w:rFonts w:ascii="Times New Roman" w:hAnsi="Times New Roman"/>
          <w:b/>
          <w:szCs w:val="24"/>
        </w:rPr>
        <w:t>aragraph</w:t>
      </w:r>
      <w:r>
        <w:rPr>
          <w:rFonts w:ascii="Times New Roman" w:hAnsi="Times New Roman"/>
          <w:b/>
          <w:szCs w:val="24"/>
        </w:rPr>
        <w:t xml:space="preserve"> 14</w:t>
      </w:r>
      <w:r w:rsidR="002F1697">
        <w:rPr>
          <w:rFonts w:ascii="Times New Roman" w:hAnsi="Times New Roman"/>
          <w:b/>
          <w:szCs w:val="24"/>
        </w:rPr>
        <w:t xml:space="preserve">, on monitoring and addressing </w:t>
      </w:r>
      <w:r w:rsidR="001F6E8A">
        <w:rPr>
          <w:rFonts w:ascii="Times New Roman" w:hAnsi="Times New Roman"/>
          <w:b/>
          <w:szCs w:val="24"/>
        </w:rPr>
        <w:t>gold-plating</w:t>
      </w:r>
    </w:p>
    <w:p w14:paraId="20234051" w14:textId="32F5F1F1" w:rsidR="006C2A4C" w:rsidRDefault="66E8BBB1" w:rsidP="00BD29AC">
      <w:pPr>
        <w:widowControl w:val="0"/>
        <w:spacing w:after="120"/>
        <w:rPr>
          <w:rFonts w:ascii="Times New Roman" w:hAnsi="Times New Roman"/>
        </w:rPr>
      </w:pPr>
      <w:r w:rsidRPr="764750FE">
        <w:rPr>
          <w:rFonts w:ascii="Times New Roman" w:hAnsi="Times New Roman"/>
        </w:rPr>
        <w:t xml:space="preserve">The Commission agrees </w:t>
      </w:r>
      <w:r w:rsidR="3FACDEDF" w:rsidRPr="764750FE">
        <w:rPr>
          <w:rFonts w:ascii="Times New Roman" w:hAnsi="Times New Roman"/>
        </w:rPr>
        <w:t>that inefficient or excessive additional requirements added at national level (</w:t>
      </w:r>
      <w:r w:rsidR="0096026A">
        <w:rPr>
          <w:rFonts w:ascii="Times New Roman" w:hAnsi="Times New Roman"/>
        </w:rPr>
        <w:t>known as</w:t>
      </w:r>
      <w:r w:rsidR="3FACDEDF" w:rsidRPr="764750FE">
        <w:rPr>
          <w:rFonts w:ascii="Times New Roman" w:hAnsi="Times New Roman"/>
        </w:rPr>
        <w:t xml:space="preserve"> gold</w:t>
      </w:r>
      <w:r w:rsidR="1D6F93D7" w:rsidRPr="764750FE">
        <w:rPr>
          <w:rFonts w:ascii="Times New Roman" w:hAnsi="Times New Roman"/>
        </w:rPr>
        <w:t>-</w:t>
      </w:r>
      <w:r w:rsidR="3FACDEDF" w:rsidRPr="764750FE">
        <w:rPr>
          <w:rFonts w:ascii="Times New Roman" w:hAnsi="Times New Roman"/>
        </w:rPr>
        <w:t xml:space="preserve">plating) can have detrimental effects. </w:t>
      </w:r>
      <w:r w:rsidR="002C28A0">
        <w:rPr>
          <w:rFonts w:ascii="Times New Roman" w:hAnsi="Times New Roman"/>
        </w:rPr>
        <w:t>It</w:t>
      </w:r>
      <w:r w:rsidR="3FACDEDF" w:rsidRPr="764750FE">
        <w:rPr>
          <w:rFonts w:ascii="Times New Roman" w:hAnsi="Times New Roman"/>
        </w:rPr>
        <w:t xml:space="preserve"> has therefore </w:t>
      </w:r>
      <w:r w:rsidR="00F51510">
        <w:rPr>
          <w:rFonts w:ascii="Times New Roman" w:hAnsi="Times New Roman"/>
        </w:rPr>
        <w:lastRenderedPageBreak/>
        <w:t xml:space="preserve">repeatedly </w:t>
      </w:r>
      <w:r w:rsidR="3FACDEDF" w:rsidRPr="764750FE">
        <w:rPr>
          <w:rFonts w:ascii="Times New Roman" w:hAnsi="Times New Roman"/>
        </w:rPr>
        <w:t xml:space="preserve">called </w:t>
      </w:r>
      <w:r w:rsidRPr="764750FE">
        <w:rPr>
          <w:rFonts w:ascii="Times New Roman" w:hAnsi="Times New Roman"/>
        </w:rPr>
        <w:t xml:space="preserve">for a closer cooperation with </w:t>
      </w:r>
      <w:r w:rsidR="002C28A0">
        <w:rPr>
          <w:rFonts w:ascii="Times New Roman" w:hAnsi="Times New Roman"/>
        </w:rPr>
        <w:t xml:space="preserve">the </w:t>
      </w:r>
      <w:r w:rsidRPr="764750FE">
        <w:rPr>
          <w:rFonts w:ascii="Times New Roman" w:hAnsi="Times New Roman"/>
        </w:rPr>
        <w:t>Member States to avoid problems related to</w:t>
      </w:r>
      <w:r w:rsidR="3FACDEDF" w:rsidRPr="764750FE">
        <w:rPr>
          <w:rFonts w:ascii="Times New Roman" w:hAnsi="Times New Roman"/>
        </w:rPr>
        <w:t xml:space="preserve"> </w:t>
      </w:r>
      <w:r w:rsidR="31EB3E97" w:rsidRPr="764750FE">
        <w:rPr>
          <w:rFonts w:ascii="Times New Roman" w:hAnsi="Times New Roman"/>
        </w:rPr>
        <w:t>this issue</w:t>
      </w:r>
      <w:r w:rsidR="3FACDEDF" w:rsidRPr="764750FE">
        <w:rPr>
          <w:rFonts w:ascii="Times New Roman" w:hAnsi="Times New Roman"/>
        </w:rPr>
        <w:t xml:space="preserve">. In </w:t>
      </w:r>
      <w:r w:rsidRPr="764750FE">
        <w:rPr>
          <w:rFonts w:ascii="Times New Roman" w:hAnsi="Times New Roman"/>
        </w:rPr>
        <w:t xml:space="preserve">its </w:t>
      </w:r>
      <w:hyperlink r:id="rId19">
        <w:r w:rsidRPr="764750FE">
          <w:rPr>
            <w:rStyle w:val="Hyperlink"/>
            <w:rFonts w:ascii="Times New Roman" w:hAnsi="Times New Roman"/>
          </w:rPr>
          <w:t>Communication</w:t>
        </w:r>
        <w:r w:rsidRPr="764750FE">
          <w:rPr>
            <w:rStyle w:val="Hyperlink"/>
          </w:rPr>
          <w:t xml:space="preserve"> </w:t>
        </w:r>
        <w:r w:rsidRPr="764750FE">
          <w:rPr>
            <w:rStyle w:val="Hyperlink"/>
            <w:rFonts w:ascii="Times New Roman" w:hAnsi="Times New Roman"/>
          </w:rPr>
          <w:t>Better Regulation: Joining forces to make better laws</w:t>
        </w:r>
      </w:hyperlink>
      <w:r w:rsidR="3FACDEDF" w:rsidRPr="764750FE">
        <w:rPr>
          <w:rFonts w:ascii="Times New Roman" w:hAnsi="Times New Roman"/>
        </w:rPr>
        <w:t xml:space="preserve"> the Commission has stressed that better regulation is a shared objective and </w:t>
      </w:r>
      <w:r w:rsidR="00F51510">
        <w:rPr>
          <w:rFonts w:ascii="Times New Roman" w:hAnsi="Times New Roman"/>
        </w:rPr>
        <w:t xml:space="preserve">it is the </w:t>
      </w:r>
      <w:r w:rsidR="3FACDEDF" w:rsidRPr="764750FE">
        <w:rPr>
          <w:rFonts w:ascii="Times New Roman" w:hAnsi="Times New Roman"/>
        </w:rPr>
        <w:t>responsibility of all EU institutions to work together to assess and monitor the impact of EU legislation.</w:t>
      </w:r>
    </w:p>
    <w:p w14:paraId="5F005204" w14:textId="5276817F" w:rsidR="00042DBB" w:rsidRPr="008F54C7" w:rsidRDefault="3FACDEDF" w:rsidP="00BD29AC">
      <w:pPr>
        <w:widowControl w:val="0"/>
        <w:spacing w:after="120"/>
        <w:rPr>
          <w:rFonts w:ascii="Times New Roman" w:hAnsi="Times New Roman"/>
        </w:rPr>
      </w:pPr>
      <w:r w:rsidRPr="764750FE">
        <w:rPr>
          <w:rFonts w:ascii="Times New Roman" w:hAnsi="Times New Roman"/>
        </w:rPr>
        <w:t xml:space="preserve">The Commission reiterated that it is ready to cooperate closely with national authorities on EU </w:t>
      </w:r>
      <w:r w:rsidR="00C94C03" w:rsidRPr="764750FE">
        <w:rPr>
          <w:rFonts w:ascii="Times New Roman" w:hAnsi="Times New Roman"/>
        </w:rPr>
        <w:t>policy</w:t>
      </w:r>
      <w:r w:rsidR="00C94C03">
        <w:rPr>
          <w:rFonts w:ascii="Times New Roman" w:hAnsi="Times New Roman"/>
        </w:rPr>
        <w:t>making</w:t>
      </w:r>
      <w:r w:rsidRPr="764750FE">
        <w:rPr>
          <w:rFonts w:ascii="Times New Roman" w:hAnsi="Times New Roman"/>
        </w:rPr>
        <w:t xml:space="preserve"> to improve the effectiveness and efficiency of </w:t>
      </w:r>
      <w:r w:rsidR="0B4434EF" w:rsidRPr="764750FE">
        <w:rPr>
          <w:rFonts w:ascii="Times New Roman" w:hAnsi="Times New Roman"/>
        </w:rPr>
        <w:t xml:space="preserve">the implementation of </w:t>
      </w:r>
      <w:r w:rsidRPr="764750FE">
        <w:rPr>
          <w:rFonts w:ascii="Times New Roman" w:hAnsi="Times New Roman"/>
        </w:rPr>
        <w:t>EU laws</w:t>
      </w:r>
      <w:r w:rsidR="66E8BBB1" w:rsidRPr="764750FE">
        <w:rPr>
          <w:rFonts w:ascii="Times New Roman" w:hAnsi="Times New Roman"/>
        </w:rPr>
        <w:t xml:space="preserve">. While Member States can adapt EU legislation to their </w:t>
      </w:r>
      <w:r w:rsidR="6A96A787" w:rsidRPr="764750FE">
        <w:rPr>
          <w:rFonts w:ascii="Times New Roman" w:hAnsi="Times New Roman"/>
        </w:rPr>
        <w:t xml:space="preserve">national </w:t>
      </w:r>
      <w:r w:rsidR="66E8BBB1" w:rsidRPr="764750FE">
        <w:rPr>
          <w:rFonts w:ascii="Times New Roman" w:hAnsi="Times New Roman"/>
        </w:rPr>
        <w:t xml:space="preserve">specificities, the Commission considers that all efforts need to be deployed </w:t>
      </w:r>
      <w:r w:rsidRPr="764750FE">
        <w:rPr>
          <w:rFonts w:ascii="Times New Roman" w:hAnsi="Times New Roman"/>
        </w:rPr>
        <w:t xml:space="preserve">by </w:t>
      </w:r>
      <w:r w:rsidR="002C28A0">
        <w:rPr>
          <w:rFonts w:ascii="Times New Roman" w:hAnsi="Times New Roman"/>
        </w:rPr>
        <w:t xml:space="preserve">the </w:t>
      </w:r>
      <w:r w:rsidRPr="764750FE">
        <w:rPr>
          <w:rFonts w:ascii="Times New Roman" w:hAnsi="Times New Roman"/>
        </w:rPr>
        <w:t xml:space="preserve">Member States </w:t>
      </w:r>
      <w:r w:rsidR="66E8BBB1" w:rsidRPr="764750FE">
        <w:rPr>
          <w:rFonts w:ascii="Times New Roman" w:hAnsi="Times New Roman"/>
        </w:rPr>
        <w:t xml:space="preserve">to </w:t>
      </w:r>
      <w:r w:rsidRPr="764750FE">
        <w:rPr>
          <w:rFonts w:ascii="Times New Roman" w:hAnsi="Times New Roman"/>
        </w:rPr>
        <w:t xml:space="preserve">assess the impacts of </w:t>
      </w:r>
      <w:r w:rsidR="66E8BBB1" w:rsidRPr="764750FE">
        <w:rPr>
          <w:rFonts w:ascii="Times New Roman" w:hAnsi="Times New Roman"/>
        </w:rPr>
        <w:t>additional national provisions</w:t>
      </w:r>
      <w:r w:rsidRPr="764750FE">
        <w:rPr>
          <w:rFonts w:ascii="Times New Roman" w:hAnsi="Times New Roman"/>
        </w:rPr>
        <w:t xml:space="preserve"> on stakeholders. The Commission</w:t>
      </w:r>
      <w:r w:rsidR="31BBEC20" w:rsidRPr="764750FE">
        <w:rPr>
          <w:rFonts w:ascii="Times New Roman" w:hAnsi="Times New Roman"/>
        </w:rPr>
        <w:t>’s</w:t>
      </w:r>
      <w:r w:rsidRPr="764750FE">
        <w:rPr>
          <w:rFonts w:ascii="Times New Roman" w:hAnsi="Times New Roman"/>
        </w:rPr>
        <w:t xml:space="preserve"> </w:t>
      </w:r>
      <w:r w:rsidR="3930CFE0" w:rsidRPr="764750FE">
        <w:rPr>
          <w:rFonts w:ascii="Times New Roman" w:hAnsi="Times New Roman"/>
        </w:rPr>
        <w:t>B</w:t>
      </w:r>
      <w:r w:rsidRPr="764750FE">
        <w:rPr>
          <w:rFonts w:ascii="Times New Roman" w:hAnsi="Times New Roman"/>
        </w:rPr>
        <w:t xml:space="preserve">etter </w:t>
      </w:r>
      <w:r w:rsidR="03B48F12" w:rsidRPr="764750FE">
        <w:rPr>
          <w:rFonts w:ascii="Times New Roman" w:hAnsi="Times New Roman"/>
        </w:rPr>
        <w:t>R</w:t>
      </w:r>
      <w:r w:rsidRPr="764750FE">
        <w:rPr>
          <w:rFonts w:ascii="Times New Roman" w:hAnsi="Times New Roman"/>
        </w:rPr>
        <w:t xml:space="preserve">egulation system, which </w:t>
      </w:r>
      <w:r w:rsidR="00F34ED6">
        <w:rPr>
          <w:rFonts w:ascii="Times New Roman" w:hAnsi="Times New Roman"/>
        </w:rPr>
        <w:t>has been assessed as</w:t>
      </w:r>
      <w:r w:rsidRPr="764750FE">
        <w:rPr>
          <w:rFonts w:ascii="Times New Roman" w:hAnsi="Times New Roman"/>
        </w:rPr>
        <w:t xml:space="preserve"> among the best in the world by the</w:t>
      </w:r>
      <w:r w:rsidR="002C28A0">
        <w:rPr>
          <w:rFonts w:ascii="Times New Roman" w:hAnsi="Times New Roman"/>
        </w:rPr>
        <w:t xml:space="preserve"> </w:t>
      </w:r>
      <w:r w:rsidR="002C28A0" w:rsidRPr="002C28A0">
        <w:rPr>
          <w:rFonts w:ascii="Times New Roman" w:hAnsi="Times New Roman"/>
        </w:rPr>
        <w:t>Organisation for Economic Co-operation and Development</w:t>
      </w:r>
      <w:r w:rsidRPr="764750FE">
        <w:rPr>
          <w:rFonts w:ascii="Times New Roman" w:hAnsi="Times New Roman"/>
        </w:rPr>
        <w:t xml:space="preserve"> </w:t>
      </w:r>
      <w:r w:rsidR="002C28A0">
        <w:rPr>
          <w:rFonts w:ascii="Times New Roman" w:hAnsi="Times New Roman"/>
        </w:rPr>
        <w:t>(</w:t>
      </w:r>
      <w:r w:rsidRPr="764750FE">
        <w:rPr>
          <w:rFonts w:ascii="Times New Roman" w:hAnsi="Times New Roman"/>
        </w:rPr>
        <w:t>OECD</w:t>
      </w:r>
      <w:r w:rsidR="002C28A0">
        <w:rPr>
          <w:rFonts w:ascii="Times New Roman" w:hAnsi="Times New Roman"/>
        </w:rPr>
        <w:t>)</w:t>
      </w:r>
      <w:r w:rsidRPr="764750FE">
        <w:rPr>
          <w:rFonts w:ascii="Times New Roman" w:hAnsi="Times New Roman"/>
        </w:rPr>
        <w:t xml:space="preserve">, can serve as a starting point for Member States to </w:t>
      </w:r>
      <w:r w:rsidR="5769151C" w:rsidRPr="764750FE">
        <w:rPr>
          <w:rFonts w:ascii="Times New Roman" w:hAnsi="Times New Roman"/>
        </w:rPr>
        <w:t>perform</w:t>
      </w:r>
      <w:r w:rsidRPr="764750FE">
        <w:rPr>
          <w:rFonts w:ascii="Times New Roman" w:hAnsi="Times New Roman"/>
        </w:rPr>
        <w:t xml:space="preserve"> this additional analysis.</w:t>
      </w:r>
    </w:p>
    <w:p w14:paraId="16696789" w14:textId="7F365B68" w:rsidR="006C2A4C" w:rsidRPr="006C2A4C" w:rsidRDefault="006C2A4C" w:rsidP="00BD29AC">
      <w:pPr>
        <w:widowControl w:val="0"/>
        <w:spacing w:after="120"/>
        <w:rPr>
          <w:rFonts w:ascii="Times New Roman" w:hAnsi="Times New Roman"/>
          <w:bCs/>
          <w:szCs w:val="24"/>
        </w:rPr>
      </w:pPr>
      <w:r w:rsidRPr="006C2A4C">
        <w:rPr>
          <w:rFonts w:ascii="Times New Roman" w:hAnsi="Times New Roman"/>
          <w:bCs/>
          <w:szCs w:val="24"/>
        </w:rPr>
        <w:t xml:space="preserve">Commission services, when examining the Member States’ transposition measures, </w:t>
      </w:r>
      <w:r w:rsidR="00F51510">
        <w:rPr>
          <w:rFonts w:ascii="Times New Roman" w:hAnsi="Times New Roman"/>
          <w:bCs/>
          <w:szCs w:val="24"/>
        </w:rPr>
        <w:t>verify whether</w:t>
      </w:r>
      <w:r w:rsidRPr="006C2A4C">
        <w:rPr>
          <w:rFonts w:ascii="Times New Roman" w:hAnsi="Times New Roman"/>
          <w:bCs/>
          <w:szCs w:val="24"/>
        </w:rPr>
        <w:t xml:space="preserve"> </w:t>
      </w:r>
      <w:r w:rsidR="00F51510">
        <w:rPr>
          <w:rFonts w:ascii="Times New Roman" w:hAnsi="Times New Roman"/>
          <w:bCs/>
          <w:szCs w:val="24"/>
        </w:rPr>
        <w:t>a</w:t>
      </w:r>
      <w:r w:rsidRPr="006C2A4C">
        <w:rPr>
          <w:rFonts w:ascii="Times New Roman" w:hAnsi="Times New Roman"/>
          <w:bCs/>
          <w:szCs w:val="24"/>
        </w:rPr>
        <w:t xml:space="preserve"> directive is completely and correctly transposed. </w:t>
      </w:r>
      <w:r w:rsidR="00915AE5">
        <w:rPr>
          <w:rFonts w:ascii="Times New Roman" w:hAnsi="Times New Roman"/>
          <w:bCs/>
          <w:szCs w:val="24"/>
        </w:rPr>
        <w:t xml:space="preserve">The assessment </w:t>
      </w:r>
      <w:r w:rsidR="006B5060">
        <w:rPr>
          <w:rFonts w:ascii="Times New Roman" w:hAnsi="Times New Roman"/>
          <w:bCs/>
          <w:szCs w:val="24"/>
        </w:rPr>
        <w:t>also covers possible instances of</w:t>
      </w:r>
      <w:r w:rsidR="00915AE5">
        <w:rPr>
          <w:rFonts w:ascii="Times New Roman" w:hAnsi="Times New Roman"/>
          <w:bCs/>
          <w:szCs w:val="24"/>
        </w:rPr>
        <w:t xml:space="preserve"> gold-plating. </w:t>
      </w:r>
      <w:r w:rsidRPr="006C2A4C">
        <w:rPr>
          <w:rFonts w:ascii="Times New Roman" w:hAnsi="Times New Roman"/>
          <w:bCs/>
          <w:szCs w:val="24"/>
        </w:rPr>
        <w:t>If national measures are identified that are not conform to the objectives of the directive, they can be addressed by an infringement procedure based on Articles 258 to 260 TFEU.</w:t>
      </w:r>
      <w:r w:rsidR="00915AE5">
        <w:rPr>
          <w:rFonts w:ascii="Times New Roman" w:hAnsi="Times New Roman"/>
          <w:bCs/>
          <w:szCs w:val="24"/>
        </w:rPr>
        <w:t xml:space="preserve"> Similarly, if additional requirements are not justified or proportionate, the Commission may decide to take formal steps against Member States.</w:t>
      </w:r>
      <w:r w:rsidRPr="006C2A4C">
        <w:rPr>
          <w:rFonts w:ascii="Times New Roman" w:hAnsi="Times New Roman"/>
          <w:bCs/>
          <w:szCs w:val="24"/>
        </w:rPr>
        <w:t xml:space="preserve"> </w:t>
      </w:r>
    </w:p>
    <w:p w14:paraId="08004477" w14:textId="2752BEC1" w:rsidR="00C272A5" w:rsidRDefault="4854151A" w:rsidP="00BD29AC">
      <w:pPr>
        <w:widowControl w:val="0"/>
        <w:spacing w:after="120"/>
        <w:rPr>
          <w:rFonts w:ascii="Times New Roman" w:hAnsi="Times New Roman"/>
        </w:rPr>
      </w:pPr>
      <w:r w:rsidRPr="764750FE">
        <w:rPr>
          <w:rFonts w:ascii="Times New Roman" w:hAnsi="Times New Roman"/>
        </w:rPr>
        <w:t xml:space="preserve">In the </w:t>
      </w:r>
      <w:hyperlink r:id="rId20" w:history="1">
        <w:r w:rsidR="00F80276" w:rsidRPr="00F80276">
          <w:rPr>
            <w:rStyle w:val="Hyperlink"/>
            <w:rFonts w:ascii="Times New Roman" w:hAnsi="Times New Roman"/>
          </w:rPr>
          <w:t xml:space="preserve">Communication </w:t>
        </w:r>
        <w:r w:rsidRPr="00F80276">
          <w:rPr>
            <w:rStyle w:val="Hyperlink"/>
            <w:rFonts w:ascii="Times New Roman" w:hAnsi="Times New Roman"/>
          </w:rPr>
          <w:t>on identifying and addressing barriers to the single market</w:t>
        </w:r>
      </w:hyperlink>
      <w:r w:rsidR="00F80276">
        <w:rPr>
          <w:rFonts w:ascii="Times New Roman" w:hAnsi="Times New Roman"/>
        </w:rPr>
        <w:t xml:space="preserve"> (</w:t>
      </w:r>
      <w:r w:rsidR="00F80276" w:rsidRPr="00F80276">
        <w:rPr>
          <w:rFonts w:ascii="Times New Roman" w:hAnsi="Times New Roman"/>
        </w:rPr>
        <w:t>COM/2020/93 final)</w:t>
      </w:r>
      <w:r w:rsidRPr="764750FE">
        <w:rPr>
          <w:rFonts w:ascii="Times New Roman" w:hAnsi="Times New Roman"/>
        </w:rPr>
        <w:t>, the Commission highlighted that gold</w:t>
      </w:r>
      <w:r w:rsidR="306679A1" w:rsidRPr="764750FE">
        <w:rPr>
          <w:rFonts w:ascii="Times New Roman" w:hAnsi="Times New Roman"/>
        </w:rPr>
        <w:t>-</w:t>
      </w:r>
      <w:r w:rsidRPr="764750FE">
        <w:rPr>
          <w:rFonts w:ascii="Times New Roman" w:hAnsi="Times New Roman"/>
        </w:rPr>
        <w:t xml:space="preserve">plating often translates into additional regulatory or administrative burden for consumers and businesses, with a particular impact on SMEs. It also called on </w:t>
      </w:r>
      <w:r w:rsidR="00D726B2" w:rsidRPr="764750FE">
        <w:rPr>
          <w:rFonts w:ascii="Times New Roman" w:hAnsi="Times New Roman"/>
        </w:rPr>
        <w:t>the</w:t>
      </w:r>
      <w:r w:rsidR="00D726B2">
        <w:rPr>
          <w:rFonts w:ascii="Times New Roman" w:hAnsi="Times New Roman"/>
        </w:rPr>
        <w:t xml:space="preserve"> Member States</w:t>
      </w:r>
      <w:r w:rsidR="00D726B2" w:rsidRPr="764750FE">
        <w:rPr>
          <w:rFonts w:ascii="Times New Roman" w:hAnsi="Times New Roman"/>
        </w:rPr>
        <w:t xml:space="preserve"> </w:t>
      </w:r>
      <w:r w:rsidRPr="764750FE">
        <w:rPr>
          <w:rFonts w:ascii="Times New Roman" w:hAnsi="Times New Roman"/>
        </w:rPr>
        <w:t xml:space="preserve">to intensify their simplification efforts and reduce unnecessary administrative burden. Unjustified barriers </w:t>
      </w:r>
      <w:r w:rsidR="00D726B2">
        <w:rPr>
          <w:rFonts w:ascii="Times New Roman" w:hAnsi="Times New Roman"/>
        </w:rPr>
        <w:t>in</w:t>
      </w:r>
      <w:r w:rsidRPr="764750FE">
        <w:rPr>
          <w:rFonts w:ascii="Times New Roman" w:hAnsi="Times New Roman"/>
        </w:rPr>
        <w:t xml:space="preserve"> the single market can also be identified and tackled in the SMET.</w:t>
      </w:r>
    </w:p>
    <w:p w14:paraId="4056B150" w14:textId="0A3C7055" w:rsidR="00522221" w:rsidRDefault="00522221" w:rsidP="00BD29AC">
      <w:pPr>
        <w:widowControl w:val="0"/>
        <w:spacing w:after="120"/>
        <w:rPr>
          <w:rFonts w:ascii="Times New Roman" w:hAnsi="Times New Roman"/>
          <w:b/>
          <w:szCs w:val="24"/>
        </w:rPr>
      </w:pPr>
      <w:r>
        <w:rPr>
          <w:rFonts w:ascii="Times New Roman" w:hAnsi="Times New Roman"/>
          <w:b/>
          <w:szCs w:val="24"/>
        </w:rPr>
        <w:t>P</w:t>
      </w:r>
      <w:r w:rsidR="002C28A0">
        <w:rPr>
          <w:rFonts w:ascii="Times New Roman" w:hAnsi="Times New Roman"/>
          <w:b/>
          <w:szCs w:val="24"/>
        </w:rPr>
        <w:t>aragraph</w:t>
      </w:r>
      <w:r>
        <w:rPr>
          <w:rFonts w:ascii="Times New Roman" w:hAnsi="Times New Roman"/>
          <w:b/>
          <w:szCs w:val="24"/>
        </w:rPr>
        <w:t xml:space="preserve"> 15</w:t>
      </w:r>
      <w:r w:rsidR="004D2B6A">
        <w:rPr>
          <w:rFonts w:ascii="Times New Roman" w:hAnsi="Times New Roman"/>
          <w:b/>
          <w:szCs w:val="24"/>
        </w:rPr>
        <w:t xml:space="preserve">, on </w:t>
      </w:r>
      <w:r w:rsidR="00970141">
        <w:rPr>
          <w:rFonts w:ascii="Times New Roman" w:hAnsi="Times New Roman"/>
          <w:b/>
          <w:szCs w:val="24"/>
        </w:rPr>
        <w:t xml:space="preserve">favouring </w:t>
      </w:r>
      <w:r w:rsidR="004D2B6A">
        <w:rPr>
          <w:rFonts w:ascii="Times New Roman" w:hAnsi="Times New Roman"/>
          <w:b/>
          <w:szCs w:val="24"/>
        </w:rPr>
        <w:t>an increased use of regulations instead of directives</w:t>
      </w:r>
    </w:p>
    <w:p w14:paraId="38770962" w14:textId="4BAE297F" w:rsidR="00D00B98" w:rsidRDefault="088DFF52" w:rsidP="00BD29AC">
      <w:pPr>
        <w:widowControl w:val="0"/>
        <w:spacing w:after="120"/>
        <w:rPr>
          <w:rFonts w:ascii="Times New Roman" w:hAnsi="Times New Roman"/>
        </w:rPr>
      </w:pPr>
      <w:bookmarkStart w:id="1" w:name="_Hlk155775753"/>
      <w:r w:rsidRPr="764750FE">
        <w:rPr>
          <w:rFonts w:ascii="Times New Roman" w:hAnsi="Times New Roman"/>
        </w:rPr>
        <w:t xml:space="preserve">The Commission agrees that legal clarity and legal certainty are essential elements for </w:t>
      </w:r>
      <w:r w:rsidR="006B5060">
        <w:rPr>
          <w:rFonts w:ascii="Times New Roman" w:hAnsi="Times New Roman"/>
        </w:rPr>
        <w:t xml:space="preserve">the </w:t>
      </w:r>
      <w:r w:rsidRPr="764750FE">
        <w:rPr>
          <w:rFonts w:ascii="Times New Roman" w:hAnsi="Times New Roman"/>
        </w:rPr>
        <w:t>correct transposition, interpretation</w:t>
      </w:r>
      <w:r w:rsidR="002C28A0">
        <w:rPr>
          <w:rFonts w:ascii="Times New Roman" w:hAnsi="Times New Roman"/>
        </w:rPr>
        <w:t>,</w:t>
      </w:r>
      <w:r w:rsidRPr="764750FE">
        <w:rPr>
          <w:rFonts w:ascii="Times New Roman" w:hAnsi="Times New Roman"/>
        </w:rPr>
        <w:t xml:space="preserve"> and daily application of EU law</w:t>
      </w:r>
      <w:r w:rsidR="3BC77004" w:rsidRPr="764750FE">
        <w:rPr>
          <w:rFonts w:ascii="Times New Roman" w:hAnsi="Times New Roman"/>
        </w:rPr>
        <w:t xml:space="preserve">. It strives for very </w:t>
      </w:r>
      <w:r w:rsidR="005D2892" w:rsidRPr="764750FE">
        <w:rPr>
          <w:rFonts w:ascii="Times New Roman" w:hAnsi="Times New Roman"/>
        </w:rPr>
        <w:t>high</w:t>
      </w:r>
      <w:r w:rsidR="005D2892">
        <w:rPr>
          <w:rFonts w:ascii="Times New Roman" w:hAnsi="Times New Roman"/>
        </w:rPr>
        <w:t>-quality</w:t>
      </w:r>
      <w:r w:rsidR="3BC77004" w:rsidRPr="764750FE">
        <w:rPr>
          <w:rFonts w:ascii="Times New Roman" w:hAnsi="Times New Roman"/>
        </w:rPr>
        <w:t xml:space="preserve"> standards in all its proposals</w:t>
      </w:r>
      <w:r w:rsidR="74296C90" w:rsidRPr="764750FE">
        <w:rPr>
          <w:rFonts w:ascii="Times New Roman" w:hAnsi="Times New Roman"/>
        </w:rPr>
        <w:t xml:space="preserve"> and </w:t>
      </w:r>
      <w:r w:rsidR="3BC77004" w:rsidRPr="764750FE">
        <w:rPr>
          <w:rFonts w:ascii="Times New Roman" w:hAnsi="Times New Roman"/>
        </w:rPr>
        <w:t>is always ready to assist national authorities</w:t>
      </w:r>
      <w:r w:rsidR="13D5C612" w:rsidRPr="764750FE">
        <w:rPr>
          <w:rFonts w:ascii="Times New Roman" w:hAnsi="Times New Roman"/>
        </w:rPr>
        <w:t xml:space="preserve"> in the transposition or application process</w:t>
      </w:r>
      <w:r w:rsidR="006B5060">
        <w:rPr>
          <w:rFonts w:ascii="Times New Roman" w:hAnsi="Times New Roman"/>
        </w:rPr>
        <w:t>.</w:t>
      </w:r>
    </w:p>
    <w:p w14:paraId="2FC5001D" w14:textId="737ADBF2" w:rsidR="00C44393" w:rsidRPr="008F54C7" w:rsidRDefault="66E8BBB1" w:rsidP="00BD29AC">
      <w:pPr>
        <w:widowControl w:val="0"/>
        <w:spacing w:after="120"/>
        <w:rPr>
          <w:rFonts w:ascii="Times New Roman" w:hAnsi="Times New Roman"/>
        </w:rPr>
      </w:pPr>
      <w:r w:rsidRPr="764750FE">
        <w:rPr>
          <w:rFonts w:ascii="Times New Roman" w:hAnsi="Times New Roman"/>
        </w:rPr>
        <w:t>In accordance with its better regulation rules</w:t>
      </w:r>
      <w:r w:rsidR="2685571C" w:rsidRPr="764750FE">
        <w:rPr>
          <w:rFonts w:ascii="Times New Roman" w:hAnsi="Times New Roman"/>
        </w:rPr>
        <w:t xml:space="preserve"> (in particular the </w:t>
      </w:r>
      <w:hyperlink r:id="rId21">
        <w:r w:rsidR="2685571C" w:rsidRPr="764750FE">
          <w:rPr>
            <w:rStyle w:val="Hyperlink"/>
            <w:rFonts w:ascii="Times New Roman" w:hAnsi="Times New Roman"/>
          </w:rPr>
          <w:t>Better Regulation toolbox</w:t>
        </w:r>
      </w:hyperlink>
      <w:r w:rsidR="2685571C" w:rsidRPr="764750FE">
        <w:rPr>
          <w:rFonts w:ascii="Times New Roman" w:hAnsi="Times New Roman"/>
        </w:rPr>
        <w:t>)</w:t>
      </w:r>
      <w:r w:rsidRPr="764750FE">
        <w:rPr>
          <w:rFonts w:ascii="Times New Roman" w:hAnsi="Times New Roman"/>
        </w:rPr>
        <w:t xml:space="preserve">, </w:t>
      </w:r>
      <w:r w:rsidR="00F34ED6">
        <w:rPr>
          <w:rFonts w:ascii="Times New Roman" w:hAnsi="Times New Roman"/>
        </w:rPr>
        <w:t xml:space="preserve">consideration of </w:t>
      </w:r>
      <w:r w:rsidRPr="764750FE">
        <w:rPr>
          <w:rFonts w:ascii="Times New Roman" w:hAnsi="Times New Roman"/>
        </w:rPr>
        <w:t>the most efficient</w:t>
      </w:r>
      <w:r w:rsidR="0B4434EF" w:rsidRPr="764750FE">
        <w:rPr>
          <w:rFonts w:ascii="Times New Roman" w:hAnsi="Times New Roman"/>
        </w:rPr>
        <w:t xml:space="preserve"> policy </w:t>
      </w:r>
      <w:r w:rsidRPr="764750FE">
        <w:rPr>
          <w:rFonts w:ascii="Times New Roman" w:hAnsi="Times New Roman"/>
        </w:rPr>
        <w:t>instrument to achieve</w:t>
      </w:r>
      <w:r w:rsidR="035012EB" w:rsidRPr="764750FE">
        <w:rPr>
          <w:rFonts w:ascii="Times New Roman" w:hAnsi="Times New Roman"/>
        </w:rPr>
        <w:t xml:space="preserve"> the</w:t>
      </w:r>
      <w:r w:rsidRPr="764750FE">
        <w:rPr>
          <w:rFonts w:ascii="Times New Roman" w:hAnsi="Times New Roman"/>
        </w:rPr>
        <w:t xml:space="preserve"> intended </w:t>
      </w:r>
      <w:r w:rsidR="035012EB" w:rsidRPr="764750FE">
        <w:rPr>
          <w:rFonts w:ascii="Times New Roman" w:hAnsi="Times New Roman"/>
        </w:rPr>
        <w:t>objectives</w:t>
      </w:r>
      <w:r w:rsidR="00F34ED6">
        <w:rPr>
          <w:rFonts w:ascii="Times New Roman" w:hAnsi="Times New Roman"/>
        </w:rPr>
        <w:t xml:space="preserve"> is an established part of the impact assessment process</w:t>
      </w:r>
      <w:r w:rsidRPr="764750FE">
        <w:rPr>
          <w:rFonts w:ascii="Times New Roman" w:hAnsi="Times New Roman"/>
        </w:rPr>
        <w:t xml:space="preserve">. Depending on the problem to tackle and </w:t>
      </w:r>
      <w:r w:rsidR="006B5060">
        <w:rPr>
          <w:rFonts w:ascii="Times New Roman" w:hAnsi="Times New Roman"/>
        </w:rPr>
        <w:t>the results to be achieve</w:t>
      </w:r>
      <w:r w:rsidR="00F34ED6">
        <w:rPr>
          <w:rFonts w:ascii="Times New Roman" w:hAnsi="Times New Roman"/>
        </w:rPr>
        <w:t>d</w:t>
      </w:r>
      <w:r w:rsidRPr="764750FE">
        <w:rPr>
          <w:rFonts w:ascii="Times New Roman" w:hAnsi="Times New Roman"/>
        </w:rPr>
        <w:t xml:space="preserve">, the Commission identifies the best instrument and </w:t>
      </w:r>
      <w:r w:rsidR="006B5060">
        <w:rPr>
          <w:rFonts w:ascii="Times New Roman" w:hAnsi="Times New Roman"/>
        </w:rPr>
        <w:t>carries out</w:t>
      </w:r>
      <w:r w:rsidRPr="764750FE">
        <w:rPr>
          <w:rFonts w:ascii="Times New Roman" w:hAnsi="Times New Roman"/>
        </w:rPr>
        <w:t xml:space="preserve"> an analysis of significant economic, social</w:t>
      </w:r>
      <w:r w:rsidR="002C28A0">
        <w:rPr>
          <w:rFonts w:ascii="Times New Roman" w:hAnsi="Times New Roman"/>
        </w:rPr>
        <w:t>,</w:t>
      </w:r>
      <w:r w:rsidRPr="764750FE">
        <w:rPr>
          <w:rFonts w:ascii="Times New Roman" w:hAnsi="Times New Roman"/>
        </w:rPr>
        <w:t xml:space="preserve"> and environmental impacts (together with other relevant impacts).</w:t>
      </w:r>
      <w:r w:rsidR="3FACDEDF" w:rsidRPr="764750FE">
        <w:rPr>
          <w:rFonts w:ascii="Times New Roman" w:hAnsi="Times New Roman"/>
        </w:rPr>
        <w:t xml:space="preserve"> </w:t>
      </w:r>
      <w:r w:rsidR="21E6B6F6" w:rsidRPr="764750FE">
        <w:rPr>
          <w:rFonts w:ascii="Times New Roman" w:hAnsi="Times New Roman"/>
        </w:rPr>
        <w:t>This is why the Commission cannot</w:t>
      </w:r>
      <w:r w:rsidR="006B5060">
        <w:rPr>
          <w:rFonts w:ascii="Times New Roman" w:hAnsi="Times New Roman"/>
        </w:rPr>
        <w:t>, as a general rule,</w:t>
      </w:r>
      <w:r w:rsidR="21E6B6F6" w:rsidRPr="764750FE">
        <w:rPr>
          <w:rFonts w:ascii="Times New Roman" w:hAnsi="Times New Roman"/>
        </w:rPr>
        <w:t xml:space="preserve"> favour the choice of regulations over directives. </w:t>
      </w:r>
      <w:r w:rsidR="006B5060">
        <w:rPr>
          <w:rFonts w:ascii="Times New Roman" w:hAnsi="Times New Roman"/>
        </w:rPr>
        <w:t>This choice must</w:t>
      </w:r>
      <w:r w:rsidR="21E6B6F6" w:rsidRPr="764750FE">
        <w:rPr>
          <w:rFonts w:ascii="Times New Roman" w:hAnsi="Times New Roman"/>
        </w:rPr>
        <w:t xml:space="preserve"> </w:t>
      </w:r>
      <w:r w:rsidR="2A868133" w:rsidRPr="764750FE">
        <w:rPr>
          <w:rFonts w:ascii="Times New Roman" w:hAnsi="Times New Roman"/>
        </w:rPr>
        <w:t>remain the result of</w:t>
      </w:r>
      <w:r w:rsidR="21E6B6F6" w:rsidRPr="764750FE">
        <w:rPr>
          <w:rFonts w:ascii="Times New Roman" w:hAnsi="Times New Roman"/>
        </w:rPr>
        <w:t xml:space="preserve"> a c</w:t>
      </w:r>
      <w:r w:rsidR="05C0229B" w:rsidRPr="764750FE">
        <w:rPr>
          <w:rFonts w:ascii="Times New Roman" w:hAnsi="Times New Roman"/>
        </w:rPr>
        <w:t>ase-by-case analysis.</w:t>
      </w:r>
      <w:r w:rsidR="21E6B6F6" w:rsidRPr="764750FE">
        <w:rPr>
          <w:rFonts w:ascii="Times New Roman" w:hAnsi="Times New Roman"/>
        </w:rPr>
        <w:t xml:space="preserve"> </w:t>
      </w:r>
      <w:r w:rsidR="3FACDEDF" w:rsidRPr="764750FE">
        <w:rPr>
          <w:rFonts w:ascii="Times New Roman" w:hAnsi="Times New Roman"/>
        </w:rPr>
        <w:t xml:space="preserve">When performing ex-post </w:t>
      </w:r>
      <w:r w:rsidR="035012EB" w:rsidRPr="764750FE">
        <w:rPr>
          <w:rFonts w:ascii="Times New Roman" w:hAnsi="Times New Roman"/>
        </w:rPr>
        <w:t>evaluations,</w:t>
      </w:r>
      <w:r w:rsidR="3FACDEDF" w:rsidRPr="764750FE">
        <w:rPr>
          <w:rFonts w:ascii="Times New Roman" w:hAnsi="Times New Roman"/>
        </w:rPr>
        <w:t xml:space="preserve"> the Commission </w:t>
      </w:r>
      <w:r w:rsidR="006B5060">
        <w:rPr>
          <w:rFonts w:ascii="Times New Roman" w:hAnsi="Times New Roman"/>
        </w:rPr>
        <w:t>will also look at</w:t>
      </w:r>
      <w:r w:rsidR="3FACDEDF" w:rsidRPr="764750FE">
        <w:rPr>
          <w:rFonts w:ascii="Times New Roman" w:hAnsi="Times New Roman"/>
        </w:rPr>
        <w:t xml:space="preserve"> whether the chosen instrument </w:t>
      </w:r>
      <w:r w:rsidR="006B5060">
        <w:rPr>
          <w:rFonts w:ascii="Times New Roman" w:hAnsi="Times New Roman"/>
        </w:rPr>
        <w:t>made it possible</w:t>
      </w:r>
      <w:r w:rsidR="035012EB" w:rsidRPr="764750FE">
        <w:rPr>
          <w:rFonts w:ascii="Times New Roman" w:hAnsi="Times New Roman"/>
        </w:rPr>
        <w:t xml:space="preserve"> </w:t>
      </w:r>
      <w:r w:rsidR="3FACDEDF" w:rsidRPr="764750FE">
        <w:rPr>
          <w:rFonts w:ascii="Times New Roman" w:hAnsi="Times New Roman"/>
        </w:rPr>
        <w:t>to reach the objectives in the most efficient way.</w:t>
      </w:r>
    </w:p>
    <w:p w14:paraId="307ED834" w14:textId="4AA82DAB" w:rsidR="00522221" w:rsidRDefault="00F34ED6" w:rsidP="00BD29AC">
      <w:pPr>
        <w:widowControl w:val="0"/>
        <w:spacing w:after="120"/>
        <w:rPr>
          <w:rFonts w:ascii="Times New Roman" w:hAnsi="Times New Roman"/>
          <w:bCs/>
          <w:szCs w:val="24"/>
        </w:rPr>
      </w:pPr>
      <w:r>
        <w:rPr>
          <w:rFonts w:ascii="Times New Roman" w:hAnsi="Times New Roman"/>
          <w:bCs/>
          <w:szCs w:val="24"/>
        </w:rPr>
        <w:t>I</w:t>
      </w:r>
      <w:r w:rsidR="00F93D6B" w:rsidRPr="008F54C7">
        <w:rPr>
          <w:rFonts w:ascii="Times New Roman" w:hAnsi="Times New Roman"/>
          <w:bCs/>
          <w:szCs w:val="24"/>
        </w:rPr>
        <w:t xml:space="preserve">n order to simplify and modernise EU legislation, the Commission has set up a </w:t>
      </w:r>
      <w:r w:rsidR="00C44393" w:rsidRPr="008F54C7">
        <w:rPr>
          <w:rFonts w:ascii="Times New Roman" w:hAnsi="Times New Roman"/>
          <w:bCs/>
          <w:szCs w:val="24"/>
        </w:rPr>
        <w:t>high-level</w:t>
      </w:r>
      <w:r w:rsidR="00F93D6B" w:rsidRPr="008F54C7">
        <w:rPr>
          <w:rFonts w:ascii="Times New Roman" w:hAnsi="Times New Roman"/>
          <w:bCs/>
          <w:szCs w:val="24"/>
        </w:rPr>
        <w:t xml:space="preserve"> expert group, the Fit for Future Platform, to ensure that burdensome provisions are identified and tackled</w:t>
      </w:r>
      <w:r w:rsidR="00C44393" w:rsidRPr="008F54C7">
        <w:rPr>
          <w:rFonts w:ascii="Times New Roman" w:hAnsi="Times New Roman"/>
          <w:bCs/>
          <w:szCs w:val="24"/>
        </w:rPr>
        <w:t>, including by making suggestions on how to simplify and clarify legal provisions</w:t>
      </w:r>
      <w:r w:rsidR="00F93D6B" w:rsidRPr="008F54C7">
        <w:rPr>
          <w:rFonts w:ascii="Times New Roman" w:hAnsi="Times New Roman"/>
          <w:bCs/>
          <w:szCs w:val="24"/>
        </w:rPr>
        <w:t>.</w:t>
      </w:r>
    </w:p>
    <w:bookmarkEnd w:id="1"/>
    <w:p w14:paraId="322990D3" w14:textId="488E27C1" w:rsidR="00C272A5" w:rsidRDefault="00F207C9" w:rsidP="00BD29AC">
      <w:pPr>
        <w:widowControl w:val="0"/>
        <w:spacing w:after="120"/>
        <w:rPr>
          <w:rFonts w:ascii="Times New Roman" w:hAnsi="Times New Roman"/>
          <w:b/>
          <w:szCs w:val="24"/>
        </w:rPr>
      </w:pPr>
      <w:r>
        <w:rPr>
          <w:rFonts w:ascii="Times New Roman" w:hAnsi="Times New Roman"/>
          <w:b/>
          <w:szCs w:val="24"/>
        </w:rPr>
        <w:t>P</w:t>
      </w:r>
      <w:r w:rsidR="002C28A0">
        <w:rPr>
          <w:rFonts w:ascii="Times New Roman" w:hAnsi="Times New Roman"/>
          <w:b/>
          <w:szCs w:val="24"/>
        </w:rPr>
        <w:t>aragraph</w:t>
      </w:r>
      <w:r>
        <w:rPr>
          <w:rFonts w:ascii="Times New Roman" w:hAnsi="Times New Roman"/>
          <w:b/>
          <w:szCs w:val="24"/>
        </w:rPr>
        <w:t xml:space="preserve"> 16</w:t>
      </w:r>
      <w:r w:rsidR="009367CC">
        <w:rPr>
          <w:rFonts w:ascii="Times New Roman" w:hAnsi="Times New Roman"/>
          <w:b/>
          <w:szCs w:val="24"/>
        </w:rPr>
        <w:t xml:space="preserve">, reiterating the </w:t>
      </w:r>
      <w:r w:rsidR="0033621A">
        <w:rPr>
          <w:rFonts w:ascii="Times New Roman" w:hAnsi="Times New Roman"/>
          <w:b/>
          <w:szCs w:val="24"/>
        </w:rPr>
        <w:t>proposal to introduce a single rulebook on</w:t>
      </w:r>
      <w:r w:rsidR="003F4C7F">
        <w:rPr>
          <w:rFonts w:ascii="Times New Roman" w:hAnsi="Times New Roman"/>
          <w:b/>
          <w:szCs w:val="24"/>
        </w:rPr>
        <w:t xml:space="preserve"> the</w:t>
      </w:r>
      <w:r w:rsidR="0033621A">
        <w:rPr>
          <w:rFonts w:ascii="Times New Roman" w:hAnsi="Times New Roman"/>
          <w:b/>
          <w:szCs w:val="24"/>
        </w:rPr>
        <w:t xml:space="preserve"> </w:t>
      </w:r>
      <w:r w:rsidR="003F4C7F">
        <w:rPr>
          <w:rFonts w:ascii="Times New Roman" w:hAnsi="Times New Roman"/>
          <w:b/>
          <w:szCs w:val="24"/>
        </w:rPr>
        <w:t>administrative procedures of the EU institutions</w:t>
      </w:r>
    </w:p>
    <w:p w14:paraId="782EEC30" w14:textId="1097EB69" w:rsidR="00F207C9" w:rsidRDefault="4BE99587" w:rsidP="00BD29AC">
      <w:pPr>
        <w:widowControl w:val="0"/>
        <w:spacing w:after="120"/>
        <w:rPr>
          <w:rFonts w:ascii="Times New Roman" w:hAnsi="Times New Roman"/>
        </w:rPr>
      </w:pPr>
      <w:r w:rsidRPr="764750FE">
        <w:rPr>
          <w:rFonts w:ascii="Times New Roman" w:hAnsi="Times New Roman"/>
        </w:rPr>
        <w:t>The Commission fully shares with the Parliament the objective of having an open, efficient</w:t>
      </w:r>
      <w:r w:rsidR="002C28A0">
        <w:rPr>
          <w:rFonts w:ascii="Times New Roman" w:hAnsi="Times New Roman"/>
        </w:rPr>
        <w:t>,</w:t>
      </w:r>
      <w:r w:rsidRPr="764750FE">
        <w:rPr>
          <w:rFonts w:ascii="Times New Roman" w:hAnsi="Times New Roman"/>
        </w:rPr>
        <w:t xml:space="preserve"> and independent EU administration </w:t>
      </w:r>
      <w:r w:rsidR="006B5060">
        <w:rPr>
          <w:rFonts w:ascii="Times New Roman" w:hAnsi="Times New Roman"/>
        </w:rPr>
        <w:t>that</w:t>
      </w:r>
      <w:r w:rsidRPr="764750FE">
        <w:rPr>
          <w:rFonts w:ascii="Times New Roman" w:hAnsi="Times New Roman"/>
        </w:rPr>
        <w:t xml:space="preserve"> </w:t>
      </w:r>
      <w:r w:rsidR="08FF14D5" w:rsidRPr="764750FE">
        <w:rPr>
          <w:rFonts w:ascii="Times New Roman" w:hAnsi="Times New Roman"/>
        </w:rPr>
        <w:t>people</w:t>
      </w:r>
      <w:r w:rsidRPr="764750FE">
        <w:rPr>
          <w:rFonts w:ascii="Times New Roman" w:hAnsi="Times New Roman"/>
        </w:rPr>
        <w:t xml:space="preserve">, business and </w:t>
      </w:r>
      <w:r w:rsidR="006B5060">
        <w:rPr>
          <w:rFonts w:ascii="Times New Roman" w:hAnsi="Times New Roman"/>
        </w:rPr>
        <w:t xml:space="preserve">other </w:t>
      </w:r>
      <w:r w:rsidRPr="764750FE">
        <w:rPr>
          <w:rFonts w:ascii="Times New Roman" w:hAnsi="Times New Roman"/>
        </w:rPr>
        <w:t>stakeholders can interact</w:t>
      </w:r>
      <w:r w:rsidR="006B5060">
        <w:rPr>
          <w:rFonts w:ascii="Times New Roman" w:hAnsi="Times New Roman"/>
        </w:rPr>
        <w:t xml:space="preserve"> with</w:t>
      </w:r>
      <w:r w:rsidRPr="764750FE">
        <w:rPr>
          <w:rFonts w:ascii="Times New Roman" w:hAnsi="Times New Roman"/>
        </w:rPr>
        <w:t xml:space="preserve">. The Commission is fully committed to respecting the rights and freedoms of </w:t>
      </w:r>
      <w:r w:rsidR="2F6CA1F1" w:rsidRPr="764750FE">
        <w:rPr>
          <w:rFonts w:ascii="Times New Roman" w:hAnsi="Times New Roman"/>
        </w:rPr>
        <w:t xml:space="preserve">EU </w:t>
      </w:r>
      <w:r w:rsidRPr="764750FE">
        <w:rPr>
          <w:rFonts w:ascii="Times New Roman" w:hAnsi="Times New Roman"/>
        </w:rPr>
        <w:t>citizens in all its actions and in the legislative proposals it tables</w:t>
      </w:r>
      <w:r w:rsidR="3DFFC121" w:rsidRPr="764750FE">
        <w:rPr>
          <w:rFonts w:ascii="Times New Roman" w:hAnsi="Times New Roman"/>
        </w:rPr>
        <w:t>.</w:t>
      </w:r>
    </w:p>
    <w:p w14:paraId="6EBC452F" w14:textId="1B41DFE5" w:rsidR="00346C42" w:rsidRDefault="00792089" w:rsidP="00BD29AC">
      <w:pPr>
        <w:widowControl w:val="0"/>
        <w:spacing w:after="120"/>
        <w:rPr>
          <w:rFonts w:ascii="Times New Roman" w:hAnsi="Times New Roman"/>
          <w:bCs/>
          <w:szCs w:val="24"/>
        </w:rPr>
      </w:pPr>
      <w:r>
        <w:rPr>
          <w:rFonts w:ascii="Times New Roman" w:hAnsi="Times New Roman"/>
        </w:rPr>
        <w:lastRenderedPageBreak/>
        <w:t>The Commission</w:t>
      </w:r>
      <w:r w:rsidR="00346C42">
        <w:rPr>
          <w:rFonts w:ascii="Times New Roman" w:hAnsi="Times New Roman"/>
        </w:rPr>
        <w:t xml:space="preserve"> will </w:t>
      </w:r>
      <w:r w:rsidR="00D73956">
        <w:rPr>
          <w:rFonts w:ascii="Times New Roman" w:hAnsi="Times New Roman"/>
        </w:rPr>
        <w:t>present</w:t>
      </w:r>
      <w:r>
        <w:rPr>
          <w:rFonts w:ascii="Times New Roman" w:hAnsi="Times New Roman"/>
        </w:rPr>
        <w:t xml:space="preserve"> its </w:t>
      </w:r>
      <w:r w:rsidR="00D73956">
        <w:rPr>
          <w:rFonts w:ascii="Times New Roman" w:hAnsi="Times New Roman"/>
        </w:rPr>
        <w:t xml:space="preserve">detailed </w:t>
      </w:r>
      <w:r>
        <w:rPr>
          <w:rFonts w:ascii="Times New Roman" w:hAnsi="Times New Roman"/>
        </w:rPr>
        <w:t>position on</w:t>
      </w:r>
      <w:r w:rsidR="00346C42">
        <w:rPr>
          <w:rFonts w:ascii="Times New Roman" w:hAnsi="Times New Roman"/>
        </w:rPr>
        <w:t xml:space="preserve"> t</w:t>
      </w:r>
      <w:r w:rsidR="00346C42">
        <w:rPr>
          <w:rFonts w:ascii="Times New Roman" w:hAnsi="Times New Roman"/>
          <w:bCs/>
          <w:szCs w:val="24"/>
        </w:rPr>
        <w:t xml:space="preserve">his request </w:t>
      </w:r>
      <w:r w:rsidR="00DC35A8">
        <w:rPr>
          <w:rFonts w:ascii="Times New Roman" w:hAnsi="Times New Roman"/>
          <w:bCs/>
          <w:szCs w:val="24"/>
        </w:rPr>
        <w:t xml:space="preserve">in its reply to the </w:t>
      </w:r>
      <w:hyperlink r:id="rId22" w:history="1">
        <w:r w:rsidR="00346C42" w:rsidRPr="00C94C03">
          <w:rPr>
            <w:rStyle w:val="Hyperlink"/>
            <w:rFonts w:ascii="Times New Roman" w:hAnsi="Times New Roman"/>
            <w:bCs/>
            <w:szCs w:val="24"/>
          </w:rPr>
          <w:t>resolution</w:t>
        </w:r>
        <w:r w:rsidR="00DC35A8" w:rsidRPr="00C94C03">
          <w:rPr>
            <w:rStyle w:val="Hyperlink"/>
            <w:rFonts w:ascii="Times New Roman" w:hAnsi="Times New Roman"/>
            <w:bCs/>
            <w:szCs w:val="24"/>
          </w:rPr>
          <w:t xml:space="preserve"> on Digitalisation and Administrative Law</w:t>
        </w:r>
      </w:hyperlink>
      <w:r w:rsidR="00346C42">
        <w:rPr>
          <w:rFonts w:ascii="Times New Roman" w:hAnsi="Times New Roman"/>
          <w:bCs/>
          <w:szCs w:val="24"/>
        </w:rPr>
        <w:t xml:space="preserve">, </w:t>
      </w:r>
      <w:r w:rsidR="00DC35A8">
        <w:rPr>
          <w:rFonts w:ascii="Times New Roman" w:hAnsi="Times New Roman"/>
          <w:bCs/>
          <w:szCs w:val="24"/>
        </w:rPr>
        <w:t xml:space="preserve">which is due </w:t>
      </w:r>
      <w:r w:rsidR="002C28A0">
        <w:rPr>
          <w:rFonts w:ascii="Times New Roman" w:hAnsi="Times New Roman"/>
          <w:bCs/>
          <w:szCs w:val="24"/>
        </w:rPr>
        <w:t>soon</w:t>
      </w:r>
      <w:r w:rsidR="00346C42">
        <w:rPr>
          <w:rFonts w:ascii="Times New Roman" w:hAnsi="Times New Roman"/>
          <w:bCs/>
          <w:szCs w:val="24"/>
        </w:rPr>
        <w:t>.</w:t>
      </w:r>
    </w:p>
    <w:p w14:paraId="12EDEF15" w14:textId="59A65B15" w:rsidR="00042DBB" w:rsidRPr="001B5188" w:rsidRDefault="00042DBB" w:rsidP="00BD29AC">
      <w:pPr>
        <w:widowControl w:val="0"/>
        <w:spacing w:after="120"/>
        <w:rPr>
          <w:rFonts w:ascii="Times New Roman" w:hAnsi="Times New Roman"/>
          <w:b/>
          <w:szCs w:val="24"/>
        </w:rPr>
      </w:pPr>
      <w:r w:rsidRPr="001B5188">
        <w:rPr>
          <w:rFonts w:ascii="Times New Roman" w:hAnsi="Times New Roman"/>
          <w:b/>
          <w:szCs w:val="24"/>
        </w:rPr>
        <w:t>P</w:t>
      </w:r>
      <w:r w:rsidR="002C28A0">
        <w:rPr>
          <w:rFonts w:ascii="Times New Roman" w:hAnsi="Times New Roman"/>
          <w:b/>
          <w:szCs w:val="24"/>
        </w:rPr>
        <w:t>aragraph</w:t>
      </w:r>
      <w:r w:rsidRPr="001B5188">
        <w:rPr>
          <w:rFonts w:ascii="Times New Roman" w:hAnsi="Times New Roman"/>
          <w:b/>
          <w:szCs w:val="24"/>
        </w:rPr>
        <w:t xml:space="preserve"> 17</w:t>
      </w:r>
      <w:r w:rsidR="001B5188" w:rsidRPr="001B5188">
        <w:rPr>
          <w:rFonts w:ascii="Times New Roman" w:hAnsi="Times New Roman"/>
          <w:b/>
          <w:szCs w:val="24"/>
        </w:rPr>
        <w:t>, monitoring the effects of territorial supply constraints in the application of single market EU legislation</w:t>
      </w:r>
    </w:p>
    <w:p w14:paraId="585CE47A" w14:textId="2D9B7DC1" w:rsidR="0066096D" w:rsidRDefault="45D5DC7A" w:rsidP="00BD29AC">
      <w:pPr>
        <w:widowControl w:val="0"/>
        <w:spacing w:after="120"/>
        <w:rPr>
          <w:rFonts w:ascii="Times New Roman" w:hAnsi="Times New Roman"/>
        </w:rPr>
      </w:pPr>
      <w:r w:rsidRPr="764750FE">
        <w:rPr>
          <w:rFonts w:ascii="Times New Roman" w:hAnsi="Times New Roman"/>
        </w:rPr>
        <w:t>The Commission acknowledges the call to address territorial supply constraints</w:t>
      </w:r>
      <w:r w:rsidR="0066096D">
        <w:rPr>
          <w:rFonts w:ascii="Times New Roman" w:hAnsi="Times New Roman"/>
        </w:rPr>
        <w:t xml:space="preserve"> (</w:t>
      </w:r>
      <w:r w:rsidR="0066096D" w:rsidRPr="0066096D">
        <w:rPr>
          <w:rFonts w:ascii="Times New Roman" w:hAnsi="Times New Roman"/>
        </w:rPr>
        <w:t xml:space="preserve">restrictions imposed by large manufacturers which prevent retailers and wholesalers from </w:t>
      </w:r>
      <w:r w:rsidR="0066096D">
        <w:rPr>
          <w:rFonts w:ascii="Times New Roman" w:hAnsi="Times New Roman"/>
        </w:rPr>
        <w:t>buying</w:t>
      </w:r>
      <w:r w:rsidR="0066096D" w:rsidRPr="0066096D">
        <w:rPr>
          <w:rFonts w:ascii="Times New Roman" w:hAnsi="Times New Roman"/>
        </w:rPr>
        <w:t xml:space="preserve"> where they wish in the </w:t>
      </w:r>
      <w:r w:rsidR="0066096D">
        <w:rPr>
          <w:rFonts w:ascii="Times New Roman" w:hAnsi="Times New Roman"/>
        </w:rPr>
        <w:t>s</w:t>
      </w:r>
      <w:r w:rsidR="0066096D" w:rsidRPr="0066096D">
        <w:rPr>
          <w:rFonts w:ascii="Times New Roman" w:hAnsi="Times New Roman"/>
        </w:rPr>
        <w:t xml:space="preserve">ingle </w:t>
      </w:r>
      <w:r w:rsidR="0066096D">
        <w:rPr>
          <w:rFonts w:ascii="Times New Roman" w:hAnsi="Times New Roman"/>
        </w:rPr>
        <w:t>m</w:t>
      </w:r>
      <w:r w:rsidR="0066096D" w:rsidRPr="0066096D">
        <w:rPr>
          <w:rFonts w:ascii="Times New Roman" w:hAnsi="Times New Roman"/>
        </w:rPr>
        <w:t>arket</w:t>
      </w:r>
      <w:r w:rsidR="0066096D">
        <w:rPr>
          <w:rFonts w:ascii="Times New Roman" w:hAnsi="Times New Roman"/>
        </w:rPr>
        <w:t xml:space="preserve">) and to </w:t>
      </w:r>
      <w:r w:rsidRPr="764750FE">
        <w:rPr>
          <w:rFonts w:ascii="Times New Roman" w:hAnsi="Times New Roman"/>
        </w:rPr>
        <w:t xml:space="preserve">ensure a better functioning </w:t>
      </w:r>
      <w:r w:rsidR="00650770">
        <w:rPr>
          <w:rFonts w:ascii="Times New Roman" w:hAnsi="Times New Roman"/>
        </w:rPr>
        <w:t>s</w:t>
      </w:r>
      <w:r w:rsidR="00650770" w:rsidRPr="764750FE">
        <w:rPr>
          <w:rFonts w:ascii="Times New Roman" w:hAnsi="Times New Roman"/>
        </w:rPr>
        <w:t xml:space="preserve">ingle </w:t>
      </w:r>
      <w:r w:rsidR="00650770">
        <w:rPr>
          <w:rFonts w:ascii="Times New Roman" w:hAnsi="Times New Roman"/>
        </w:rPr>
        <w:t>m</w:t>
      </w:r>
      <w:r w:rsidR="00650770" w:rsidRPr="764750FE">
        <w:rPr>
          <w:rFonts w:ascii="Times New Roman" w:hAnsi="Times New Roman"/>
        </w:rPr>
        <w:t xml:space="preserve">arket </w:t>
      </w:r>
      <w:r w:rsidRPr="764750FE">
        <w:rPr>
          <w:rFonts w:ascii="Times New Roman" w:hAnsi="Times New Roman"/>
        </w:rPr>
        <w:t xml:space="preserve">for the benefit of consumers. Competition law </w:t>
      </w:r>
      <w:r w:rsidR="0066096D">
        <w:rPr>
          <w:rFonts w:ascii="Times New Roman" w:hAnsi="Times New Roman"/>
        </w:rPr>
        <w:t>can in some cases offer remedies, but it only applies</w:t>
      </w:r>
      <w:r w:rsidRPr="764750FE">
        <w:rPr>
          <w:rFonts w:ascii="Times New Roman" w:hAnsi="Times New Roman"/>
        </w:rPr>
        <w:t xml:space="preserve"> in individual situations and in specific circumstances.</w:t>
      </w:r>
    </w:p>
    <w:p w14:paraId="06E32C71" w14:textId="5E07A875" w:rsidR="003B4968" w:rsidRDefault="003B4968" w:rsidP="00BD29AC">
      <w:pPr>
        <w:widowControl w:val="0"/>
        <w:spacing w:after="120"/>
        <w:rPr>
          <w:rFonts w:ascii="Times New Roman" w:hAnsi="Times New Roman"/>
        </w:rPr>
      </w:pPr>
      <w:r w:rsidRPr="003B4968">
        <w:rPr>
          <w:rFonts w:ascii="Times New Roman" w:hAnsi="Times New Roman"/>
        </w:rPr>
        <w:t xml:space="preserve">In the </w:t>
      </w:r>
      <w:hyperlink r:id="rId23" w:history="1">
        <w:r w:rsidRPr="00C94C03">
          <w:rPr>
            <w:rStyle w:val="Hyperlink"/>
            <w:rFonts w:ascii="Times New Roman" w:hAnsi="Times New Roman"/>
          </w:rPr>
          <w:t>2021 update of the Industrial Strategy</w:t>
        </w:r>
      </w:hyperlink>
      <w:r w:rsidRPr="003B4968">
        <w:rPr>
          <w:rFonts w:ascii="Times New Roman" w:hAnsi="Times New Roman"/>
        </w:rPr>
        <w:t>, the Commission has identified retail as one of the 14 industrial ecosystems crucial for the recovery of the EU economy. It has also proposed transition pathways for some of these industrial ecosystems as co-creation processes with stakeholders. T</w:t>
      </w:r>
      <w:r>
        <w:rPr>
          <w:rFonts w:ascii="Times New Roman" w:hAnsi="Times New Roman"/>
        </w:rPr>
        <w:t xml:space="preserve">hese </w:t>
      </w:r>
      <w:r w:rsidR="006B60BB">
        <w:rPr>
          <w:rFonts w:ascii="Times New Roman" w:hAnsi="Times New Roman"/>
        </w:rPr>
        <w:t>t</w:t>
      </w:r>
      <w:r w:rsidRPr="003B4968">
        <w:rPr>
          <w:rFonts w:ascii="Times New Roman" w:hAnsi="Times New Roman"/>
        </w:rPr>
        <w:t>ransition pathways should identify current and future challenges and opportunities in the different ecosystems and accompany the green and digital transition of these ecosystems towards 2030 and beyond.</w:t>
      </w:r>
    </w:p>
    <w:p w14:paraId="2FA07340" w14:textId="5E0126E5" w:rsidR="006B60BB" w:rsidRDefault="45D5DC7A" w:rsidP="00BD29AC">
      <w:pPr>
        <w:widowControl w:val="0"/>
        <w:spacing w:after="120"/>
        <w:rPr>
          <w:rFonts w:ascii="Times New Roman" w:hAnsi="Times New Roman"/>
        </w:rPr>
      </w:pPr>
      <w:r w:rsidRPr="764750FE">
        <w:rPr>
          <w:rFonts w:ascii="Times New Roman" w:hAnsi="Times New Roman"/>
        </w:rPr>
        <w:t xml:space="preserve">The Commission has launched a co-creation process for the retail transition pathway with a broad community of stakeholders. The co-creation should identify a set of actions to address the challenges of the twin transition and to support the resilience of the ecosystem. </w:t>
      </w:r>
      <w:r w:rsidR="006B60BB">
        <w:rPr>
          <w:rFonts w:ascii="Times New Roman" w:hAnsi="Times New Roman"/>
        </w:rPr>
        <w:t>The issue of territorial supply constraints is covered in the Commission’s consultation of stakeholders in this context, as a</w:t>
      </w:r>
      <w:r w:rsidR="00D867DC" w:rsidRPr="764750FE">
        <w:rPr>
          <w:rFonts w:ascii="Times New Roman" w:hAnsi="Times New Roman"/>
        </w:rPr>
        <w:t xml:space="preserve">ddressing territorial supply constraints would be one of the actions to contribute to a better functioning single market and </w:t>
      </w:r>
      <w:r w:rsidR="006B60BB">
        <w:rPr>
          <w:rFonts w:ascii="Times New Roman" w:hAnsi="Times New Roman"/>
        </w:rPr>
        <w:t xml:space="preserve">to </w:t>
      </w:r>
      <w:r w:rsidR="00D867DC" w:rsidRPr="764750FE">
        <w:rPr>
          <w:rFonts w:ascii="Times New Roman" w:hAnsi="Times New Roman"/>
        </w:rPr>
        <w:t>support the resilience of the ecosystem.</w:t>
      </w:r>
    </w:p>
    <w:p w14:paraId="27DC5C36" w14:textId="6D3DF91A" w:rsidR="173C598A" w:rsidRDefault="45D5DC7A" w:rsidP="00BD29AC">
      <w:pPr>
        <w:widowControl w:val="0"/>
        <w:spacing w:after="120"/>
        <w:rPr>
          <w:rFonts w:ascii="Times New Roman" w:hAnsi="Times New Roman"/>
        </w:rPr>
      </w:pPr>
      <w:r w:rsidRPr="764750FE">
        <w:rPr>
          <w:rFonts w:ascii="Times New Roman" w:hAnsi="Times New Roman"/>
        </w:rPr>
        <w:t xml:space="preserve">The </w:t>
      </w:r>
      <w:r w:rsidR="00D867DC">
        <w:rPr>
          <w:rFonts w:ascii="Times New Roman" w:hAnsi="Times New Roman"/>
        </w:rPr>
        <w:t>results</w:t>
      </w:r>
      <w:r w:rsidRPr="764750FE">
        <w:rPr>
          <w:rFonts w:ascii="Times New Roman" w:hAnsi="Times New Roman"/>
        </w:rPr>
        <w:t xml:space="preserve"> </w:t>
      </w:r>
      <w:r w:rsidR="00D867DC">
        <w:rPr>
          <w:rFonts w:ascii="Times New Roman" w:hAnsi="Times New Roman"/>
        </w:rPr>
        <w:t xml:space="preserve">of this co-creation process </w:t>
      </w:r>
      <w:r w:rsidRPr="764750FE">
        <w:rPr>
          <w:rFonts w:ascii="Times New Roman" w:hAnsi="Times New Roman"/>
        </w:rPr>
        <w:t xml:space="preserve">should be published </w:t>
      </w:r>
      <w:r w:rsidR="00D867DC">
        <w:rPr>
          <w:rFonts w:ascii="Times New Roman" w:hAnsi="Times New Roman"/>
        </w:rPr>
        <w:t>soon</w:t>
      </w:r>
      <w:r w:rsidRPr="764750FE">
        <w:rPr>
          <w:rFonts w:ascii="Times New Roman" w:hAnsi="Times New Roman"/>
        </w:rPr>
        <w:t>. Relevant stakeholders, including the Commission, will then take the appropriate steps to implement the agreed set of actions.</w:t>
      </w:r>
    </w:p>
    <w:p w14:paraId="05274B5E" w14:textId="2D437465" w:rsidR="00A22151" w:rsidRPr="004E63F5" w:rsidRDefault="00A22151" w:rsidP="00BD29AC">
      <w:pPr>
        <w:widowControl w:val="0"/>
        <w:spacing w:after="120"/>
        <w:rPr>
          <w:rFonts w:ascii="Times New Roman" w:hAnsi="Times New Roman"/>
        </w:rPr>
      </w:pPr>
      <w:r>
        <w:rPr>
          <w:rFonts w:ascii="Times New Roman" w:hAnsi="Times New Roman"/>
        </w:rPr>
        <w:t>In parallel, the Commission continues to monitor markets and a</w:t>
      </w:r>
      <w:r w:rsidRPr="00A22151">
        <w:rPr>
          <w:rFonts w:ascii="Times New Roman" w:hAnsi="Times New Roman"/>
          <w:bCs/>
          <w:iCs/>
        </w:rPr>
        <w:t>ppl</w:t>
      </w:r>
      <w:r>
        <w:rPr>
          <w:rFonts w:ascii="Times New Roman" w:hAnsi="Times New Roman"/>
          <w:bCs/>
          <w:iCs/>
        </w:rPr>
        <w:t>y</w:t>
      </w:r>
      <w:r w:rsidRPr="00A22151">
        <w:rPr>
          <w:rFonts w:ascii="Times New Roman" w:hAnsi="Times New Roman"/>
          <w:bCs/>
          <w:iCs/>
        </w:rPr>
        <w:t xml:space="preserve"> the </w:t>
      </w:r>
      <w:r>
        <w:rPr>
          <w:rFonts w:ascii="Times New Roman" w:hAnsi="Times New Roman"/>
          <w:bCs/>
          <w:iCs/>
        </w:rPr>
        <w:t>EU competition</w:t>
      </w:r>
      <w:r w:rsidRPr="00A22151">
        <w:rPr>
          <w:rFonts w:ascii="Times New Roman" w:hAnsi="Times New Roman"/>
          <w:bCs/>
          <w:iCs/>
        </w:rPr>
        <w:t xml:space="preserve"> rules to combat practices by companies, either unilateral or through agreements, that partition the </w:t>
      </w:r>
      <w:r w:rsidR="00FF0EBB">
        <w:rPr>
          <w:rFonts w:ascii="Times New Roman" w:hAnsi="Times New Roman"/>
          <w:bCs/>
          <w:iCs/>
        </w:rPr>
        <w:t>s</w:t>
      </w:r>
      <w:r w:rsidRPr="00A22151">
        <w:rPr>
          <w:rFonts w:ascii="Times New Roman" w:hAnsi="Times New Roman"/>
          <w:bCs/>
          <w:iCs/>
        </w:rPr>
        <w:t xml:space="preserve">ingle </w:t>
      </w:r>
      <w:r w:rsidR="00FF0EBB">
        <w:rPr>
          <w:rFonts w:ascii="Times New Roman" w:hAnsi="Times New Roman"/>
          <w:bCs/>
          <w:iCs/>
        </w:rPr>
        <w:t>m</w:t>
      </w:r>
      <w:r w:rsidRPr="00A22151">
        <w:rPr>
          <w:rFonts w:ascii="Times New Roman" w:hAnsi="Times New Roman"/>
          <w:bCs/>
          <w:iCs/>
        </w:rPr>
        <w:t>arket.</w:t>
      </w:r>
    </w:p>
    <w:sectPr w:rsidR="00A22151" w:rsidRPr="004E63F5" w:rsidSect="00812321">
      <w:footerReference w:type="even" r:id="rId24"/>
      <w:footerReference w:type="default" r:id="rId25"/>
      <w:footerReference w:type="first" r:id="rId26"/>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F73C4" w14:textId="77777777" w:rsidR="009C75EE" w:rsidRDefault="009C75EE">
      <w:r>
        <w:separator/>
      </w:r>
    </w:p>
  </w:endnote>
  <w:endnote w:type="continuationSeparator" w:id="0">
    <w:p w14:paraId="27E34C29" w14:textId="77777777" w:rsidR="009C75EE" w:rsidRDefault="009C75EE">
      <w:r>
        <w:continuationSeparator/>
      </w:r>
    </w:p>
  </w:endnote>
  <w:endnote w:type="continuationNotice" w:id="1">
    <w:p w14:paraId="140BB5DD" w14:textId="77777777" w:rsidR="009C75EE" w:rsidRDefault="009C75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2F22"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1CE8F934"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9ED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C4F">
      <w:rPr>
        <w:rStyle w:val="PageNumber"/>
        <w:noProof/>
      </w:rPr>
      <w:t>3</w:t>
    </w:r>
    <w:r>
      <w:rPr>
        <w:rStyle w:val="PageNumber"/>
      </w:rPr>
      <w:fldChar w:fldCharType="end"/>
    </w:r>
  </w:p>
  <w:p w14:paraId="76797D1D"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EE69"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33CD">
      <w:rPr>
        <w:rStyle w:val="PageNumber"/>
        <w:noProof/>
      </w:rPr>
      <w:t>1</w:t>
    </w:r>
    <w:r>
      <w:rPr>
        <w:rStyle w:val="PageNumber"/>
      </w:rPr>
      <w:fldChar w:fldCharType="end"/>
    </w:r>
  </w:p>
  <w:p w14:paraId="244C2131"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ABB50" w14:textId="77777777" w:rsidR="009C75EE" w:rsidRDefault="009C75EE">
      <w:r>
        <w:separator/>
      </w:r>
    </w:p>
  </w:footnote>
  <w:footnote w:type="continuationSeparator" w:id="0">
    <w:p w14:paraId="134A3FB5" w14:textId="77777777" w:rsidR="009C75EE" w:rsidRDefault="009C75EE">
      <w:r>
        <w:continuationSeparator/>
      </w:r>
    </w:p>
  </w:footnote>
  <w:footnote w:type="continuationNotice" w:id="1">
    <w:p w14:paraId="58BC2675" w14:textId="77777777" w:rsidR="009C75EE" w:rsidRDefault="009C75E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7"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4"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0"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5"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0"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4"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209342734">
    <w:abstractNumId w:val="7"/>
  </w:num>
  <w:num w:numId="2" w16cid:durableId="148182179">
    <w:abstractNumId w:val="1"/>
  </w:num>
  <w:num w:numId="3" w16cid:durableId="505511010">
    <w:abstractNumId w:val="33"/>
  </w:num>
  <w:num w:numId="4" w16cid:durableId="580018736">
    <w:abstractNumId w:val="13"/>
  </w:num>
  <w:num w:numId="5" w16cid:durableId="221647625">
    <w:abstractNumId w:val="29"/>
  </w:num>
  <w:num w:numId="6" w16cid:durableId="298344620">
    <w:abstractNumId w:val="10"/>
  </w:num>
  <w:num w:numId="7" w16cid:durableId="58093387">
    <w:abstractNumId w:val="6"/>
  </w:num>
  <w:num w:numId="8" w16cid:durableId="1122530581">
    <w:abstractNumId w:val="15"/>
  </w:num>
  <w:num w:numId="9" w16cid:durableId="1479684095">
    <w:abstractNumId w:val="32"/>
  </w:num>
  <w:num w:numId="10" w16cid:durableId="340007303">
    <w:abstractNumId w:val="24"/>
  </w:num>
  <w:num w:numId="11" w16cid:durableId="346519941">
    <w:abstractNumId w:val="26"/>
  </w:num>
  <w:num w:numId="12" w16cid:durableId="691036718">
    <w:abstractNumId w:val="12"/>
  </w:num>
  <w:num w:numId="13" w16cid:durableId="1452093781">
    <w:abstractNumId w:val="16"/>
  </w:num>
  <w:num w:numId="14" w16cid:durableId="906961314">
    <w:abstractNumId w:val="30"/>
  </w:num>
  <w:num w:numId="15" w16cid:durableId="1388455259">
    <w:abstractNumId w:val="14"/>
  </w:num>
  <w:num w:numId="16" w16cid:durableId="1677533267">
    <w:abstractNumId w:val="36"/>
  </w:num>
  <w:num w:numId="17" w16cid:durableId="961619330">
    <w:abstractNumId w:val="31"/>
  </w:num>
  <w:num w:numId="18" w16cid:durableId="1095638383">
    <w:abstractNumId w:val="22"/>
  </w:num>
  <w:num w:numId="19" w16cid:durableId="357776219">
    <w:abstractNumId w:val="23"/>
  </w:num>
  <w:num w:numId="20" w16cid:durableId="1481578588">
    <w:abstractNumId w:val="28"/>
  </w:num>
  <w:num w:numId="21" w16cid:durableId="1812137613">
    <w:abstractNumId w:val="3"/>
  </w:num>
  <w:num w:numId="22" w16cid:durableId="370300677">
    <w:abstractNumId w:val="4"/>
  </w:num>
  <w:num w:numId="23" w16cid:durableId="1948660650">
    <w:abstractNumId w:val="5"/>
  </w:num>
  <w:num w:numId="24" w16cid:durableId="1221136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6547536">
    <w:abstractNumId w:val="34"/>
  </w:num>
  <w:num w:numId="26" w16cid:durableId="1203983393">
    <w:abstractNumId w:val="25"/>
  </w:num>
  <w:num w:numId="27" w16cid:durableId="1149204463">
    <w:abstractNumId w:val="17"/>
  </w:num>
  <w:num w:numId="28" w16cid:durableId="614867515">
    <w:abstractNumId w:val="35"/>
  </w:num>
  <w:num w:numId="29" w16cid:durableId="1513490821">
    <w:abstractNumId w:val="2"/>
  </w:num>
  <w:num w:numId="30" w16cid:durableId="1269506392">
    <w:abstractNumId w:val="21"/>
  </w:num>
  <w:num w:numId="31" w16cid:durableId="160509948">
    <w:abstractNumId w:val="20"/>
  </w:num>
  <w:num w:numId="32" w16cid:durableId="146094414">
    <w:abstractNumId w:val="9"/>
  </w:num>
  <w:num w:numId="33" w16cid:durableId="2145806991">
    <w:abstractNumId w:val="11"/>
  </w:num>
  <w:num w:numId="34" w16cid:durableId="1322079617">
    <w:abstractNumId w:val="19"/>
  </w:num>
  <w:num w:numId="35" w16cid:durableId="1661734410">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6AB"/>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B49"/>
    <w:rsid w:val="00022E91"/>
    <w:rsid w:val="00022FAA"/>
    <w:rsid w:val="00023162"/>
    <w:rsid w:val="0002328F"/>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28E"/>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DFA"/>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6E2E"/>
    <w:rsid w:val="00037004"/>
    <w:rsid w:val="00037224"/>
    <w:rsid w:val="000372EF"/>
    <w:rsid w:val="0003737B"/>
    <w:rsid w:val="0003745C"/>
    <w:rsid w:val="0003758E"/>
    <w:rsid w:val="000375BA"/>
    <w:rsid w:val="00037990"/>
    <w:rsid w:val="00040060"/>
    <w:rsid w:val="00040281"/>
    <w:rsid w:val="00040A13"/>
    <w:rsid w:val="00040B17"/>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DBB"/>
    <w:rsid w:val="00042F4E"/>
    <w:rsid w:val="000434BD"/>
    <w:rsid w:val="00043531"/>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47F03"/>
    <w:rsid w:val="000502A5"/>
    <w:rsid w:val="000504A8"/>
    <w:rsid w:val="0005052B"/>
    <w:rsid w:val="000506A1"/>
    <w:rsid w:val="000508EC"/>
    <w:rsid w:val="000509DA"/>
    <w:rsid w:val="00050AFA"/>
    <w:rsid w:val="00051333"/>
    <w:rsid w:val="00051E3C"/>
    <w:rsid w:val="000520B1"/>
    <w:rsid w:val="000521AD"/>
    <w:rsid w:val="00052241"/>
    <w:rsid w:val="00052672"/>
    <w:rsid w:val="00052814"/>
    <w:rsid w:val="000529E9"/>
    <w:rsid w:val="00053766"/>
    <w:rsid w:val="00053B1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6E0C"/>
    <w:rsid w:val="00067155"/>
    <w:rsid w:val="00067567"/>
    <w:rsid w:val="00067C33"/>
    <w:rsid w:val="00067FB5"/>
    <w:rsid w:val="000703CB"/>
    <w:rsid w:val="000703FE"/>
    <w:rsid w:val="000705DD"/>
    <w:rsid w:val="000706D4"/>
    <w:rsid w:val="000713EE"/>
    <w:rsid w:val="00071470"/>
    <w:rsid w:val="00071695"/>
    <w:rsid w:val="0007174D"/>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3F39"/>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8F8"/>
    <w:rsid w:val="0009096A"/>
    <w:rsid w:val="00090B6B"/>
    <w:rsid w:val="00090D4B"/>
    <w:rsid w:val="00090EA4"/>
    <w:rsid w:val="000910D7"/>
    <w:rsid w:val="00091463"/>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4B90"/>
    <w:rsid w:val="000A508F"/>
    <w:rsid w:val="000A52E7"/>
    <w:rsid w:val="000A5446"/>
    <w:rsid w:val="000A544B"/>
    <w:rsid w:val="000A591E"/>
    <w:rsid w:val="000A5A20"/>
    <w:rsid w:val="000A5A43"/>
    <w:rsid w:val="000A5D40"/>
    <w:rsid w:val="000A5DAF"/>
    <w:rsid w:val="000A6107"/>
    <w:rsid w:val="000A6195"/>
    <w:rsid w:val="000A63FF"/>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2B5"/>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BC0"/>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3A"/>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3B66"/>
    <w:rsid w:val="000D3F34"/>
    <w:rsid w:val="000D3F82"/>
    <w:rsid w:val="000D414D"/>
    <w:rsid w:val="000D439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03D"/>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2A5"/>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ABB"/>
    <w:rsid w:val="00123BDF"/>
    <w:rsid w:val="0012410B"/>
    <w:rsid w:val="00124328"/>
    <w:rsid w:val="0012440C"/>
    <w:rsid w:val="00124462"/>
    <w:rsid w:val="001245F3"/>
    <w:rsid w:val="0012465E"/>
    <w:rsid w:val="0012482B"/>
    <w:rsid w:val="00124A0A"/>
    <w:rsid w:val="00124A7A"/>
    <w:rsid w:val="00124DE7"/>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D49"/>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F48"/>
    <w:rsid w:val="00145AB8"/>
    <w:rsid w:val="00145BBD"/>
    <w:rsid w:val="00145D7D"/>
    <w:rsid w:val="00145F7E"/>
    <w:rsid w:val="001463CA"/>
    <w:rsid w:val="0014642D"/>
    <w:rsid w:val="00146572"/>
    <w:rsid w:val="00146971"/>
    <w:rsid w:val="0014708A"/>
    <w:rsid w:val="00147197"/>
    <w:rsid w:val="00147565"/>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59"/>
    <w:rsid w:val="001676ED"/>
    <w:rsid w:val="001700A5"/>
    <w:rsid w:val="001700B5"/>
    <w:rsid w:val="001702E0"/>
    <w:rsid w:val="001705FC"/>
    <w:rsid w:val="0017076B"/>
    <w:rsid w:val="00170888"/>
    <w:rsid w:val="00170AFC"/>
    <w:rsid w:val="00170BD3"/>
    <w:rsid w:val="00170C9E"/>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C02"/>
    <w:rsid w:val="00180C73"/>
    <w:rsid w:val="00180CA5"/>
    <w:rsid w:val="00180DB8"/>
    <w:rsid w:val="00180DD5"/>
    <w:rsid w:val="001810AC"/>
    <w:rsid w:val="0018161C"/>
    <w:rsid w:val="0018176E"/>
    <w:rsid w:val="001818CE"/>
    <w:rsid w:val="00181B91"/>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220"/>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2F56"/>
    <w:rsid w:val="001930FC"/>
    <w:rsid w:val="001932A6"/>
    <w:rsid w:val="0019344A"/>
    <w:rsid w:val="00193567"/>
    <w:rsid w:val="001939BF"/>
    <w:rsid w:val="00193D1E"/>
    <w:rsid w:val="00193FA0"/>
    <w:rsid w:val="001946EE"/>
    <w:rsid w:val="0019484D"/>
    <w:rsid w:val="00194A0F"/>
    <w:rsid w:val="001954BB"/>
    <w:rsid w:val="00195512"/>
    <w:rsid w:val="00196088"/>
    <w:rsid w:val="001962D1"/>
    <w:rsid w:val="00196902"/>
    <w:rsid w:val="00196BE4"/>
    <w:rsid w:val="00196CC1"/>
    <w:rsid w:val="00196F0B"/>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720"/>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2D95"/>
    <w:rsid w:val="001B30B0"/>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88"/>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580F"/>
    <w:rsid w:val="001C58C0"/>
    <w:rsid w:val="001C5C8A"/>
    <w:rsid w:val="001C6197"/>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48"/>
    <w:rsid w:val="001D437D"/>
    <w:rsid w:val="001D45BA"/>
    <w:rsid w:val="001D4679"/>
    <w:rsid w:val="001D4797"/>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5B7"/>
    <w:rsid w:val="001E0A98"/>
    <w:rsid w:val="001E0B30"/>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582"/>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6E8A"/>
    <w:rsid w:val="001F7077"/>
    <w:rsid w:val="001F72B2"/>
    <w:rsid w:val="001F7666"/>
    <w:rsid w:val="001F7668"/>
    <w:rsid w:val="001F7884"/>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B17"/>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367"/>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03"/>
    <w:rsid w:val="00221CDB"/>
    <w:rsid w:val="00221CDE"/>
    <w:rsid w:val="00221D83"/>
    <w:rsid w:val="00221DC6"/>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3C7"/>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7B0"/>
    <w:rsid w:val="0025093D"/>
    <w:rsid w:val="002509CE"/>
    <w:rsid w:val="002509FE"/>
    <w:rsid w:val="00250A36"/>
    <w:rsid w:val="00250E62"/>
    <w:rsid w:val="002512AA"/>
    <w:rsid w:val="00251401"/>
    <w:rsid w:val="00251693"/>
    <w:rsid w:val="002516B7"/>
    <w:rsid w:val="002517BC"/>
    <w:rsid w:val="0025194C"/>
    <w:rsid w:val="002519D3"/>
    <w:rsid w:val="00251E29"/>
    <w:rsid w:val="00252029"/>
    <w:rsid w:val="00252072"/>
    <w:rsid w:val="00252528"/>
    <w:rsid w:val="002526C4"/>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262"/>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103"/>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3A"/>
    <w:rsid w:val="00275E50"/>
    <w:rsid w:val="00276397"/>
    <w:rsid w:val="00276574"/>
    <w:rsid w:val="00276944"/>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09C"/>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40D"/>
    <w:rsid w:val="002A07CD"/>
    <w:rsid w:val="002A0858"/>
    <w:rsid w:val="002A0A02"/>
    <w:rsid w:val="002A0A88"/>
    <w:rsid w:val="002A0CD2"/>
    <w:rsid w:val="002A0DA7"/>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4132"/>
    <w:rsid w:val="002A4221"/>
    <w:rsid w:val="002A466C"/>
    <w:rsid w:val="002A46B9"/>
    <w:rsid w:val="002A4EA4"/>
    <w:rsid w:val="002A5068"/>
    <w:rsid w:val="002A512D"/>
    <w:rsid w:val="002A52D1"/>
    <w:rsid w:val="002A588A"/>
    <w:rsid w:val="002A5B34"/>
    <w:rsid w:val="002A5BCC"/>
    <w:rsid w:val="002A648C"/>
    <w:rsid w:val="002A6A37"/>
    <w:rsid w:val="002A728E"/>
    <w:rsid w:val="002A7347"/>
    <w:rsid w:val="002A75AE"/>
    <w:rsid w:val="002A7744"/>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C05"/>
    <w:rsid w:val="002C0FF0"/>
    <w:rsid w:val="002C1445"/>
    <w:rsid w:val="002C1656"/>
    <w:rsid w:val="002C17DF"/>
    <w:rsid w:val="002C1C93"/>
    <w:rsid w:val="002C1D99"/>
    <w:rsid w:val="002C2151"/>
    <w:rsid w:val="002C230C"/>
    <w:rsid w:val="002C2311"/>
    <w:rsid w:val="002C24F2"/>
    <w:rsid w:val="002C2802"/>
    <w:rsid w:val="002C28A0"/>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21B"/>
    <w:rsid w:val="002F1306"/>
    <w:rsid w:val="002F13EB"/>
    <w:rsid w:val="002F140F"/>
    <w:rsid w:val="002F1697"/>
    <w:rsid w:val="002F182E"/>
    <w:rsid w:val="002F18D0"/>
    <w:rsid w:val="002F1B67"/>
    <w:rsid w:val="002F2568"/>
    <w:rsid w:val="002F2624"/>
    <w:rsid w:val="002F29CB"/>
    <w:rsid w:val="002F2B44"/>
    <w:rsid w:val="002F2EEA"/>
    <w:rsid w:val="002F3437"/>
    <w:rsid w:val="002F3659"/>
    <w:rsid w:val="002F3B90"/>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79B"/>
    <w:rsid w:val="003067B0"/>
    <w:rsid w:val="00306914"/>
    <w:rsid w:val="00306DA0"/>
    <w:rsid w:val="00306FED"/>
    <w:rsid w:val="00307242"/>
    <w:rsid w:val="00307508"/>
    <w:rsid w:val="003076A7"/>
    <w:rsid w:val="003078FC"/>
    <w:rsid w:val="00307C81"/>
    <w:rsid w:val="00307ECE"/>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DA8"/>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8E"/>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21A"/>
    <w:rsid w:val="003364E2"/>
    <w:rsid w:val="00336662"/>
    <w:rsid w:val="003366AE"/>
    <w:rsid w:val="003369EE"/>
    <w:rsid w:val="00336A2E"/>
    <w:rsid w:val="00336A91"/>
    <w:rsid w:val="00336DB6"/>
    <w:rsid w:val="00336F08"/>
    <w:rsid w:val="003370CB"/>
    <w:rsid w:val="0033723E"/>
    <w:rsid w:val="0033735C"/>
    <w:rsid w:val="0033752E"/>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C42"/>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879"/>
    <w:rsid w:val="0035191A"/>
    <w:rsid w:val="00351C0B"/>
    <w:rsid w:val="00351E04"/>
    <w:rsid w:val="00351FC7"/>
    <w:rsid w:val="003520DC"/>
    <w:rsid w:val="00352337"/>
    <w:rsid w:val="003524DB"/>
    <w:rsid w:val="00352522"/>
    <w:rsid w:val="003525B9"/>
    <w:rsid w:val="003525C2"/>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7D"/>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55"/>
    <w:rsid w:val="003671D4"/>
    <w:rsid w:val="00367409"/>
    <w:rsid w:val="00367433"/>
    <w:rsid w:val="0036748C"/>
    <w:rsid w:val="00367716"/>
    <w:rsid w:val="00367745"/>
    <w:rsid w:val="00367816"/>
    <w:rsid w:val="00367ACE"/>
    <w:rsid w:val="00367B01"/>
    <w:rsid w:val="00367DCF"/>
    <w:rsid w:val="00367F9B"/>
    <w:rsid w:val="003700CC"/>
    <w:rsid w:val="0037026B"/>
    <w:rsid w:val="00370536"/>
    <w:rsid w:val="00370E4B"/>
    <w:rsid w:val="00370F6E"/>
    <w:rsid w:val="00371062"/>
    <w:rsid w:val="00371091"/>
    <w:rsid w:val="003714B2"/>
    <w:rsid w:val="00371518"/>
    <w:rsid w:val="0037158B"/>
    <w:rsid w:val="003717F1"/>
    <w:rsid w:val="00371BC0"/>
    <w:rsid w:val="00371DBF"/>
    <w:rsid w:val="00371ECA"/>
    <w:rsid w:val="0037209F"/>
    <w:rsid w:val="003726B7"/>
    <w:rsid w:val="00372984"/>
    <w:rsid w:val="00372AE1"/>
    <w:rsid w:val="00372B4A"/>
    <w:rsid w:val="00373254"/>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58"/>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0FAE"/>
    <w:rsid w:val="00381015"/>
    <w:rsid w:val="003814F7"/>
    <w:rsid w:val="00381E30"/>
    <w:rsid w:val="00382391"/>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7A"/>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705"/>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A0146"/>
    <w:rsid w:val="003A03F0"/>
    <w:rsid w:val="003A0743"/>
    <w:rsid w:val="003A0C86"/>
    <w:rsid w:val="003A0EBC"/>
    <w:rsid w:val="003A193D"/>
    <w:rsid w:val="003A1DE6"/>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7C"/>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32F5"/>
    <w:rsid w:val="003B38CD"/>
    <w:rsid w:val="003B3A56"/>
    <w:rsid w:val="003B3D10"/>
    <w:rsid w:val="003B3F0A"/>
    <w:rsid w:val="003B44FE"/>
    <w:rsid w:val="003B46B5"/>
    <w:rsid w:val="003B4849"/>
    <w:rsid w:val="003B4968"/>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1B24"/>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1F2"/>
    <w:rsid w:val="003D461D"/>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18"/>
    <w:rsid w:val="003E1D48"/>
    <w:rsid w:val="003E1D49"/>
    <w:rsid w:val="003E1EE5"/>
    <w:rsid w:val="003E1F00"/>
    <w:rsid w:val="003E2078"/>
    <w:rsid w:val="003E234E"/>
    <w:rsid w:val="003E23F6"/>
    <w:rsid w:val="003E2540"/>
    <w:rsid w:val="003E2AA8"/>
    <w:rsid w:val="003E2BF4"/>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C7F"/>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B3D"/>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B6"/>
    <w:rsid w:val="004047F2"/>
    <w:rsid w:val="0040483C"/>
    <w:rsid w:val="00404BD5"/>
    <w:rsid w:val="00404F0C"/>
    <w:rsid w:val="00404FF8"/>
    <w:rsid w:val="00405095"/>
    <w:rsid w:val="0040521E"/>
    <w:rsid w:val="00405329"/>
    <w:rsid w:val="00405562"/>
    <w:rsid w:val="0040570B"/>
    <w:rsid w:val="004059E0"/>
    <w:rsid w:val="00405C11"/>
    <w:rsid w:val="00406009"/>
    <w:rsid w:val="004065C4"/>
    <w:rsid w:val="004066EE"/>
    <w:rsid w:val="00406765"/>
    <w:rsid w:val="00406B99"/>
    <w:rsid w:val="00406F6F"/>
    <w:rsid w:val="00406F9D"/>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47F"/>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0DB"/>
    <w:rsid w:val="004134C0"/>
    <w:rsid w:val="00413C08"/>
    <w:rsid w:val="00413F1E"/>
    <w:rsid w:val="00413FFE"/>
    <w:rsid w:val="00414299"/>
    <w:rsid w:val="004145B4"/>
    <w:rsid w:val="00414967"/>
    <w:rsid w:val="00414B5B"/>
    <w:rsid w:val="00414C19"/>
    <w:rsid w:val="00414CAD"/>
    <w:rsid w:val="004150F4"/>
    <w:rsid w:val="00415563"/>
    <w:rsid w:val="0041562B"/>
    <w:rsid w:val="00415BC5"/>
    <w:rsid w:val="00415DB8"/>
    <w:rsid w:val="00415EE3"/>
    <w:rsid w:val="00415F40"/>
    <w:rsid w:val="0041604E"/>
    <w:rsid w:val="004161DD"/>
    <w:rsid w:val="00416341"/>
    <w:rsid w:val="004172E6"/>
    <w:rsid w:val="004173EB"/>
    <w:rsid w:val="00417B31"/>
    <w:rsid w:val="0042018B"/>
    <w:rsid w:val="004203E3"/>
    <w:rsid w:val="0042055A"/>
    <w:rsid w:val="00420BB5"/>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193"/>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37F88"/>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6DBE"/>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05"/>
    <w:rsid w:val="00453314"/>
    <w:rsid w:val="0045334B"/>
    <w:rsid w:val="00453A19"/>
    <w:rsid w:val="00453B7D"/>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51"/>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027"/>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BC"/>
    <w:rsid w:val="004B277F"/>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724"/>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2834"/>
    <w:rsid w:val="004D2B6A"/>
    <w:rsid w:val="004D323C"/>
    <w:rsid w:val="004D3391"/>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09"/>
    <w:rsid w:val="004D5E82"/>
    <w:rsid w:val="004D5F42"/>
    <w:rsid w:val="004D602D"/>
    <w:rsid w:val="004D6150"/>
    <w:rsid w:val="004D6CF4"/>
    <w:rsid w:val="004D6E44"/>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5F4"/>
    <w:rsid w:val="004E5A51"/>
    <w:rsid w:val="004E5A77"/>
    <w:rsid w:val="004E5AD2"/>
    <w:rsid w:val="004E5C72"/>
    <w:rsid w:val="004E5FFF"/>
    <w:rsid w:val="004E6091"/>
    <w:rsid w:val="004E63F5"/>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CA3"/>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0C0"/>
    <w:rsid w:val="0050461E"/>
    <w:rsid w:val="005049A3"/>
    <w:rsid w:val="005052B3"/>
    <w:rsid w:val="005055E5"/>
    <w:rsid w:val="005057EA"/>
    <w:rsid w:val="00505A5D"/>
    <w:rsid w:val="00505B38"/>
    <w:rsid w:val="00505D76"/>
    <w:rsid w:val="005062A4"/>
    <w:rsid w:val="00506611"/>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5D3"/>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AC"/>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587D"/>
    <w:rsid w:val="00516066"/>
    <w:rsid w:val="00516265"/>
    <w:rsid w:val="00516D9F"/>
    <w:rsid w:val="00516E9F"/>
    <w:rsid w:val="00516F49"/>
    <w:rsid w:val="00516FE4"/>
    <w:rsid w:val="00517357"/>
    <w:rsid w:val="005175AE"/>
    <w:rsid w:val="0051783B"/>
    <w:rsid w:val="00517B20"/>
    <w:rsid w:val="00517CB7"/>
    <w:rsid w:val="00520154"/>
    <w:rsid w:val="00520260"/>
    <w:rsid w:val="005202BD"/>
    <w:rsid w:val="005204F4"/>
    <w:rsid w:val="005207FC"/>
    <w:rsid w:val="00520D7C"/>
    <w:rsid w:val="00521034"/>
    <w:rsid w:val="005214ED"/>
    <w:rsid w:val="0052164E"/>
    <w:rsid w:val="0052187E"/>
    <w:rsid w:val="005219B7"/>
    <w:rsid w:val="00521AB9"/>
    <w:rsid w:val="00521ABB"/>
    <w:rsid w:val="00521AC0"/>
    <w:rsid w:val="0052209B"/>
    <w:rsid w:val="005221B2"/>
    <w:rsid w:val="00522221"/>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8E1"/>
    <w:rsid w:val="00530CAC"/>
    <w:rsid w:val="00531062"/>
    <w:rsid w:val="0053128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86E"/>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CCE"/>
    <w:rsid w:val="00544E23"/>
    <w:rsid w:val="00545062"/>
    <w:rsid w:val="0054534A"/>
    <w:rsid w:val="0054540D"/>
    <w:rsid w:val="0054569D"/>
    <w:rsid w:val="005459D3"/>
    <w:rsid w:val="00545C38"/>
    <w:rsid w:val="00545D61"/>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143"/>
    <w:rsid w:val="005535AA"/>
    <w:rsid w:val="0055362B"/>
    <w:rsid w:val="005536A7"/>
    <w:rsid w:val="005537A2"/>
    <w:rsid w:val="00553DAD"/>
    <w:rsid w:val="00554758"/>
    <w:rsid w:val="00554ACD"/>
    <w:rsid w:val="00554C20"/>
    <w:rsid w:val="00554D72"/>
    <w:rsid w:val="00554DAD"/>
    <w:rsid w:val="00554FA2"/>
    <w:rsid w:val="005550E6"/>
    <w:rsid w:val="00555189"/>
    <w:rsid w:val="0055520C"/>
    <w:rsid w:val="005554BC"/>
    <w:rsid w:val="005558D9"/>
    <w:rsid w:val="005558EB"/>
    <w:rsid w:val="00555B72"/>
    <w:rsid w:val="00555BD7"/>
    <w:rsid w:val="00555CF6"/>
    <w:rsid w:val="00556361"/>
    <w:rsid w:val="005564B8"/>
    <w:rsid w:val="005569FC"/>
    <w:rsid w:val="00556A2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10A0"/>
    <w:rsid w:val="005610C9"/>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4B70"/>
    <w:rsid w:val="00565272"/>
    <w:rsid w:val="00565921"/>
    <w:rsid w:val="00565D02"/>
    <w:rsid w:val="00565F56"/>
    <w:rsid w:val="0056637F"/>
    <w:rsid w:val="00566803"/>
    <w:rsid w:val="005668BB"/>
    <w:rsid w:val="0056697E"/>
    <w:rsid w:val="00566AB4"/>
    <w:rsid w:val="00566CD4"/>
    <w:rsid w:val="00566FB9"/>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0FB7"/>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87E91"/>
    <w:rsid w:val="00590248"/>
    <w:rsid w:val="005903FA"/>
    <w:rsid w:val="0059077C"/>
    <w:rsid w:val="00590885"/>
    <w:rsid w:val="00591000"/>
    <w:rsid w:val="0059119C"/>
    <w:rsid w:val="005911E2"/>
    <w:rsid w:val="005916D5"/>
    <w:rsid w:val="005918AF"/>
    <w:rsid w:val="00591940"/>
    <w:rsid w:val="00591C6E"/>
    <w:rsid w:val="00591CC1"/>
    <w:rsid w:val="00591EF0"/>
    <w:rsid w:val="005925A4"/>
    <w:rsid w:val="005926E2"/>
    <w:rsid w:val="00592AA8"/>
    <w:rsid w:val="005931F5"/>
    <w:rsid w:val="00593202"/>
    <w:rsid w:val="0059340C"/>
    <w:rsid w:val="00593546"/>
    <w:rsid w:val="00593DE3"/>
    <w:rsid w:val="005940A3"/>
    <w:rsid w:val="00594376"/>
    <w:rsid w:val="00594451"/>
    <w:rsid w:val="0059465D"/>
    <w:rsid w:val="005949B6"/>
    <w:rsid w:val="00594A50"/>
    <w:rsid w:val="005951D7"/>
    <w:rsid w:val="0059526A"/>
    <w:rsid w:val="005958A4"/>
    <w:rsid w:val="00595993"/>
    <w:rsid w:val="00595B88"/>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3CC7"/>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BA"/>
    <w:rsid w:val="005C0BF7"/>
    <w:rsid w:val="005C0BFD"/>
    <w:rsid w:val="005C0C61"/>
    <w:rsid w:val="005C1201"/>
    <w:rsid w:val="005C131D"/>
    <w:rsid w:val="005C1634"/>
    <w:rsid w:val="005C1AC5"/>
    <w:rsid w:val="005C1B7D"/>
    <w:rsid w:val="005C2352"/>
    <w:rsid w:val="005C28BB"/>
    <w:rsid w:val="005C2956"/>
    <w:rsid w:val="005C2DD4"/>
    <w:rsid w:val="005C2E02"/>
    <w:rsid w:val="005C2E7C"/>
    <w:rsid w:val="005C2F04"/>
    <w:rsid w:val="005C3288"/>
    <w:rsid w:val="005C35AA"/>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07C9"/>
    <w:rsid w:val="005D10A9"/>
    <w:rsid w:val="005D1144"/>
    <w:rsid w:val="005D19AC"/>
    <w:rsid w:val="005D1A76"/>
    <w:rsid w:val="005D1C5B"/>
    <w:rsid w:val="005D1EF4"/>
    <w:rsid w:val="005D2072"/>
    <w:rsid w:val="005D221A"/>
    <w:rsid w:val="005D2333"/>
    <w:rsid w:val="005D234F"/>
    <w:rsid w:val="005D24AF"/>
    <w:rsid w:val="005D2892"/>
    <w:rsid w:val="005D289E"/>
    <w:rsid w:val="005D297B"/>
    <w:rsid w:val="005D2A4F"/>
    <w:rsid w:val="005D2A97"/>
    <w:rsid w:val="005D2F3A"/>
    <w:rsid w:val="005D3430"/>
    <w:rsid w:val="005D360C"/>
    <w:rsid w:val="005D36CE"/>
    <w:rsid w:val="005D377A"/>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574"/>
    <w:rsid w:val="005D77C7"/>
    <w:rsid w:val="005D790D"/>
    <w:rsid w:val="005D7951"/>
    <w:rsid w:val="005D7B1D"/>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18C"/>
    <w:rsid w:val="005F1311"/>
    <w:rsid w:val="005F14F7"/>
    <w:rsid w:val="005F1558"/>
    <w:rsid w:val="005F188D"/>
    <w:rsid w:val="005F1D8D"/>
    <w:rsid w:val="005F21C9"/>
    <w:rsid w:val="005F247D"/>
    <w:rsid w:val="005F26B1"/>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BB"/>
    <w:rsid w:val="006026E6"/>
    <w:rsid w:val="00602987"/>
    <w:rsid w:val="00602BEF"/>
    <w:rsid w:val="00602E57"/>
    <w:rsid w:val="00603012"/>
    <w:rsid w:val="006030BB"/>
    <w:rsid w:val="006030BD"/>
    <w:rsid w:val="00603808"/>
    <w:rsid w:val="00603C02"/>
    <w:rsid w:val="00603C48"/>
    <w:rsid w:val="006042A4"/>
    <w:rsid w:val="006047B1"/>
    <w:rsid w:val="006047D4"/>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0E3"/>
    <w:rsid w:val="00616265"/>
    <w:rsid w:val="006163CF"/>
    <w:rsid w:val="0061668C"/>
    <w:rsid w:val="00616976"/>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DE"/>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83B"/>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37"/>
    <w:rsid w:val="0064706F"/>
    <w:rsid w:val="0064732A"/>
    <w:rsid w:val="006474B3"/>
    <w:rsid w:val="006474F2"/>
    <w:rsid w:val="00647EB2"/>
    <w:rsid w:val="00647FD7"/>
    <w:rsid w:val="0065008E"/>
    <w:rsid w:val="00650092"/>
    <w:rsid w:val="006506EC"/>
    <w:rsid w:val="00650770"/>
    <w:rsid w:val="0065098C"/>
    <w:rsid w:val="00650D8F"/>
    <w:rsid w:val="00651340"/>
    <w:rsid w:val="006513A5"/>
    <w:rsid w:val="006513C3"/>
    <w:rsid w:val="006513E9"/>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701"/>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96D"/>
    <w:rsid w:val="00660BE4"/>
    <w:rsid w:val="00660E89"/>
    <w:rsid w:val="00660EFE"/>
    <w:rsid w:val="006619C8"/>
    <w:rsid w:val="00662090"/>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6C1E"/>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CD3"/>
    <w:rsid w:val="00672D84"/>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6B1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D85"/>
    <w:rsid w:val="00681EF1"/>
    <w:rsid w:val="006825F9"/>
    <w:rsid w:val="00682847"/>
    <w:rsid w:val="006829C2"/>
    <w:rsid w:val="00682A2B"/>
    <w:rsid w:val="0068316F"/>
    <w:rsid w:val="00683473"/>
    <w:rsid w:val="00683520"/>
    <w:rsid w:val="006836B9"/>
    <w:rsid w:val="0068374A"/>
    <w:rsid w:val="006838ED"/>
    <w:rsid w:val="00683A16"/>
    <w:rsid w:val="00683FBF"/>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96B"/>
    <w:rsid w:val="00692D95"/>
    <w:rsid w:val="00693086"/>
    <w:rsid w:val="0069346F"/>
    <w:rsid w:val="0069360E"/>
    <w:rsid w:val="0069389B"/>
    <w:rsid w:val="00693943"/>
    <w:rsid w:val="00693A6B"/>
    <w:rsid w:val="00693AC5"/>
    <w:rsid w:val="00693D4E"/>
    <w:rsid w:val="00693F58"/>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97A0A"/>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105"/>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060"/>
    <w:rsid w:val="006B570A"/>
    <w:rsid w:val="006B5715"/>
    <w:rsid w:val="006B5A61"/>
    <w:rsid w:val="006B60BB"/>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A4C"/>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1"/>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1FD9"/>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3D08"/>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ABB"/>
    <w:rsid w:val="006F7CA3"/>
    <w:rsid w:val="006F7E88"/>
    <w:rsid w:val="007003D9"/>
    <w:rsid w:val="0070089D"/>
    <w:rsid w:val="00700979"/>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40E6"/>
    <w:rsid w:val="00704132"/>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AC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97D"/>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738"/>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C3A"/>
    <w:rsid w:val="00743EFB"/>
    <w:rsid w:val="00743FA6"/>
    <w:rsid w:val="00744A81"/>
    <w:rsid w:val="00744AF4"/>
    <w:rsid w:val="00744C07"/>
    <w:rsid w:val="00744EE4"/>
    <w:rsid w:val="007457BD"/>
    <w:rsid w:val="0074586F"/>
    <w:rsid w:val="007459BF"/>
    <w:rsid w:val="00745A65"/>
    <w:rsid w:val="00745CA3"/>
    <w:rsid w:val="00745D71"/>
    <w:rsid w:val="007460AE"/>
    <w:rsid w:val="007461EA"/>
    <w:rsid w:val="00746214"/>
    <w:rsid w:val="007463AA"/>
    <w:rsid w:val="00746512"/>
    <w:rsid w:val="007468D5"/>
    <w:rsid w:val="00746F46"/>
    <w:rsid w:val="007471F8"/>
    <w:rsid w:val="00747516"/>
    <w:rsid w:val="0074755D"/>
    <w:rsid w:val="007476F0"/>
    <w:rsid w:val="00747949"/>
    <w:rsid w:val="00747A52"/>
    <w:rsid w:val="00747BB2"/>
    <w:rsid w:val="00747E51"/>
    <w:rsid w:val="00750683"/>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17A"/>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519"/>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E92"/>
    <w:rsid w:val="0079139D"/>
    <w:rsid w:val="00791536"/>
    <w:rsid w:val="007915C8"/>
    <w:rsid w:val="007915DD"/>
    <w:rsid w:val="00791AC8"/>
    <w:rsid w:val="00792089"/>
    <w:rsid w:val="0079224B"/>
    <w:rsid w:val="0079229A"/>
    <w:rsid w:val="0079230E"/>
    <w:rsid w:val="00792514"/>
    <w:rsid w:val="007925DE"/>
    <w:rsid w:val="00792624"/>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95"/>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0ACC"/>
    <w:rsid w:val="007B1265"/>
    <w:rsid w:val="007B1A21"/>
    <w:rsid w:val="007B1ACD"/>
    <w:rsid w:val="007B21B1"/>
    <w:rsid w:val="007B234D"/>
    <w:rsid w:val="007B2840"/>
    <w:rsid w:val="007B28B4"/>
    <w:rsid w:val="007B2E7A"/>
    <w:rsid w:val="007B2FDF"/>
    <w:rsid w:val="007B30EA"/>
    <w:rsid w:val="007B33D2"/>
    <w:rsid w:val="007B354B"/>
    <w:rsid w:val="007B3A86"/>
    <w:rsid w:val="007B3DE7"/>
    <w:rsid w:val="007B4246"/>
    <w:rsid w:val="007B43A1"/>
    <w:rsid w:val="007B4499"/>
    <w:rsid w:val="007B473D"/>
    <w:rsid w:val="007B48C2"/>
    <w:rsid w:val="007B4BFD"/>
    <w:rsid w:val="007B5366"/>
    <w:rsid w:val="007B5419"/>
    <w:rsid w:val="007B544B"/>
    <w:rsid w:val="007B548A"/>
    <w:rsid w:val="007B55D0"/>
    <w:rsid w:val="007B58B3"/>
    <w:rsid w:val="007B5B06"/>
    <w:rsid w:val="007B5E6F"/>
    <w:rsid w:val="007B5F7A"/>
    <w:rsid w:val="007B6199"/>
    <w:rsid w:val="007B6243"/>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C7F45"/>
    <w:rsid w:val="007D00FA"/>
    <w:rsid w:val="007D014E"/>
    <w:rsid w:val="007D022D"/>
    <w:rsid w:val="007D0527"/>
    <w:rsid w:val="007D0846"/>
    <w:rsid w:val="007D0C47"/>
    <w:rsid w:val="007D0D50"/>
    <w:rsid w:val="007D0DD4"/>
    <w:rsid w:val="007D0EF7"/>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AA"/>
    <w:rsid w:val="007F2272"/>
    <w:rsid w:val="007F2306"/>
    <w:rsid w:val="007F25D0"/>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179"/>
    <w:rsid w:val="00802385"/>
    <w:rsid w:val="0080240A"/>
    <w:rsid w:val="008026E5"/>
    <w:rsid w:val="0080298A"/>
    <w:rsid w:val="0080298B"/>
    <w:rsid w:val="00802A07"/>
    <w:rsid w:val="00802BBB"/>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4F35"/>
    <w:rsid w:val="0080503F"/>
    <w:rsid w:val="00805262"/>
    <w:rsid w:val="00805269"/>
    <w:rsid w:val="0080543D"/>
    <w:rsid w:val="008055A7"/>
    <w:rsid w:val="008055EA"/>
    <w:rsid w:val="0080578D"/>
    <w:rsid w:val="008058F6"/>
    <w:rsid w:val="00805C7D"/>
    <w:rsid w:val="00805DE6"/>
    <w:rsid w:val="00805FB9"/>
    <w:rsid w:val="00806141"/>
    <w:rsid w:val="00806568"/>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0559"/>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08A"/>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F82"/>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1F4D"/>
    <w:rsid w:val="0083219B"/>
    <w:rsid w:val="0083243E"/>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906"/>
    <w:rsid w:val="00844AA5"/>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60CE"/>
    <w:rsid w:val="008561F9"/>
    <w:rsid w:val="0085696E"/>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BD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37F"/>
    <w:rsid w:val="008664E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22D"/>
    <w:rsid w:val="008703C3"/>
    <w:rsid w:val="00870508"/>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07"/>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98"/>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5D"/>
    <w:rsid w:val="008A34E0"/>
    <w:rsid w:val="008A368E"/>
    <w:rsid w:val="008A36F0"/>
    <w:rsid w:val="008A37E5"/>
    <w:rsid w:val="008A401D"/>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728F"/>
    <w:rsid w:val="008A73C1"/>
    <w:rsid w:val="008A74D2"/>
    <w:rsid w:val="008A7619"/>
    <w:rsid w:val="008A76A5"/>
    <w:rsid w:val="008B007B"/>
    <w:rsid w:val="008B018A"/>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2E3B"/>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2F1D"/>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4C7"/>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6F"/>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1F94"/>
    <w:rsid w:val="00912260"/>
    <w:rsid w:val="0091259A"/>
    <w:rsid w:val="00912BDE"/>
    <w:rsid w:val="00912EEE"/>
    <w:rsid w:val="00912F51"/>
    <w:rsid w:val="009131EC"/>
    <w:rsid w:val="0091324D"/>
    <w:rsid w:val="00913445"/>
    <w:rsid w:val="009136B4"/>
    <w:rsid w:val="009136CA"/>
    <w:rsid w:val="00913DCF"/>
    <w:rsid w:val="009141B2"/>
    <w:rsid w:val="009142AD"/>
    <w:rsid w:val="0091432D"/>
    <w:rsid w:val="00914773"/>
    <w:rsid w:val="00914BD1"/>
    <w:rsid w:val="00914CD0"/>
    <w:rsid w:val="00914DC0"/>
    <w:rsid w:val="00914F65"/>
    <w:rsid w:val="0091541B"/>
    <w:rsid w:val="009154B0"/>
    <w:rsid w:val="009157B2"/>
    <w:rsid w:val="00915A63"/>
    <w:rsid w:val="00915AE5"/>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3CD"/>
    <w:rsid w:val="009234A1"/>
    <w:rsid w:val="00923881"/>
    <w:rsid w:val="00923A7F"/>
    <w:rsid w:val="00923B39"/>
    <w:rsid w:val="00923CAC"/>
    <w:rsid w:val="00923D1C"/>
    <w:rsid w:val="00923F6E"/>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46"/>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7CC"/>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31"/>
    <w:rsid w:val="00954263"/>
    <w:rsid w:val="00954286"/>
    <w:rsid w:val="009542A8"/>
    <w:rsid w:val="00954501"/>
    <w:rsid w:val="00954892"/>
    <w:rsid w:val="009549F9"/>
    <w:rsid w:val="00954ADB"/>
    <w:rsid w:val="00954BF0"/>
    <w:rsid w:val="009552EA"/>
    <w:rsid w:val="0095582B"/>
    <w:rsid w:val="009559B6"/>
    <w:rsid w:val="00955DDE"/>
    <w:rsid w:val="009561EF"/>
    <w:rsid w:val="00956793"/>
    <w:rsid w:val="00956827"/>
    <w:rsid w:val="009568F4"/>
    <w:rsid w:val="00956C96"/>
    <w:rsid w:val="00956E87"/>
    <w:rsid w:val="00956FD3"/>
    <w:rsid w:val="009571A6"/>
    <w:rsid w:val="00957C78"/>
    <w:rsid w:val="00957CEF"/>
    <w:rsid w:val="00957E04"/>
    <w:rsid w:val="0096018A"/>
    <w:rsid w:val="0096026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7ED"/>
    <w:rsid w:val="00963885"/>
    <w:rsid w:val="00963AC8"/>
    <w:rsid w:val="00963EC6"/>
    <w:rsid w:val="0096417C"/>
    <w:rsid w:val="009645D2"/>
    <w:rsid w:val="009646DF"/>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D6E"/>
    <w:rsid w:val="00967EF5"/>
    <w:rsid w:val="00970039"/>
    <w:rsid w:val="00970141"/>
    <w:rsid w:val="009702C1"/>
    <w:rsid w:val="00970389"/>
    <w:rsid w:val="0097041A"/>
    <w:rsid w:val="00970687"/>
    <w:rsid w:val="00970793"/>
    <w:rsid w:val="0097083A"/>
    <w:rsid w:val="00970CD4"/>
    <w:rsid w:val="00970F19"/>
    <w:rsid w:val="00971146"/>
    <w:rsid w:val="009711A9"/>
    <w:rsid w:val="009711CD"/>
    <w:rsid w:val="009712E9"/>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915"/>
    <w:rsid w:val="00977E3C"/>
    <w:rsid w:val="00980064"/>
    <w:rsid w:val="0098013A"/>
    <w:rsid w:val="00980301"/>
    <w:rsid w:val="009804B5"/>
    <w:rsid w:val="0098050D"/>
    <w:rsid w:val="0098083F"/>
    <w:rsid w:val="00980865"/>
    <w:rsid w:val="00980B01"/>
    <w:rsid w:val="00980B57"/>
    <w:rsid w:val="00980E28"/>
    <w:rsid w:val="00980E63"/>
    <w:rsid w:val="009815E5"/>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0A"/>
    <w:rsid w:val="0098408A"/>
    <w:rsid w:val="00984240"/>
    <w:rsid w:val="00984369"/>
    <w:rsid w:val="0098449E"/>
    <w:rsid w:val="0098464F"/>
    <w:rsid w:val="0098480B"/>
    <w:rsid w:val="00985075"/>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0BA"/>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72B"/>
    <w:rsid w:val="00994959"/>
    <w:rsid w:val="00994B76"/>
    <w:rsid w:val="00994CA4"/>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657"/>
    <w:rsid w:val="009B094D"/>
    <w:rsid w:val="009B09D9"/>
    <w:rsid w:val="009B0A3C"/>
    <w:rsid w:val="009B0CA1"/>
    <w:rsid w:val="009B0E4F"/>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A13"/>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DA1"/>
    <w:rsid w:val="009B6F81"/>
    <w:rsid w:val="009B7003"/>
    <w:rsid w:val="009B7778"/>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E83"/>
    <w:rsid w:val="009C5F69"/>
    <w:rsid w:val="009C5FD2"/>
    <w:rsid w:val="009C6193"/>
    <w:rsid w:val="009C6265"/>
    <w:rsid w:val="009C626B"/>
    <w:rsid w:val="009C6376"/>
    <w:rsid w:val="009C6BDC"/>
    <w:rsid w:val="009C6F03"/>
    <w:rsid w:val="009C7016"/>
    <w:rsid w:val="009C704D"/>
    <w:rsid w:val="009C7070"/>
    <w:rsid w:val="009C7289"/>
    <w:rsid w:val="009C72D9"/>
    <w:rsid w:val="009C7315"/>
    <w:rsid w:val="009C75EE"/>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B9C"/>
    <w:rsid w:val="009D2BD0"/>
    <w:rsid w:val="009D2DE3"/>
    <w:rsid w:val="009D367F"/>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D8F"/>
    <w:rsid w:val="009D7E7F"/>
    <w:rsid w:val="009E0625"/>
    <w:rsid w:val="009E0768"/>
    <w:rsid w:val="009E07CF"/>
    <w:rsid w:val="009E0978"/>
    <w:rsid w:val="009E0AD2"/>
    <w:rsid w:val="009E0B18"/>
    <w:rsid w:val="009E0CBC"/>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D74"/>
    <w:rsid w:val="009E2FE1"/>
    <w:rsid w:val="009E2FF2"/>
    <w:rsid w:val="009E3297"/>
    <w:rsid w:val="009E335B"/>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1AF"/>
    <w:rsid w:val="009E72D8"/>
    <w:rsid w:val="009E734D"/>
    <w:rsid w:val="009E7364"/>
    <w:rsid w:val="009E74F7"/>
    <w:rsid w:val="009E76F9"/>
    <w:rsid w:val="009E77FC"/>
    <w:rsid w:val="009E7C1D"/>
    <w:rsid w:val="009F0014"/>
    <w:rsid w:val="009F028D"/>
    <w:rsid w:val="009F09CE"/>
    <w:rsid w:val="009F09D7"/>
    <w:rsid w:val="009F0A1D"/>
    <w:rsid w:val="009F0BB9"/>
    <w:rsid w:val="009F0DCC"/>
    <w:rsid w:val="009F0E1A"/>
    <w:rsid w:val="009F122A"/>
    <w:rsid w:val="009F13D3"/>
    <w:rsid w:val="009F1C9B"/>
    <w:rsid w:val="009F1D06"/>
    <w:rsid w:val="009F1D58"/>
    <w:rsid w:val="009F2269"/>
    <w:rsid w:val="009F27B5"/>
    <w:rsid w:val="009F28B5"/>
    <w:rsid w:val="009F2E5F"/>
    <w:rsid w:val="009F2F2C"/>
    <w:rsid w:val="009F3077"/>
    <w:rsid w:val="009F30A9"/>
    <w:rsid w:val="009F3581"/>
    <w:rsid w:val="009F3A71"/>
    <w:rsid w:val="009F3ABE"/>
    <w:rsid w:val="009F3DD0"/>
    <w:rsid w:val="009F3DE5"/>
    <w:rsid w:val="009F3FB2"/>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6177"/>
    <w:rsid w:val="009F662B"/>
    <w:rsid w:val="009F68E2"/>
    <w:rsid w:val="009F6B62"/>
    <w:rsid w:val="009F6E3A"/>
    <w:rsid w:val="009F702D"/>
    <w:rsid w:val="009F72B0"/>
    <w:rsid w:val="009F7403"/>
    <w:rsid w:val="009F741C"/>
    <w:rsid w:val="009F7500"/>
    <w:rsid w:val="009F758F"/>
    <w:rsid w:val="009F7626"/>
    <w:rsid w:val="009F768E"/>
    <w:rsid w:val="009F76E7"/>
    <w:rsid w:val="009F76F9"/>
    <w:rsid w:val="009F7A94"/>
    <w:rsid w:val="009F7B61"/>
    <w:rsid w:val="009F7D59"/>
    <w:rsid w:val="009F7D5D"/>
    <w:rsid w:val="00A001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5D"/>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6B"/>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735A"/>
    <w:rsid w:val="00A1785B"/>
    <w:rsid w:val="00A178CF"/>
    <w:rsid w:val="00A17926"/>
    <w:rsid w:val="00A17DAE"/>
    <w:rsid w:val="00A203C1"/>
    <w:rsid w:val="00A203E2"/>
    <w:rsid w:val="00A20603"/>
    <w:rsid w:val="00A20925"/>
    <w:rsid w:val="00A20A4E"/>
    <w:rsid w:val="00A20C1B"/>
    <w:rsid w:val="00A21277"/>
    <w:rsid w:val="00A212EF"/>
    <w:rsid w:val="00A21569"/>
    <w:rsid w:val="00A217EC"/>
    <w:rsid w:val="00A21AE9"/>
    <w:rsid w:val="00A21B58"/>
    <w:rsid w:val="00A22151"/>
    <w:rsid w:val="00A2222A"/>
    <w:rsid w:val="00A224EB"/>
    <w:rsid w:val="00A225CB"/>
    <w:rsid w:val="00A22951"/>
    <w:rsid w:val="00A22AC6"/>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128"/>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839"/>
    <w:rsid w:val="00A36A97"/>
    <w:rsid w:val="00A36CE8"/>
    <w:rsid w:val="00A36D90"/>
    <w:rsid w:val="00A36F02"/>
    <w:rsid w:val="00A36F6A"/>
    <w:rsid w:val="00A37069"/>
    <w:rsid w:val="00A37327"/>
    <w:rsid w:val="00A37465"/>
    <w:rsid w:val="00A374A2"/>
    <w:rsid w:val="00A37603"/>
    <w:rsid w:val="00A376DE"/>
    <w:rsid w:val="00A376E4"/>
    <w:rsid w:val="00A37B4B"/>
    <w:rsid w:val="00A37EE1"/>
    <w:rsid w:val="00A403D4"/>
    <w:rsid w:val="00A4047C"/>
    <w:rsid w:val="00A40516"/>
    <w:rsid w:val="00A408FA"/>
    <w:rsid w:val="00A40962"/>
    <w:rsid w:val="00A40B01"/>
    <w:rsid w:val="00A40CB8"/>
    <w:rsid w:val="00A40D3E"/>
    <w:rsid w:val="00A40D9A"/>
    <w:rsid w:val="00A41102"/>
    <w:rsid w:val="00A411E5"/>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0EFF"/>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DE9"/>
    <w:rsid w:val="00A54E4D"/>
    <w:rsid w:val="00A54FC0"/>
    <w:rsid w:val="00A55157"/>
    <w:rsid w:val="00A554D2"/>
    <w:rsid w:val="00A5566C"/>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5F9F"/>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39"/>
    <w:rsid w:val="00A721AB"/>
    <w:rsid w:val="00A728E1"/>
    <w:rsid w:val="00A72C65"/>
    <w:rsid w:val="00A730ED"/>
    <w:rsid w:val="00A73139"/>
    <w:rsid w:val="00A731F9"/>
    <w:rsid w:val="00A7327E"/>
    <w:rsid w:val="00A7340E"/>
    <w:rsid w:val="00A73621"/>
    <w:rsid w:val="00A73811"/>
    <w:rsid w:val="00A73D03"/>
    <w:rsid w:val="00A73F50"/>
    <w:rsid w:val="00A7412A"/>
    <w:rsid w:val="00A7428C"/>
    <w:rsid w:val="00A74790"/>
    <w:rsid w:val="00A749D2"/>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1051"/>
    <w:rsid w:val="00A91215"/>
    <w:rsid w:val="00A9132A"/>
    <w:rsid w:val="00A9134F"/>
    <w:rsid w:val="00A9196B"/>
    <w:rsid w:val="00A91BCE"/>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570"/>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5A"/>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9A7"/>
    <w:rsid w:val="00AC5ACC"/>
    <w:rsid w:val="00AC5B6C"/>
    <w:rsid w:val="00AC5BE8"/>
    <w:rsid w:val="00AC5C06"/>
    <w:rsid w:val="00AC5EFE"/>
    <w:rsid w:val="00AC68C8"/>
    <w:rsid w:val="00AC6955"/>
    <w:rsid w:val="00AC6AFA"/>
    <w:rsid w:val="00AC6F35"/>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6F0"/>
    <w:rsid w:val="00AD280F"/>
    <w:rsid w:val="00AD2DAC"/>
    <w:rsid w:val="00AD2E1C"/>
    <w:rsid w:val="00AD2E79"/>
    <w:rsid w:val="00AD2EC5"/>
    <w:rsid w:val="00AD323C"/>
    <w:rsid w:val="00AD36E0"/>
    <w:rsid w:val="00AD37C1"/>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1B"/>
    <w:rsid w:val="00AD5852"/>
    <w:rsid w:val="00AD598B"/>
    <w:rsid w:val="00AD5E0C"/>
    <w:rsid w:val="00AD6123"/>
    <w:rsid w:val="00AD6845"/>
    <w:rsid w:val="00AD68C1"/>
    <w:rsid w:val="00AD6C00"/>
    <w:rsid w:val="00AD6C74"/>
    <w:rsid w:val="00AD6E1B"/>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16"/>
    <w:rsid w:val="00AE0DCC"/>
    <w:rsid w:val="00AE1315"/>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71B"/>
    <w:rsid w:val="00B00879"/>
    <w:rsid w:val="00B00938"/>
    <w:rsid w:val="00B00C29"/>
    <w:rsid w:val="00B00D80"/>
    <w:rsid w:val="00B012CA"/>
    <w:rsid w:val="00B01369"/>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477"/>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170"/>
    <w:rsid w:val="00B2748A"/>
    <w:rsid w:val="00B27560"/>
    <w:rsid w:val="00B275FA"/>
    <w:rsid w:val="00B276E7"/>
    <w:rsid w:val="00B2779E"/>
    <w:rsid w:val="00B27937"/>
    <w:rsid w:val="00B27B06"/>
    <w:rsid w:val="00B27BC2"/>
    <w:rsid w:val="00B27BD5"/>
    <w:rsid w:val="00B27D92"/>
    <w:rsid w:val="00B27E19"/>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ABC"/>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4F7E"/>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730"/>
    <w:rsid w:val="00B40760"/>
    <w:rsid w:val="00B409C0"/>
    <w:rsid w:val="00B409F4"/>
    <w:rsid w:val="00B40CD0"/>
    <w:rsid w:val="00B40D06"/>
    <w:rsid w:val="00B40E39"/>
    <w:rsid w:val="00B4135A"/>
    <w:rsid w:val="00B4141A"/>
    <w:rsid w:val="00B41471"/>
    <w:rsid w:val="00B414BD"/>
    <w:rsid w:val="00B4159C"/>
    <w:rsid w:val="00B41749"/>
    <w:rsid w:val="00B417DF"/>
    <w:rsid w:val="00B4197F"/>
    <w:rsid w:val="00B41AD3"/>
    <w:rsid w:val="00B42146"/>
    <w:rsid w:val="00B42270"/>
    <w:rsid w:val="00B426F8"/>
    <w:rsid w:val="00B42A7D"/>
    <w:rsid w:val="00B42D23"/>
    <w:rsid w:val="00B42D87"/>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12B4"/>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670"/>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2A"/>
    <w:rsid w:val="00B62FE1"/>
    <w:rsid w:val="00B6392E"/>
    <w:rsid w:val="00B63BA9"/>
    <w:rsid w:val="00B63C03"/>
    <w:rsid w:val="00B64103"/>
    <w:rsid w:val="00B641A2"/>
    <w:rsid w:val="00B6429C"/>
    <w:rsid w:val="00B64AB2"/>
    <w:rsid w:val="00B651FC"/>
    <w:rsid w:val="00B65207"/>
    <w:rsid w:val="00B6522F"/>
    <w:rsid w:val="00B65343"/>
    <w:rsid w:val="00B653AC"/>
    <w:rsid w:val="00B654FC"/>
    <w:rsid w:val="00B65BE6"/>
    <w:rsid w:val="00B65C8F"/>
    <w:rsid w:val="00B65D39"/>
    <w:rsid w:val="00B65EDD"/>
    <w:rsid w:val="00B65FEF"/>
    <w:rsid w:val="00B6648B"/>
    <w:rsid w:val="00B665B6"/>
    <w:rsid w:val="00B66615"/>
    <w:rsid w:val="00B667B3"/>
    <w:rsid w:val="00B66D07"/>
    <w:rsid w:val="00B66D23"/>
    <w:rsid w:val="00B66E04"/>
    <w:rsid w:val="00B6702D"/>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6E2"/>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B4B"/>
    <w:rsid w:val="00B87D7A"/>
    <w:rsid w:val="00B908F8"/>
    <w:rsid w:val="00B90B26"/>
    <w:rsid w:val="00B90D5D"/>
    <w:rsid w:val="00B90D71"/>
    <w:rsid w:val="00B90DBE"/>
    <w:rsid w:val="00B90DC1"/>
    <w:rsid w:val="00B9101E"/>
    <w:rsid w:val="00B91027"/>
    <w:rsid w:val="00B9111B"/>
    <w:rsid w:val="00B911E7"/>
    <w:rsid w:val="00B91223"/>
    <w:rsid w:val="00B9141B"/>
    <w:rsid w:val="00B9144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6D3"/>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179"/>
    <w:rsid w:val="00BA6226"/>
    <w:rsid w:val="00BA6510"/>
    <w:rsid w:val="00BA65AB"/>
    <w:rsid w:val="00BA66F7"/>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47B"/>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0EA"/>
    <w:rsid w:val="00BB5673"/>
    <w:rsid w:val="00BB5AAA"/>
    <w:rsid w:val="00BB5B80"/>
    <w:rsid w:val="00BB5EEC"/>
    <w:rsid w:val="00BB617F"/>
    <w:rsid w:val="00BB67F4"/>
    <w:rsid w:val="00BB68FD"/>
    <w:rsid w:val="00BB6C69"/>
    <w:rsid w:val="00BB70C8"/>
    <w:rsid w:val="00BB7218"/>
    <w:rsid w:val="00BB7227"/>
    <w:rsid w:val="00BB73F8"/>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9AC"/>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772"/>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75A"/>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8B9"/>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0FC"/>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2EE4"/>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D5F"/>
    <w:rsid w:val="00C26040"/>
    <w:rsid w:val="00C264D2"/>
    <w:rsid w:val="00C267C6"/>
    <w:rsid w:val="00C26CC7"/>
    <w:rsid w:val="00C27030"/>
    <w:rsid w:val="00C271E2"/>
    <w:rsid w:val="00C272A5"/>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22"/>
    <w:rsid w:val="00C373CB"/>
    <w:rsid w:val="00C378EA"/>
    <w:rsid w:val="00C37BC1"/>
    <w:rsid w:val="00C37C57"/>
    <w:rsid w:val="00C37C88"/>
    <w:rsid w:val="00C37DE9"/>
    <w:rsid w:val="00C37FB8"/>
    <w:rsid w:val="00C401D1"/>
    <w:rsid w:val="00C40483"/>
    <w:rsid w:val="00C407AB"/>
    <w:rsid w:val="00C40A13"/>
    <w:rsid w:val="00C40AAF"/>
    <w:rsid w:val="00C40C50"/>
    <w:rsid w:val="00C40F89"/>
    <w:rsid w:val="00C41695"/>
    <w:rsid w:val="00C41B04"/>
    <w:rsid w:val="00C41D69"/>
    <w:rsid w:val="00C41F7A"/>
    <w:rsid w:val="00C42042"/>
    <w:rsid w:val="00C4265D"/>
    <w:rsid w:val="00C42674"/>
    <w:rsid w:val="00C428A6"/>
    <w:rsid w:val="00C42D3F"/>
    <w:rsid w:val="00C43908"/>
    <w:rsid w:val="00C4390F"/>
    <w:rsid w:val="00C43B4A"/>
    <w:rsid w:val="00C43BA8"/>
    <w:rsid w:val="00C43C91"/>
    <w:rsid w:val="00C44069"/>
    <w:rsid w:val="00C44393"/>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A3D"/>
    <w:rsid w:val="00C52BF3"/>
    <w:rsid w:val="00C52DED"/>
    <w:rsid w:val="00C52F8C"/>
    <w:rsid w:val="00C531B8"/>
    <w:rsid w:val="00C535B4"/>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8C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7C4"/>
    <w:rsid w:val="00C61856"/>
    <w:rsid w:val="00C618C3"/>
    <w:rsid w:val="00C61916"/>
    <w:rsid w:val="00C619ED"/>
    <w:rsid w:val="00C61E6A"/>
    <w:rsid w:val="00C62091"/>
    <w:rsid w:val="00C62171"/>
    <w:rsid w:val="00C622F5"/>
    <w:rsid w:val="00C62699"/>
    <w:rsid w:val="00C626A2"/>
    <w:rsid w:val="00C62853"/>
    <w:rsid w:val="00C628A6"/>
    <w:rsid w:val="00C62975"/>
    <w:rsid w:val="00C629C6"/>
    <w:rsid w:val="00C62E15"/>
    <w:rsid w:val="00C62E42"/>
    <w:rsid w:val="00C62F90"/>
    <w:rsid w:val="00C63051"/>
    <w:rsid w:val="00C630A4"/>
    <w:rsid w:val="00C632C3"/>
    <w:rsid w:val="00C634B9"/>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2F9A"/>
    <w:rsid w:val="00C732CF"/>
    <w:rsid w:val="00C737F5"/>
    <w:rsid w:val="00C73805"/>
    <w:rsid w:val="00C738CF"/>
    <w:rsid w:val="00C73A42"/>
    <w:rsid w:val="00C73DD4"/>
    <w:rsid w:val="00C74147"/>
    <w:rsid w:val="00C74327"/>
    <w:rsid w:val="00C754FE"/>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0D20"/>
    <w:rsid w:val="00C8110D"/>
    <w:rsid w:val="00C81331"/>
    <w:rsid w:val="00C81975"/>
    <w:rsid w:val="00C81BF0"/>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6183"/>
    <w:rsid w:val="00C86245"/>
    <w:rsid w:val="00C86370"/>
    <w:rsid w:val="00C867AE"/>
    <w:rsid w:val="00C867E1"/>
    <w:rsid w:val="00C86D7B"/>
    <w:rsid w:val="00C86EEC"/>
    <w:rsid w:val="00C87318"/>
    <w:rsid w:val="00C875F0"/>
    <w:rsid w:val="00C8771A"/>
    <w:rsid w:val="00C87C1D"/>
    <w:rsid w:val="00C90470"/>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0C9"/>
    <w:rsid w:val="00C93579"/>
    <w:rsid w:val="00C937E9"/>
    <w:rsid w:val="00C93A91"/>
    <w:rsid w:val="00C93C21"/>
    <w:rsid w:val="00C93CB0"/>
    <w:rsid w:val="00C941E2"/>
    <w:rsid w:val="00C942CD"/>
    <w:rsid w:val="00C945E1"/>
    <w:rsid w:val="00C94C03"/>
    <w:rsid w:val="00C95083"/>
    <w:rsid w:val="00C953CB"/>
    <w:rsid w:val="00C95639"/>
    <w:rsid w:val="00C95761"/>
    <w:rsid w:val="00C95D8B"/>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1EA"/>
    <w:rsid w:val="00CA5B28"/>
    <w:rsid w:val="00CA5CEA"/>
    <w:rsid w:val="00CA5D19"/>
    <w:rsid w:val="00CA633D"/>
    <w:rsid w:val="00CA63D9"/>
    <w:rsid w:val="00CA6759"/>
    <w:rsid w:val="00CA76F9"/>
    <w:rsid w:val="00CA7700"/>
    <w:rsid w:val="00CA7755"/>
    <w:rsid w:val="00CA776B"/>
    <w:rsid w:val="00CA7A40"/>
    <w:rsid w:val="00CA7AA0"/>
    <w:rsid w:val="00CA7BAC"/>
    <w:rsid w:val="00CA7D9A"/>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37E"/>
    <w:rsid w:val="00CC246F"/>
    <w:rsid w:val="00CC25A8"/>
    <w:rsid w:val="00CC263C"/>
    <w:rsid w:val="00CC2E07"/>
    <w:rsid w:val="00CC31E7"/>
    <w:rsid w:val="00CC330A"/>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0A4"/>
    <w:rsid w:val="00CD730B"/>
    <w:rsid w:val="00CD7314"/>
    <w:rsid w:val="00CD7479"/>
    <w:rsid w:val="00CD756A"/>
    <w:rsid w:val="00CD7AB0"/>
    <w:rsid w:val="00CD7B68"/>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52"/>
    <w:rsid w:val="00CE3589"/>
    <w:rsid w:val="00CE3C8A"/>
    <w:rsid w:val="00CE3D2A"/>
    <w:rsid w:val="00CE436D"/>
    <w:rsid w:val="00CE44A8"/>
    <w:rsid w:val="00CE48FA"/>
    <w:rsid w:val="00CE495C"/>
    <w:rsid w:val="00CE4C98"/>
    <w:rsid w:val="00CE5216"/>
    <w:rsid w:val="00CE52E3"/>
    <w:rsid w:val="00CE5986"/>
    <w:rsid w:val="00CE5DD1"/>
    <w:rsid w:val="00CE5E30"/>
    <w:rsid w:val="00CE5E85"/>
    <w:rsid w:val="00CE5FAA"/>
    <w:rsid w:val="00CE6248"/>
    <w:rsid w:val="00CE63FA"/>
    <w:rsid w:val="00CE6EC3"/>
    <w:rsid w:val="00CE6EEE"/>
    <w:rsid w:val="00CE7572"/>
    <w:rsid w:val="00CE76EE"/>
    <w:rsid w:val="00CE7B52"/>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B45"/>
    <w:rsid w:val="00D00B98"/>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1E"/>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29A"/>
    <w:rsid w:val="00D154B4"/>
    <w:rsid w:val="00D15578"/>
    <w:rsid w:val="00D158A2"/>
    <w:rsid w:val="00D15E75"/>
    <w:rsid w:val="00D160C6"/>
    <w:rsid w:val="00D161E6"/>
    <w:rsid w:val="00D16440"/>
    <w:rsid w:val="00D166A4"/>
    <w:rsid w:val="00D16B2F"/>
    <w:rsid w:val="00D16C1A"/>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21E"/>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A8"/>
    <w:rsid w:val="00D311E7"/>
    <w:rsid w:val="00D31348"/>
    <w:rsid w:val="00D314AD"/>
    <w:rsid w:val="00D31582"/>
    <w:rsid w:val="00D31BDD"/>
    <w:rsid w:val="00D32151"/>
    <w:rsid w:val="00D324FC"/>
    <w:rsid w:val="00D32558"/>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47B"/>
    <w:rsid w:val="00D36A01"/>
    <w:rsid w:val="00D36A0C"/>
    <w:rsid w:val="00D36ADA"/>
    <w:rsid w:val="00D36E44"/>
    <w:rsid w:val="00D36F14"/>
    <w:rsid w:val="00D3736D"/>
    <w:rsid w:val="00D37550"/>
    <w:rsid w:val="00D376ED"/>
    <w:rsid w:val="00D37715"/>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7C5"/>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6C"/>
    <w:rsid w:val="00D50CCE"/>
    <w:rsid w:val="00D50F49"/>
    <w:rsid w:val="00D50FEC"/>
    <w:rsid w:val="00D51388"/>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2DB"/>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6B2"/>
    <w:rsid w:val="00D72826"/>
    <w:rsid w:val="00D728E2"/>
    <w:rsid w:val="00D729DC"/>
    <w:rsid w:val="00D72B1F"/>
    <w:rsid w:val="00D72D1D"/>
    <w:rsid w:val="00D73108"/>
    <w:rsid w:val="00D731EB"/>
    <w:rsid w:val="00D7358E"/>
    <w:rsid w:val="00D7392E"/>
    <w:rsid w:val="00D73956"/>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C5C"/>
    <w:rsid w:val="00D76E51"/>
    <w:rsid w:val="00D7703D"/>
    <w:rsid w:val="00D77374"/>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2D35"/>
    <w:rsid w:val="00D831DD"/>
    <w:rsid w:val="00D832A1"/>
    <w:rsid w:val="00D832D6"/>
    <w:rsid w:val="00D83420"/>
    <w:rsid w:val="00D83753"/>
    <w:rsid w:val="00D83BC6"/>
    <w:rsid w:val="00D83C76"/>
    <w:rsid w:val="00D84463"/>
    <w:rsid w:val="00D8455B"/>
    <w:rsid w:val="00D845B3"/>
    <w:rsid w:val="00D849DC"/>
    <w:rsid w:val="00D84A4B"/>
    <w:rsid w:val="00D84A7E"/>
    <w:rsid w:val="00D84C1F"/>
    <w:rsid w:val="00D84E7E"/>
    <w:rsid w:val="00D850FE"/>
    <w:rsid w:val="00D85500"/>
    <w:rsid w:val="00D8562E"/>
    <w:rsid w:val="00D85B61"/>
    <w:rsid w:val="00D85FDD"/>
    <w:rsid w:val="00D862D7"/>
    <w:rsid w:val="00D866CC"/>
    <w:rsid w:val="00D867D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0F92"/>
    <w:rsid w:val="00D912E6"/>
    <w:rsid w:val="00D913F5"/>
    <w:rsid w:val="00D91B25"/>
    <w:rsid w:val="00D91D74"/>
    <w:rsid w:val="00D91E52"/>
    <w:rsid w:val="00D91E68"/>
    <w:rsid w:val="00D9201D"/>
    <w:rsid w:val="00D925AB"/>
    <w:rsid w:val="00D92877"/>
    <w:rsid w:val="00D9294C"/>
    <w:rsid w:val="00D92A24"/>
    <w:rsid w:val="00D92BFF"/>
    <w:rsid w:val="00D92DE5"/>
    <w:rsid w:val="00D92F09"/>
    <w:rsid w:val="00D930B9"/>
    <w:rsid w:val="00D937F1"/>
    <w:rsid w:val="00D93FD0"/>
    <w:rsid w:val="00D940D6"/>
    <w:rsid w:val="00D941A4"/>
    <w:rsid w:val="00D944F1"/>
    <w:rsid w:val="00D9471D"/>
    <w:rsid w:val="00D94A2A"/>
    <w:rsid w:val="00D94A4A"/>
    <w:rsid w:val="00D94A8C"/>
    <w:rsid w:val="00D94BA6"/>
    <w:rsid w:val="00D94C41"/>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4F6"/>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688"/>
    <w:rsid w:val="00DA48EF"/>
    <w:rsid w:val="00DA49CA"/>
    <w:rsid w:val="00DA49CF"/>
    <w:rsid w:val="00DA5281"/>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5BD"/>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8"/>
    <w:rsid w:val="00DC35AC"/>
    <w:rsid w:val="00DC395E"/>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677"/>
    <w:rsid w:val="00DE1735"/>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122"/>
    <w:rsid w:val="00DE5337"/>
    <w:rsid w:val="00DE534B"/>
    <w:rsid w:val="00DE5DAE"/>
    <w:rsid w:val="00DE5F9A"/>
    <w:rsid w:val="00DE6364"/>
    <w:rsid w:val="00DE63B4"/>
    <w:rsid w:val="00DE6412"/>
    <w:rsid w:val="00DE6922"/>
    <w:rsid w:val="00DE6CE1"/>
    <w:rsid w:val="00DE7210"/>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1F8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DF3"/>
    <w:rsid w:val="00E05F66"/>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6E6"/>
    <w:rsid w:val="00E23885"/>
    <w:rsid w:val="00E2389E"/>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4844"/>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882"/>
    <w:rsid w:val="00E36D4D"/>
    <w:rsid w:val="00E36DF9"/>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87"/>
    <w:rsid w:val="00E46CB0"/>
    <w:rsid w:val="00E46D65"/>
    <w:rsid w:val="00E4702F"/>
    <w:rsid w:val="00E474D3"/>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885"/>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936"/>
    <w:rsid w:val="00E63FEC"/>
    <w:rsid w:val="00E64107"/>
    <w:rsid w:val="00E6462F"/>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3AA"/>
    <w:rsid w:val="00E72697"/>
    <w:rsid w:val="00E72788"/>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C5"/>
    <w:rsid w:val="00E763A2"/>
    <w:rsid w:val="00E7641C"/>
    <w:rsid w:val="00E7642C"/>
    <w:rsid w:val="00E764AC"/>
    <w:rsid w:val="00E765E8"/>
    <w:rsid w:val="00E77057"/>
    <w:rsid w:val="00E770DC"/>
    <w:rsid w:val="00E7732E"/>
    <w:rsid w:val="00E773E4"/>
    <w:rsid w:val="00E7740C"/>
    <w:rsid w:val="00E77432"/>
    <w:rsid w:val="00E776BB"/>
    <w:rsid w:val="00E777E4"/>
    <w:rsid w:val="00E77B4C"/>
    <w:rsid w:val="00E77CAD"/>
    <w:rsid w:val="00E77EF1"/>
    <w:rsid w:val="00E77FA8"/>
    <w:rsid w:val="00E80015"/>
    <w:rsid w:val="00E8026D"/>
    <w:rsid w:val="00E8030A"/>
    <w:rsid w:val="00E80500"/>
    <w:rsid w:val="00E8094F"/>
    <w:rsid w:val="00E80A2B"/>
    <w:rsid w:val="00E80C42"/>
    <w:rsid w:val="00E813C0"/>
    <w:rsid w:val="00E81459"/>
    <w:rsid w:val="00E81F58"/>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876"/>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741"/>
    <w:rsid w:val="00EA2903"/>
    <w:rsid w:val="00EA298F"/>
    <w:rsid w:val="00EA2B7A"/>
    <w:rsid w:val="00EA2F75"/>
    <w:rsid w:val="00EA3018"/>
    <w:rsid w:val="00EA3324"/>
    <w:rsid w:val="00EA33A6"/>
    <w:rsid w:val="00EA3E2B"/>
    <w:rsid w:val="00EA4240"/>
    <w:rsid w:val="00EA42F1"/>
    <w:rsid w:val="00EA4560"/>
    <w:rsid w:val="00EA4682"/>
    <w:rsid w:val="00EA4794"/>
    <w:rsid w:val="00EA487F"/>
    <w:rsid w:val="00EA49CD"/>
    <w:rsid w:val="00EA4A6D"/>
    <w:rsid w:val="00EA4EA4"/>
    <w:rsid w:val="00EA4EA8"/>
    <w:rsid w:val="00EA50D8"/>
    <w:rsid w:val="00EA522B"/>
    <w:rsid w:val="00EA5A22"/>
    <w:rsid w:val="00EA5A4F"/>
    <w:rsid w:val="00EA5ADC"/>
    <w:rsid w:val="00EA5AFA"/>
    <w:rsid w:val="00EA5B6F"/>
    <w:rsid w:val="00EA5B73"/>
    <w:rsid w:val="00EA6602"/>
    <w:rsid w:val="00EA6ECA"/>
    <w:rsid w:val="00EA7007"/>
    <w:rsid w:val="00EA73A2"/>
    <w:rsid w:val="00EA75DC"/>
    <w:rsid w:val="00EA7828"/>
    <w:rsid w:val="00EA7A72"/>
    <w:rsid w:val="00EA7C4C"/>
    <w:rsid w:val="00EB0340"/>
    <w:rsid w:val="00EB077B"/>
    <w:rsid w:val="00EB0997"/>
    <w:rsid w:val="00EB0B6C"/>
    <w:rsid w:val="00EB0EB9"/>
    <w:rsid w:val="00EB0EEC"/>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5E90"/>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2F5F"/>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805"/>
    <w:rsid w:val="00EE3916"/>
    <w:rsid w:val="00EE3964"/>
    <w:rsid w:val="00EE3B00"/>
    <w:rsid w:val="00EE442F"/>
    <w:rsid w:val="00EE4465"/>
    <w:rsid w:val="00EE45B8"/>
    <w:rsid w:val="00EE4A2C"/>
    <w:rsid w:val="00EE4AA2"/>
    <w:rsid w:val="00EE4BBF"/>
    <w:rsid w:val="00EE4EC1"/>
    <w:rsid w:val="00EE5154"/>
    <w:rsid w:val="00EE52D5"/>
    <w:rsid w:val="00EE56C9"/>
    <w:rsid w:val="00EE5AAD"/>
    <w:rsid w:val="00EE5ADD"/>
    <w:rsid w:val="00EE5D24"/>
    <w:rsid w:val="00EE5F0D"/>
    <w:rsid w:val="00EE623A"/>
    <w:rsid w:val="00EE664D"/>
    <w:rsid w:val="00EE67DD"/>
    <w:rsid w:val="00EE68D4"/>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6E0"/>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BB"/>
    <w:rsid w:val="00F00AD5"/>
    <w:rsid w:val="00F00B17"/>
    <w:rsid w:val="00F0135A"/>
    <w:rsid w:val="00F016C1"/>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8E"/>
    <w:rsid w:val="00F03A90"/>
    <w:rsid w:val="00F03B2B"/>
    <w:rsid w:val="00F03B5F"/>
    <w:rsid w:val="00F03DB0"/>
    <w:rsid w:val="00F045F1"/>
    <w:rsid w:val="00F0480B"/>
    <w:rsid w:val="00F0481A"/>
    <w:rsid w:val="00F04968"/>
    <w:rsid w:val="00F049E6"/>
    <w:rsid w:val="00F049E8"/>
    <w:rsid w:val="00F04F72"/>
    <w:rsid w:val="00F050D8"/>
    <w:rsid w:val="00F0544C"/>
    <w:rsid w:val="00F054F5"/>
    <w:rsid w:val="00F05602"/>
    <w:rsid w:val="00F05A7F"/>
    <w:rsid w:val="00F05A8D"/>
    <w:rsid w:val="00F05C9A"/>
    <w:rsid w:val="00F05D80"/>
    <w:rsid w:val="00F06830"/>
    <w:rsid w:val="00F069EC"/>
    <w:rsid w:val="00F06A6B"/>
    <w:rsid w:val="00F06CED"/>
    <w:rsid w:val="00F06D2A"/>
    <w:rsid w:val="00F06E36"/>
    <w:rsid w:val="00F07501"/>
    <w:rsid w:val="00F07789"/>
    <w:rsid w:val="00F102C5"/>
    <w:rsid w:val="00F104E1"/>
    <w:rsid w:val="00F10541"/>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2FC"/>
    <w:rsid w:val="00F173E4"/>
    <w:rsid w:val="00F17590"/>
    <w:rsid w:val="00F17716"/>
    <w:rsid w:val="00F177F5"/>
    <w:rsid w:val="00F17953"/>
    <w:rsid w:val="00F17C03"/>
    <w:rsid w:val="00F17F15"/>
    <w:rsid w:val="00F17F43"/>
    <w:rsid w:val="00F2014C"/>
    <w:rsid w:val="00F203AB"/>
    <w:rsid w:val="00F2063F"/>
    <w:rsid w:val="00F207C9"/>
    <w:rsid w:val="00F20857"/>
    <w:rsid w:val="00F208E2"/>
    <w:rsid w:val="00F20A76"/>
    <w:rsid w:val="00F20C58"/>
    <w:rsid w:val="00F20F07"/>
    <w:rsid w:val="00F20F16"/>
    <w:rsid w:val="00F20F96"/>
    <w:rsid w:val="00F21120"/>
    <w:rsid w:val="00F213C7"/>
    <w:rsid w:val="00F213C8"/>
    <w:rsid w:val="00F21550"/>
    <w:rsid w:val="00F2197B"/>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4ED6"/>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846"/>
    <w:rsid w:val="00F50DDB"/>
    <w:rsid w:val="00F50E6C"/>
    <w:rsid w:val="00F512B8"/>
    <w:rsid w:val="00F514CC"/>
    <w:rsid w:val="00F51510"/>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6EC0"/>
    <w:rsid w:val="00F571FA"/>
    <w:rsid w:val="00F5741C"/>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C8"/>
    <w:rsid w:val="00F63311"/>
    <w:rsid w:val="00F63851"/>
    <w:rsid w:val="00F63A58"/>
    <w:rsid w:val="00F63E86"/>
    <w:rsid w:val="00F63EE5"/>
    <w:rsid w:val="00F64115"/>
    <w:rsid w:val="00F6434A"/>
    <w:rsid w:val="00F64672"/>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6FA4D"/>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80276"/>
    <w:rsid w:val="00F806AC"/>
    <w:rsid w:val="00F807CA"/>
    <w:rsid w:val="00F808E9"/>
    <w:rsid w:val="00F80A8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A0"/>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E4"/>
    <w:rsid w:val="00F859E6"/>
    <w:rsid w:val="00F85D02"/>
    <w:rsid w:val="00F861B8"/>
    <w:rsid w:val="00F8625C"/>
    <w:rsid w:val="00F864F0"/>
    <w:rsid w:val="00F86AB8"/>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CD3"/>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3D6B"/>
    <w:rsid w:val="00F94395"/>
    <w:rsid w:val="00F945E0"/>
    <w:rsid w:val="00F94837"/>
    <w:rsid w:val="00F9484E"/>
    <w:rsid w:val="00F94BDC"/>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3FD"/>
    <w:rsid w:val="00FC143F"/>
    <w:rsid w:val="00FC162E"/>
    <w:rsid w:val="00FC16FB"/>
    <w:rsid w:val="00FC17B5"/>
    <w:rsid w:val="00FC1D70"/>
    <w:rsid w:val="00FC1E5C"/>
    <w:rsid w:val="00FC1E9F"/>
    <w:rsid w:val="00FC1EE3"/>
    <w:rsid w:val="00FC1F35"/>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D01AF"/>
    <w:rsid w:val="00FD0BB7"/>
    <w:rsid w:val="00FD0CD2"/>
    <w:rsid w:val="00FD0E43"/>
    <w:rsid w:val="00FD0F39"/>
    <w:rsid w:val="00FD1555"/>
    <w:rsid w:val="00FD15B5"/>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15"/>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8DB"/>
    <w:rsid w:val="00FD6CE6"/>
    <w:rsid w:val="00FD6EEB"/>
    <w:rsid w:val="00FD6F5F"/>
    <w:rsid w:val="00FD6F78"/>
    <w:rsid w:val="00FD7445"/>
    <w:rsid w:val="00FD7AF4"/>
    <w:rsid w:val="00FD7B19"/>
    <w:rsid w:val="00FD7FD1"/>
    <w:rsid w:val="00FE00A5"/>
    <w:rsid w:val="00FE00B6"/>
    <w:rsid w:val="00FE00BC"/>
    <w:rsid w:val="00FE02A2"/>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EBB"/>
    <w:rsid w:val="00FF0FD8"/>
    <w:rsid w:val="00FF100D"/>
    <w:rsid w:val="00FF1015"/>
    <w:rsid w:val="00FF1171"/>
    <w:rsid w:val="00FF1278"/>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DE6"/>
    <w:rsid w:val="00FF6F78"/>
    <w:rsid w:val="00FF6FBA"/>
    <w:rsid w:val="00FF7211"/>
    <w:rsid w:val="01918F9F"/>
    <w:rsid w:val="021EC7D9"/>
    <w:rsid w:val="02BE9E38"/>
    <w:rsid w:val="0340224C"/>
    <w:rsid w:val="035012EB"/>
    <w:rsid w:val="0365A346"/>
    <w:rsid w:val="03B48F12"/>
    <w:rsid w:val="03EE3BF3"/>
    <w:rsid w:val="042A5DB3"/>
    <w:rsid w:val="046A1A74"/>
    <w:rsid w:val="04F3521C"/>
    <w:rsid w:val="05C0229B"/>
    <w:rsid w:val="06074E58"/>
    <w:rsid w:val="06A8C537"/>
    <w:rsid w:val="08885AA4"/>
    <w:rsid w:val="088DFF52"/>
    <w:rsid w:val="08A33ED6"/>
    <w:rsid w:val="08FF14D5"/>
    <w:rsid w:val="09292318"/>
    <w:rsid w:val="093D0A25"/>
    <w:rsid w:val="0977E677"/>
    <w:rsid w:val="0A850D49"/>
    <w:rsid w:val="0B4434EF"/>
    <w:rsid w:val="0C06E268"/>
    <w:rsid w:val="0C6CBEF4"/>
    <w:rsid w:val="0CC126CC"/>
    <w:rsid w:val="0D4D7D22"/>
    <w:rsid w:val="0D86E675"/>
    <w:rsid w:val="0DCE121C"/>
    <w:rsid w:val="0DFE36C7"/>
    <w:rsid w:val="0EE0A199"/>
    <w:rsid w:val="0F070420"/>
    <w:rsid w:val="0F2CA665"/>
    <w:rsid w:val="0F33C7ED"/>
    <w:rsid w:val="0F495D6C"/>
    <w:rsid w:val="10829964"/>
    <w:rsid w:val="10851DE4"/>
    <w:rsid w:val="10D1727C"/>
    <w:rsid w:val="114D10C1"/>
    <w:rsid w:val="117D1A4A"/>
    <w:rsid w:val="11CD6E04"/>
    <w:rsid w:val="1237DE7E"/>
    <w:rsid w:val="126701C0"/>
    <w:rsid w:val="128E0EE1"/>
    <w:rsid w:val="13D5C612"/>
    <w:rsid w:val="147836C2"/>
    <w:rsid w:val="14D56C4C"/>
    <w:rsid w:val="153B4CB4"/>
    <w:rsid w:val="15EE7DC3"/>
    <w:rsid w:val="164C51FA"/>
    <w:rsid w:val="16552BAA"/>
    <w:rsid w:val="173C598A"/>
    <w:rsid w:val="1780FDA4"/>
    <w:rsid w:val="179C71C7"/>
    <w:rsid w:val="17E2F75C"/>
    <w:rsid w:val="17F02742"/>
    <w:rsid w:val="17F0FC0B"/>
    <w:rsid w:val="18FC45D5"/>
    <w:rsid w:val="1905A92B"/>
    <w:rsid w:val="19A7975A"/>
    <w:rsid w:val="1A1FC820"/>
    <w:rsid w:val="1A2A24C3"/>
    <w:rsid w:val="1BBACF27"/>
    <w:rsid w:val="1BD3F784"/>
    <w:rsid w:val="1CECE649"/>
    <w:rsid w:val="1CF5CD0C"/>
    <w:rsid w:val="1D6F93D7"/>
    <w:rsid w:val="1DB540E7"/>
    <w:rsid w:val="1DCEB288"/>
    <w:rsid w:val="1E7B087D"/>
    <w:rsid w:val="1EB11177"/>
    <w:rsid w:val="1F0F2C57"/>
    <w:rsid w:val="1F5092F6"/>
    <w:rsid w:val="1F87E29E"/>
    <w:rsid w:val="1FAE065F"/>
    <w:rsid w:val="1FB7DF51"/>
    <w:rsid w:val="20462691"/>
    <w:rsid w:val="21223277"/>
    <w:rsid w:val="21E6B6F6"/>
    <w:rsid w:val="228EA43C"/>
    <w:rsid w:val="22D9D4B3"/>
    <w:rsid w:val="22DE7402"/>
    <w:rsid w:val="22F720A3"/>
    <w:rsid w:val="22FB4217"/>
    <w:rsid w:val="2561B16D"/>
    <w:rsid w:val="2568A0E9"/>
    <w:rsid w:val="260AA2A7"/>
    <w:rsid w:val="2685571C"/>
    <w:rsid w:val="27290501"/>
    <w:rsid w:val="2766DB5B"/>
    <w:rsid w:val="2774481A"/>
    <w:rsid w:val="285B1E27"/>
    <w:rsid w:val="2868B847"/>
    <w:rsid w:val="299CD90D"/>
    <w:rsid w:val="2A2EA8B2"/>
    <w:rsid w:val="2A45A423"/>
    <w:rsid w:val="2A868133"/>
    <w:rsid w:val="2C6B5258"/>
    <w:rsid w:val="2CA9AD0C"/>
    <w:rsid w:val="2D33E13B"/>
    <w:rsid w:val="2D8105F8"/>
    <w:rsid w:val="2DC0D238"/>
    <w:rsid w:val="2ECF48F0"/>
    <w:rsid w:val="2F6CA1F1"/>
    <w:rsid w:val="2F7124E6"/>
    <w:rsid w:val="2FE9C4C0"/>
    <w:rsid w:val="306679A1"/>
    <w:rsid w:val="317C3D1E"/>
    <w:rsid w:val="3192EB43"/>
    <w:rsid w:val="31BBEC20"/>
    <w:rsid w:val="31EB3E97"/>
    <w:rsid w:val="32008191"/>
    <w:rsid w:val="32805069"/>
    <w:rsid w:val="3288CE85"/>
    <w:rsid w:val="338DD469"/>
    <w:rsid w:val="33A7A4FB"/>
    <w:rsid w:val="34991B6D"/>
    <w:rsid w:val="3510410E"/>
    <w:rsid w:val="35D72011"/>
    <w:rsid w:val="35DF5BDA"/>
    <w:rsid w:val="361957AF"/>
    <w:rsid w:val="36229C5C"/>
    <w:rsid w:val="368E3B58"/>
    <w:rsid w:val="36E5C999"/>
    <w:rsid w:val="372858B5"/>
    <w:rsid w:val="376F5765"/>
    <w:rsid w:val="37D93DB9"/>
    <w:rsid w:val="380FC76E"/>
    <w:rsid w:val="388E3BF1"/>
    <w:rsid w:val="38A588AC"/>
    <w:rsid w:val="38DDA601"/>
    <w:rsid w:val="3930CFE0"/>
    <w:rsid w:val="3A1B5BC8"/>
    <w:rsid w:val="3AE91968"/>
    <w:rsid w:val="3B41E0A4"/>
    <w:rsid w:val="3BC227CE"/>
    <w:rsid w:val="3BC77004"/>
    <w:rsid w:val="3CA86941"/>
    <w:rsid w:val="3D7C4531"/>
    <w:rsid w:val="3D8AD4A2"/>
    <w:rsid w:val="3DFFC121"/>
    <w:rsid w:val="3E393B04"/>
    <w:rsid w:val="3E6D459D"/>
    <w:rsid w:val="3ECA6659"/>
    <w:rsid w:val="3F92C5AC"/>
    <w:rsid w:val="3FACDEDF"/>
    <w:rsid w:val="404CDDFD"/>
    <w:rsid w:val="40A42FB9"/>
    <w:rsid w:val="40C8A938"/>
    <w:rsid w:val="40DDADDB"/>
    <w:rsid w:val="40E8F50A"/>
    <w:rsid w:val="4220D6BA"/>
    <w:rsid w:val="427AC615"/>
    <w:rsid w:val="42BD2F72"/>
    <w:rsid w:val="42C7E369"/>
    <w:rsid w:val="434168A8"/>
    <w:rsid w:val="43847EBF"/>
    <w:rsid w:val="43B2033D"/>
    <w:rsid w:val="45C08629"/>
    <w:rsid w:val="45D5DC7A"/>
    <w:rsid w:val="477A1F24"/>
    <w:rsid w:val="4854151A"/>
    <w:rsid w:val="48650DA4"/>
    <w:rsid w:val="496700E4"/>
    <w:rsid w:val="49759609"/>
    <w:rsid w:val="49BA290D"/>
    <w:rsid w:val="49E91A20"/>
    <w:rsid w:val="49EF4E75"/>
    <w:rsid w:val="4B218361"/>
    <w:rsid w:val="4BE99587"/>
    <w:rsid w:val="4CE5A0C8"/>
    <w:rsid w:val="4D29E9B4"/>
    <w:rsid w:val="4E7B9302"/>
    <w:rsid w:val="4EBD7E73"/>
    <w:rsid w:val="4EE3837B"/>
    <w:rsid w:val="4EEC63FE"/>
    <w:rsid w:val="4FE4B1FB"/>
    <w:rsid w:val="502E4F26"/>
    <w:rsid w:val="507E34EB"/>
    <w:rsid w:val="50A30A85"/>
    <w:rsid w:val="5111E928"/>
    <w:rsid w:val="526C33AB"/>
    <w:rsid w:val="529235CD"/>
    <w:rsid w:val="54018ECF"/>
    <w:rsid w:val="544A9D7D"/>
    <w:rsid w:val="545C21E4"/>
    <w:rsid w:val="54BD5CC9"/>
    <w:rsid w:val="55169132"/>
    <w:rsid w:val="553D9AEC"/>
    <w:rsid w:val="5565FA5F"/>
    <w:rsid w:val="55706144"/>
    <w:rsid w:val="55F5CA8E"/>
    <w:rsid w:val="55F8C68D"/>
    <w:rsid w:val="56A910BB"/>
    <w:rsid w:val="57186D2D"/>
    <w:rsid w:val="5719686A"/>
    <w:rsid w:val="5769151C"/>
    <w:rsid w:val="57729A69"/>
    <w:rsid w:val="5782295F"/>
    <w:rsid w:val="579566CC"/>
    <w:rsid w:val="5904E643"/>
    <w:rsid w:val="59589516"/>
    <w:rsid w:val="5961A7EC"/>
    <w:rsid w:val="5984118C"/>
    <w:rsid w:val="5A5601B0"/>
    <w:rsid w:val="5AE1EEED"/>
    <w:rsid w:val="5B060155"/>
    <w:rsid w:val="5B9A7C21"/>
    <w:rsid w:val="5C2889A7"/>
    <w:rsid w:val="5C2A39F8"/>
    <w:rsid w:val="5E323E38"/>
    <w:rsid w:val="5EA106E2"/>
    <w:rsid w:val="5F267AFF"/>
    <w:rsid w:val="5FC83E50"/>
    <w:rsid w:val="5FF01822"/>
    <w:rsid w:val="6030E4A0"/>
    <w:rsid w:val="6035D86E"/>
    <w:rsid w:val="603E12A4"/>
    <w:rsid w:val="6059BABE"/>
    <w:rsid w:val="609E278E"/>
    <w:rsid w:val="6103E27E"/>
    <w:rsid w:val="618BE883"/>
    <w:rsid w:val="621FF84E"/>
    <w:rsid w:val="623E1641"/>
    <w:rsid w:val="62D9D346"/>
    <w:rsid w:val="631CE9FA"/>
    <w:rsid w:val="6327B8E4"/>
    <w:rsid w:val="644DE8FF"/>
    <w:rsid w:val="645304B1"/>
    <w:rsid w:val="658675A6"/>
    <w:rsid w:val="65FEBCB7"/>
    <w:rsid w:val="66533C02"/>
    <w:rsid w:val="665F59A6"/>
    <w:rsid w:val="66E35A12"/>
    <w:rsid w:val="66E8BBB1"/>
    <w:rsid w:val="67D5ABE6"/>
    <w:rsid w:val="67E8A9D3"/>
    <w:rsid w:val="683EDBE0"/>
    <w:rsid w:val="69751867"/>
    <w:rsid w:val="69B2B101"/>
    <w:rsid w:val="69CDC788"/>
    <w:rsid w:val="6A386109"/>
    <w:rsid w:val="6A8ABD5B"/>
    <w:rsid w:val="6A96A787"/>
    <w:rsid w:val="6B19F87A"/>
    <w:rsid w:val="6B32CAC9"/>
    <w:rsid w:val="6B4E4D19"/>
    <w:rsid w:val="6BE2EB89"/>
    <w:rsid w:val="6C3DD6EB"/>
    <w:rsid w:val="6D185447"/>
    <w:rsid w:val="6D812C0E"/>
    <w:rsid w:val="6DE26B58"/>
    <w:rsid w:val="6E837C54"/>
    <w:rsid w:val="6ECE40C5"/>
    <w:rsid w:val="6EE3493E"/>
    <w:rsid w:val="6F219454"/>
    <w:rsid w:val="6F923917"/>
    <w:rsid w:val="70D992BA"/>
    <w:rsid w:val="712E0978"/>
    <w:rsid w:val="7182E92F"/>
    <w:rsid w:val="7227AA3D"/>
    <w:rsid w:val="7236D958"/>
    <w:rsid w:val="72B5DC7B"/>
    <w:rsid w:val="72C9D9D9"/>
    <w:rsid w:val="739AD2ED"/>
    <w:rsid w:val="74296C90"/>
    <w:rsid w:val="74AB809D"/>
    <w:rsid w:val="751E67A3"/>
    <w:rsid w:val="7544EE80"/>
    <w:rsid w:val="76017A9B"/>
    <w:rsid w:val="764750FE"/>
    <w:rsid w:val="77575427"/>
    <w:rsid w:val="7796E1A7"/>
    <w:rsid w:val="77F0BA3B"/>
    <w:rsid w:val="77FE2772"/>
    <w:rsid w:val="78865E34"/>
    <w:rsid w:val="79251DFF"/>
    <w:rsid w:val="793144F8"/>
    <w:rsid w:val="795A94EC"/>
    <w:rsid w:val="79692EA9"/>
    <w:rsid w:val="7977F544"/>
    <w:rsid w:val="79A31ECA"/>
    <w:rsid w:val="79DAF8B1"/>
    <w:rsid w:val="7B79AFAF"/>
    <w:rsid w:val="7C5BF056"/>
    <w:rsid w:val="7CB8B737"/>
    <w:rsid w:val="7CD73C9F"/>
    <w:rsid w:val="7D3EABC7"/>
    <w:rsid w:val="7D4B56B5"/>
    <w:rsid w:val="7D915914"/>
    <w:rsid w:val="7DBF598A"/>
    <w:rsid w:val="7DDB8E8D"/>
    <w:rsid w:val="7E04B61B"/>
    <w:rsid w:val="7E224AE9"/>
    <w:rsid w:val="7E887CDB"/>
    <w:rsid w:val="7ECA9741"/>
    <w:rsid w:val="7F65E2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33143"/>
  <w15:docId w15:val="{264171C5-8F2D-4E85-A413-B3FD9678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val="en-GB"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
    <w:name w:val="Char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val="en-GB"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val="en-GB"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val="en-GB"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lang w:val="en-GB" w:eastAsia="en-GB"/>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val="en-US" w:eastAsia="en-GB"/>
    </w:rPr>
  </w:style>
  <w:style w:type="paragraph" w:customStyle="1" w:styleId="NormalHanging0">
    <w:name w:val="NormalHanging0"/>
    <w:basedOn w:val="Normal"/>
    <w:qFormat/>
    <w:rsid w:val="00042DBB"/>
    <w:pPr>
      <w:widowControl w:val="0"/>
      <w:ind w:left="567" w:hanging="567"/>
      <w:jc w:val="left"/>
    </w:pPr>
    <w:rPr>
      <w:rFonts w:ascii="Times New Roman" w:hAnsi="Times New Roman"/>
    </w:rPr>
  </w:style>
  <w:style w:type="character" w:styleId="UnresolvedMention">
    <w:name w:val="Unresolved Mention"/>
    <w:uiPriority w:val="99"/>
    <w:semiHidden/>
    <w:unhideWhenUsed/>
    <w:rsid w:val="00437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56886">
      <w:bodyDiv w:val="1"/>
      <w:marLeft w:val="0"/>
      <w:marRight w:val="0"/>
      <w:marTop w:val="0"/>
      <w:marBottom w:val="0"/>
      <w:divBdr>
        <w:top w:val="none" w:sz="0" w:space="0" w:color="auto"/>
        <w:left w:val="none" w:sz="0" w:space="0" w:color="auto"/>
        <w:bottom w:val="none" w:sz="0" w:space="0" w:color="auto"/>
        <w:right w:val="none" w:sz="0" w:space="0" w:color="auto"/>
      </w:divBdr>
    </w:div>
    <w:div w:id="385645576">
      <w:bodyDiv w:val="1"/>
      <w:marLeft w:val="0"/>
      <w:marRight w:val="0"/>
      <w:marTop w:val="0"/>
      <w:marBottom w:val="0"/>
      <w:divBdr>
        <w:top w:val="none" w:sz="0" w:space="0" w:color="auto"/>
        <w:left w:val="none" w:sz="0" w:space="0" w:color="auto"/>
        <w:bottom w:val="none" w:sz="0" w:space="0" w:color="auto"/>
        <w:right w:val="none" w:sz="0" w:space="0" w:color="auto"/>
      </w:divBdr>
    </w:div>
    <w:div w:id="551696009">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184779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ission.europa.eu/system/files/2022-10/com_2022_518_1_en.pdf" TargetMode="External"/><Relationship Id="rId18" Type="http://schemas.openxmlformats.org/officeDocument/2006/relationships/hyperlink" Target="https://eur-lex.europa.eu/legal-content/EN/TXT/?uri=uriserv:OJ.LI.2020.433.01.0001.01.ENG&amp;toc=OJ:L:2020:433I:TOC"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commission.europa.eu/law/law-making-process/planning-and-proposing-law/better-regulation/better-regulation-guidelines-and-toolbox_en" TargetMode="External"/><Relationship Id="rId7" Type="http://schemas.openxmlformats.org/officeDocument/2006/relationships/settings" Target="settings.xml"/><Relationship Id="rId12" Type="http://schemas.openxmlformats.org/officeDocument/2006/relationships/hyperlink" Target="https://eur-lex.europa.eu/legal-content/EN/TXT/?uri=uriserv%3AOJ.C_.2017.018.01.0010.01.ENG&amp;amp%3Btoc=OJ%3AC%3A2017%3A018%3ATOC" TargetMode="External"/><Relationship Id="rId17" Type="http://schemas.openxmlformats.org/officeDocument/2006/relationships/hyperlink" Target="https://commission.europa.eu/system/files/2023-07/112_1_52675_rol_toolbox_factsheet_en.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ommission.europa.eu/publications/2023-rule-law-report-communication-and-country-chapters_en" TargetMode="External"/><Relationship Id="rId20" Type="http://schemas.openxmlformats.org/officeDocument/2006/relationships/hyperlink" Target="https://eur-lex.europa.eu/legal-content/EN/TXT/?uri=CELEX%3A52020DC009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publications/annual-reports-monitoring-application-eu-law_e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ommission.europa.eu/publications/stocktaking-report-commission-working-methods-monitoring-application-eu-law_en" TargetMode="External"/><Relationship Id="rId23" Type="http://schemas.openxmlformats.org/officeDocument/2006/relationships/hyperlink" Target="https://commission.europa.eu/document/9ab0244c-6ca3-4b11-bef9-422c7eb34f39_e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ommission.europa.eu/system/files/2021-04/better_regulation_joining_forces_to_make_better_laws_en_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roparl.europa.eu/doceo/document/O-9-2023-000047_EN.html" TargetMode="External"/><Relationship Id="rId22" Type="http://schemas.openxmlformats.org/officeDocument/2006/relationships/hyperlink" Target="https://www.europarl.europa.eu/doceo/document/TA-9-2023-0426_EN.html"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5843c966-cb45-4885-93fc-2ce78a94204b" xsi:nil="true"/>
    <Typeofdoc xmlns="5843c966-cb45-4885-93fc-2ce78a94204b" xsi:nil="true"/>
    <lcf76f155ced4ddcb4097134ff3c332f xmlns="5843c966-cb45-4885-93fc-2ce78a94204b">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c131f03-315b-4cd8-8e3a-6189969fd4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9782AF6692CB4E8097BF428225D135" ma:contentTypeVersion="15" ma:contentTypeDescription="Create a new document." ma:contentTypeScope="" ma:versionID="7796d771db5a54a083c09903c84ccc2c">
  <xsd:schema xmlns:xsd="http://www.w3.org/2001/XMLSchema" xmlns:xs="http://www.w3.org/2001/XMLSchema" xmlns:p="http://schemas.microsoft.com/office/2006/metadata/properties" xmlns:ns2="5843c966-cb45-4885-93fc-2ce78a94204b" xmlns:ns3="ac131f03-315b-4cd8-8e3a-6189969fd4f0" targetNamespace="http://schemas.microsoft.com/office/2006/metadata/properties" ma:root="true" ma:fieldsID="7394b98e0c5283f77ecdcf14369008fe" ns2:_="" ns3:_="">
    <xsd:import namespace="5843c966-cb45-4885-93fc-2ce78a94204b"/>
    <xsd:import namespace="ac131f03-315b-4cd8-8e3a-6189969fd4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Typeofdoc"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3c966-cb45-4885-93fc-2ce78a942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Typeofdoc" ma:index="19" nillable="true" ma:displayName="Type of doc" ma:format="Dropdown" ma:internalName="Typeofdoc">
      <xsd:simpleType>
        <xsd:restriction base="dms:Choice">
          <xsd:enumeration value="Briefing"/>
          <xsd:enumeration value="Documentation"/>
          <xsd:enumeration value="Choice 3"/>
        </xsd:restriction>
      </xsd:simpleType>
    </xsd:element>
    <xsd:element name="Comments" ma:index="20"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131f03-315b-4cd8-8e3a-6189969fd4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7c1658-12f1-4a72-b980-d69713bb5156}" ma:internalName="TaxCatchAll" ma:showField="CatchAllData" ma:web="ac131f03-315b-4cd8-8e3a-6189969fd4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64ADC-233B-43D1-940B-2F3DFF235F30}">
  <ds:schemaRefs>
    <ds:schemaRef ds:uri="http://schemas.microsoft.com/office/2006/metadata/properties"/>
    <ds:schemaRef ds:uri="http://schemas.microsoft.com/office/infopath/2007/PartnerControls"/>
    <ds:schemaRef ds:uri="5843c966-cb45-4885-93fc-2ce78a94204b"/>
    <ds:schemaRef ds:uri="ac131f03-315b-4cd8-8e3a-6189969fd4f0"/>
  </ds:schemaRefs>
</ds:datastoreItem>
</file>

<file path=customXml/itemProps2.xml><?xml version="1.0" encoding="utf-8"?>
<ds:datastoreItem xmlns:ds="http://schemas.openxmlformats.org/officeDocument/2006/customXml" ds:itemID="{A33D131C-2A2C-4455-9AC4-2EB198971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3c966-cb45-4885-93fc-2ce78a94204b"/>
    <ds:schemaRef ds:uri="ac131f03-315b-4cd8-8e3a-6189969f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8F7795-1CF8-48C3-ADBA-840E89D25562}">
  <ds:schemaRefs>
    <ds:schemaRef ds:uri="http://schemas.microsoft.com/sharepoint/v3/contenttype/forms"/>
  </ds:schemaRefs>
</ds:datastoreItem>
</file>

<file path=customXml/itemProps4.xml><?xml version="1.0" encoding="utf-8"?>
<ds:datastoreItem xmlns:ds="http://schemas.openxmlformats.org/officeDocument/2006/customXml" ds:itemID="{8700459C-FDC6-4A45-B856-F1FCD291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Template>
  <TotalTime>0</TotalTime>
  <Pages>7</Pages>
  <Words>4196</Words>
  <Characters>22829</Characters>
  <Application>Microsoft Office Word</Application>
  <DocSecurity>0</DocSecurity>
  <PresentationFormat>Microsoft Word 8.0b</PresentationFormat>
  <Lines>335</Lines>
  <Paragraphs>82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BERGMULLER Florian (SG)</dc:creator>
  <cp:keywords>EL4</cp:keywords>
  <cp:lastModifiedBy>ALMEIDA Maria Jose (SG)</cp:lastModifiedBy>
  <cp:revision>2</cp:revision>
  <cp:lastPrinted>2023-12-19T13:17:00Z</cp:lastPrinted>
  <dcterms:created xsi:type="dcterms:W3CDTF">2024-01-30T16:48:00Z</dcterms:created>
  <dcterms:modified xsi:type="dcterms:W3CDTF">2024-01-30T16:48:00Z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2023-03-06T16:57:17Z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fed4ca29-9366-4f08-a0f8-47b4b7a2a3a2</vt:lpwstr>
  </property>
  <property fmtid="{D5CDD505-2E9C-101B-9397-08002B2CF9AE}" pid="19" name="MSIP_Label_6bd9ddd1-4d20-43f6-abfa-fc3c07406f94_ContentBits">
    <vt:lpwstr>0</vt:lpwstr>
  </property>
  <property fmtid="{D5CDD505-2E9C-101B-9397-08002B2CF9AE}" pid="20" name="ContentTypeId">
    <vt:lpwstr>0x010100199782AF6692CB4E8097BF428225D135</vt:lpwstr>
  </property>
  <property fmtid="{D5CDD505-2E9C-101B-9397-08002B2CF9AE}" pid="21" name="MediaServiceImageTags">
    <vt:lpwstr/>
  </property>
</Properties>
</file>