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5F9C" w14:textId="5163A35E" w:rsidR="0081671F" w:rsidRPr="00841368" w:rsidRDefault="0081671F" w:rsidP="0081671F">
      <w:pPr>
        <w:spacing w:after="600"/>
        <w:jc w:val="center"/>
        <w:rPr>
          <w:b/>
          <w:lang w:val="en-IE"/>
        </w:rPr>
      </w:pPr>
      <w:bookmarkStart w:id="0" w:name="benomyl"/>
      <w:r w:rsidRPr="00A020FE">
        <w:rPr>
          <w:b/>
          <w:lang w:val="en-IE"/>
        </w:rPr>
        <w:t xml:space="preserve">Follow-up to the </w:t>
      </w:r>
      <w:r w:rsidRPr="001A6BC3">
        <w:rPr>
          <w:b/>
          <w:lang w:val="en-IE"/>
        </w:rPr>
        <w:t xml:space="preserve">European Parliament </w:t>
      </w:r>
      <w:r>
        <w:rPr>
          <w:b/>
          <w:lang w:val="en-IE"/>
        </w:rPr>
        <w:t xml:space="preserve">non-legislative </w:t>
      </w:r>
      <w:r w:rsidRPr="001A6BC3">
        <w:rPr>
          <w:b/>
          <w:lang w:val="en-IE"/>
        </w:rPr>
        <w:t xml:space="preserve">resolution on the draft Commission regulation amending </w:t>
      </w:r>
      <w:r w:rsidRPr="00841368">
        <w:rPr>
          <w:b/>
          <w:lang w:val="en-IE"/>
        </w:rPr>
        <w:t>Annexes II, III and V to Regulation (EC) No 396/2005 of the European Parliament and of the Council as regards maximum residue levels for benomyl, carbendazim and thiophanate‐methyl in or on certain products</w:t>
      </w:r>
    </w:p>
    <w:bookmarkEnd w:id="0"/>
    <w:p w14:paraId="01F375C1" w14:textId="2E9966C7" w:rsidR="0081671F" w:rsidRPr="000E3AFE" w:rsidRDefault="0081671F" w:rsidP="005C372B">
      <w:pPr>
        <w:spacing w:after="240" w:line="240" w:lineRule="auto"/>
        <w:ind w:left="567" w:hanging="567"/>
        <w:rPr>
          <w:lang w:val="en-IE"/>
        </w:rPr>
      </w:pPr>
      <w:r w:rsidRPr="000E3AFE">
        <w:rPr>
          <w:b/>
          <w:lang w:val="en-IE"/>
        </w:rPr>
        <w:t>1.</w:t>
      </w:r>
      <w:r w:rsidRPr="000E3AFE">
        <w:rPr>
          <w:lang w:val="en-IE"/>
        </w:rPr>
        <w:tab/>
      </w:r>
      <w:r w:rsidRPr="000E3AFE">
        <w:rPr>
          <w:b/>
          <w:lang w:val="en-IE"/>
        </w:rPr>
        <w:t>Resolution tabled pursuant to Rules 11</w:t>
      </w:r>
      <w:r>
        <w:rPr>
          <w:b/>
          <w:lang w:val="en-IE"/>
        </w:rPr>
        <w:t>5</w:t>
      </w:r>
      <w:r w:rsidRPr="000E3AFE">
        <w:rPr>
          <w:b/>
          <w:lang w:val="en-IE"/>
        </w:rPr>
        <w:t xml:space="preserve">(2) and (3) </w:t>
      </w:r>
      <w:r w:rsidRPr="00A020FE">
        <w:rPr>
          <w:b/>
          <w:lang w:val="en-IE"/>
        </w:rPr>
        <w:t xml:space="preserve">and (4)(c) </w:t>
      </w:r>
      <w:r w:rsidRPr="000E3AFE">
        <w:rPr>
          <w:b/>
          <w:lang w:val="en-IE"/>
        </w:rPr>
        <w:t>of the European Parliament’s Rules of procedure</w:t>
      </w:r>
    </w:p>
    <w:p w14:paraId="50FBAF5B" w14:textId="1234026A" w:rsidR="0081671F" w:rsidRPr="000E3AFE" w:rsidRDefault="0081671F" w:rsidP="005C372B">
      <w:pPr>
        <w:spacing w:after="240" w:line="240" w:lineRule="auto"/>
        <w:ind w:left="567" w:hanging="567"/>
        <w:rPr>
          <w:lang w:val="en-IE"/>
        </w:rPr>
      </w:pPr>
      <w:r w:rsidRPr="000E3AFE">
        <w:rPr>
          <w:b/>
          <w:lang w:val="en-IE"/>
        </w:rPr>
        <w:t>2.</w:t>
      </w:r>
      <w:r w:rsidRPr="000E3AFE">
        <w:rPr>
          <w:lang w:val="en-IE"/>
        </w:rPr>
        <w:tab/>
      </w:r>
      <w:r w:rsidRPr="000E3AFE">
        <w:rPr>
          <w:b/>
          <w:lang w:val="en-IE"/>
        </w:rPr>
        <w:t>Reference numbers:</w:t>
      </w:r>
      <w:r>
        <w:rPr>
          <w:b/>
          <w:lang w:val="en-IE"/>
        </w:rPr>
        <w:t xml:space="preserve"> </w:t>
      </w:r>
      <w:r w:rsidRPr="001A6BC3">
        <w:rPr>
          <w:lang w:val="en-IE"/>
        </w:rPr>
        <w:t>2024/275</w:t>
      </w:r>
      <w:r>
        <w:rPr>
          <w:lang w:val="en-IE"/>
        </w:rPr>
        <w:t xml:space="preserve">8 </w:t>
      </w:r>
      <w:r w:rsidRPr="001A6BC3">
        <w:rPr>
          <w:lang w:val="en-IE"/>
        </w:rPr>
        <w:t xml:space="preserve">(RPS) / </w:t>
      </w:r>
      <w:r w:rsidRPr="00637398">
        <w:rPr>
          <w:lang w:val="en-IE"/>
        </w:rPr>
        <w:t>B10-0020/2024</w:t>
      </w:r>
      <w:r>
        <w:rPr>
          <w:lang w:val="en-IE"/>
        </w:rPr>
        <w:t xml:space="preserve"> </w:t>
      </w:r>
      <w:r w:rsidRPr="001A6BC3">
        <w:rPr>
          <w:lang w:val="en-IE"/>
        </w:rPr>
        <w:t>/ P10_TA(2024)000</w:t>
      </w:r>
      <w:r>
        <w:rPr>
          <w:lang w:val="en-IE"/>
        </w:rPr>
        <w:t>6</w:t>
      </w:r>
    </w:p>
    <w:p w14:paraId="2CFE0CEA" w14:textId="3A4E9ACD" w:rsidR="0081671F" w:rsidRPr="000E3AFE" w:rsidRDefault="0081671F" w:rsidP="005C372B">
      <w:pPr>
        <w:spacing w:after="240" w:line="240" w:lineRule="auto"/>
        <w:ind w:left="567" w:hanging="567"/>
        <w:rPr>
          <w:lang w:val="en-IE"/>
        </w:rPr>
      </w:pPr>
      <w:r w:rsidRPr="000E3AFE">
        <w:rPr>
          <w:b/>
          <w:lang w:val="en-IE"/>
        </w:rPr>
        <w:t>3.</w:t>
      </w:r>
      <w:r w:rsidRPr="000E3AFE">
        <w:rPr>
          <w:lang w:val="en-IE"/>
        </w:rPr>
        <w:tab/>
      </w:r>
      <w:r w:rsidRPr="000E3AFE">
        <w:rPr>
          <w:b/>
          <w:lang w:val="en-IE"/>
        </w:rPr>
        <w:t>Date of adoption of the resolution:</w:t>
      </w:r>
      <w:r w:rsidRPr="000E3AFE">
        <w:rPr>
          <w:lang w:val="en-IE"/>
        </w:rPr>
        <w:t xml:space="preserve"> </w:t>
      </w:r>
      <w:r>
        <w:rPr>
          <w:lang w:val="en-IE"/>
        </w:rPr>
        <w:t>18 September 2024</w:t>
      </w:r>
    </w:p>
    <w:p w14:paraId="2A9EBE3F" w14:textId="3D44185C" w:rsidR="0081671F" w:rsidRPr="000E3AFE" w:rsidRDefault="0081671F" w:rsidP="005C372B">
      <w:pPr>
        <w:spacing w:after="240" w:line="240" w:lineRule="auto"/>
        <w:ind w:left="567" w:hanging="567"/>
        <w:rPr>
          <w:lang w:val="en-IE"/>
        </w:rPr>
      </w:pPr>
      <w:r w:rsidRPr="000E3AFE">
        <w:rPr>
          <w:b/>
          <w:lang w:val="en-IE"/>
        </w:rPr>
        <w:t>4.</w:t>
      </w:r>
      <w:r w:rsidRPr="000E3AFE">
        <w:rPr>
          <w:b/>
          <w:lang w:val="en-IE"/>
        </w:rPr>
        <w:tab/>
        <w:t>Competent Parliamentary Committee:</w:t>
      </w:r>
      <w:r w:rsidRPr="000E3AFE">
        <w:rPr>
          <w:lang w:val="en-IE"/>
        </w:rPr>
        <w:t xml:space="preserve"> Committee on Environment, Public Health and Food Safety (ENVI)</w:t>
      </w:r>
    </w:p>
    <w:p w14:paraId="78674EE5" w14:textId="030FBE3B" w:rsidR="0081671F" w:rsidRPr="000E3AFE" w:rsidRDefault="0081671F" w:rsidP="005C372B">
      <w:pPr>
        <w:spacing w:after="240" w:line="240" w:lineRule="auto"/>
        <w:ind w:left="567" w:hanging="567"/>
        <w:rPr>
          <w:b/>
          <w:lang w:val="en-IE"/>
        </w:rPr>
      </w:pPr>
      <w:r w:rsidRPr="000E3AFE">
        <w:rPr>
          <w:b/>
          <w:lang w:val="en-IE"/>
        </w:rPr>
        <w:t>5.</w:t>
      </w:r>
      <w:r w:rsidRPr="000E3AFE">
        <w:rPr>
          <w:b/>
          <w:lang w:val="en-IE"/>
        </w:rPr>
        <w:tab/>
        <w:t>Brief analysis/assessment of the resolution and requests made in it:</w:t>
      </w:r>
    </w:p>
    <w:p w14:paraId="5961ED9E" w14:textId="132E535F" w:rsidR="0081671F" w:rsidRDefault="0081671F" w:rsidP="008457BE">
      <w:pPr>
        <w:spacing w:after="120" w:line="240" w:lineRule="auto"/>
        <w:rPr>
          <w:lang w:val="en-IE"/>
        </w:rPr>
      </w:pPr>
      <w:r w:rsidRPr="003E0C84">
        <w:rPr>
          <w:lang w:val="en-IE"/>
        </w:rPr>
        <w:t xml:space="preserve">The draft Commission </w:t>
      </w:r>
      <w:r>
        <w:rPr>
          <w:lang w:val="en-IE"/>
        </w:rPr>
        <w:t>r</w:t>
      </w:r>
      <w:r w:rsidRPr="003E0C84">
        <w:rPr>
          <w:lang w:val="en-IE"/>
        </w:rPr>
        <w:t xml:space="preserve">egulation </w:t>
      </w:r>
      <w:r>
        <w:rPr>
          <w:lang w:val="en-IE"/>
        </w:rPr>
        <w:t xml:space="preserve">intends to </w:t>
      </w:r>
      <w:r w:rsidRPr="003E0C84">
        <w:rPr>
          <w:lang w:val="en-IE"/>
        </w:rPr>
        <w:t xml:space="preserve">amend Annexes </w:t>
      </w:r>
      <w:r w:rsidRPr="00841368">
        <w:rPr>
          <w:lang w:val="en-IE"/>
        </w:rPr>
        <w:t xml:space="preserve">II, III and V </w:t>
      </w:r>
      <w:r w:rsidRPr="003E0C84">
        <w:rPr>
          <w:lang w:val="en-IE"/>
        </w:rPr>
        <w:t xml:space="preserve">to Regulation (EC) No 396/2005 of the European Parliament and of the Council as regards maximum residue levels (MRLs) for </w:t>
      </w:r>
      <w:r>
        <w:rPr>
          <w:lang w:val="en-IE"/>
        </w:rPr>
        <w:t xml:space="preserve">three non-approved active substances benomyl, </w:t>
      </w:r>
      <w:r w:rsidRPr="00841368">
        <w:rPr>
          <w:lang w:val="en-IE"/>
        </w:rPr>
        <w:t xml:space="preserve">carbendazim and thiophanate-methyl </w:t>
      </w:r>
      <w:r w:rsidRPr="003E0C84">
        <w:rPr>
          <w:lang w:val="en-IE"/>
        </w:rPr>
        <w:t>in or on certain products</w:t>
      </w:r>
      <w:r>
        <w:rPr>
          <w:lang w:val="en-IE"/>
        </w:rPr>
        <w:t xml:space="preserve">. The resolution only focuses on </w:t>
      </w:r>
      <w:r w:rsidRPr="00841368">
        <w:rPr>
          <w:lang w:val="en-IE"/>
        </w:rPr>
        <w:t>carbendazim and thiophanate-methyl</w:t>
      </w:r>
      <w:r>
        <w:rPr>
          <w:lang w:val="en-IE"/>
        </w:rPr>
        <w:t>.</w:t>
      </w:r>
    </w:p>
    <w:p w14:paraId="4303574B" w14:textId="7313C066" w:rsidR="0081671F" w:rsidRDefault="0081671F" w:rsidP="008457BE">
      <w:pPr>
        <w:spacing w:after="120" w:line="240" w:lineRule="auto"/>
        <w:rPr>
          <w:lang w:val="en-IE"/>
        </w:rPr>
      </w:pPr>
      <w:r w:rsidRPr="008242E4">
        <w:rPr>
          <w:lang w:val="en-IE"/>
        </w:rPr>
        <w:t>The approval for carbendazim expired in 2014 while for thiophanate-methyl its approval was not renewed by Regulation (EU) 2020/1498</w:t>
      </w:r>
      <w:r w:rsidRPr="00841368">
        <w:rPr>
          <w:lang w:val="en-IE"/>
        </w:rPr>
        <w:t>.</w:t>
      </w:r>
    </w:p>
    <w:p w14:paraId="2A66E15E" w14:textId="57A88CF6" w:rsidR="0081671F" w:rsidRDefault="0081671F" w:rsidP="008457BE">
      <w:pPr>
        <w:spacing w:after="120" w:line="240" w:lineRule="auto"/>
        <w:rPr>
          <w:lang w:val="en-IE"/>
        </w:rPr>
      </w:pPr>
      <w:r>
        <w:rPr>
          <w:lang w:val="en-IE"/>
        </w:rPr>
        <w:t>T</w:t>
      </w:r>
      <w:r w:rsidRPr="00841368">
        <w:rPr>
          <w:lang w:val="en-IE"/>
        </w:rPr>
        <w:t xml:space="preserve">he draft </w:t>
      </w:r>
      <w:r>
        <w:rPr>
          <w:lang w:val="en-IE"/>
        </w:rPr>
        <w:t>r</w:t>
      </w:r>
      <w:r w:rsidRPr="00841368">
        <w:rPr>
          <w:lang w:val="en-IE"/>
        </w:rPr>
        <w:t xml:space="preserve">egulation proposes to </w:t>
      </w:r>
      <w:r>
        <w:rPr>
          <w:lang w:val="en-IE"/>
        </w:rPr>
        <w:t>set at the limit of determination (LOD)</w:t>
      </w:r>
      <w:r w:rsidRPr="00841368">
        <w:rPr>
          <w:lang w:val="en-IE"/>
        </w:rPr>
        <w:t xml:space="preserve"> </w:t>
      </w:r>
      <w:r>
        <w:rPr>
          <w:lang w:val="en-IE"/>
        </w:rPr>
        <w:t xml:space="preserve">623 out of the 630 existing </w:t>
      </w:r>
      <w:r w:rsidRPr="00841368">
        <w:rPr>
          <w:lang w:val="en-IE"/>
        </w:rPr>
        <w:t xml:space="preserve">MRLs </w:t>
      </w:r>
      <w:r>
        <w:rPr>
          <w:lang w:val="en-IE"/>
        </w:rPr>
        <w:t>for both carbendazim and thiophanate-methyl, while maintaining only 7 MRLs above the LOD.</w:t>
      </w:r>
    </w:p>
    <w:p w14:paraId="47DF6A3E" w14:textId="7341108A" w:rsidR="0081671F" w:rsidRDefault="0081671F" w:rsidP="008457BE">
      <w:pPr>
        <w:spacing w:after="120" w:line="240" w:lineRule="auto"/>
        <w:rPr>
          <w:lang w:val="en-IE"/>
        </w:rPr>
      </w:pPr>
      <w:r>
        <w:rPr>
          <w:lang w:val="en-IE"/>
        </w:rPr>
        <w:t>The l</w:t>
      </w:r>
      <w:r w:rsidRPr="00841368">
        <w:rPr>
          <w:lang w:val="en-IE"/>
        </w:rPr>
        <w:t>ower</w:t>
      </w:r>
      <w:r>
        <w:rPr>
          <w:lang w:val="en-IE"/>
        </w:rPr>
        <w:t>ing</w:t>
      </w:r>
      <w:r w:rsidRPr="00841368">
        <w:rPr>
          <w:lang w:val="en-IE"/>
        </w:rPr>
        <w:t xml:space="preserve"> </w:t>
      </w:r>
      <w:r>
        <w:rPr>
          <w:lang w:val="en-IE"/>
        </w:rPr>
        <w:t xml:space="preserve">of existing MRLs </w:t>
      </w:r>
      <w:r w:rsidRPr="00841368">
        <w:rPr>
          <w:lang w:val="en-IE"/>
        </w:rPr>
        <w:t xml:space="preserve">to the LOD </w:t>
      </w:r>
      <w:r>
        <w:rPr>
          <w:lang w:val="en-IE"/>
        </w:rPr>
        <w:t xml:space="preserve">is notably necessary for those MRLs for which </w:t>
      </w:r>
      <w:r w:rsidRPr="00841368">
        <w:rPr>
          <w:lang w:val="en-IE"/>
        </w:rPr>
        <w:t xml:space="preserve">the European Food Safety Authority (EFSA) identified potential risk for consumers, namely </w:t>
      </w:r>
      <w:r>
        <w:rPr>
          <w:lang w:val="en-IE"/>
        </w:rPr>
        <w:t xml:space="preserve">for </w:t>
      </w:r>
      <w:r w:rsidRPr="00841368">
        <w:rPr>
          <w:lang w:val="en-IE"/>
        </w:rPr>
        <w:t xml:space="preserve">the MRLs for carbendazim in grapefruits, oranges, papayas, and mangoes, and </w:t>
      </w:r>
      <w:r>
        <w:rPr>
          <w:lang w:val="en-IE"/>
        </w:rPr>
        <w:t xml:space="preserve">for </w:t>
      </w:r>
      <w:r w:rsidRPr="00841368">
        <w:rPr>
          <w:lang w:val="en-IE"/>
        </w:rPr>
        <w:t>the MRLs for thiophanate-methyl in grapefruits, oranges, mandarins, papayas, and mangoes.</w:t>
      </w:r>
    </w:p>
    <w:p w14:paraId="57122D92" w14:textId="08B2E146" w:rsidR="0081671F" w:rsidRDefault="0081671F" w:rsidP="008457BE">
      <w:pPr>
        <w:spacing w:after="120" w:line="240" w:lineRule="auto"/>
        <w:rPr>
          <w:lang w:val="en-IE"/>
        </w:rPr>
      </w:pPr>
      <w:r>
        <w:rPr>
          <w:lang w:val="en-IE"/>
        </w:rPr>
        <w:t xml:space="preserve">On the other hand, </w:t>
      </w:r>
      <w:r w:rsidRPr="00841368">
        <w:rPr>
          <w:lang w:val="en-IE"/>
        </w:rPr>
        <w:t xml:space="preserve">EFSA </w:t>
      </w:r>
      <w:r>
        <w:rPr>
          <w:lang w:val="en-IE"/>
        </w:rPr>
        <w:t xml:space="preserve">found three existing MRLs </w:t>
      </w:r>
      <w:r w:rsidRPr="00841368">
        <w:rPr>
          <w:lang w:val="en-IE"/>
        </w:rPr>
        <w:t>for carbendazim (lemons, limes and mandarins) and one MRL for thiophanate-methyl (limes) safe for consumers</w:t>
      </w:r>
      <w:r>
        <w:rPr>
          <w:lang w:val="en-IE"/>
        </w:rPr>
        <w:t xml:space="preserve"> and therefore the draft regulation intends to maintain these at current levels</w:t>
      </w:r>
      <w:r w:rsidRPr="00841368">
        <w:rPr>
          <w:lang w:val="en-IE"/>
        </w:rPr>
        <w:t>.</w:t>
      </w:r>
    </w:p>
    <w:p w14:paraId="3200343A" w14:textId="6E03CFEB" w:rsidR="0081671F" w:rsidRDefault="0081671F" w:rsidP="008457BE">
      <w:pPr>
        <w:spacing w:after="120" w:line="240" w:lineRule="auto"/>
        <w:rPr>
          <w:lang w:val="en-IE"/>
        </w:rPr>
      </w:pPr>
      <w:r w:rsidRPr="00841368">
        <w:rPr>
          <w:lang w:val="en-IE"/>
        </w:rPr>
        <w:t xml:space="preserve">Finally, the draft </w:t>
      </w:r>
      <w:r>
        <w:rPr>
          <w:lang w:val="en-IE"/>
        </w:rPr>
        <w:t>r</w:t>
      </w:r>
      <w:r w:rsidRPr="00841368">
        <w:rPr>
          <w:lang w:val="en-IE"/>
        </w:rPr>
        <w:t xml:space="preserve">egulation intends to lower one current MRL for carbendazim (in okra) and two MRLs for thiophanate-methyl (lemons and okras) based on good agricultural practices </w:t>
      </w:r>
      <w:r>
        <w:rPr>
          <w:lang w:val="en-IE"/>
        </w:rPr>
        <w:t xml:space="preserve">authorised in </w:t>
      </w:r>
      <w:r w:rsidRPr="00841368">
        <w:rPr>
          <w:lang w:val="en-IE"/>
        </w:rPr>
        <w:t>third countries</w:t>
      </w:r>
      <w:r>
        <w:rPr>
          <w:lang w:val="en-IE"/>
        </w:rPr>
        <w:t>, which EFSA also found safe for consumers</w:t>
      </w:r>
      <w:r w:rsidRPr="005E1E41">
        <w:rPr>
          <w:lang w:val="en-IE"/>
        </w:rPr>
        <w:t>.</w:t>
      </w:r>
    </w:p>
    <w:p w14:paraId="61EBBB5E" w14:textId="64599A42" w:rsidR="0081671F" w:rsidRPr="0081671F" w:rsidRDefault="0081671F" w:rsidP="008457BE">
      <w:pPr>
        <w:widowControl w:val="0"/>
        <w:spacing w:after="120" w:line="240" w:lineRule="auto"/>
        <w:rPr>
          <w:rFonts w:eastAsia="Calibri"/>
          <w:lang w:val="en-IE"/>
        </w:rPr>
      </w:pPr>
      <w:r w:rsidRPr="0081671F">
        <w:rPr>
          <w:rFonts w:eastAsia="Calibri"/>
          <w:lang w:val="en-IE"/>
        </w:rPr>
        <w:t>The resolution objects to maintaining MRLs for imported products above the LOD due to the competitive disadvantages for EU farmers (</w:t>
      </w:r>
      <w:r w:rsidRPr="0081671F">
        <w:rPr>
          <w:rFonts w:eastAsia="Calibri"/>
          <w:b/>
          <w:bCs/>
          <w:lang w:val="en-IE"/>
        </w:rPr>
        <w:t>recitals A, B, C and Z</w:t>
      </w:r>
      <w:r w:rsidRPr="0081671F">
        <w:rPr>
          <w:rFonts w:eastAsia="Calibri"/>
          <w:lang w:val="en-IE"/>
        </w:rPr>
        <w:t xml:space="preserve">), </w:t>
      </w:r>
      <w:r w:rsidRPr="00BE297A">
        <w:rPr>
          <w:lang w:val="en-IE"/>
        </w:rPr>
        <w:t>carbendazim</w:t>
      </w:r>
      <w:r w:rsidRPr="0081671F">
        <w:rPr>
          <w:rFonts w:eastAsia="Calibri"/>
          <w:lang w:val="en-IE"/>
        </w:rPr>
        <w:t xml:space="preserve"> being classified in accordance with Regulation (EC) No 1272/2008 as ‘</w:t>
      </w:r>
      <w:r w:rsidRPr="00BE297A">
        <w:rPr>
          <w:lang w:val="en-IE"/>
        </w:rPr>
        <w:t xml:space="preserve">mutagen </w:t>
      </w:r>
      <w:r>
        <w:rPr>
          <w:lang w:val="en-IE"/>
        </w:rPr>
        <w:t>(</w:t>
      </w:r>
      <w:r w:rsidRPr="00BE297A">
        <w:rPr>
          <w:lang w:val="en-IE"/>
        </w:rPr>
        <w:t>category 1B</w:t>
      </w:r>
      <w:r>
        <w:rPr>
          <w:lang w:val="en-IE"/>
        </w:rPr>
        <w:t>)</w:t>
      </w:r>
      <w:r w:rsidRPr="0081671F">
        <w:rPr>
          <w:rFonts w:eastAsia="Calibri"/>
          <w:lang w:val="en-IE"/>
        </w:rPr>
        <w:t>’</w:t>
      </w:r>
      <w:r w:rsidRPr="00BE297A">
        <w:rPr>
          <w:lang w:val="en-IE"/>
        </w:rPr>
        <w:t xml:space="preserve"> and </w:t>
      </w:r>
      <w:r w:rsidRPr="0081671F">
        <w:rPr>
          <w:rFonts w:eastAsia="Calibri"/>
          <w:lang w:val="en-IE"/>
        </w:rPr>
        <w:t>‘</w:t>
      </w:r>
      <w:r w:rsidRPr="00BE297A">
        <w:rPr>
          <w:lang w:val="en-IE"/>
        </w:rPr>
        <w:t xml:space="preserve">toxic for reproduction </w:t>
      </w:r>
      <w:r>
        <w:rPr>
          <w:lang w:val="en-IE"/>
        </w:rPr>
        <w:t>(</w:t>
      </w:r>
      <w:r w:rsidRPr="00BE297A">
        <w:rPr>
          <w:lang w:val="en-IE"/>
        </w:rPr>
        <w:t>category 1B</w:t>
      </w:r>
      <w:r>
        <w:rPr>
          <w:lang w:val="en-IE"/>
        </w:rPr>
        <w:t>)</w:t>
      </w:r>
      <w:r w:rsidRPr="0081671F">
        <w:rPr>
          <w:rFonts w:eastAsia="Calibri"/>
          <w:lang w:val="en-IE"/>
        </w:rPr>
        <w:t>’ (</w:t>
      </w:r>
      <w:r w:rsidRPr="0081671F">
        <w:rPr>
          <w:rFonts w:eastAsia="Calibri"/>
          <w:b/>
          <w:bCs/>
          <w:lang w:val="en-IE"/>
        </w:rPr>
        <w:t>recitals E, R and S</w:t>
      </w:r>
      <w:r w:rsidRPr="0081671F">
        <w:rPr>
          <w:rFonts w:eastAsia="Calibri"/>
          <w:lang w:val="en-IE"/>
        </w:rPr>
        <w:t xml:space="preserve">), </w:t>
      </w:r>
      <w:r w:rsidRPr="00BE297A">
        <w:rPr>
          <w:lang w:val="en-IE"/>
        </w:rPr>
        <w:t xml:space="preserve">thiophanate-methyl </w:t>
      </w:r>
      <w:r>
        <w:rPr>
          <w:lang w:val="en-IE"/>
        </w:rPr>
        <w:t xml:space="preserve">being </w:t>
      </w:r>
      <w:r w:rsidRPr="00BE297A">
        <w:rPr>
          <w:lang w:val="en-IE"/>
        </w:rPr>
        <w:t>classifi</w:t>
      </w:r>
      <w:r>
        <w:rPr>
          <w:lang w:val="en-IE"/>
        </w:rPr>
        <w:t>ed in accordance with the same regulation</w:t>
      </w:r>
      <w:r w:rsidRPr="00BE297A">
        <w:rPr>
          <w:lang w:val="en-IE"/>
        </w:rPr>
        <w:t xml:space="preserve"> as </w:t>
      </w:r>
      <w:r w:rsidRPr="0081671F">
        <w:rPr>
          <w:rFonts w:eastAsia="Calibri"/>
          <w:lang w:val="en-IE"/>
        </w:rPr>
        <w:t>‘</w:t>
      </w:r>
      <w:r w:rsidRPr="00BE297A">
        <w:rPr>
          <w:lang w:val="en-IE"/>
        </w:rPr>
        <w:t xml:space="preserve">mutagen </w:t>
      </w:r>
      <w:r>
        <w:rPr>
          <w:lang w:val="en-IE"/>
        </w:rPr>
        <w:t>(</w:t>
      </w:r>
      <w:r w:rsidRPr="00BE297A">
        <w:rPr>
          <w:lang w:val="en-IE"/>
        </w:rPr>
        <w:t>category 2</w:t>
      </w:r>
      <w:r>
        <w:rPr>
          <w:lang w:val="en-IE"/>
        </w:rPr>
        <w:t>)</w:t>
      </w:r>
      <w:r w:rsidRPr="0081671F">
        <w:rPr>
          <w:rFonts w:eastAsia="Calibri"/>
          <w:lang w:val="en-IE"/>
        </w:rPr>
        <w:t>’</w:t>
      </w:r>
      <w:r w:rsidRPr="00BE297A">
        <w:rPr>
          <w:lang w:val="en-IE"/>
        </w:rPr>
        <w:t xml:space="preserve"> and </w:t>
      </w:r>
      <w:r w:rsidRPr="0081671F">
        <w:rPr>
          <w:rFonts w:eastAsia="Calibri"/>
          <w:lang w:val="en-IE"/>
        </w:rPr>
        <w:t>‘</w:t>
      </w:r>
      <w:r w:rsidRPr="00BE297A">
        <w:rPr>
          <w:lang w:val="en-IE"/>
        </w:rPr>
        <w:t xml:space="preserve">reproductive toxicant </w:t>
      </w:r>
      <w:r>
        <w:rPr>
          <w:lang w:val="en-IE"/>
        </w:rPr>
        <w:t>(</w:t>
      </w:r>
      <w:r w:rsidRPr="00BE297A">
        <w:rPr>
          <w:lang w:val="en-IE"/>
        </w:rPr>
        <w:t>category 2</w:t>
      </w:r>
      <w:r>
        <w:rPr>
          <w:lang w:val="en-IE"/>
        </w:rPr>
        <w:t>)</w:t>
      </w:r>
      <w:r w:rsidRPr="0081671F">
        <w:rPr>
          <w:rFonts w:eastAsia="Calibri"/>
          <w:lang w:val="en-IE"/>
        </w:rPr>
        <w:t>’</w:t>
      </w:r>
      <w:r w:rsidRPr="00BE297A">
        <w:rPr>
          <w:lang w:val="en-IE"/>
        </w:rPr>
        <w:t xml:space="preserve"> (</w:t>
      </w:r>
      <w:r w:rsidRPr="00BE297A">
        <w:rPr>
          <w:b/>
          <w:lang w:val="en-IE"/>
        </w:rPr>
        <w:t>recitals K, R</w:t>
      </w:r>
      <w:r>
        <w:rPr>
          <w:b/>
          <w:lang w:val="en-IE"/>
        </w:rPr>
        <w:t xml:space="preserve"> and</w:t>
      </w:r>
      <w:r w:rsidRPr="00BE297A">
        <w:rPr>
          <w:b/>
          <w:lang w:val="en-IE"/>
        </w:rPr>
        <w:t xml:space="preserve"> S</w:t>
      </w:r>
      <w:r w:rsidRPr="00BE297A">
        <w:rPr>
          <w:lang w:val="en-IE"/>
        </w:rPr>
        <w:t>)</w:t>
      </w:r>
      <w:r>
        <w:rPr>
          <w:lang w:val="en-IE"/>
        </w:rPr>
        <w:t xml:space="preserve"> and having </w:t>
      </w:r>
      <w:r w:rsidRPr="00FC64F7">
        <w:rPr>
          <w:lang w:val="en-IE"/>
        </w:rPr>
        <w:t>endocrine related effects (</w:t>
      </w:r>
      <w:r w:rsidRPr="00FC64F7">
        <w:rPr>
          <w:b/>
          <w:lang w:val="en-IE"/>
        </w:rPr>
        <w:t>recitals K, L</w:t>
      </w:r>
      <w:r>
        <w:rPr>
          <w:b/>
          <w:lang w:val="en-IE"/>
        </w:rPr>
        <w:t xml:space="preserve"> and</w:t>
      </w:r>
      <w:r w:rsidRPr="00FC64F7">
        <w:rPr>
          <w:b/>
          <w:lang w:val="en-IE"/>
        </w:rPr>
        <w:t xml:space="preserve"> X1</w:t>
      </w:r>
      <w:r w:rsidRPr="00FC64F7">
        <w:rPr>
          <w:lang w:val="en-IE"/>
        </w:rPr>
        <w:t xml:space="preserve">) </w:t>
      </w:r>
      <w:r w:rsidRPr="0081671F">
        <w:rPr>
          <w:rFonts w:eastAsia="Calibri"/>
          <w:lang w:val="en-IE"/>
        </w:rPr>
        <w:t xml:space="preserve">and both substances being classified </w:t>
      </w:r>
      <w:r>
        <w:rPr>
          <w:lang w:val="en-IE"/>
        </w:rPr>
        <w:t xml:space="preserve">in accordance with the same </w:t>
      </w:r>
      <w:r>
        <w:rPr>
          <w:rFonts w:eastAsia="Calibri"/>
          <w:lang w:val="en-IE"/>
        </w:rPr>
        <w:t>r</w:t>
      </w:r>
      <w:r w:rsidRPr="00501A23">
        <w:rPr>
          <w:rFonts w:eastAsia="Calibri"/>
          <w:lang w:val="en-IE"/>
        </w:rPr>
        <w:t xml:space="preserve">egulation as </w:t>
      </w:r>
      <w:r w:rsidRPr="0081671F">
        <w:rPr>
          <w:rFonts w:eastAsia="Calibri"/>
          <w:lang w:val="en-IE"/>
        </w:rPr>
        <w:t>‘</w:t>
      </w:r>
      <w:r w:rsidRPr="00501A23">
        <w:rPr>
          <w:rFonts w:eastAsia="Calibri"/>
          <w:lang w:val="en-IE"/>
        </w:rPr>
        <w:t>very toxic for aquatic life and very toxic for aquatic life with long-lasting effects</w:t>
      </w:r>
      <w:r w:rsidRPr="0081671F">
        <w:rPr>
          <w:rFonts w:eastAsia="Calibri"/>
          <w:lang w:val="en-IE"/>
        </w:rPr>
        <w:t>’</w:t>
      </w:r>
      <w:r w:rsidRPr="00501A23">
        <w:rPr>
          <w:rFonts w:eastAsia="Calibri"/>
          <w:lang w:val="en-IE"/>
        </w:rPr>
        <w:t xml:space="preserve"> </w:t>
      </w:r>
      <w:r w:rsidRPr="0081671F">
        <w:rPr>
          <w:rFonts w:eastAsia="Calibri"/>
          <w:lang w:val="en-IE"/>
        </w:rPr>
        <w:t>(</w:t>
      </w:r>
      <w:r w:rsidRPr="0081671F">
        <w:rPr>
          <w:rFonts w:eastAsia="Calibri"/>
          <w:b/>
          <w:bCs/>
          <w:lang w:val="en-IE"/>
        </w:rPr>
        <w:t>recital F</w:t>
      </w:r>
      <w:r w:rsidRPr="0081671F">
        <w:rPr>
          <w:rFonts w:eastAsia="Calibri"/>
          <w:lang w:val="en-IE"/>
        </w:rPr>
        <w:t>). In addition, the resolution refers to the Commission’s Farm to Fork Strategy, where the Commission has stated that “</w:t>
      </w:r>
      <w:r w:rsidRPr="0081671F">
        <w:rPr>
          <w:rFonts w:eastAsia="Calibri"/>
          <w:i/>
          <w:iCs/>
          <w:lang w:val="en-IE"/>
        </w:rPr>
        <w:t xml:space="preserve">the EU will consider, in compliance with WTO </w:t>
      </w:r>
      <w:r w:rsidRPr="0081671F">
        <w:rPr>
          <w:rFonts w:eastAsia="Calibri"/>
          <w:i/>
          <w:iCs/>
          <w:lang w:val="en-IE"/>
        </w:rPr>
        <w:lastRenderedPageBreak/>
        <w:t>(World Trade Organization) rules and following a risk assessment, to review import tolerances for substances meeting the "cut-off criteria and presenting a high level of risk for human health</w:t>
      </w:r>
      <w:r w:rsidRPr="0081671F">
        <w:rPr>
          <w:rFonts w:eastAsia="Calibri"/>
          <w:lang w:val="en-IE"/>
        </w:rPr>
        <w:t>” (</w:t>
      </w:r>
      <w:r w:rsidRPr="0081671F">
        <w:rPr>
          <w:rFonts w:eastAsia="Calibri"/>
          <w:b/>
          <w:bCs/>
          <w:lang w:val="en-IE"/>
        </w:rPr>
        <w:t>recital V</w:t>
      </w:r>
      <w:r w:rsidRPr="0081671F">
        <w:rPr>
          <w:rFonts w:eastAsia="Calibri"/>
          <w:lang w:val="en-IE"/>
        </w:rPr>
        <w:t>).</w:t>
      </w:r>
    </w:p>
    <w:p w14:paraId="4F7FB9E4" w14:textId="02CB0225" w:rsidR="0081671F" w:rsidRPr="0081671F" w:rsidRDefault="0081671F" w:rsidP="008457BE">
      <w:pPr>
        <w:widowControl w:val="0"/>
        <w:spacing w:after="120" w:line="240" w:lineRule="auto"/>
        <w:rPr>
          <w:rFonts w:eastAsia="Calibri"/>
          <w:lang w:val="en-IE"/>
        </w:rPr>
      </w:pPr>
      <w:r w:rsidRPr="0081671F">
        <w:rPr>
          <w:rFonts w:eastAsia="Calibri"/>
          <w:lang w:val="en-IE"/>
        </w:rPr>
        <w:t>The resolution states that the draft Commission regulation is not compatible with the aim and content of Regulations (EC) No 396/2005, (EC) No 178/2002 and (EC) No 1107/2009 (</w:t>
      </w:r>
      <w:r w:rsidRPr="0081671F">
        <w:rPr>
          <w:rFonts w:eastAsia="Calibri"/>
          <w:b/>
          <w:bCs/>
          <w:lang w:val="en-IE"/>
        </w:rPr>
        <w:t>paragraph 2</w:t>
      </w:r>
      <w:r w:rsidRPr="0081671F">
        <w:rPr>
          <w:rFonts w:eastAsia="Calibri"/>
          <w:lang w:val="en-IE"/>
        </w:rPr>
        <w:t>), and calls on the Commission to withdraw the draft regulation (</w:t>
      </w:r>
      <w:r w:rsidRPr="0081671F">
        <w:rPr>
          <w:rFonts w:eastAsia="Calibri"/>
          <w:b/>
          <w:bCs/>
          <w:lang w:val="en-IE"/>
        </w:rPr>
        <w:t>paragraph</w:t>
      </w:r>
      <w:r w:rsidR="0080272A">
        <w:rPr>
          <w:rFonts w:eastAsia="Calibri"/>
          <w:b/>
          <w:bCs/>
          <w:lang w:val="en-IE"/>
        </w:rPr>
        <w:t xml:space="preserve"> </w:t>
      </w:r>
      <w:r w:rsidRPr="0081671F">
        <w:rPr>
          <w:rFonts w:eastAsia="Calibri"/>
          <w:b/>
          <w:bCs/>
          <w:lang w:val="en-IE"/>
        </w:rPr>
        <w:t>3</w:t>
      </w:r>
      <w:r w:rsidRPr="0081671F">
        <w:rPr>
          <w:rFonts w:eastAsia="Calibri"/>
          <w:lang w:val="en-IE"/>
        </w:rPr>
        <w:t xml:space="preserve">), to submit a new draft lowering all MRLs for </w:t>
      </w:r>
      <w:r w:rsidRPr="00A278B6">
        <w:rPr>
          <w:lang w:val="en-IE"/>
        </w:rPr>
        <w:t>carbendazim and thiophanate-methyl</w:t>
      </w:r>
      <w:r w:rsidRPr="0081671F">
        <w:rPr>
          <w:rFonts w:eastAsia="Calibri"/>
          <w:lang w:val="en-IE"/>
        </w:rPr>
        <w:t xml:space="preserve"> to the relevant LOD and to refuse any request for import tolerances (</w:t>
      </w:r>
      <w:r w:rsidRPr="0081671F">
        <w:rPr>
          <w:rFonts w:eastAsia="Calibri"/>
          <w:b/>
          <w:bCs/>
          <w:lang w:val="en-IE"/>
        </w:rPr>
        <w:t>paragraph 4</w:t>
      </w:r>
      <w:r w:rsidRPr="0081671F">
        <w:rPr>
          <w:rFonts w:eastAsia="Calibri"/>
          <w:lang w:val="en-IE"/>
        </w:rPr>
        <w:t>). The resolution makes reference to the recent proposal of the Commission to precautionarily lower all the MRLs for thiacloprid pending the conclusion of an additional risk assessment (</w:t>
      </w:r>
      <w:r w:rsidRPr="0081671F">
        <w:rPr>
          <w:rFonts w:eastAsia="Calibri"/>
          <w:b/>
          <w:bCs/>
          <w:lang w:val="en-IE"/>
        </w:rPr>
        <w:t>recital O</w:t>
      </w:r>
      <w:r w:rsidRPr="0081671F">
        <w:rPr>
          <w:rFonts w:eastAsia="Calibri"/>
          <w:lang w:val="en-IE"/>
        </w:rPr>
        <w:t>).</w:t>
      </w:r>
    </w:p>
    <w:p w14:paraId="6D2448D6" w14:textId="0475D0D9" w:rsidR="0081671F" w:rsidRPr="000E3AFE" w:rsidRDefault="0081671F" w:rsidP="00EF7A75">
      <w:pPr>
        <w:widowControl w:val="0"/>
        <w:spacing w:after="240" w:line="240" w:lineRule="auto"/>
        <w:ind w:left="567" w:hanging="567"/>
        <w:rPr>
          <w:b/>
          <w:lang w:val="en-IE"/>
        </w:rPr>
      </w:pPr>
      <w:r w:rsidRPr="000E3AFE">
        <w:rPr>
          <w:b/>
          <w:lang w:val="en-IE"/>
        </w:rPr>
        <w:t>6.</w:t>
      </w:r>
      <w:r w:rsidRPr="000E3AFE">
        <w:rPr>
          <w:b/>
          <w:lang w:val="en-IE"/>
        </w:rPr>
        <w:tab/>
        <w:t>Response to requests and overview of actions taken, or intended to be taken, by the Commission</w:t>
      </w:r>
    </w:p>
    <w:p w14:paraId="79BAE744" w14:textId="7231BE32" w:rsidR="0081671F" w:rsidRPr="00A278B6" w:rsidRDefault="0081671F" w:rsidP="008457BE">
      <w:pPr>
        <w:widowControl w:val="0"/>
        <w:spacing w:after="120" w:line="240" w:lineRule="auto"/>
        <w:rPr>
          <w:lang w:val="en-IE"/>
        </w:rPr>
      </w:pPr>
      <w:r w:rsidRPr="000A72F1">
        <w:rPr>
          <w:lang w:val="en-IE"/>
        </w:rPr>
        <w:t xml:space="preserve">With respect to </w:t>
      </w:r>
      <w:r w:rsidRPr="00EC0537">
        <w:rPr>
          <w:b/>
          <w:lang w:val="en-IE"/>
        </w:rPr>
        <w:t>paragraph 2</w:t>
      </w:r>
      <w:r w:rsidRPr="00EC0537">
        <w:rPr>
          <w:lang w:val="en-IE"/>
        </w:rPr>
        <w:t xml:space="preserve"> of the</w:t>
      </w:r>
      <w:r>
        <w:rPr>
          <w:lang w:val="en-IE"/>
        </w:rPr>
        <w:t xml:space="preserve"> resolution,</w:t>
      </w:r>
      <w:r w:rsidRPr="000A72F1">
        <w:rPr>
          <w:lang w:val="en-IE"/>
        </w:rPr>
        <w:t xml:space="preserve"> </w:t>
      </w:r>
      <w:r>
        <w:rPr>
          <w:lang w:val="en-IE"/>
        </w:rPr>
        <w:t xml:space="preserve">the Commission </w:t>
      </w:r>
      <w:r w:rsidRPr="000A72F1">
        <w:rPr>
          <w:lang w:val="en-IE"/>
        </w:rPr>
        <w:t xml:space="preserve">considers that the draft </w:t>
      </w:r>
      <w:r>
        <w:rPr>
          <w:lang w:val="en-IE"/>
        </w:rPr>
        <w:t>r</w:t>
      </w:r>
      <w:r w:rsidRPr="000A72F1">
        <w:rPr>
          <w:lang w:val="en-IE"/>
        </w:rPr>
        <w:t>egulation is fully in line with the provisions and objectives of Regulation (EC) No 396/2005 (the MRL Regulation)</w:t>
      </w:r>
      <w:r>
        <w:rPr>
          <w:lang w:val="en-IE"/>
        </w:rPr>
        <w:t>, Regulation (EC) No 1107/2009 (the PPP Regulation) and Regulation (EC) No 178/2002 (the General Food Law)</w:t>
      </w:r>
      <w:r w:rsidRPr="000A72F1">
        <w:rPr>
          <w:lang w:val="en-IE"/>
        </w:rPr>
        <w:t xml:space="preserve">. </w:t>
      </w:r>
      <w:r w:rsidR="005C372B">
        <w:rPr>
          <w:lang w:val="en-IE"/>
        </w:rPr>
        <w:t>The objection by the Parliament is preventing the Commission from adopting the regulation.</w:t>
      </w:r>
    </w:p>
    <w:p w14:paraId="3B4F35A7" w14:textId="7F4C2A05" w:rsidR="0081671F" w:rsidRPr="0081671F" w:rsidRDefault="0081671F" w:rsidP="008457BE">
      <w:pPr>
        <w:spacing w:after="120" w:line="240" w:lineRule="auto"/>
        <w:rPr>
          <w:rFonts w:eastAsia="Calibri"/>
          <w:lang w:val="en-IE"/>
        </w:rPr>
      </w:pPr>
      <w:r>
        <w:rPr>
          <w:lang w:val="en-IE"/>
        </w:rPr>
        <w:t xml:space="preserve">Regarding </w:t>
      </w:r>
      <w:r w:rsidRPr="00E16405">
        <w:rPr>
          <w:b/>
          <w:lang w:val="en-IE"/>
        </w:rPr>
        <w:t>paragraph 3</w:t>
      </w:r>
      <w:r>
        <w:rPr>
          <w:lang w:val="en-IE"/>
        </w:rPr>
        <w:t>, the</w:t>
      </w:r>
      <w:r w:rsidRPr="00501A23">
        <w:rPr>
          <w:rFonts w:eastAsia="Calibri"/>
          <w:lang w:val="en-IE"/>
        </w:rPr>
        <w:t xml:space="preserve"> Commission considers that in proposing the draft regulation it was </w:t>
      </w:r>
      <w:r w:rsidRPr="0081671F">
        <w:rPr>
          <w:rFonts w:eastAsia="Calibri"/>
          <w:lang w:val="en-IE"/>
        </w:rPr>
        <w:t xml:space="preserve">correctly implementing the regulatory framework agreed by the co-legislators in line with its aim and content and observes that the Parliament’s objection prevents the Commission from proceeding with its adoption. </w:t>
      </w:r>
    </w:p>
    <w:p w14:paraId="043EF1C9" w14:textId="39F5CAF2" w:rsidR="0081671F" w:rsidRDefault="0081671F" w:rsidP="008457BE">
      <w:pPr>
        <w:spacing w:after="120" w:line="240" w:lineRule="auto"/>
        <w:rPr>
          <w:rFonts w:eastAsia="Times New Roman" w:cstheme="minorHAnsi"/>
          <w:lang w:val="en-IE"/>
        </w:rPr>
      </w:pPr>
      <w:r w:rsidRPr="00202F15">
        <w:rPr>
          <w:rFonts w:eastAsia="Times New Roman" w:cstheme="minorHAnsi"/>
          <w:lang w:val="en-IE"/>
        </w:rPr>
        <w:t>The request from the European Parliament to lower all MRLs to the LO</w:t>
      </w:r>
      <w:r>
        <w:rPr>
          <w:rFonts w:eastAsia="Times New Roman" w:cstheme="minorHAnsi"/>
          <w:lang w:val="en-IE"/>
        </w:rPr>
        <w:t>D,</w:t>
      </w:r>
      <w:r w:rsidRPr="00202F15">
        <w:rPr>
          <w:rFonts w:eastAsia="Times New Roman" w:cstheme="minorHAnsi"/>
          <w:lang w:val="en-IE"/>
        </w:rPr>
        <w:t xml:space="preserve"> because the </w:t>
      </w:r>
      <w:r>
        <w:rPr>
          <w:rFonts w:eastAsia="Times New Roman" w:cstheme="minorHAnsi"/>
          <w:lang w:val="en-IE"/>
        </w:rPr>
        <w:t xml:space="preserve">active </w:t>
      </w:r>
      <w:r w:rsidRPr="00202F15">
        <w:rPr>
          <w:rFonts w:eastAsia="Times New Roman" w:cstheme="minorHAnsi"/>
          <w:lang w:val="en-IE"/>
        </w:rPr>
        <w:t>substance</w:t>
      </w:r>
      <w:r>
        <w:rPr>
          <w:rFonts w:eastAsia="Times New Roman" w:cstheme="minorHAnsi"/>
          <w:lang w:val="en-IE"/>
        </w:rPr>
        <w:t xml:space="preserve">s are </w:t>
      </w:r>
      <w:r w:rsidRPr="00202F15">
        <w:rPr>
          <w:rFonts w:eastAsia="Times New Roman" w:cstheme="minorHAnsi"/>
          <w:lang w:val="en-IE"/>
        </w:rPr>
        <w:t>classified as toxic for reproduction</w:t>
      </w:r>
      <w:r>
        <w:rPr>
          <w:rFonts w:eastAsia="Times New Roman" w:cstheme="minorHAnsi"/>
          <w:lang w:val="en-IE"/>
        </w:rPr>
        <w:t xml:space="preserve"> (category 1B),</w:t>
      </w:r>
      <w:r w:rsidRPr="00202F15">
        <w:rPr>
          <w:rFonts w:eastAsia="Times New Roman" w:cstheme="minorHAnsi"/>
          <w:lang w:val="en-IE"/>
        </w:rPr>
        <w:t xml:space="preserve"> is not in </w:t>
      </w:r>
      <w:r>
        <w:rPr>
          <w:rFonts w:eastAsia="Times New Roman" w:cstheme="minorHAnsi"/>
          <w:lang w:val="en-IE"/>
        </w:rPr>
        <w:t xml:space="preserve">compliance with </w:t>
      </w:r>
      <w:r w:rsidRPr="00202F15">
        <w:rPr>
          <w:rFonts w:eastAsia="Times New Roman" w:cstheme="minorHAnsi"/>
          <w:lang w:val="en-IE"/>
        </w:rPr>
        <w:t>Regulation (EC) No 396/2005</w:t>
      </w:r>
      <w:r>
        <w:rPr>
          <w:rFonts w:eastAsia="Times New Roman" w:cstheme="minorHAnsi"/>
          <w:lang w:val="en-IE"/>
        </w:rPr>
        <w:t xml:space="preserve"> nor with</w:t>
      </w:r>
      <w:r w:rsidRPr="00202F15">
        <w:rPr>
          <w:rFonts w:eastAsia="Times New Roman" w:cstheme="minorHAnsi"/>
          <w:lang w:val="en-IE"/>
        </w:rPr>
        <w:t xml:space="preserve"> the World Trade Organization’s Sanitary and Phytosanitary (SPS) Agreement</w:t>
      </w:r>
      <w:r>
        <w:rPr>
          <w:rFonts w:eastAsia="Times New Roman" w:cstheme="minorHAnsi"/>
          <w:lang w:val="en-IE"/>
        </w:rPr>
        <w:t xml:space="preserve">. </w:t>
      </w:r>
    </w:p>
    <w:p w14:paraId="7FDB9012" w14:textId="1AC0087E" w:rsidR="0081671F" w:rsidRDefault="0081671F" w:rsidP="008457BE">
      <w:pPr>
        <w:spacing w:after="120" w:line="240" w:lineRule="auto"/>
        <w:rPr>
          <w:lang w:val="en-IE"/>
        </w:rPr>
      </w:pPr>
      <w:r>
        <w:rPr>
          <w:lang w:val="en-IE"/>
        </w:rPr>
        <w:t xml:space="preserve">While it is correct that carbendazim and thiophanate-methyl </w:t>
      </w:r>
      <w:r w:rsidRPr="000A72F1">
        <w:rPr>
          <w:lang w:val="en-IE"/>
        </w:rPr>
        <w:t>meet the so called "cut-off criteria" set by Regulation (EC) No 1107/2009</w:t>
      </w:r>
      <w:r>
        <w:rPr>
          <w:lang w:val="en-IE"/>
        </w:rPr>
        <w:t xml:space="preserve">, </w:t>
      </w:r>
      <w:r w:rsidRPr="003E4DF0">
        <w:rPr>
          <w:lang w:val="en-IE"/>
        </w:rPr>
        <w:t>it is possible</w:t>
      </w:r>
      <w:r>
        <w:rPr>
          <w:lang w:val="en-IE"/>
        </w:rPr>
        <w:t xml:space="preserve"> </w:t>
      </w:r>
      <w:r w:rsidRPr="003E4DF0">
        <w:rPr>
          <w:lang w:val="en-IE"/>
        </w:rPr>
        <w:t xml:space="preserve">to establish a safe threshold of exposure below which no adverse health effects </w:t>
      </w:r>
      <w:r>
        <w:rPr>
          <w:lang w:val="en-IE"/>
        </w:rPr>
        <w:t xml:space="preserve">are expected to </w:t>
      </w:r>
      <w:r w:rsidRPr="003E4DF0">
        <w:rPr>
          <w:lang w:val="en-IE"/>
        </w:rPr>
        <w:t>occur, allowing to establish safe MRLs</w:t>
      </w:r>
      <w:r>
        <w:rPr>
          <w:lang w:val="en-IE"/>
        </w:rPr>
        <w:t xml:space="preserve">. </w:t>
      </w:r>
      <w:r w:rsidRPr="00A278B6">
        <w:rPr>
          <w:lang w:val="en-IE"/>
        </w:rPr>
        <w:t xml:space="preserve">This is the case for carbendazim and thiophanate-methyl, for which, contrary to what </w:t>
      </w:r>
      <w:r>
        <w:rPr>
          <w:lang w:val="en-IE"/>
        </w:rPr>
        <w:t xml:space="preserve">is </w:t>
      </w:r>
      <w:r w:rsidRPr="00A278B6">
        <w:rPr>
          <w:lang w:val="en-IE"/>
        </w:rPr>
        <w:t>referred to</w:t>
      </w:r>
      <w:r>
        <w:rPr>
          <w:lang w:val="en-IE"/>
        </w:rPr>
        <w:t xml:space="preserve"> in the resolution</w:t>
      </w:r>
      <w:r w:rsidRPr="00A278B6">
        <w:rPr>
          <w:lang w:val="en-IE"/>
        </w:rPr>
        <w:t xml:space="preserve">, EFSA established an acceptable daily intake (ADI) of 0.02 mg/kg bodyweight per day and an acute reference dose (ARfD) of 0.02 mg/kg body weight per day. </w:t>
      </w:r>
    </w:p>
    <w:p w14:paraId="37EE313F" w14:textId="64A96E6E" w:rsidR="0081671F" w:rsidRDefault="0081671F" w:rsidP="008457BE">
      <w:pPr>
        <w:spacing w:after="120" w:line="240" w:lineRule="auto"/>
        <w:rPr>
          <w:rFonts w:eastAsia="Times New Roman" w:cstheme="minorHAnsi"/>
          <w:lang w:val="en-IE"/>
        </w:rPr>
      </w:pPr>
      <w:r>
        <w:rPr>
          <w:lang w:val="en-IE"/>
        </w:rPr>
        <w:t>Concerning</w:t>
      </w:r>
      <w:r w:rsidRPr="00A278B6">
        <w:rPr>
          <w:lang w:val="en-IE"/>
        </w:rPr>
        <w:t xml:space="preserve"> the reference made to the draft </w:t>
      </w:r>
      <w:r>
        <w:rPr>
          <w:lang w:val="en-IE"/>
        </w:rPr>
        <w:t>r</w:t>
      </w:r>
      <w:r w:rsidRPr="00A278B6">
        <w:rPr>
          <w:lang w:val="en-IE"/>
        </w:rPr>
        <w:t xml:space="preserve">egulation on MRLs for thiacloprid, </w:t>
      </w:r>
      <w:r>
        <w:rPr>
          <w:lang w:val="en-IE"/>
        </w:rPr>
        <w:t xml:space="preserve">it must be emphasised </w:t>
      </w:r>
      <w:r w:rsidRPr="00A278B6">
        <w:rPr>
          <w:lang w:val="en-IE"/>
        </w:rPr>
        <w:t xml:space="preserve">that the decision </w:t>
      </w:r>
      <w:r>
        <w:rPr>
          <w:lang w:val="en-IE"/>
        </w:rPr>
        <w:t>to</w:t>
      </w:r>
      <w:r w:rsidRPr="00A278B6">
        <w:rPr>
          <w:lang w:val="en-IE"/>
        </w:rPr>
        <w:t xml:space="preserve"> lower all </w:t>
      </w:r>
      <w:r>
        <w:rPr>
          <w:lang w:val="en-IE"/>
        </w:rPr>
        <w:t>the</w:t>
      </w:r>
      <w:r w:rsidRPr="00A278B6">
        <w:rPr>
          <w:lang w:val="en-IE"/>
        </w:rPr>
        <w:t xml:space="preserve"> MRLs </w:t>
      </w:r>
      <w:r>
        <w:rPr>
          <w:lang w:val="en-IE"/>
        </w:rPr>
        <w:t xml:space="preserve">for thiacloprid </w:t>
      </w:r>
      <w:r w:rsidRPr="00A278B6">
        <w:rPr>
          <w:lang w:val="en-IE"/>
        </w:rPr>
        <w:t xml:space="preserve">to the LOD was not based on the fact that thiacloprid is classified as toxic for reproduction category 1B, but on the uncertainty </w:t>
      </w:r>
      <w:r>
        <w:rPr>
          <w:lang w:val="en-IE"/>
        </w:rPr>
        <w:t>regarding</w:t>
      </w:r>
      <w:r w:rsidRPr="00A278B6">
        <w:rPr>
          <w:lang w:val="en-IE"/>
        </w:rPr>
        <w:t xml:space="preserve"> </w:t>
      </w:r>
      <w:r>
        <w:rPr>
          <w:lang w:val="en-IE"/>
        </w:rPr>
        <w:t>its</w:t>
      </w:r>
      <w:r w:rsidRPr="00A278B6">
        <w:rPr>
          <w:lang w:val="en-IE"/>
        </w:rPr>
        <w:t xml:space="preserve"> potential endocrine-</w:t>
      </w:r>
      <w:r>
        <w:rPr>
          <w:lang w:val="en-IE"/>
        </w:rPr>
        <w:t>disrupting</w:t>
      </w:r>
      <w:r w:rsidRPr="00A278B6">
        <w:rPr>
          <w:lang w:val="en-IE"/>
        </w:rPr>
        <w:t xml:space="preserve"> effects, which are not necessarily covered by its current toxicological reference values. The situation for carbendazim and thiophanate-methyl is fundamentally different.</w:t>
      </w:r>
    </w:p>
    <w:p w14:paraId="7DB6CE5C" w14:textId="7EEF652A" w:rsidR="0081671F" w:rsidRPr="0081671F" w:rsidRDefault="0081671F" w:rsidP="008457BE">
      <w:pPr>
        <w:spacing w:after="120" w:line="240" w:lineRule="auto"/>
        <w:rPr>
          <w:rFonts w:eastAsia="Calibri"/>
          <w:lang w:val="en-IE"/>
        </w:rPr>
      </w:pPr>
      <w:r w:rsidRPr="0081671F">
        <w:rPr>
          <w:rFonts w:eastAsia="Calibri"/>
          <w:lang w:val="en-IE"/>
        </w:rPr>
        <w:t xml:space="preserve">As regards the request in </w:t>
      </w:r>
      <w:r w:rsidRPr="0081671F">
        <w:rPr>
          <w:rFonts w:eastAsia="Calibri"/>
          <w:b/>
          <w:bCs/>
          <w:lang w:val="en-IE"/>
        </w:rPr>
        <w:t>paragraph 4</w:t>
      </w:r>
      <w:r w:rsidRPr="0081671F">
        <w:rPr>
          <w:rFonts w:eastAsia="Calibri"/>
          <w:b/>
          <w:lang w:val="en-IE"/>
        </w:rPr>
        <w:t xml:space="preserve"> </w:t>
      </w:r>
      <w:r w:rsidRPr="0081671F">
        <w:rPr>
          <w:rFonts w:eastAsia="Calibri"/>
          <w:lang w:val="en-IE"/>
        </w:rPr>
        <w:t xml:space="preserve">to refuse any requests for import tolerances, Regulation (EC) No 396/2005 stipulates that MRL applications in relation to uses in the Union and in third countries are treated equally in terms of consumer safety and data requirements. Refusing import tolerances that are submitted in accordance with the procedure outlined in Articles 6 to 11 of Regulation (EC) No 396/2005 and for which EFSA confirms that they are safe for consumers would contravene the provisions of that Regulation (EC) No 396/2005 and go against the EU’s international obligations under the WTO’s SPS Agreement. </w:t>
      </w:r>
    </w:p>
    <w:p w14:paraId="6032185D" w14:textId="614E482F" w:rsidR="00922C40" w:rsidRPr="0081671F" w:rsidRDefault="0081671F" w:rsidP="008457BE">
      <w:pPr>
        <w:spacing w:line="240" w:lineRule="auto"/>
        <w:rPr>
          <w:lang w:val="en-IE"/>
        </w:rPr>
      </w:pPr>
      <w:r w:rsidRPr="000A4621">
        <w:rPr>
          <w:rFonts w:eastAsia="Times New Roman" w:cstheme="minorHAnsi"/>
          <w:lang w:val="en-IE"/>
        </w:rPr>
        <w:lastRenderedPageBreak/>
        <w:t>The Commission takes note of the Parliament’s position</w:t>
      </w:r>
      <w:r>
        <w:rPr>
          <w:rFonts w:eastAsia="Times New Roman" w:cstheme="minorHAnsi"/>
          <w:lang w:val="en-IE"/>
        </w:rPr>
        <w:t xml:space="preserve">. It regrets that </w:t>
      </w:r>
      <w:r w:rsidRPr="000A4621">
        <w:rPr>
          <w:rFonts w:eastAsia="Times New Roman" w:cstheme="minorHAnsi"/>
          <w:lang w:val="en-IE"/>
        </w:rPr>
        <w:t xml:space="preserve">the Parliament’s objection prevents the Commission from </w:t>
      </w:r>
      <w:r>
        <w:rPr>
          <w:rFonts w:eastAsia="Times New Roman" w:cstheme="minorHAnsi"/>
          <w:lang w:val="en-IE"/>
        </w:rPr>
        <w:t>adopting the draft regulation.</w:t>
      </w:r>
      <w:r w:rsidR="00447350" w:rsidRPr="00447350">
        <w:rPr>
          <w:lang w:val="en-IE"/>
        </w:rPr>
        <w:t xml:space="preserve"> </w:t>
      </w:r>
      <w:r w:rsidR="00447350">
        <w:rPr>
          <w:lang w:val="en-IE"/>
        </w:rPr>
        <w:t>The Commission is currently reflecting on what next steps to pursue.</w:t>
      </w:r>
    </w:p>
    <w:sectPr w:rsidR="00922C40" w:rsidRPr="0081671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0BA7" w14:textId="77777777" w:rsidR="00BA06D6" w:rsidRDefault="00BA06D6" w:rsidP="008E34E4">
      <w:pPr>
        <w:spacing w:after="0" w:line="240" w:lineRule="auto"/>
      </w:pPr>
      <w:r>
        <w:separator/>
      </w:r>
    </w:p>
  </w:endnote>
  <w:endnote w:type="continuationSeparator" w:id="0">
    <w:p w14:paraId="1C8A4477" w14:textId="77777777" w:rsidR="00BA06D6" w:rsidRDefault="00BA06D6" w:rsidP="008E34E4">
      <w:pPr>
        <w:spacing w:after="0" w:line="240" w:lineRule="auto"/>
      </w:pPr>
      <w:r>
        <w:continuationSeparator/>
      </w:r>
    </w:p>
  </w:endnote>
  <w:endnote w:type="continuationNotice" w:id="1">
    <w:p w14:paraId="369758E6" w14:textId="77777777" w:rsidR="00BA06D6" w:rsidRDefault="00BA06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BAE6" w14:textId="77777777" w:rsidR="001A0389" w:rsidRDefault="001A0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663811"/>
      <w:docPartObj>
        <w:docPartGallery w:val="Page Numbers (Bottom of Page)"/>
        <w:docPartUnique/>
      </w:docPartObj>
    </w:sdtPr>
    <w:sdtEndPr>
      <w:rPr>
        <w:noProof/>
      </w:rPr>
    </w:sdtEndPr>
    <w:sdtContent>
      <w:p w14:paraId="2CFC2180" w14:textId="4E8F468A" w:rsidR="001A0389" w:rsidRDefault="001A0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DDB65" w14:textId="77777777" w:rsidR="00742955" w:rsidRDefault="00742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4E1A" w14:textId="77777777" w:rsidR="001A0389" w:rsidRDefault="001A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2391" w14:textId="77777777" w:rsidR="00BA06D6" w:rsidRDefault="00BA06D6" w:rsidP="008E34E4">
      <w:pPr>
        <w:spacing w:after="0" w:line="240" w:lineRule="auto"/>
      </w:pPr>
      <w:r>
        <w:separator/>
      </w:r>
    </w:p>
  </w:footnote>
  <w:footnote w:type="continuationSeparator" w:id="0">
    <w:p w14:paraId="1E0289D4" w14:textId="77777777" w:rsidR="00BA06D6" w:rsidRDefault="00BA06D6" w:rsidP="008E34E4">
      <w:pPr>
        <w:spacing w:after="0" w:line="240" w:lineRule="auto"/>
      </w:pPr>
      <w:r>
        <w:continuationSeparator/>
      </w:r>
    </w:p>
  </w:footnote>
  <w:footnote w:type="continuationNotice" w:id="1">
    <w:p w14:paraId="3BCF2A36" w14:textId="77777777" w:rsidR="00BA06D6" w:rsidRDefault="00BA06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A1C" w14:textId="77777777" w:rsidR="001A0389" w:rsidRDefault="001A0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6464" w14:textId="77777777" w:rsidR="00742955" w:rsidRDefault="00742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8548" w14:textId="77777777" w:rsidR="001A0389" w:rsidRDefault="001A0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9A2"/>
    <w:multiLevelType w:val="hybridMultilevel"/>
    <w:tmpl w:val="B2FE34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B635A3"/>
    <w:multiLevelType w:val="hybridMultilevel"/>
    <w:tmpl w:val="A3986B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E94A28"/>
    <w:multiLevelType w:val="hybridMultilevel"/>
    <w:tmpl w:val="45FAD3CC"/>
    <w:lvl w:ilvl="0" w:tplc="E178578E">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2936197">
    <w:abstractNumId w:val="1"/>
  </w:num>
  <w:num w:numId="2" w16cid:durableId="606431157">
    <w:abstractNumId w:val="0"/>
  </w:num>
  <w:num w:numId="3" w16cid:durableId="2138453888">
    <w:abstractNumId w:val="3"/>
  </w:num>
  <w:num w:numId="4" w16cid:durableId="58761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20DA"/>
    <w:rsid w:val="000058D7"/>
    <w:rsid w:val="000157D7"/>
    <w:rsid w:val="00020CFA"/>
    <w:rsid w:val="00020FBF"/>
    <w:rsid w:val="000259ED"/>
    <w:rsid w:val="00026723"/>
    <w:rsid w:val="000513FD"/>
    <w:rsid w:val="00053C00"/>
    <w:rsid w:val="0005575F"/>
    <w:rsid w:val="000632B7"/>
    <w:rsid w:val="000871FB"/>
    <w:rsid w:val="000A4621"/>
    <w:rsid w:val="000A5AD8"/>
    <w:rsid w:val="000A72F1"/>
    <w:rsid w:val="000D6992"/>
    <w:rsid w:val="000E3AFE"/>
    <w:rsid w:val="001068B3"/>
    <w:rsid w:val="00117173"/>
    <w:rsid w:val="00121E43"/>
    <w:rsid w:val="00130534"/>
    <w:rsid w:val="00145D94"/>
    <w:rsid w:val="00182F2E"/>
    <w:rsid w:val="0018719C"/>
    <w:rsid w:val="001A0389"/>
    <w:rsid w:val="001A6BC3"/>
    <w:rsid w:val="001B7BDA"/>
    <w:rsid w:val="001C539E"/>
    <w:rsid w:val="001E460E"/>
    <w:rsid w:val="001E640F"/>
    <w:rsid w:val="00202F15"/>
    <w:rsid w:val="002222B5"/>
    <w:rsid w:val="00232A0A"/>
    <w:rsid w:val="002365C3"/>
    <w:rsid w:val="00252132"/>
    <w:rsid w:val="002651DD"/>
    <w:rsid w:val="0026743F"/>
    <w:rsid w:val="0028606F"/>
    <w:rsid w:val="002F58C5"/>
    <w:rsid w:val="0031278D"/>
    <w:rsid w:val="00314F97"/>
    <w:rsid w:val="00320F99"/>
    <w:rsid w:val="00324AD6"/>
    <w:rsid w:val="00326693"/>
    <w:rsid w:val="003333E8"/>
    <w:rsid w:val="0033649E"/>
    <w:rsid w:val="00336BAA"/>
    <w:rsid w:val="003565D3"/>
    <w:rsid w:val="00356D71"/>
    <w:rsid w:val="003720DA"/>
    <w:rsid w:val="00387A04"/>
    <w:rsid w:val="003D3062"/>
    <w:rsid w:val="003E0C84"/>
    <w:rsid w:val="003E4DF0"/>
    <w:rsid w:val="003F1305"/>
    <w:rsid w:val="003F3BB5"/>
    <w:rsid w:val="0040151D"/>
    <w:rsid w:val="00447350"/>
    <w:rsid w:val="004476FA"/>
    <w:rsid w:val="004654A0"/>
    <w:rsid w:val="00475C1C"/>
    <w:rsid w:val="00481193"/>
    <w:rsid w:val="00492FC3"/>
    <w:rsid w:val="00494850"/>
    <w:rsid w:val="004B56E1"/>
    <w:rsid w:val="004B7666"/>
    <w:rsid w:val="004E645A"/>
    <w:rsid w:val="004E7EF6"/>
    <w:rsid w:val="00564FCA"/>
    <w:rsid w:val="00586D74"/>
    <w:rsid w:val="005954E0"/>
    <w:rsid w:val="005965B8"/>
    <w:rsid w:val="00596B16"/>
    <w:rsid w:val="00596F66"/>
    <w:rsid w:val="005B511D"/>
    <w:rsid w:val="005C372B"/>
    <w:rsid w:val="005E1E41"/>
    <w:rsid w:val="005E7779"/>
    <w:rsid w:val="005F7729"/>
    <w:rsid w:val="00637398"/>
    <w:rsid w:val="00637B16"/>
    <w:rsid w:val="00661F16"/>
    <w:rsid w:val="00693BFA"/>
    <w:rsid w:val="006C39A0"/>
    <w:rsid w:val="006C7A68"/>
    <w:rsid w:val="006F63EF"/>
    <w:rsid w:val="007140DD"/>
    <w:rsid w:val="007215B1"/>
    <w:rsid w:val="0073621D"/>
    <w:rsid w:val="00737D13"/>
    <w:rsid w:val="00740FDB"/>
    <w:rsid w:val="00742955"/>
    <w:rsid w:val="00782705"/>
    <w:rsid w:val="007A4902"/>
    <w:rsid w:val="007C461D"/>
    <w:rsid w:val="007D3A0A"/>
    <w:rsid w:val="007E0844"/>
    <w:rsid w:val="0080272A"/>
    <w:rsid w:val="00807D51"/>
    <w:rsid w:val="0081671F"/>
    <w:rsid w:val="008176B0"/>
    <w:rsid w:val="008242E4"/>
    <w:rsid w:val="0083411B"/>
    <w:rsid w:val="00841368"/>
    <w:rsid w:val="008435C6"/>
    <w:rsid w:val="008457BE"/>
    <w:rsid w:val="0085085E"/>
    <w:rsid w:val="0086467C"/>
    <w:rsid w:val="00876169"/>
    <w:rsid w:val="00894E0D"/>
    <w:rsid w:val="00897493"/>
    <w:rsid w:val="008C4A53"/>
    <w:rsid w:val="008E0AF1"/>
    <w:rsid w:val="008E34E4"/>
    <w:rsid w:val="008E7274"/>
    <w:rsid w:val="00922C40"/>
    <w:rsid w:val="009230F9"/>
    <w:rsid w:val="00942381"/>
    <w:rsid w:val="009558B7"/>
    <w:rsid w:val="00963BC6"/>
    <w:rsid w:val="00970237"/>
    <w:rsid w:val="00972B5A"/>
    <w:rsid w:val="009A4F58"/>
    <w:rsid w:val="009A750B"/>
    <w:rsid w:val="009C5EE1"/>
    <w:rsid w:val="009D7965"/>
    <w:rsid w:val="009F29A3"/>
    <w:rsid w:val="00A020FE"/>
    <w:rsid w:val="00A16ED7"/>
    <w:rsid w:val="00A2112A"/>
    <w:rsid w:val="00A278B6"/>
    <w:rsid w:val="00A31E61"/>
    <w:rsid w:val="00A55717"/>
    <w:rsid w:val="00A77CC0"/>
    <w:rsid w:val="00A875CF"/>
    <w:rsid w:val="00AA5D02"/>
    <w:rsid w:val="00AB6662"/>
    <w:rsid w:val="00AC230F"/>
    <w:rsid w:val="00AC4080"/>
    <w:rsid w:val="00AC6455"/>
    <w:rsid w:val="00B03308"/>
    <w:rsid w:val="00B11EF6"/>
    <w:rsid w:val="00B74D4E"/>
    <w:rsid w:val="00B8246B"/>
    <w:rsid w:val="00BA06D6"/>
    <w:rsid w:val="00BA7AFF"/>
    <w:rsid w:val="00BC28AC"/>
    <w:rsid w:val="00BE297A"/>
    <w:rsid w:val="00C331BA"/>
    <w:rsid w:val="00C35B99"/>
    <w:rsid w:val="00C5552A"/>
    <w:rsid w:val="00C57D36"/>
    <w:rsid w:val="00C715D6"/>
    <w:rsid w:val="00C71F52"/>
    <w:rsid w:val="00C85EDF"/>
    <w:rsid w:val="00C92103"/>
    <w:rsid w:val="00CB2DCD"/>
    <w:rsid w:val="00CD5041"/>
    <w:rsid w:val="00CE50D9"/>
    <w:rsid w:val="00CE7871"/>
    <w:rsid w:val="00D03F6C"/>
    <w:rsid w:val="00D370B3"/>
    <w:rsid w:val="00D41369"/>
    <w:rsid w:val="00D41C4D"/>
    <w:rsid w:val="00D5380A"/>
    <w:rsid w:val="00D756BF"/>
    <w:rsid w:val="00D85DEC"/>
    <w:rsid w:val="00D87F07"/>
    <w:rsid w:val="00D95671"/>
    <w:rsid w:val="00DA41BB"/>
    <w:rsid w:val="00DB527D"/>
    <w:rsid w:val="00DE0D0E"/>
    <w:rsid w:val="00DF346C"/>
    <w:rsid w:val="00E16405"/>
    <w:rsid w:val="00E806F4"/>
    <w:rsid w:val="00E83391"/>
    <w:rsid w:val="00E95625"/>
    <w:rsid w:val="00EC0537"/>
    <w:rsid w:val="00ED3674"/>
    <w:rsid w:val="00EE5FB2"/>
    <w:rsid w:val="00EF7A75"/>
    <w:rsid w:val="00F21B77"/>
    <w:rsid w:val="00F226EC"/>
    <w:rsid w:val="00F337BE"/>
    <w:rsid w:val="00F457D4"/>
    <w:rsid w:val="00F852DC"/>
    <w:rsid w:val="00F97CB7"/>
    <w:rsid w:val="00FA51B6"/>
    <w:rsid w:val="00FB5C8F"/>
    <w:rsid w:val="00FC64F7"/>
    <w:rsid w:val="00FD4F23"/>
    <w:rsid w:val="00FF5D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47DC"/>
  <w15:chartTrackingRefBased/>
  <w15:docId w15:val="{6F799846-4922-4CF7-9113-37972B83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A"/>
    <w:pPr>
      <w:jc w:val="both"/>
    </w:pPr>
    <w:rPr>
      <w:rFonts w:ascii="Times New Roman" w:hAnsi="Times New Roman" w:cs="Times New Roman"/>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0DA"/>
    <w:pPr>
      <w:ind w:left="720"/>
      <w:contextualSpacing/>
    </w:pPr>
  </w:style>
  <w:style w:type="character" w:customStyle="1" w:styleId="highlight">
    <w:name w:val="highlight"/>
    <w:rsid w:val="00D5380A"/>
  </w:style>
  <w:style w:type="paragraph" w:styleId="FootnoteText">
    <w:name w:val="footnote text"/>
    <w:aliases w:val="Fußnotentext Char,Fußnotentext Char1 Char1,Fußnotentext Char Char Char Char,Fußnotentext Char1 Char Char Char,Fußnotentext Char Char,Fußnotentext Char1 Char Char Char Char,Fußnotentext Char Char Char Char Char Char,Fußnotentext Char1,fn"/>
    <w:basedOn w:val="Normal"/>
    <w:link w:val="FootnoteTextChar"/>
    <w:semiHidden/>
    <w:unhideWhenUsed/>
    <w:rsid w:val="00D5380A"/>
    <w:pPr>
      <w:spacing w:after="0" w:line="240" w:lineRule="auto"/>
    </w:pPr>
    <w:rPr>
      <w:sz w:val="20"/>
      <w:szCs w:val="20"/>
    </w:rPr>
  </w:style>
  <w:style w:type="character" w:customStyle="1" w:styleId="FootnoteTextChar">
    <w:name w:val="Footnote Text Char"/>
    <w:aliases w:val="Fußnotentext Char Char1,Fußnotentext Char1 Char1 Char,Fußnotentext Char Char Char Char Char,Fußnotentext Char1 Char Char Char Char1,Fußnotentext Char Char Char,Fußnotentext Char1 Char Char Char Char Char,Fußnotentext Char1 Char"/>
    <w:basedOn w:val="DefaultParagraphFont"/>
    <w:link w:val="FootnoteText"/>
    <w:semiHidden/>
    <w:rsid w:val="00D5380A"/>
    <w:rPr>
      <w:rFonts w:ascii="Times New Roman" w:hAnsi="Times New Roman" w:cs="Times New Roman"/>
      <w:sz w:val="20"/>
      <w:szCs w:val="20"/>
      <w:lang w:val="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link w:val="SUPERSChar"/>
    <w:uiPriority w:val="99"/>
    <w:unhideWhenUsed/>
    <w:qFormat/>
    <w:rsid w:val="00D5380A"/>
    <w:rPr>
      <w:vertAlign w:val="superscript"/>
    </w:rPr>
  </w:style>
  <w:style w:type="character" w:styleId="Hyperlink">
    <w:name w:val="Hyperlink"/>
    <w:aliases w:val="Char1"/>
    <w:uiPriority w:val="99"/>
    <w:unhideWhenUsed/>
    <w:rsid w:val="00D5380A"/>
    <w:rPr>
      <w:color w:val="0000FF"/>
      <w:u w:val="single"/>
    </w:rPr>
  </w:style>
  <w:style w:type="character" w:styleId="CommentReference">
    <w:name w:val="annotation reference"/>
    <w:basedOn w:val="DefaultParagraphFont"/>
    <w:uiPriority w:val="99"/>
    <w:semiHidden/>
    <w:unhideWhenUsed/>
    <w:rsid w:val="0040151D"/>
    <w:rPr>
      <w:sz w:val="16"/>
      <w:szCs w:val="16"/>
    </w:rPr>
  </w:style>
  <w:style w:type="paragraph" w:styleId="CommentText">
    <w:name w:val="annotation text"/>
    <w:basedOn w:val="Normal"/>
    <w:link w:val="CommentTextChar"/>
    <w:uiPriority w:val="99"/>
    <w:unhideWhenUsed/>
    <w:rsid w:val="0040151D"/>
    <w:pPr>
      <w:spacing w:line="240" w:lineRule="auto"/>
    </w:pPr>
    <w:rPr>
      <w:sz w:val="20"/>
      <w:szCs w:val="20"/>
    </w:rPr>
  </w:style>
  <w:style w:type="character" w:customStyle="1" w:styleId="CommentTextChar">
    <w:name w:val="Comment Text Char"/>
    <w:basedOn w:val="DefaultParagraphFont"/>
    <w:link w:val="CommentText"/>
    <w:uiPriority w:val="99"/>
    <w:rsid w:val="0040151D"/>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40151D"/>
    <w:rPr>
      <w:b/>
      <w:bCs/>
    </w:rPr>
  </w:style>
  <w:style w:type="character" w:customStyle="1" w:styleId="CommentSubjectChar">
    <w:name w:val="Comment Subject Char"/>
    <w:basedOn w:val="CommentTextChar"/>
    <w:link w:val="CommentSubject"/>
    <w:uiPriority w:val="99"/>
    <w:semiHidden/>
    <w:rsid w:val="0040151D"/>
    <w:rPr>
      <w:rFonts w:ascii="Times New Roman" w:hAnsi="Times New Roman" w:cs="Times New Roman"/>
      <w:b/>
      <w:bCs/>
      <w:sz w:val="20"/>
      <w:szCs w:val="20"/>
      <w:lang w:val="fr-BE"/>
    </w:rPr>
  </w:style>
  <w:style w:type="paragraph" w:styleId="Revision">
    <w:name w:val="Revision"/>
    <w:hidden/>
    <w:uiPriority w:val="99"/>
    <w:semiHidden/>
    <w:rsid w:val="009A4F58"/>
    <w:pPr>
      <w:spacing w:after="0" w:line="240" w:lineRule="auto"/>
    </w:pPr>
    <w:rPr>
      <w:rFonts w:ascii="Times New Roman" w:hAnsi="Times New Roman" w:cs="Times New Roman"/>
      <w:sz w:val="24"/>
      <w:szCs w:val="24"/>
      <w:lang w:val="fr-BE"/>
    </w:rPr>
  </w:style>
  <w:style w:type="paragraph" w:styleId="BalloonText">
    <w:name w:val="Balloon Text"/>
    <w:basedOn w:val="Normal"/>
    <w:link w:val="BalloonTextChar"/>
    <w:uiPriority w:val="99"/>
    <w:semiHidden/>
    <w:unhideWhenUsed/>
    <w:rsid w:val="009A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58"/>
    <w:rPr>
      <w:rFonts w:ascii="Segoe UI" w:hAnsi="Segoe UI" w:cs="Segoe UI"/>
      <w:sz w:val="18"/>
      <w:szCs w:val="18"/>
      <w:lang w:val="fr-BE"/>
    </w:rPr>
  </w:style>
  <w:style w:type="paragraph" w:customStyle="1" w:styleId="SUPERSChar">
    <w:name w:val="SUPERS Char"/>
    <w:aliases w:val="EN Footnote Reference Char"/>
    <w:basedOn w:val="Normal"/>
    <w:link w:val="FootnoteReference"/>
    <w:uiPriority w:val="99"/>
    <w:rsid w:val="00475C1C"/>
    <w:pPr>
      <w:spacing w:line="240" w:lineRule="exact"/>
    </w:pPr>
    <w:rPr>
      <w:rFonts w:asciiTheme="minorHAnsi" w:hAnsiTheme="minorHAnsi" w:cstheme="minorBidi"/>
      <w:sz w:val="22"/>
      <w:szCs w:val="22"/>
      <w:vertAlign w:val="superscript"/>
      <w:lang w:val="en-IE"/>
    </w:rPr>
  </w:style>
  <w:style w:type="paragraph" w:styleId="Header">
    <w:name w:val="header"/>
    <w:basedOn w:val="Normal"/>
    <w:link w:val="HeaderChar"/>
    <w:uiPriority w:val="99"/>
    <w:unhideWhenUsed/>
    <w:rsid w:val="0074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955"/>
    <w:rPr>
      <w:rFonts w:ascii="Times New Roman" w:hAnsi="Times New Roman" w:cs="Times New Roman"/>
      <w:sz w:val="24"/>
      <w:szCs w:val="24"/>
      <w:lang w:val="fr-BE"/>
    </w:rPr>
  </w:style>
  <w:style w:type="paragraph" w:styleId="Footer">
    <w:name w:val="footer"/>
    <w:basedOn w:val="Normal"/>
    <w:link w:val="FooterChar"/>
    <w:uiPriority w:val="99"/>
    <w:unhideWhenUsed/>
    <w:rsid w:val="0074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955"/>
    <w:rPr>
      <w:rFonts w:ascii="Times New Roman" w:hAnsi="Times New Roman" w:cs="Times New Roman"/>
      <w:sz w:val="24"/>
      <w:szCs w:val="24"/>
      <w:lang w:val="fr-BE"/>
    </w:rPr>
  </w:style>
  <w:style w:type="character" w:styleId="UnresolvedMention">
    <w:name w:val="Unresolved Mention"/>
    <w:basedOn w:val="DefaultParagraphFont"/>
    <w:uiPriority w:val="99"/>
    <w:semiHidden/>
    <w:unhideWhenUsed/>
    <w:rsid w:val="00637398"/>
    <w:rPr>
      <w:color w:val="605E5C"/>
      <w:shd w:val="clear" w:color="auto" w:fill="E1DFDD"/>
    </w:rPr>
  </w:style>
  <w:style w:type="character" w:styleId="Emphasis">
    <w:name w:val="Emphasis"/>
    <w:basedOn w:val="DefaultParagraphFont"/>
    <w:uiPriority w:val="20"/>
    <w:qFormat/>
    <w:rsid w:val="00972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0420">
      <w:bodyDiv w:val="1"/>
      <w:marLeft w:val="0"/>
      <w:marRight w:val="0"/>
      <w:marTop w:val="0"/>
      <w:marBottom w:val="0"/>
      <w:divBdr>
        <w:top w:val="none" w:sz="0" w:space="0" w:color="auto"/>
        <w:left w:val="none" w:sz="0" w:space="0" w:color="auto"/>
        <w:bottom w:val="none" w:sz="0" w:space="0" w:color="auto"/>
        <w:right w:val="none" w:sz="0" w:space="0" w:color="auto"/>
      </w:divBdr>
    </w:div>
    <w:div w:id="633605992">
      <w:bodyDiv w:val="1"/>
      <w:marLeft w:val="0"/>
      <w:marRight w:val="0"/>
      <w:marTop w:val="0"/>
      <w:marBottom w:val="0"/>
      <w:divBdr>
        <w:top w:val="none" w:sz="0" w:space="0" w:color="auto"/>
        <w:left w:val="none" w:sz="0" w:space="0" w:color="auto"/>
        <w:bottom w:val="none" w:sz="0" w:space="0" w:color="auto"/>
        <w:right w:val="none" w:sz="0" w:space="0" w:color="auto"/>
      </w:divBdr>
    </w:div>
    <w:div w:id="766509879">
      <w:bodyDiv w:val="1"/>
      <w:marLeft w:val="0"/>
      <w:marRight w:val="0"/>
      <w:marTop w:val="0"/>
      <w:marBottom w:val="0"/>
      <w:divBdr>
        <w:top w:val="none" w:sz="0" w:space="0" w:color="auto"/>
        <w:left w:val="none" w:sz="0" w:space="0" w:color="auto"/>
        <w:bottom w:val="none" w:sz="0" w:space="0" w:color="auto"/>
        <w:right w:val="none" w:sz="0" w:space="0" w:color="auto"/>
      </w:divBdr>
    </w:div>
    <w:div w:id="774328914">
      <w:bodyDiv w:val="1"/>
      <w:marLeft w:val="0"/>
      <w:marRight w:val="0"/>
      <w:marTop w:val="0"/>
      <w:marBottom w:val="0"/>
      <w:divBdr>
        <w:top w:val="none" w:sz="0" w:space="0" w:color="auto"/>
        <w:left w:val="none" w:sz="0" w:space="0" w:color="auto"/>
        <w:bottom w:val="none" w:sz="0" w:space="0" w:color="auto"/>
        <w:right w:val="none" w:sz="0" w:space="0" w:color="auto"/>
      </w:divBdr>
    </w:div>
    <w:div w:id="826484125">
      <w:bodyDiv w:val="1"/>
      <w:marLeft w:val="0"/>
      <w:marRight w:val="0"/>
      <w:marTop w:val="0"/>
      <w:marBottom w:val="0"/>
      <w:divBdr>
        <w:top w:val="none" w:sz="0" w:space="0" w:color="auto"/>
        <w:left w:val="none" w:sz="0" w:space="0" w:color="auto"/>
        <w:bottom w:val="none" w:sz="0" w:space="0" w:color="auto"/>
        <w:right w:val="none" w:sz="0" w:space="0" w:color="auto"/>
      </w:divBdr>
    </w:div>
    <w:div w:id="1017275384">
      <w:bodyDiv w:val="1"/>
      <w:marLeft w:val="0"/>
      <w:marRight w:val="0"/>
      <w:marTop w:val="0"/>
      <w:marBottom w:val="0"/>
      <w:divBdr>
        <w:top w:val="none" w:sz="0" w:space="0" w:color="auto"/>
        <w:left w:val="none" w:sz="0" w:space="0" w:color="auto"/>
        <w:bottom w:val="none" w:sz="0" w:space="0" w:color="auto"/>
        <w:right w:val="none" w:sz="0" w:space="0" w:color="auto"/>
      </w:divBdr>
    </w:div>
    <w:div w:id="1217814170">
      <w:bodyDiv w:val="1"/>
      <w:marLeft w:val="0"/>
      <w:marRight w:val="0"/>
      <w:marTop w:val="0"/>
      <w:marBottom w:val="0"/>
      <w:divBdr>
        <w:top w:val="none" w:sz="0" w:space="0" w:color="auto"/>
        <w:left w:val="none" w:sz="0" w:space="0" w:color="auto"/>
        <w:bottom w:val="none" w:sz="0" w:space="0" w:color="auto"/>
        <w:right w:val="none" w:sz="0" w:space="0" w:color="auto"/>
      </w:divBdr>
    </w:div>
    <w:div w:id="19005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94AE1-C906-4783-9495-BC41DAD3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57CA4-16AE-41F0-8D16-6C9BC6B8A5B8}">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9BB81E5D-D011-488F-8729-FFD441C4AD08}">
  <ds:schemaRefs>
    <ds:schemaRef ds:uri="http://schemas.openxmlformats.org/officeDocument/2006/bibliography"/>
  </ds:schemaRefs>
</ds:datastoreItem>
</file>

<file path=customXml/itemProps4.xml><?xml version="1.0" encoding="utf-8"?>
<ds:datastoreItem xmlns:ds="http://schemas.openxmlformats.org/officeDocument/2006/customXml" ds:itemID="{611393D6-0461-4454-B6D8-9B06E3B13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1066</Words>
  <Characters>5940</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ALMEIDA Maria Jose (SG)</cp:lastModifiedBy>
  <cp:revision>13</cp:revision>
  <dcterms:created xsi:type="dcterms:W3CDTF">2024-11-18T09:04:00Z</dcterms:created>
  <dcterms:modified xsi:type="dcterms:W3CDTF">2024-11-19T09:31:00Z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2022-12-19T16:34:27Z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55b3b0ed-f193-4539-8e75-d58abe361ef5</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