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962CF" w14:textId="1F54067F" w:rsidR="00AE1F01" w:rsidRPr="00266248" w:rsidRDefault="00AE1F01" w:rsidP="00AE1F01">
      <w:pPr>
        <w:spacing w:after="600"/>
        <w:jc w:val="center"/>
        <w:rPr>
          <w:rFonts w:eastAsia="Calibri"/>
          <w:b/>
          <w:bCs/>
        </w:rPr>
      </w:pPr>
      <w:bookmarkStart w:id="0" w:name="cyproconazole"/>
      <w:r>
        <w:rPr>
          <w:b/>
        </w:rPr>
        <w:t xml:space="preserve">Suite donnée à la résolution non législative du Parlement européen sur le projet de règlement de la Commission modifiant les annexes II et III du règlement </w:t>
      </w:r>
      <w:r w:rsidR="00761180">
        <w:rPr>
          <w:b/>
        </w:rPr>
        <w:br/>
      </w:r>
      <w:r>
        <w:rPr>
          <w:b/>
        </w:rPr>
        <w:t>(CE) nº 396/2005 du Parlement européen et du Conseil en ce qui concerne les limites maximales applicables aux résidus de cyproconazole et de spirodiclofène présents dans ou sur certains produits</w:t>
      </w:r>
    </w:p>
    <w:bookmarkEnd w:id="0"/>
    <w:p w14:paraId="3930548D" w14:textId="77777777" w:rsidR="00AE1F01" w:rsidRPr="00266248" w:rsidRDefault="00AE1F01" w:rsidP="0059788E">
      <w:pPr>
        <w:spacing w:after="240" w:line="240" w:lineRule="auto"/>
        <w:ind w:left="567" w:hanging="567"/>
        <w:rPr>
          <w:rFonts w:eastAsia="Calibri"/>
        </w:rPr>
      </w:pPr>
      <w:r>
        <w:rPr>
          <w:b/>
        </w:rPr>
        <w:t>1.</w:t>
      </w:r>
      <w:r>
        <w:tab/>
      </w:r>
      <w:r>
        <w:rPr>
          <w:b/>
        </w:rPr>
        <w:t>Résolution présentée conformément à l’article 115, paragraphes 2 et 3, et paragraphe 4, point c), du règlement intérieur du Parlement européen</w:t>
      </w:r>
    </w:p>
    <w:p w14:paraId="0E28654A" w14:textId="77777777" w:rsidR="00AE1F01" w:rsidRPr="00266248" w:rsidRDefault="00AE1F01" w:rsidP="0059788E">
      <w:pPr>
        <w:spacing w:after="240" w:line="240" w:lineRule="auto"/>
        <w:ind w:left="567" w:hanging="567"/>
        <w:rPr>
          <w:rFonts w:eastAsia="Calibri"/>
        </w:rPr>
      </w:pPr>
      <w:r>
        <w:rPr>
          <w:b/>
        </w:rPr>
        <w:t>2.</w:t>
      </w:r>
      <w:r>
        <w:tab/>
      </w:r>
      <w:r>
        <w:rPr>
          <w:b/>
        </w:rPr>
        <w:t xml:space="preserve">Numéros de référence: </w:t>
      </w:r>
      <w:r>
        <w:t>2024/2759 (RPS) / B10-0021/2024 / P10_TA(2024)0007</w:t>
      </w:r>
    </w:p>
    <w:p w14:paraId="3EC286F9" w14:textId="0F04AA22" w:rsidR="00AE1F01" w:rsidRPr="00266248" w:rsidRDefault="00AE1F01" w:rsidP="0059788E">
      <w:pPr>
        <w:spacing w:after="240" w:line="240" w:lineRule="auto"/>
        <w:ind w:left="567" w:hanging="567"/>
        <w:rPr>
          <w:rFonts w:eastAsia="Calibri"/>
        </w:rPr>
      </w:pPr>
      <w:r>
        <w:rPr>
          <w:b/>
        </w:rPr>
        <w:t>3.</w:t>
      </w:r>
      <w:r>
        <w:tab/>
      </w:r>
      <w:r>
        <w:rPr>
          <w:b/>
        </w:rPr>
        <w:t>Date d'adoption de la résolution:</w:t>
      </w:r>
      <w:r>
        <w:t xml:space="preserve"> 18 septembre 2024</w:t>
      </w:r>
    </w:p>
    <w:p w14:paraId="47C0D60C" w14:textId="77777777" w:rsidR="00AE1F01" w:rsidRPr="00266248" w:rsidRDefault="00AE1F01" w:rsidP="0059788E">
      <w:pPr>
        <w:spacing w:after="240" w:line="240" w:lineRule="auto"/>
        <w:ind w:left="567" w:hanging="567"/>
        <w:rPr>
          <w:rFonts w:eastAsia="Calibri"/>
        </w:rPr>
      </w:pPr>
      <w:r>
        <w:rPr>
          <w:b/>
        </w:rPr>
        <w:t>4.</w:t>
      </w:r>
      <w:r>
        <w:rPr>
          <w:b/>
        </w:rPr>
        <w:tab/>
        <w:t>Commission parlementaire compétente:</w:t>
      </w:r>
      <w:r>
        <w:t xml:space="preserve"> commission de l’environnement, de la santé publique et de la sécurité alimentaire (ENVI)</w:t>
      </w:r>
    </w:p>
    <w:p w14:paraId="4BE07129" w14:textId="77777777" w:rsidR="00AE1F01" w:rsidRPr="00266248" w:rsidRDefault="00AE1F01" w:rsidP="0059788E">
      <w:pPr>
        <w:spacing w:after="240" w:line="240" w:lineRule="auto"/>
        <w:ind w:left="567" w:hanging="567"/>
        <w:rPr>
          <w:rFonts w:eastAsia="Calibri"/>
          <w:b/>
          <w:bCs/>
        </w:rPr>
      </w:pPr>
      <w:r>
        <w:rPr>
          <w:b/>
        </w:rPr>
        <w:t>5.</w:t>
      </w:r>
      <w:r>
        <w:rPr>
          <w:b/>
        </w:rPr>
        <w:tab/>
        <w:t>Analyse/évaluation succincte de la résolution et des demandes qu’elle contient:</w:t>
      </w:r>
    </w:p>
    <w:p w14:paraId="7C6213D3" w14:textId="6F8781B5" w:rsidR="00AE1F01" w:rsidRPr="00266248" w:rsidRDefault="00AE1F01" w:rsidP="00AE1F01">
      <w:pPr>
        <w:spacing w:after="120" w:line="240" w:lineRule="auto"/>
        <w:rPr>
          <w:rFonts w:eastAsia="Calibri"/>
        </w:rPr>
      </w:pPr>
      <w:r>
        <w:t xml:space="preserve">Le projet de règlement de la Commission a pour objet de modifier les annexes II, et III du règlement (CE) nº 396/2005 du Parlement européen et du Conseil en ce qui concerne les limites maximales applicables aux résidus (LMR) de deux substances actives non approuvées, à savoir le cyproconazole et le spirodiclofène, présents dans ou sur certains produits. La résolution porte uniquement sur le cyproconazole. </w:t>
      </w:r>
    </w:p>
    <w:p w14:paraId="599F6F00" w14:textId="77777777" w:rsidR="00AE1F01" w:rsidRPr="00266248" w:rsidRDefault="00AE1F01" w:rsidP="00AE1F01">
      <w:pPr>
        <w:spacing w:after="120" w:line="240" w:lineRule="auto"/>
        <w:rPr>
          <w:rFonts w:eastAsia="Calibri"/>
        </w:rPr>
      </w:pPr>
      <w:r>
        <w:t xml:space="preserve">Le projet de règlement prévoit d’abaisser </w:t>
      </w:r>
      <w:bookmarkStart w:id="1" w:name="_Hlk178150916"/>
      <w:r>
        <w:t>les LMR</w:t>
      </w:r>
      <w:bookmarkEnd w:id="1"/>
      <w:r>
        <w:t xml:space="preserve"> pour le cyproconazole jusqu’à la limite de détermination (LD) pour 273 des 315 LMR existantes. Le cyproconazole ne figure plus parmi les substances actives autorisées destinées à être utilisées dans l’UE. L’approbation a expiré en l’absence de demande de renouvellement et toutes les autorisations existantes dans l’UE ont par conséquent été retirées. </w:t>
      </w:r>
    </w:p>
    <w:p w14:paraId="54723BD3" w14:textId="77777777" w:rsidR="00AE1F01" w:rsidRPr="00266248" w:rsidRDefault="00AE1F01" w:rsidP="00AE1F01">
      <w:pPr>
        <w:spacing w:after="120" w:line="240" w:lineRule="auto"/>
        <w:rPr>
          <w:rFonts w:eastAsia="Calibri"/>
        </w:rPr>
      </w:pPr>
      <w:r>
        <w:t>Il est proposé de maintenir 20 LMR basées sur les limites maximales de résidus du Codex Alimentarius (CXL) et d’abaisser 22 LMR à la CXL, qui est fixée à un niveau inférieur. Toutes ces LMR ont été examinées de manière approfondie et au cas par cas et ont été estimées sans danger pour les consommateurs de l’UE par l’Autorité européenne de sécurité des aliments (EFSA).</w:t>
      </w:r>
    </w:p>
    <w:p w14:paraId="3D6DEBEA" w14:textId="77777777" w:rsidR="00AE1F01" w:rsidRPr="00AE1F01" w:rsidRDefault="00AE1F01" w:rsidP="00AE1F01">
      <w:pPr>
        <w:spacing w:after="120" w:line="240" w:lineRule="auto"/>
        <w:rPr>
          <w:rFonts w:eastAsia="Calibri"/>
        </w:rPr>
      </w:pPr>
      <w:r>
        <w:t>Dans sa résolution, le Parlement s’oppose à maintenir les LMR des produits importés au-delà de la LD en raison des désavantages concurrentiels pour les agriculteurs de l’Union (</w:t>
      </w:r>
      <w:r>
        <w:rPr>
          <w:b/>
        </w:rPr>
        <w:t>considérants A, B, C et R</w:t>
      </w:r>
      <w:r>
        <w:t xml:space="preserve">), le cyproconazole étant classé, conformément au règlement (CE) nº 1272/2008, comme «toxique pour la reproduction» (catégorie 1B), «toxique en cas d’ingestion» (acute tox. 3), «toxique pour le foie» (STOT RE 2), «très toxique pour les organismes aquatiques» (aquatic acute 1) et «très toxique pour les organismes aquatiques, entraînant des effets à long terme» (aquatic chronic 1) </w:t>
      </w:r>
      <w:r>
        <w:rPr>
          <w:b/>
          <w:bCs/>
        </w:rPr>
        <w:t>(</w:t>
      </w:r>
      <w:r>
        <w:rPr>
          <w:b/>
        </w:rPr>
        <w:t>considérant F</w:t>
      </w:r>
      <w:r>
        <w:t>) et le cyproconazole appartenant au groupe des triazoles inhibiteurs de la biosynthèse de l’ergostérol et pouvant, de ce fait, entraîner des effets perturbant le système endocrinien (</w:t>
      </w:r>
      <w:r>
        <w:rPr>
          <w:b/>
        </w:rPr>
        <w:t>considérant G</w:t>
      </w:r>
      <w:r>
        <w:t xml:space="preserve">). Selon la résolution, toutes les LMR pour le cyproconazole fondées sur d’anciennes utilisations dans l’UE et sur les CXL doivent être abaissées au niveau de la LD afin d’assurer un niveau élevé de protection de la santé des êtres humains </w:t>
      </w:r>
      <w:r>
        <w:rPr>
          <w:b/>
          <w:bCs/>
        </w:rPr>
        <w:t>(considérants M, P, O et V).</w:t>
      </w:r>
    </w:p>
    <w:p w14:paraId="3D0036D1" w14:textId="77777777" w:rsidR="00AE1F01" w:rsidRPr="00AE1F01" w:rsidRDefault="00AE1F01" w:rsidP="00AE1F01">
      <w:pPr>
        <w:spacing w:after="120" w:line="240" w:lineRule="auto"/>
        <w:rPr>
          <w:rFonts w:eastAsia="Calibri"/>
        </w:rPr>
      </w:pPr>
      <w:r>
        <w:t xml:space="preserve">Dans sa résolution, le Parlement affirme que, selon un grand nombre de publications, les fongicides azolés constituent une source importante de la résistance environnementale </w:t>
      </w:r>
      <w:r>
        <w:lastRenderedPageBreak/>
        <w:t xml:space="preserve">grandissante à </w:t>
      </w:r>
      <w:r>
        <w:rPr>
          <w:i/>
          <w:iCs/>
        </w:rPr>
        <w:t>Aspergillus</w:t>
      </w:r>
      <w:r>
        <w:t xml:space="preserve"> spp et que si le rapport scientifique de l’EFSA sur ce sujet n’a pas encore été publié, il devrait l’être d’ici à la fin décembre 2024 (</w:t>
      </w:r>
      <w:r>
        <w:rPr>
          <w:b/>
        </w:rPr>
        <w:t>considérant N</w:t>
      </w:r>
      <w:r>
        <w:t>).</w:t>
      </w:r>
    </w:p>
    <w:p w14:paraId="4C43BC5A" w14:textId="77777777" w:rsidR="00AE1F01" w:rsidRPr="00AE1F01" w:rsidRDefault="00AE1F01" w:rsidP="00AE1F01">
      <w:pPr>
        <w:spacing w:after="120" w:line="240" w:lineRule="auto"/>
        <w:rPr>
          <w:rFonts w:eastAsia="Calibri"/>
        </w:rPr>
      </w:pPr>
      <w:r>
        <w:t xml:space="preserve">La résolution se réfère, en outre, à la stratégie «De la ferme à la table» de la Commission, dans laquelle la Commission a annoncé que «l’UE envisagera, dans le respect des règles de l’OMC et après une évaluation des risques, de réexaminer des tolérances à l’importation pour les substances qui remplissent les “critères d’exclusion” et qui présentent un niveau élevé de risque pour la santé humaine» </w:t>
      </w:r>
      <w:r>
        <w:rPr>
          <w:b/>
          <w:bCs/>
        </w:rPr>
        <w:t>(considérant Q)</w:t>
      </w:r>
      <w:r>
        <w:t>.</w:t>
      </w:r>
    </w:p>
    <w:p w14:paraId="5D9DAD06" w14:textId="77777777" w:rsidR="00AE1F01" w:rsidRPr="00AE1F01" w:rsidRDefault="00AE1F01" w:rsidP="00AE1F01">
      <w:pPr>
        <w:spacing w:after="120" w:line="240" w:lineRule="auto"/>
        <w:rPr>
          <w:rFonts w:eastAsia="Calibri"/>
        </w:rPr>
      </w:pPr>
      <w:r>
        <w:t xml:space="preserve">Dans sa résolution, le Parlement souligne qu’il convient de tenir compte des effets cumulés et synergiques lors de la fixation des LMR et qu’il est urgent d’accélérer la mise au point des méthodes appropriées pour cette évaluation </w:t>
      </w:r>
      <w:r>
        <w:rPr>
          <w:b/>
          <w:bCs/>
        </w:rPr>
        <w:t>(considérant W)</w:t>
      </w:r>
      <w:r>
        <w:t>.</w:t>
      </w:r>
    </w:p>
    <w:p w14:paraId="0503A157" w14:textId="735703BE" w:rsidR="00AE1F01" w:rsidRPr="00AE1F01" w:rsidRDefault="00AE1F01" w:rsidP="00AE1F01">
      <w:pPr>
        <w:spacing w:after="120" w:line="240" w:lineRule="auto"/>
        <w:rPr>
          <w:rFonts w:eastAsia="Calibri"/>
        </w:rPr>
      </w:pPr>
      <w:r>
        <w:t>Dans sa résolution, le Parlement indique que le projet de règlement de la Commission n’est pas compatible avec l’esprit et la lettre des règlements (CE) nº 396/2005, (CE) nº 178/2002 et (CE) nº 1107/2009 (</w:t>
      </w:r>
      <w:r>
        <w:rPr>
          <w:b/>
          <w:bCs/>
        </w:rPr>
        <w:t>paragraphe 2</w:t>
      </w:r>
      <w:r>
        <w:t>), et demande à la Commission de retirer son projet de règlement (</w:t>
      </w:r>
      <w:r>
        <w:rPr>
          <w:b/>
          <w:bCs/>
        </w:rPr>
        <w:t>paragraphe 3</w:t>
      </w:r>
      <w:r>
        <w:t xml:space="preserve">), de soumettre un nouveau projet visant à abaisser toutes les LMR pour le cyproconazole au niveau de la LD et de refuser toute demande de tolérance à l’importation </w:t>
      </w:r>
      <w:r>
        <w:rPr>
          <w:b/>
          <w:bCs/>
        </w:rPr>
        <w:t>(paragraphe 4</w:t>
      </w:r>
      <w:r>
        <w:t>).</w:t>
      </w:r>
    </w:p>
    <w:p w14:paraId="77513821" w14:textId="77777777" w:rsidR="00AE1F01" w:rsidRPr="00266248" w:rsidRDefault="00AE1F01" w:rsidP="0059788E">
      <w:pPr>
        <w:spacing w:after="240" w:line="240" w:lineRule="auto"/>
        <w:ind w:left="567" w:hanging="567"/>
        <w:rPr>
          <w:rFonts w:eastAsia="Calibri"/>
          <w:b/>
          <w:bCs/>
        </w:rPr>
      </w:pPr>
      <w:r>
        <w:rPr>
          <w:b/>
        </w:rPr>
        <w:t>6.</w:t>
      </w:r>
      <w:r>
        <w:rPr>
          <w:b/>
        </w:rPr>
        <w:tab/>
        <w:t>Réponse à ces demandes et aperçu des mesures que la Commission a prises ou envisage de prendre:</w:t>
      </w:r>
    </w:p>
    <w:p w14:paraId="01E34CAB" w14:textId="70DC97E0" w:rsidR="00AE1F01" w:rsidRPr="00266248" w:rsidRDefault="00AE1F01" w:rsidP="00AE1F01">
      <w:pPr>
        <w:spacing w:after="120" w:line="240" w:lineRule="auto"/>
        <w:rPr>
          <w:rFonts w:eastAsia="Calibri"/>
        </w:rPr>
      </w:pPr>
      <w:r>
        <w:t xml:space="preserve">En ce qui concerne le </w:t>
      </w:r>
      <w:r>
        <w:rPr>
          <w:b/>
        </w:rPr>
        <w:t>paragraphe 2</w:t>
      </w:r>
      <w:r>
        <w:t xml:space="preserve"> de la résolution, la Commission considère que le projet de règlement est pleinement conforme aux dispositions et aux objectifs du règlement (CE) nº 396/2005 (le «règlement sur les LMR»), du règlement (CE) nº 1107/2009 (le «règlement PPP») et du règlement (CE) nº 178/2002 (la «législation alimentaire générale»). S’il est vrai que le cyproconazole est classé comme toxique pour la reproduction, catégorie 1B, et qu’il doit par conséquent remplir des «critères d’exclusion» prévus par le règlement (CE) nº 1107/2009, il est possible, pour cet effet spécifique — la toxicité pour la reproduction — d’établir pour certaines substances un seuil d’exposition sans risque en dessous duquel il ne devrait pas exister d’effets néfastes sur la santé, qui permettrait d’établir des LMR sans danger. Le cyproconazole fait partie de ces substances et l’EFSA a pu définir des valeurs toxicologiques de référence [dose journalière admissible (DJA) et dose aiguë de référence (DARf)] et effectuer une évaluation des risques, dans laquelle elle a conclu que les LMR fondées sur la base des CXL sont sans danger pour les consommateurs. L’objection du Parlement empêche la Commission d’adopter le règlement.</w:t>
      </w:r>
    </w:p>
    <w:p w14:paraId="0800E735" w14:textId="012CE035" w:rsidR="00AE1F01" w:rsidRPr="00266248" w:rsidRDefault="00AE1F01" w:rsidP="00AE1F01">
      <w:pPr>
        <w:spacing w:after="120" w:line="240" w:lineRule="auto"/>
        <w:rPr>
          <w:rFonts w:eastAsia="Calibri"/>
        </w:rPr>
      </w:pPr>
      <w:r>
        <w:t xml:space="preserve">En ce qui concerne les </w:t>
      </w:r>
      <w:r>
        <w:rPr>
          <w:b/>
          <w:bCs/>
        </w:rPr>
        <w:t>paragraphes 3 et 4</w:t>
      </w:r>
      <w:r>
        <w:t>, la Commission considère qu’en proposant le projet de règlement, elle mettait correctement en œuvre le cadre réglementaire approuvé par les colégislateurs conformément à sa finalité et à son contenu, et fait observer que l’objection du Parlement empêche la Commission de procéder à son adoption. La demande du Parlement européen visant à abaisser toutes les LMR à la LD parce que la substance active est classée comme toxique pour la reproduction (catégorie 1B) n’est pas conforme au règlement (CE) nº 396/2005. Elle n’est également pas compatible avec l’accord sanitaire et phytosanitaire (SPS) de l’Organisation mondiale du commerce, étant donné que, selon l’évaluation des risques menée par l’EFSA, il est possible d’établir des LMR au-delà de la LD qui sont sans danger pour les consommateurs.</w:t>
      </w:r>
    </w:p>
    <w:p w14:paraId="25B2A0BE" w14:textId="31A2016F" w:rsidR="00AE1F01" w:rsidRPr="00AE1F01" w:rsidRDefault="00AE1F01" w:rsidP="00AE1F01">
      <w:pPr>
        <w:spacing w:after="120" w:line="240" w:lineRule="auto"/>
        <w:rPr>
          <w:rFonts w:eastAsia="Calibri"/>
        </w:rPr>
      </w:pPr>
      <w:r>
        <w:t xml:space="preserve">En ce qui concerne la requête du paragraphe 4 visant à refuser toute demande de tolérances à l’importation, la Commission souligne le fait qu’aucune LMR fondée sur des demandes de tolérances à l’importation n’a été proposée pour le cyproconazole. Toutes les LMR établies au-delà de la LD étaient uniquement fondées sur des CXL. De plus, le règlement (CE) nº 396/2005 stipule que les demandes de LMR relatives à des utilisations dans l’Union et </w:t>
      </w:r>
      <w:r>
        <w:lastRenderedPageBreak/>
        <w:t>dans des pays tiers sont traitées de la même manière en ce qui concerne la sécurité des consommateurs et les exigences en matière de données. Refuser les tolérances à l’importation soumises conformément à la procédure décrite dans les articles 6 à 11 du règlement (CE) nº 396/2005 et pour lesquelles l’EFSA confirme qu’elles sont sans danger pour les consommateurs serait contraire aux dispositions du règlement (CE) nº 396/2005 et irait à l’encontre des obligations internationales de l’UE au titre de l’accord SPS de l’OMC.</w:t>
      </w:r>
    </w:p>
    <w:p w14:paraId="6032185D" w14:textId="661D8E97" w:rsidR="00922C40" w:rsidRPr="00AE1F01" w:rsidRDefault="00AE1F01" w:rsidP="00AE1F01">
      <w:pPr>
        <w:spacing w:line="240" w:lineRule="auto"/>
      </w:pPr>
      <w:r>
        <w:t>La Commission prend acte de la position du Parlement. Elle regrette que l’objection du Parlement empêche la Commission d’adopter le projet de règlement. La Commission s’interroge actuellement sur les prochaines mesures à prendre.</w:t>
      </w:r>
    </w:p>
    <w:sectPr w:rsidR="00922C40" w:rsidRPr="00AE1F0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4F25" w14:textId="77777777" w:rsidR="003C433F" w:rsidRDefault="003C433F" w:rsidP="008E34E4">
      <w:pPr>
        <w:spacing w:after="0" w:line="240" w:lineRule="auto"/>
      </w:pPr>
      <w:r>
        <w:separator/>
      </w:r>
    </w:p>
  </w:endnote>
  <w:endnote w:type="continuationSeparator" w:id="0">
    <w:p w14:paraId="3DD2AEFD" w14:textId="77777777" w:rsidR="003C433F" w:rsidRDefault="003C433F" w:rsidP="008E34E4">
      <w:pPr>
        <w:spacing w:after="0" w:line="240" w:lineRule="auto"/>
      </w:pPr>
      <w:r>
        <w:continuationSeparator/>
      </w:r>
    </w:p>
  </w:endnote>
  <w:endnote w:type="continuationNotice" w:id="1">
    <w:p w14:paraId="69D22A6C" w14:textId="77777777" w:rsidR="003C433F" w:rsidRDefault="003C4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BAE6" w14:textId="77777777" w:rsidR="001A0389" w:rsidRDefault="001A0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663811"/>
      <w:docPartObj>
        <w:docPartGallery w:val="Page Numbers (Bottom of Page)"/>
        <w:docPartUnique/>
      </w:docPartObj>
    </w:sdtPr>
    <w:sdtEndPr>
      <w:rPr>
        <w:noProof/>
      </w:rPr>
    </w:sdtEndPr>
    <w:sdtContent>
      <w:p w14:paraId="2CFC2180" w14:textId="4E8F468A" w:rsidR="001A0389" w:rsidRDefault="001A0389">
        <w:pPr>
          <w:pStyle w:val="Footer"/>
          <w:jc w:val="center"/>
        </w:pPr>
        <w:r>
          <w:fldChar w:fldCharType="begin"/>
        </w:r>
        <w:r>
          <w:instrText xml:space="preserve"> PAGE   \* MERGEFORMAT </w:instrText>
        </w:r>
        <w:r>
          <w:fldChar w:fldCharType="separate"/>
        </w:r>
        <w:r>
          <w:t>2</w:t>
        </w:r>
        <w:r>
          <w:fldChar w:fldCharType="end"/>
        </w:r>
      </w:p>
    </w:sdtContent>
  </w:sdt>
  <w:p w14:paraId="27ADDB65" w14:textId="77777777" w:rsidR="00742955" w:rsidRDefault="00742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4E1A" w14:textId="77777777" w:rsidR="001A0389" w:rsidRDefault="001A0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156C9" w14:textId="77777777" w:rsidR="003C433F" w:rsidRDefault="003C433F" w:rsidP="008E34E4">
      <w:pPr>
        <w:spacing w:after="0" w:line="240" w:lineRule="auto"/>
      </w:pPr>
      <w:r>
        <w:separator/>
      </w:r>
    </w:p>
  </w:footnote>
  <w:footnote w:type="continuationSeparator" w:id="0">
    <w:p w14:paraId="0D9A7E5C" w14:textId="77777777" w:rsidR="003C433F" w:rsidRDefault="003C433F" w:rsidP="008E34E4">
      <w:pPr>
        <w:spacing w:after="0" w:line="240" w:lineRule="auto"/>
      </w:pPr>
      <w:r>
        <w:continuationSeparator/>
      </w:r>
    </w:p>
  </w:footnote>
  <w:footnote w:type="continuationNotice" w:id="1">
    <w:p w14:paraId="20EE0A36" w14:textId="77777777" w:rsidR="003C433F" w:rsidRDefault="003C43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2A1C" w14:textId="77777777" w:rsidR="001A0389" w:rsidRDefault="001A0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6464" w14:textId="77777777" w:rsidR="00742955" w:rsidRDefault="00742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8548" w14:textId="77777777" w:rsidR="001A0389" w:rsidRDefault="001A0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59A2"/>
    <w:multiLevelType w:val="hybridMultilevel"/>
    <w:tmpl w:val="B2FE34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7B635A3"/>
    <w:multiLevelType w:val="hybridMultilevel"/>
    <w:tmpl w:val="A3986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E94A28"/>
    <w:multiLevelType w:val="hybridMultilevel"/>
    <w:tmpl w:val="45FAD3CC"/>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52936197">
    <w:abstractNumId w:val="1"/>
  </w:num>
  <w:num w:numId="2" w16cid:durableId="606431157">
    <w:abstractNumId w:val="0"/>
  </w:num>
  <w:num w:numId="3" w16cid:durableId="2138453888">
    <w:abstractNumId w:val="3"/>
  </w:num>
  <w:num w:numId="4" w16cid:durableId="587614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720DA"/>
    <w:rsid w:val="00020CFA"/>
    <w:rsid w:val="00020FBF"/>
    <w:rsid w:val="000259ED"/>
    <w:rsid w:val="00045DF8"/>
    <w:rsid w:val="00053C00"/>
    <w:rsid w:val="000632B7"/>
    <w:rsid w:val="000747DA"/>
    <w:rsid w:val="000871FB"/>
    <w:rsid w:val="000A4621"/>
    <w:rsid w:val="000A72F1"/>
    <w:rsid w:val="000D695C"/>
    <w:rsid w:val="000E3AFE"/>
    <w:rsid w:val="001068B3"/>
    <w:rsid w:val="00117173"/>
    <w:rsid w:val="0012028B"/>
    <w:rsid w:val="001255EF"/>
    <w:rsid w:val="001550C5"/>
    <w:rsid w:val="00182F2E"/>
    <w:rsid w:val="001A0389"/>
    <w:rsid w:val="001A6BC3"/>
    <w:rsid w:val="001B50C9"/>
    <w:rsid w:val="001C539E"/>
    <w:rsid w:val="001D65AA"/>
    <w:rsid w:val="001E460E"/>
    <w:rsid w:val="001E640F"/>
    <w:rsid w:val="00202F15"/>
    <w:rsid w:val="002222B5"/>
    <w:rsid w:val="00232A0A"/>
    <w:rsid w:val="002365C3"/>
    <w:rsid w:val="00240636"/>
    <w:rsid w:val="00252132"/>
    <w:rsid w:val="002651DD"/>
    <w:rsid w:val="0026743F"/>
    <w:rsid w:val="00297892"/>
    <w:rsid w:val="002D5476"/>
    <w:rsid w:val="002E58E5"/>
    <w:rsid w:val="002F58C5"/>
    <w:rsid w:val="0031278D"/>
    <w:rsid w:val="00314F97"/>
    <w:rsid w:val="00320F99"/>
    <w:rsid w:val="00326693"/>
    <w:rsid w:val="003333E8"/>
    <w:rsid w:val="0033649E"/>
    <w:rsid w:val="00355495"/>
    <w:rsid w:val="003565D3"/>
    <w:rsid w:val="003720DA"/>
    <w:rsid w:val="00385FB3"/>
    <w:rsid w:val="00387A04"/>
    <w:rsid w:val="003B1C31"/>
    <w:rsid w:val="003C433F"/>
    <w:rsid w:val="003D3062"/>
    <w:rsid w:val="003E0C84"/>
    <w:rsid w:val="003E4DF0"/>
    <w:rsid w:val="003F1305"/>
    <w:rsid w:val="003F2396"/>
    <w:rsid w:val="003F3BB5"/>
    <w:rsid w:val="0040151D"/>
    <w:rsid w:val="0040466F"/>
    <w:rsid w:val="004141DD"/>
    <w:rsid w:val="004476FA"/>
    <w:rsid w:val="00453A59"/>
    <w:rsid w:val="004578A1"/>
    <w:rsid w:val="004654A0"/>
    <w:rsid w:val="0046555D"/>
    <w:rsid w:val="00475C1C"/>
    <w:rsid w:val="00481193"/>
    <w:rsid w:val="004B56E1"/>
    <w:rsid w:val="004B7666"/>
    <w:rsid w:val="004E18AB"/>
    <w:rsid w:val="004E7EF6"/>
    <w:rsid w:val="0054646B"/>
    <w:rsid w:val="00586D74"/>
    <w:rsid w:val="005954E0"/>
    <w:rsid w:val="005965B8"/>
    <w:rsid w:val="0059788E"/>
    <w:rsid w:val="005A6A37"/>
    <w:rsid w:val="005B511D"/>
    <w:rsid w:val="005E1E41"/>
    <w:rsid w:val="005F7729"/>
    <w:rsid w:val="00604A8E"/>
    <w:rsid w:val="00637B16"/>
    <w:rsid w:val="00646226"/>
    <w:rsid w:val="00661F16"/>
    <w:rsid w:val="00690339"/>
    <w:rsid w:val="00693BFA"/>
    <w:rsid w:val="006C39A0"/>
    <w:rsid w:val="006C7A68"/>
    <w:rsid w:val="007215B1"/>
    <w:rsid w:val="0073621D"/>
    <w:rsid w:val="00737D13"/>
    <w:rsid w:val="00740FDB"/>
    <w:rsid w:val="00742955"/>
    <w:rsid w:val="00761180"/>
    <w:rsid w:val="007A4902"/>
    <w:rsid w:val="007B58D6"/>
    <w:rsid w:val="007C461D"/>
    <w:rsid w:val="007D3EBA"/>
    <w:rsid w:val="007F2472"/>
    <w:rsid w:val="008176B0"/>
    <w:rsid w:val="00840855"/>
    <w:rsid w:val="008A2707"/>
    <w:rsid w:val="008E0AF1"/>
    <w:rsid w:val="008E34E4"/>
    <w:rsid w:val="008F21E0"/>
    <w:rsid w:val="008F6C41"/>
    <w:rsid w:val="00922C40"/>
    <w:rsid w:val="009230F9"/>
    <w:rsid w:val="00936C47"/>
    <w:rsid w:val="00942381"/>
    <w:rsid w:val="009558B7"/>
    <w:rsid w:val="00963BC6"/>
    <w:rsid w:val="00970237"/>
    <w:rsid w:val="009A4F58"/>
    <w:rsid w:val="009A750B"/>
    <w:rsid w:val="009C5EE1"/>
    <w:rsid w:val="009D7965"/>
    <w:rsid w:val="009E05BC"/>
    <w:rsid w:val="009F29A3"/>
    <w:rsid w:val="009F4D61"/>
    <w:rsid w:val="00A020FE"/>
    <w:rsid w:val="00A16ED7"/>
    <w:rsid w:val="00A2112A"/>
    <w:rsid w:val="00A31E61"/>
    <w:rsid w:val="00A34EE9"/>
    <w:rsid w:val="00A366E1"/>
    <w:rsid w:val="00A5534B"/>
    <w:rsid w:val="00A55717"/>
    <w:rsid w:val="00AA5D02"/>
    <w:rsid w:val="00AC230F"/>
    <w:rsid w:val="00AC6455"/>
    <w:rsid w:val="00AD600F"/>
    <w:rsid w:val="00AE1F01"/>
    <w:rsid w:val="00AF3852"/>
    <w:rsid w:val="00B03308"/>
    <w:rsid w:val="00B11EF6"/>
    <w:rsid w:val="00B308FA"/>
    <w:rsid w:val="00B8246B"/>
    <w:rsid w:val="00BA7AFF"/>
    <w:rsid w:val="00BC28AC"/>
    <w:rsid w:val="00BD1D07"/>
    <w:rsid w:val="00C32C4F"/>
    <w:rsid w:val="00C331BA"/>
    <w:rsid w:val="00C35B99"/>
    <w:rsid w:val="00C5552A"/>
    <w:rsid w:val="00C715D6"/>
    <w:rsid w:val="00C85EDF"/>
    <w:rsid w:val="00C92103"/>
    <w:rsid w:val="00CE50D9"/>
    <w:rsid w:val="00CE7871"/>
    <w:rsid w:val="00D03F6C"/>
    <w:rsid w:val="00D067CA"/>
    <w:rsid w:val="00D17539"/>
    <w:rsid w:val="00D370B3"/>
    <w:rsid w:val="00D5380A"/>
    <w:rsid w:val="00D53E24"/>
    <w:rsid w:val="00D756BF"/>
    <w:rsid w:val="00D85DEC"/>
    <w:rsid w:val="00D87F07"/>
    <w:rsid w:val="00D95671"/>
    <w:rsid w:val="00DA21E5"/>
    <w:rsid w:val="00DB3E19"/>
    <w:rsid w:val="00DE0D0E"/>
    <w:rsid w:val="00DF00B5"/>
    <w:rsid w:val="00DF70E5"/>
    <w:rsid w:val="00E16405"/>
    <w:rsid w:val="00E2049E"/>
    <w:rsid w:val="00E50B08"/>
    <w:rsid w:val="00E806F4"/>
    <w:rsid w:val="00E95625"/>
    <w:rsid w:val="00EC0537"/>
    <w:rsid w:val="00EE5FB2"/>
    <w:rsid w:val="00F151E1"/>
    <w:rsid w:val="00F21BD8"/>
    <w:rsid w:val="00F226EC"/>
    <w:rsid w:val="00F337BE"/>
    <w:rsid w:val="00F77B6F"/>
    <w:rsid w:val="00F852DC"/>
    <w:rsid w:val="00F97CB7"/>
    <w:rsid w:val="00FA150A"/>
    <w:rsid w:val="00FA51B6"/>
    <w:rsid w:val="00FF5D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747DC"/>
  <w15:chartTrackingRefBased/>
  <w15:docId w15:val="{6F799846-4922-4CF7-9113-37972B83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DA"/>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0DA"/>
    <w:pPr>
      <w:ind w:left="720"/>
      <w:contextualSpacing/>
    </w:pPr>
  </w:style>
  <w:style w:type="character" w:customStyle="1" w:styleId="highlight">
    <w:name w:val="highlight"/>
    <w:rsid w:val="00D5380A"/>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Fußnotentext Char1,fn"/>
    <w:basedOn w:val="Normal"/>
    <w:link w:val="FootnoteTextChar"/>
    <w:semiHidden/>
    <w:unhideWhenUsed/>
    <w:rsid w:val="00D5380A"/>
    <w:pPr>
      <w:spacing w:after="0" w:line="240" w:lineRule="auto"/>
    </w:pPr>
    <w:rPr>
      <w:sz w:val="20"/>
      <w:szCs w:val="20"/>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basedOn w:val="DefaultParagraphFont"/>
    <w:link w:val="FootnoteText"/>
    <w:semiHidden/>
    <w:rsid w:val="00D5380A"/>
    <w:rPr>
      <w:rFonts w:ascii="Times New Roman" w:hAnsi="Times New Roman" w:cs="Times New Roman"/>
      <w:sz w:val="20"/>
      <w:szCs w:val="20"/>
      <w:lang w:val="fr-FR"/>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Ref,FR"/>
    <w:basedOn w:val="DefaultParagraphFont"/>
    <w:link w:val="SUPERSChar"/>
    <w:uiPriority w:val="99"/>
    <w:unhideWhenUsed/>
    <w:qFormat/>
    <w:rsid w:val="00D5380A"/>
    <w:rPr>
      <w:vertAlign w:val="superscript"/>
    </w:rPr>
  </w:style>
  <w:style w:type="character" w:styleId="Hyperlink">
    <w:name w:val="Hyperlink"/>
    <w:aliases w:val="Char1"/>
    <w:uiPriority w:val="99"/>
    <w:semiHidden/>
    <w:unhideWhenUsed/>
    <w:rsid w:val="00D5380A"/>
    <w:rPr>
      <w:color w:val="0000FF"/>
      <w:u w:val="single"/>
    </w:rPr>
  </w:style>
  <w:style w:type="character" w:styleId="CommentReference">
    <w:name w:val="annotation reference"/>
    <w:basedOn w:val="DefaultParagraphFont"/>
    <w:uiPriority w:val="99"/>
    <w:semiHidden/>
    <w:unhideWhenUsed/>
    <w:rsid w:val="0040151D"/>
    <w:rPr>
      <w:sz w:val="16"/>
      <w:szCs w:val="16"/>
    </w:rPr>
  </w:style>
  <w:style w:type="paragraph" w:styleId="CommentText">
    <w:name w:val="annotation text"/>
    <w:basedOn w:val="Normal"/>
    <w:link w:val="CommentTextChar"/>
    <w:uiPriority w:val="99"/>
    <w:unhideWhenUsed/>
    <w:rsid w:val="0040151D"/>
    <w:pPr>
      <w:spacing w:line="240" w:lineRule="auto"/>
    </w:pPr>
    <w:rPr>
      <w:sz w:val="20"/>
      <w:szCs w:val="20"/>
    </w:rPr>
  </w:style>
  <w:style w:type="character" w:customStyle="1" w:styleId="CommentTextChar">
    <w:name w:val="Comment Text Char"/>
    <w:basedOn w:val="DefaultParagraphFont"/>
    <w:link w:val="CommentText"/>
    <w:uiPriority w:val="99"/>
    <w:rsid w:val="0040151D"/>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40151D"/>
    <w:rPr>
      <w:b/>
      <w:bCs/>
    </w:rPr>
  </w:style>
  <w:style w:type="character" w:customStyle="1" w:styleId="CommentSubjectChar">
    <w:name w:val="Comment Subject Char"/>
    <w:basedOn w:val="CommentTextChar"/>
    <w:link w:val="CommentSubject"/>
    <w:uiPriority w:val="99"/>
    <w:semiHidden/>
    <w:rsid w:val="0040151D"/>
    <w:rPr>
      <w:rFonts w:ascii="Times New Roman" w:hAnsi="Times New Roman" w:cs="Times New Roman"/>
      <w:b/>
      <w:bCs/>
      <w:sz w:val="20"/>
      <w:szCs w:val="20"/>
      <w:lang w:val="fr-FR"/>
    </w:rPr>
  </w:style>
  <w:style w:type="paragraph" w:styleId="Revision">
    <w:name w:val="Revision"/>
    <w:hidden/>
    <w:uiPriority w:val="99"/>
    <w:semiHidden/>
    <w:rsid w:val="009A4F58"/>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A4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F58"/>
    <w:rPr>
      <w:rFonts w:ascii="Segoe UI" w:hAnsi="Segoe UI" w:cs="Segoe UI"/>
      <w:sz w:val="18"/>
      <w:szCs w:val="18"/>
      <w:lang w:val="fr-FR"/>
    </w:rPr>
  </w:style>
  <w:style w:type="paragraph" w:customStyle="1" w:styleId="SUPERSChar">
    <w:name w:val="SUPERS Char"/>
    <w:aliases w:val="EN Footnote Reference Char"/>
    <w:basedOn w:val="Normal"/>
    <w:link w:val="FootnoteReference"/>
    <w:uiPriority w:val="99"/>
    <w:rsid w:val="00475C1C"/>
    <w:pPr>
      <w:spacing w:line="240" w:lineRule="exact"/>
    </w:pPr>
    <w:rPr>
      <w:rFonts w:asciiTheme="minorHAnsi" w:hAnsiTheme="minorHAnsi" w:cstheme="minorBidi"/>
      <w:sz w:val="22"/>
      <w:szCs w:val="22"/>
      <w:vertAlign w:val="superscript"/>
    </w:rPr>
  </w:style>
  <w:style w:type="paragraph" w:styleId="Header">
    <w:name w:val="header"/>
    <w:basedOn w:val="Normal"/>
    <w:link w:val="HeaderChar"/>
    <w:uiPriority w:val="99"/>
    <w:unhideWhenUsed/>
    <w:rsid w:val="00742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955"/>
    <w:rPr>
      <w:rFonts w:ascii="Times New Roman" w:hAnsi="Times New Roman" w:cs="Times New Roman"/>
      <w:sz w:val="24"/>
      <w:szCs w:val="24"/>
      <w:lang w:val="fr-FR"/>
    </w:rPr>
  </w:style>
  <w:style w:type="paragraph" w:styleId="Footer">
    <w:name w:val="footer"/>
    <w:basedOn w:val="Normal"/>
    <w:link w:val="FooterChar"/>
    <w:uiPriority w:val="99"/>
    <w:unhideWhenUsed/>
    <w:rsid w:val="00742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955"/>
    <w:rPr>
      <w:rFonts w:ascii="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20420">
      <w:bodyDiv w:val="1"/>
      <w:marLeft w:val="0"/>
      <w:marRight w:val="0"/>
      <w:marTop w:val="0"/>
      <w:marBottom w:val="0"/>
      <w:divBdr>
        <w:top w:val="none" w:sz="0" w:space="0" w:color="auto"/>
        <w:left w:val="none" w:sz="0" w:space="0" w:color="auto"/>
        <w:bottom w:val="none" w:sz="0" w:space="0" w:color="auto"/>
        <w:right w:val="none" w:sz="0" w:space="0" w:color="auto"/>
      </w:divBdr>
    </w:div>
    <w:div w:id="633605992">
      <w:bodyDiv w:val="1"/>
      <w:marLeft w:val="0"/>
      <w:marRight w:val="0"/>
      <w:marTop w:val="0"/>
      <w:marBottom w:val="0"/>
      <w:divBdr>
        <w:top w:val="none" w:sz="0" w:space="0" w:color="auto"/>
        <w:left w:val="none" w:sz="0" w:space="0" w:color="auto"/>
        <w:bottom w:val="none" w:sz="0" w:space="0" w:color="auto"/>
        <w:right w:val="none" w:sz="0" w:space="0" w:color="auto"/>
      </w:divBdr>
    </w:div>
    <w:div w:id="766509879">
      <w:bodyDiv w:val="1"/>
      <w:marLeft w:val="0"/>
      <w:marRight w:val="0"/>
      <w:marTop w:val="0"/>
      <w:marBottom w:val="0"/>
      <w:divBdr>
        <w:top w:val="none" w:sz="0" w:space="0" w:color="auto"/>
        <w:left w:val="none" w:sz="0" w:space="0" w:color="auto"/>
        <w:bottom w:val="none" w:sz="0" w:space="0" w:color="auto"/>
        <w:right w:val="none" w:sz="0" w:space="0" w:color="auto"/>
      </w:divBdr>
    </w:div>
    <w:div w:id="774328914">
      <w:bodyDiv w:val="1"/>
      <w:marLeft w:val="0"/>
      <w:marRight w:val="0"/>
      <w:marTop w:val="0"/>
      <w:marBottom w:val="0"/>
      <w:divBdr>
        <w:top w:val="none" w:sz="0" w:space="0" w:color="auto"/>
        <w:left w:val="none" w:sz="0" w:space="0" w:color="auto"/>
        <w:bottom w:val="none" w:sz="0" w:space="0" w:color="auto"/>
        <w:right w:val="none" w:sz="0" w:space="0" w:color="auto"/>
      </w:divBdr>
    </w:div>
    <w:div w:id="826484125">
      <w:bodyDiv w:val="1"/>
      <w:marLeft w:val="0"/>
      <w:marRight w:val="0"/>
      <w:marTop w:val="0"/>
      <w:marBottom w:val="0"/>
      <w:divBdr>
        <w:top w:val="none" w:sz="0" w:space="0" w:color="auto"/>
        <w:left w:val="none" w:sz="0" w:space="0" w:color="auto"/>
        <w:bottom w:val="none" w:sz="0" w:space="0" w:color="auto"/>
        <w:right w:val="none" w:sz="0" w:space="0" w:color="auto"/>
      </w:divBdr>
    </w:div>
    <w:div w:id="1017275384">
      <w:bodyDiv w:val="1"/>
      <w:marLeft w:val="0"/>
      <w:marRight w:val="0"/>
      <w:marTop w:val="0"/>
      <w:marBottom w:val="0"/>
      <w:divBdr>
        <w:top w:val="none" w:sz="0" w:space="0" w:color="auto"/>
        <w:left w:val="none" w:sz="0" w:space="0" w:color="auto"/>
        <w:bottom w:val="none" w:sz="0" w:space="0" w:color="auto"/>
        <w:right w:val="none" w:sz="0" w:space="0" w:color="auto"/>
      </w:divBdr>
    </w:div>
    <w:div w:id="1217814170">
      <w:bodyDiv w:val="1"/>
      <w:marLeft w:val="0"/>
      <w:marRight w:val="0"/>
      <w:marTop w:val="0"/>
      <w:marBottom w:val="0"/>
      <w:divBdr>
        <w:top w:val="none" w:sz="0" w:space="0" w:color="auto"/>
        <w:left w:val="none" w:sz="0" w:space="0" w:color="auto"/>
        <w:bottom w:val="none" w:sz="0" w:space="0" w:color="auto"/>
        <w:right w:val="none" w:sz="0" w:space="0" w:color="auto"/>
      </w:divBdr>
    </w:div>
    <w:div w:id="19005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0" ma:contentTypeDescription="Create a new document." ma:contentTypeScope="" ma:versionID="0840c3b318e24520dbf511279194a237">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c658aad04dc0d5db34ec98a782b9a146"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81E5D-D011-488F-8729-FFD441C4AD08}">
  <ds:schemaRefs>
    <ds:schemaRef ds:uri="http://schemas.openxmlformats.org/officeDocument/2006/bibliography"/>
  </ds:schemaRefs>
</ds:datastoreItem>
</file>

<file path=customXml/itemProps2.xml><?xml version="1.0" encoding="utf-8"?>
<ds:datastoreItem xmlns:ds="http://schemas.openxmlformats.org/officeDocument/2006/customXml" ds:itemID="{0ECD32C4-0926-4C34-BAE5-2BF668133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246ED-CC54-4EFE-8CAA-52B806E6F5FD}">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C005F18B-8D5F-4237-A996-8C56E30109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1243</Words>
  <Characters>6706</Characters>
  <Application>Microsoft Office Word</Application>
  <DocSecurity>0</DocSecurity>
  <Lines>103</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MARGUERITTE Juliette-Marie (SANTE)</dc:creator>
  <cp:keywords/>
  <dc:description/>
  <cp:lastModifiedBy>DELBAER Gerda (SG)</cp:lastModifiedBy>
  <cp:revision>4</cp:revision>
  <dcterms:created xsi:type="dcterms:W3CDTF">2024-12-04T08:37:00Z</dcterms:created>
  <dcterms:modified xsi:type="dcterms:W3CDTF">2024-12-04T08:49:00Z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2022-12-19T16:34:27Z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55b3b0ed-f193-4539-8e75-d58abe361ef5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