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F919" w14:textId="02D82401" w:rsidR="00694F23" w:rsidRPr="005D4041" w:rsidRDefault="00694F23" w:rsidP="1F6D6863">
      <w:pPr>
        <w:spacing w:after="600"/>
        <w:jc w:val="center"/>
        <w:rPr>
          <w:b/>
          <w:bCs/>
          <w:szCs w:val="24"/>
        </w:rPr>
      </w:pPr>
      <w:r>
        <w:rPr>
          <w:b/>
        </w:rPr>
        <w:t>Suite non substantielle donnée à la résolution non législative du Parlement européen sur la conférence des Nations unies sur les changements climatiques de 2024 (COP29) à Bakou, Azerbaïdjan</w:t>
      </w:r>
    </w:p>
    <w:p w14:paraId="5C030CF0" w14:textId="670903FB" w:rsidR="00706B12" w:rsidRPr="008C6006" w:rsidRDefault="00706B12" w:rsidP="00706B12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>Résolution présentée conformément à l’article 142, paragraphe 5, du règlement intérieur du Parlement européen</w:t>
      </w:r>
    </w:p>
    <w:p w14:paraId="0F9585D7" w14:textId="6FE59FA8" w:rsidR="00694F23" w:rsidRPr="005D4041" w:rsidRDefault="00694F23" w:rsidP="00C64750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i/>
          <w:color w:val="auto"/>
        </w:rPr>
      </w:pPr>
      <w:r>
        <w:rPr>
          <w:b/>
          <w:color w:val="auto"/>
        </w:rPr>
        <w:t xml:space="preserve">Numéro de référence: </w:t>
      </w:r>
      <w:hyperlink r:id="rId8" w:history="1">
        <w:r>
          <w:rPr>
            <w:color w:val="auto"/>
          </w:rPr>
          <w:t>2024/2718 (RSP)</w:t>
        </w:r>
      </w:hyperlink>
      <w:r>
        <w:rPr>
          <w:color w:val="auto"/>
        </w:rPr>
        <w:t xml:space="preserve"> / B10-0156/2024 / </w:t>
      </w:r>
      <w:bookmarkStart w:id="0" w:name="TANumber"/>
      <w:r>
        <w:rPr>
          <w:color w:val="auto"/>
        </w:rPr>
        <w:t>P10_TA(2024)</w:t>
      </w:r>
      <w:bookmarkEnd w:id="0"/>
      <w:r>
        <w:rPr>
          <w:color w:val="auto"/>
        </w:rPr>
        <w:t>0035</w:t>
      </w:r>
    </w:p>
    <w:p w14:paraId="763C3D1A" w14:textId="006094CD" w:rsidR="00694F23" w:rsidRPr="005D404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</w:rPr>
      </w:pPr>
      <w:r>
        <w:rPr>
          <w:b/>
        </w:rPr>
        <w:t>Date d’adoption de la résolution:</w:t>
      </w:r>
      <w:r>
        <w:t xml:space="preserve"> 14 novembre 2024</w:t>
      </w:r>
    </w:p>
    <w:p w14:paraId="000110E6" w14:textId="75AD610D" w:rsidR="00694F23" w:rsidRPr="005D404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Commission parlementaire compétente: </w:t>
      </w:r>
      <w:r>
        <w:t>commission de l’environnement, de la santé publique et de la sécurité alimentaire (ENVI)</w:t>
      </w:r>
    </w:p>
    <w:p w14:paraId="0FC060F1" w14:textId="2856E431" w:rsidR="00694F23" w:rsidRPr="005D404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Compétence: </w:t>
      </w:r>
      <w:r>
        <w:t>commissaire Hoekstra</w:t>
      </w:r>
    </w:p>
    <w:p w14:paraId="319D39B3" w14:textId="4D7E4C0F" w:rsidR="00694F23" w:rsidRPr="005D4041" w:rsidRDefault="00694F23" w:rsidP="00DB5382">
      <w:pPr>
        <w:widowControl w:val="0"/>
        <w:spacing w:after="240" w:line="240" w:lineRule="auto"/>
        <w:jc w:val="both"/>
        <w:rPr>
          <w:szCs w:val="24"/>
        </w:rPr>
      </w:pPr>
      <w:r>
        <w:t>Motif: la Commission ne donnera pas suite sous forme de fiche aux demandes formulées dans la résolution étant donné que le commissaire Hoekstra y a largement répondu en plénière.</w:t>
      </w:r>
    </w:p>
    <w:sectPr w:rsidR="00694F23" w:rsidRPr="005D4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3"/>
    <w:rsid w:val="000C4072"/>
    <w:rsid w:val="00142600"/>
    <w:rsid w:val="001C5271"/>
    <w:rsid w:val="0031421A"/>
    <w:rsid w:val="00323997"/>
    <w:rsid w:val="00576DF1"/>
    <w:rsid w:val="005D4041"/>
    <w:rsid w:val="00694F23"/>
    <w:rsid w:val="00706B12"/>
    <w:rsid w:val="0093105B"/>
    <w:rsid w:val="00B12BD1"/>
    <w:rsid w:val="00B21759"/>
    <w:rsid w:val="00B540C7"/>
    <w:rsid w:val="00C94104"/>
    <w:rsid w:val="00DB5382"/>
    <w:rsid w:val="00DC63E3"/>
    <w:rsid w:val="00E4309F"/>
    <w:rsid w:val="00FB286E"/>
    <w:rsid w:val="1F6D6863"/>
    <w:rsid w:val="51FA45E6"/>
    <w:rsid w:val="590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1B4A3494-F617-4F81-8BE8-B2BF001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4041"/>
    <w:rPr>
      <w:color w:val="0000FF"/>
      <w:u w:val="single"/>
    </w:rPr>
  </w:style>
  <w:style w:type="paragraph" w:customStyle="1" w:styleId="ATHeading1">
    <w:name w:val="AT Heading 1"/>
    <w:basedOn w:val="Normal"/>
    <w:next w:val="Normal"/>
    <w:rsid w:val="005D4041"/>
    <w:pPr>
      <w:keepNext/>
      <w:keepLines/>
      <w:spacing w:before="480" w:after="120" w:line="240" w:lineRule="auto"/>
      <w:outlineLvl w:val="0"/>
    </w:pPr>
    <w:rPr>
      <w:b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l.secure.europarl.europa.eu/oeil/fr/procedure-file?reference=2024/2718(RSP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0" ma:contentTypeDescription="Create a new document." ma:contentTypeScope="" ma:versionID="0840c3b318e24520dbf511279194a237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c658aad04dc0d5db34ec98a782b9a146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0B518-8A09-4562-9E7E-5B2075E9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8433b63d-ebd4-4e36-9458-d631cf48e1f4"/>
    <ds:schemaRef ds:uri="de5c82c6-d94a-46b4-b86e-d76bd3e938bc"/>
    <ds:schemaRef ds:uri="1b1e5321-5d6d-40f3-a89c-b5482dd566c1"/>
    <ds:schemaRef ds:uri="af9dd6c6-cf8f-4aa4-be49-f1cc0da589a4"/>
  </ds:schemaRefs>
</ds:datastoreItem>
</file>

<file path=customXml/itemProps3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2024-12-04T09:49:00Z</dcterms:created>
  <dcterms:modified xsi:type="dcterms:W3CDTF">2024-12-04T09:49:00Z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</Properties>
</file>