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DF130" w14:textId="7FCFADB6" w:rsidR="00760C72" w:rsidRPr="00760C72" w:rsidRDefault="00760C72" w:rsidP="00400428">
      <w:pPr>
        <w:widowControl w:val="0"/>
        <w:tabs>
          <w:tab w:val="left" w:pos="-480"/>
        </w:tabs>
        <w:suppressAutoHyphens/>
        <w:spacing w:after="600"/>
        <w:jc w:val="center"/>
        <w:rPr>
          <w:rFonts w:ascii="Times New Roman" w:hAnsi="Times New Roman" w:cs="Times New Roman"/>
          <w:b/>
          <w:bCs/>
          <w:sz w:val="24"/>
          <w:szCs w:val="24"/>
        </w:rPr>
      </w:pPr>
      <w:bookmarkStart w:id="0" w:name="_Hlk158098828"/>
      <w:r>
        <w:rPr>
          <w:rFonts w:ascii="Times New Roman" w:hAnsi="Times New Roman"/>
          <w:b/>
          <w:sz w:val="24"/>
        </w:rPr>
        <w:t>Suite donnée à la résolution non législative du Parlement européen sur la redéfinition du futur cadre des Fonds structurels de l’Union visant à soutenir les régions particulièrement touchées par les défis liés aux transitions écologique, numérique et du secteur automobile</w:t>
      </w:r>
    </w:p>
    <w:p w14:paraId="4CEE8316" w14:textId="69C36381" w:rsidR="00760C72" w:rsidRDefault="0076517F" w:rsidP="00400428">
      <w:pPr>
        <w:pStyle w:val="ListParagraph"/>
        <w:numPr>
          <w:ilvl w:val="0"/>
          <w:numId w:val="2"/>
        </w:numPr>
        <w:spacing w:after="240" w:line="240" w:lineRule="auto"/>
        <w:ind w:left="567" w:hanging="567"/>
        <w:contextualSpacing w:val="0"/>
        <w:rPr>
          <w:rFonts w:ascii="Times New Roman" w:eastAsia="Calibri" w:hAnsi="Times New Roman" w:cs="Times New Roman"/>
          <w:b/>
          <w:sz w:val="24"/>
          <w:szCs w:val="24"/>
        </w:rPr>
      </w:pPr>
      <w:r>
        <w:rPr>
          <w:rFonts w:ascii="Times New Roman" w:hAnsi="Times New Roman"/>
          <w:b/>
          <w:sz w:val="24"/>
        </w:rPr>
        <w:t>Rapporteur</w:t>
      </w:r>
      <w:r w:rsidR="00E070AD">
        <w:rPr>
          <w:rFonts w:ascii="Times New Roman" w:hAnsi="Times New Roman"/>
          <w:b/>
          <w:sz w:val="24"/>
        </w:rPr>
        <w:t>e</w:t>
      </w:r>
      <w:r>
        <w:rPr>
          <w:rFonts w:ascii="Times New Roman" w:hAnsi="Times New Roman"/>
          <w:b/>
          <w:sz w:val="24"/>
        </w:rPr>
        <w:t>:</w:t>
      </w:r>
      <w:r>
        <w:rPr>
          <w:rFonts w:ascii="Times New Roman" w:hAnsi="Times New Roman"/>
          <w:sz w:val="24"/>
        </w:rPr>
        <w:t xml:space="preserve"> Susana</w:t>
      </w:r>
      <w:r>
        <w:rPr>
          <w:rFonts w:ascii="Times New Roman" w:hAnsi="Times New Roman"/>
          <w:b/>
          <w:sz w:val="24"/>
        </w:rPr>
        <w:t xml:space="preserve"> </w:t>
      </w:r>
      <w:r>
        <w:rPr>
          <w:rFonts w:ascii="Times New Roman" w:hAnsi="Times New Roman"/>
          <w:sz w:val="24"/>
        </w:rPr>
        <w:t>SOLÍS PÉREZ (Renew/ES)</w:t>
      </w:r>
      <w:r>
        <w:rPr>
          <w:rFonts w:ascii="Times New Roman" w:hAnsi="Times New Roman"/>
          <w:b/>
          <w:sz w:val="24"/>
        </w:rPr>
        <w:t xml:space="preserve"> </w:t>
      </w:r>
    </w:p>
    <w:p w14:paraId="1169FEB5" w14:textId="720DD861" w:rsidR="00760C72" w:rsidRPr="00F61799" w:rsidRDefault="00400428" w:rsidP="00400428">
      <w:pPr>
        <w:pStyle w:val="ListParagraph"/>
        <w:numPr>
          <w:ilvl w:val="0"/>
          <w:numId w:val="2"/>
        </w:numPr>
        <w:spacing w:after="240" w:line="240" w:lineRule="auto"/>
        <w:ind w:left="567" w:hanging="567"/>
        <w:contextualSpacing w:val="0"/>
        <w:rPr>
          <w:rFonts w:ascii="Times New Roman" w:eastAsia="Calibri" w:hAnsi="Times New Roman" w:cs="Times New Roman"/>
          <w:b/>
          <w:sz w:val="24"/>
          <w:szCs w:val="24"/>
        </w:rPr>
      </w:pPr>
      <w:r w:rsidRPr="002B4E92">
        <w:rPr>
          <w:rFonts w:ascii="Times New Roman" w:hAnsi="Times New Roman"/>
          <w:b/>
          <w:bCs/>
          <w:sz w:val="24"/>
        </w:rPr>
        <w:t>Numéros de référence:</w:t>
      </w:r>
      <w:r>
        <w:rPr>
          <w:rFonts w:ascii="Times New Roman" w:hAnsi="Times New Roman"/>
          <w:sz w:val="24"/>
        </w:rPr>
        <w:t xml:space="preserve"> 2023/2061 (INI) / A9-0326/2023 / P9_TA(2023)0461</w:t>
      </w:r>
    </w:p>
    <w:p w14:paraId="2A5D2884" w14:textId="7C4DA592" w:rsidR="00760C72" w:rsidRPr="00F61799" w:rsidRDefault="00760C72" w:rsidP="00400428">
      <w:pPr>
        <w:pStyle w:val="ListParagraph"/>
        <w:numPr>
          <w:ilvl w:val="0"/>
          <w:numId w:val="2"/>
        </w:numPr>
        <w:spacing w:after="240" w:line="240" w:lineRule="auto"/>
        <w:ind w:left="567" w:hanging="567"/>
        <w:contextualSpacing w:val="0"/>
        <w:rPr>
          <w:rFonts w:ascii="Times New Roman" w:eastAsia="Calibri" w:hAnsi="Times New Roman" w:cs="Times New Roman"/>
          <w:b/>
          <w:bCs/>
          <w:sz w:val="24"/>
          <w:szCs w:val="24"/>
        </w:rPr>
      </w:pPr>
      <w:r>
        <w:rPr>
          <w:rFonts w:ascii="Times New Roman" w:hAnsi="Times New Roman"/>
          <w:b/>
          <w:sz w:val="24"/>
        </w:rPr>
        <w:t xml:space="preserve">Date d’adoption de la résolution: </w:t>
      </w:r>
      <w:r>
        <w:rPr>
          <w:rFonts w:ascii="Times New Roman" w:hAnsi="Times New Roman"/>
          <w:sz w:val="24"/>
        </w:rPr>
        <w:t>12 décembre 2023</w:t>
      </w:r>
    </w:p>
    <w:p w14:paraId="52E823B9" w14:textId="2766B041" w:rsidR="00760C72" w:rsidRPr="00F61799" w:rsidRDefault="00760C72" w:rsidP="00400428">
      <w:pPr>
        <w:pStyle w:val="ListParagraph"/>
        <w:numPr>
          <w:ilvl w:val="0"/>
          <w:numId w:val="2"/>
        </w:numPr>
        <w:spacing w:after="240" w:line="240" w:lineRule="auto"/>
        <w:ind w:left="567" w:hanging="567"/>
        <w:contextualSpacing w:val="0"/>
        <w:rPr>
          <w:rFonts w:ascii="Times New Roman" w:eastAsia="Calibri" w:hAnsi="Times New Roman" w:cs="Times New Roman"/>
          <w:b/>
          <w:bCs/>
          <w:sz w:val="24"/>
          <w:szCs w:val="24"/>
        </w:rPr>
      </w:pPr>
      <w:r>
        <w:rPr>
          <w:rFonts w:ascii="Times New Roman" w:hAnsi="Times New Roman"/>
          <w:b/>
          <w:sz w:val="24"/>
        </w:rPr>
        <w:t>Commission parlementaire compétente:</w:t>
      </w:r>
      <w:r>
        <w:rPr>
          <w:rFonts w:ascii="Times New Roman" w:hAnsi="Times New Roman"/>
          <w:sz w:val="24"/>
        </w:rPr>
        <w:t xml:space="preserve"> commission du développement régional (REGI)</w:t>
      </w:r>
    </w:p>
    <w:p w14:paraId="2EAF4CE5" w14:textId="77777777" w:rsidR="00760C72" w:rsidRPr="00903715" w:rsidRDefault="00760C72" w:rsidP="00400428">
      <w:pPr>
        <w:pStyle w:val="ListParagraph"/>
        <w:numPr>
          <w:ilvl w:val="0"/>
          <w:numId w:val="2"/>
        </w:numPr>
        <w:spacing w:after="240" w:line="240" w:lineRule="auto"/>
        <w:ind w:left="567" w:hanging="567"/>
        <w:contextualSpacing w:val="0"/>
        <w:rPr>
          <w:rFonts w:ascii="Times New Roman" w:eastAsia="Calibri" w:hAnsi="Times New Roman" w:cs="Times New Roman"/>
          <w:b/>
          <w:bCs/>
          <w:sz w:val="24"/>
          <w:szCs w:val="24"/>
        </w:rPr>
      </w:pPr>
      <w:r>
        <w:rPr>
          <w:rFonts w:ascii="Times New Roman" w:hAnsi="Times New Roman"/>
          <w:b/>
          <w:sz w:val="24"/>
        </w:rPr>
        <w:t>Analyse/évaluation succincte de la résolution et des demandes qu’elle contient:</w:t>
      </w:r>
      <w:r>
        <w:rPr>
          <w:rFonts w:ascii="Times New Roman" w:hAnsi="Times New Roman"/>
          <w:sz w:val="24"/>
        </w:rPr>
        <w:t xml:space="preserve"> </w:t>
      </w:r>
    </w:p>
    <w:p w14:paraId="1ADBF77C" w14:textId="77777777" w:rsidR="00DB0EC1" w:rsidRPr="00D5296D" w:rsidRDefault="00DB0EC1" w:rsidP="00400428">
      <w:pPr>
        <w:spacing w:after="120" w:line="240" w:lineRule="auto"/>
        <w:jc w:val="both"/>
        <w:rPr>
          <w:rFonts w:ascii="Times New Roman" w:hAnsi="Times New Roman" w:cs="Times New Roman"/>
          <w:sz w:val="24"/>
          <w:szCs w:val="24"/>
        </w:rPr>
      </w:pPr>
      <w:r>
        <w:rPr>
          <w:rFonts w:ascii="Times New Roman" w:hAnsi="Times New Roman"/>
          <w:sz w:val="24"/>
        </w:rPr>
        <w:t>Le Parlement européen a adopté, par 548 votes pour, 33 contre et 18 abstentions, une résolution sur la redéfinition du futur cadre des Fonds structurels de l’Union visant à soutenir les régions particulièrement touchées par les défis liés aux transitions écologique, numérique et du secteur automobile.</w:t>
      </w:r>
    </w:p>
    <w:p w14:paraId="38A56306" w14:textId="46AEEE42" w:rsidR="00DB0EC1" w:rsidRPr="00D5296D" w:rsidRDefault="00DB0EC1" w:rsidP="00400428">
      <w:pPr>
        <w:spacing w:after="120" w:line="240" w:lineRule="auto"/>
        <w:jc w:val="both"/>
        <w:rPr>
          <w:rFonts w:ascii="Times New Roman" w:hAnsi="Times New Roman" w:cs="Times New Roman"/>
          <w:sz w:val="24"/>
          <w:szCs w:val="24"/>
        </w:rPr>
      </w:pPr>
      <w:r>
        <w:rPr>
          <w:rFonts w:ascii="Times New Roman" w:hAnsi="Times New Roman"/>
          <w:sz w:val="24"/>
        </w:rPr>
        <w:t>Dans sa résolution, le Parlement souligne qu’il importe de s’intéresser davantage aux territoires présentant des spécificités géographiques, tels que les régions rurales, les îles, les régions ultrapériphériques, les régions montagneuses et les régions moins densément peuplées, en particulier celles qui sont isolées et fortement dépendantes des combustibles fossiles ou des industries spécifiques qui font l’objet d’un abandon progressif. Il recommande vivement l’inclusion d’un nouvel objectif stratégique spécifique en matière de transition industrielle dans la politique de cohésion de l’Union au-delà de 2027.</w:t>
      </w:r>
    </w:p>
    <w:p w14:paraId="6274185D" w14:textId="06DDDCF1" w:rsidR="00DB0EC1" w:rsidRPr="00D5296D" w:rsidRDefault="5B25F073" w:rsidP="00400428">
      <w:pPr>
        <w:spacing w:after="120" w:line="240" w:lineRule="auto"/>
        <w:jc w:val="both"/>
        <w:rPr>
          <w:rFonts w:ascii="Times New Roman" w:hAnsi="Times New Roman" w:cs="Times New Roman"/>
          <w:sz w:val="24"/>
          <w:szCs w:val="24"/>
        </w:rPr>
      </w:pPr>
      <w:r>
        <w:rPr>
          <w:rFonts w:ascii="Times New Roman" w:hAnsi="Times New Roman"/>
          <w:sz w:val="24"/>
        </w:rPr>
        <w:t>Le Parlement appelle de ses vœux l’extension de la durée du Fonds pour une transition juste (FTJ) à la période de programmation au-delà de 2027 et demande que le Fonds soit doté de moyens financiers supplémentaires pour soutenir les régions fortement dépendantes de secteurs connaissant une profonde transformation, tels que le secteur automobile, compte tenu de la perte nette d’emplois estimée qui devrait résulter de la transition du secteur.</w:t>
      </w:r>
    </w:p>
    <w:p w14:paraId="1AD78BD1" w14:textId="77777777" w:rsidR="00DB0EC1" w:rsidRPr="00D5296D" w:rsidRDefault="00DB0EC1" w:rsidP="00400428">
      <w:pPr>
        <w:spacing w:after="120" w:line="240" w:lineRule="auto"/>
        <w:jc w:val="both"/>
        <w:rPr>
          <w:rFonts w:ascii="Times New Roman" w:hAnsi="Times New Roman" w:cs="Times New Roman"/>
          <w:sz w:val="24"/>
          <w:szCs w:val="24"/>
        </w:rPr>
      </w:pPr>
      <w:r>
        <w:rPr>
          <w:rFonts w:ascii="Times New Roman" w:hAnsi="Times New Roman"/>
          <w:sz w:val="24"/>
        </w:rPr>
        <w:t>La Commission est invitée à présenter la proposition nécessaire pour assurer la continuité du mécanisme pour une transition juste, et à veiller que celui-ci soit doté des fonds suffisants et supplémentaires pour inclure un soutien aux régions qui dépendent directement ou indirectement des secteurs de l’automobile et des pièces de rechange et des services associés.</w:t>
      </w:r>
    </w:p>
    <w:p w14:paraId="5A1B9735" w14:textId="51A5C43F" w:rsidR="00DB0EC1" w:rsidRDefault="00400428" w:rsidP="00400428">
      <w:pPr>
        <w:spacing w:after="120" w:line="240" w:lineRule="auto"/>
        <w:jc w:val="both"/>
        <w:rPr>
          <w:rFonts w:ascii="Times New Roman" w:hAnsi="Times New Roman" w:cs="Times New Roman"/>
          <w:sz w:val="24"/>
          <w:szCs w:val="24"/>
        </w:rPr>
      </w:pPr>
      <w:r>
        <w:rPr>
          <w:rFonts w:ascii="Times New Roman" w:hAnsi="Times New Roman"/>
          <w:sz w:val="24"/>
        </w:rPr>
        <w:t>Dans sa résolution, le Parlement souligne, en outre, la nécessité de donner la priorité aux investissements dans la transformation nécessaire du secteur afin de lui permettre de s’adapter aux nouvelles normes de performance en matière d’émissions de CO</w:t>
      </w:r>
      <w:r>
        <w:rPr>
          <w:rFonts w:ascii="Times New Roman" w:hAnsi="Times New Roman"/>
          <w:sz w:val="24"/>
          <w:vertAlign w:val="subscript"/>
        </w:rPr>
        <w:t>2</w:t>
      </w:r>
      <w:r>
        <w:rPr>
          <w:rFonts w:ascii="Times New Roman" w:hAnsi="Times New Roman"/>
          <w:sz w:val="24"/>
        </w:rPr>
        <w:t>, ainsi que dans les programmes de formation, de reconversion professionnelle et de perfectionnement professionnel et les stratégies de diversification économique durable tout au long de la chaîne de valeur. Il souligne également qu’il importe d’accorder une aide ciblée aux micro, petites et moyennes entreprises (MPME) pour les aider à acquérir, moderniser et entretenir des actifs physiques et des infrastructures, ainsi qu’à investir dans la recherche et le développement.</w:t>
      </w:r>
    </w:p>
    <w:p w14:paraId="6F3EACCC" w14:textId="33D68F11" w:rsidR="00B752F6" w:rsidRDefault="00B752F6" w:rsidP="00400428">
      <w:pPr>
        <w:spacing w:after="120" w:line="240" w:lineRule="auto"/>
        <w:jc w:val="both"/>
        <w:rPr>
          <w:rFonts w:ascii="Times New Roman" w:hAnsi="Times New Roman" w:cs="Times New Roman"/>
          <w:sz w:val="24"/>
          <w:szCs w:val="24"/>
        </w:rPr>
      </w:pPr>
      <w:r>
        <w:rPr>
          <w:rFonts w:ascii="Times New Roman" w:hAnsi="Times New Roman"/>
          <w:sz w:val="24"/>
        </w:rPr>
        <w:t>Le Parlement invite la Commission à simplifier les exercices de notification afin de garantir une mise en œuvre plus efficace, notamment en utilisant l’«option simplifiée des coûts».</w:t>
      </w:r>
    </w:p>
    <w:p w14:paraId="5EAA9B1D" w14:textId="77777777" w:rsidR="00DB0EC1" w:rsidRDefault="00DB0EC1" w:rsidP="00400428">
      <w:pPr>
        <w:pStyle w:val="ListParagraph"/>
        <w:numPr>
          <w:ilvl w:val="0"/>
          <w:numId w:val="2"/>
        </w:numPr>
        <w:spacing w:after="240" w:line="240" w:lineRule="auto"/>
        <w:ind w:left="567" w:hanging="567"/>
        <w:contextualSpacing w:val="0"/>
        <w:jc w:val="both"/>
        <w:rPr>
          <w:rFonts w:ascii="Times New Roman" w:eastAsia="Calibri" w:hAnsi="Times New Roman" w:cs="Times New Roman"/>
          <w:b/>
          <w:bCs/>
          <w:sz w:val="24"/>
          <w:szCs w:val="24"/>
        </w:rPr>
      </w:pPr>
      <w:r>
        <w:rPr>
          <w:rFonts w:ascii="Times New Roman" w:hAnsi="Times New Roman"/>
          <w:b/>
          <w:sz w:val="24"/>
        </w:rPr>
        <w:lastRenderedPageBreak/>
        <w:t>Réponse à ces demandes et aperçu des mesures que la Commission a prises ou envisage de prendre</w:t>
      </w:r>
    </w:p>
    <w:p w14:paraId="273FA4E6" w14:textId="2F996A1F" w:rsidR="00472148" w:rsidRPr="00937A22" w:rsidRDefault="00472148" w:rsidP="00400428">
      <w:pPr>
        <w:pStyle w:val="ListParagraph"/>
        <w:spacing w:after="120" w:line="240" w:lineRule="auto"/>
        <w:ind w:left="0"/>
        <w:rPr>
          <w:rFonts w:ascii="Times New Roman" w:eastAsia="Calibri" w:hAnsi="Times New Roman" w:cs="Times New Roman"/>
          <w:i/>
          <w:iCs/>
          <w:sz w:val="24"/>
          <w:szCs w:val="24"/>
        </w:rPr>
      </w:pPr>
      <w:r>
        <w:rPr>
          <w:rFonts w:ascii="Times New Roman" w:hAnsi="Times New Roman"/>
          <w:i/>
          <w:sz w:val="24"/>
        </w:rPr>
        <w:t>Toutes les réponses ci-après doivent être examinées sous réserve du CFP pour l’après-2027, dont on ne saurait préjuger à ce stade.</w:t>
      </w:r>
    </w:p>
    <w:p w14:paraId="66F4848D" w14:textId="048C4F86" w:rsidR="00DB0EC1" w:rsidRPr="00937A22" w:rsidRDefault="00DB0EC1" w:rsidP="00400428">
      <w:pPr>
        <w:spacing w:after="120" w:line="240" w:lineRule="auto"/>
        <w:jc w:val="both"/>
        <w:rPr>
          <w:rFonts w:ascii="Times New Roman" w:eastAsia="Times New Roman" w:hAnsi="Times New Roman" w:cs="Times New Roman"/>
          <w:sz w:val="24"/>
          <w:szCs w:val="24"/>
        </w:rPr>
      </w:pPr>
      <w:r>
        <w:rPr>
          <w:rFonts w:ascii="Times New Roman" w:hAnsi="Times New Roman"/>
          <w:b/>
          <w:bCs/>
          <w:sz w:val="24"/>
        </w:rPr>
        <w:t>(Paragraphe 8)</w:t>
      </w:r>
      <w:r>
        <w:rPr>
          <w:rFonts w:ascii="Times New Roman" w:hAnsi="Times New Roman"/>
          <w:sz w:val="24"/>
        </w:rPr>
        <w:t xml:space="preserve"> La Commission prend note de la position du Parlement en faveur de l’extension du Fonds pour une transition juste au-delà de 2027 en maintenant son ancrage dans le règlement portant décisions communes tout en élargissant son champ d’application, en particulier aux régions fortement dépendantes des secteurs industriels connaissant une profonde transformation, tels que le secteur automobile.</w:t>
      </w:r>
    </w:p>
    <w:p w14:paraId="2561DF47" w14:textId="0491239D" w:rsidR="01203945" w:rsidRDefault="01203945" w:rsidP="00400428">
      <w:pPr>
        <w:spacing w:after="120" w:line="240" w:lineRule="auto"/>
        <w:jc w:val="both"/>
        <w:rPr>
          <w:rFonts w:ascii="Times New Roman" w:hAnsi="Times New Roman" w:cs="Times New Roman"/>
          <w:sz w:val="24"/>
          <w:szCs w:val="24"/>
        </w:rPr>
      </w:pPr>
      <w:r>
        <w:rPr>
          <w:rFonts w:ascii="Times New Roman" w:hAnsi="Times New Roman"/>
          <w:sz w:val="24"/>
        </w:rPr>
        <w:t>Bien qu’il soit trop tôt pour préjuger des futures propositions relatives au cadre financier pluriannuel (CFP) de l’après-2027, la Commission reconnaît que l’ampleur des défis soulevés par la transition climatique pourrait dépasser le champ d’application actuel et les ambitions du FTJ. La portée et les ambitions de la transition climatique feront partie de l’évaluation du CPF pour l’après-2027.</w:t>
      </w:r>
    </w:p>
    <w:p w14:paraId="1C910472" w14:textId="49D1ECEB" w:rsidR="00DB0EC1" w:rsidRPr="00937A22" w:rsidRDefault="00DB0EC1" w:rsidP="00400428">
      <w:pPr>
        <w:spacing w:after="120" w:line="240" w:lineRule="auto"/>
        <w:jc w:val="both"/>
        <w:rPr>
          <w:rFonts w:ascii="Times New Roman" w:eastAsia="Times New Roman" w:hAnsi="Times New Roman" w:cs="Times New Roman"/>
          <w:sz w:val="24"/>
          <w:szCs w:val="24"/>
        </w:rPr>
      </w:pPr>
      <w:r>
        <w:rPr>
          <w:rFonts w:ascii="Times New Roman" w:hAnsi="Times New Roman"/>
          <w:b/>
          <w:bCs/>
          <w:sz w:val="24"/>
        </w:rPr>
        <w:t>(Paragraphe 10)</w:t>
      </w:r>
      <w:r>
        <w:rPr>
          <w:rFonts w:ascii="Times New Roman" w:hAnsi="Times New Roman"/>
          <w:sz w:val="24"/>
        </w:rPr>
        <w:t xml:space="preserve"> La Commission partage les ambitions affichées par le Parlement quant à la simplification de la mise en œuvre des fonds et rappelle que le cadre réglementaire 2021-2027 autorise déjà les États membres à recourir, de plus en plus, aux «options simplifiées des coûts» et aux régimes de «financement non lié aux coûts» pour réduire la charge administrative tant pour les autorités responsables des programmes que pour les bénéficiaires. Même si ces propositions ouvrent la voie à un mode de mise en œuvre beaucoup plus simple permettant d</w:t>
      </w:r>
      <w:r w:rsidR="005027D7">
        <w:rPr>
          <w:rFonts w:ascii="Times New Roman" w:hAnsi="Times New Roman"/>
          <w:sz w:val="24"/>
        </w:rPr>
        <w:t>’</w:t>
      </w:r>
      <w:r>
        <w:rPr>
          <w:rFonts w:ascii="Times New Roman" w:hAnsi="Times New Roman"/>
          <w:sz w:val="24"/>
        </w:rPr>
        <w:t>accélérer les versements,, les États membres ne les exploitent pas assez bien que la Commission favorise leur utilisation.</w:t>
      </w:r>
    </w:p>
    <w:p w14:paraId="56419C88" w14:textId="40F46D3B" w:rsidR="00DB0EC1" w:rsidRPr="00937A22" w:rsidRDefault="00DB0EC1" w:rsidP="00400428">
      <w:pPr>
        <w:spacing w:after="120" w:line="240" w:lineRule="auto"/>
        <w:jc w:val="both"/>
        <w:rPr>
          <w:rFonts w:ascii="Times New Roman" w:eastAsia="Times New Roman" w:hAnsi="Times New Roman" w:cs="Times New Roman"/>
          <w:sz w:val="24"/>
          <w:szCs w:val="24"/>
        </w:rPr>
      </w:pPr>
      <w:r>
        <w:rPr>
          <w:rFonts w:ascii="Times New Roman" w:hAnsi="Times New Roman"/>
          <w:b/>
          <w:bCs/>
          <w:sz w:val="24"/>
        </w:rPr>
        <w:t>(Paragraphe 18)</w:t>
      </w:r>
      <w:r>
        <w:rPr>
          <w:rFonts w:ascii="Times New Roman" w:hAnsi="Times New Roman"/>
          <w:sz w:val="24"/>
        </w:rPr>
        <w:t xml:space="preserve"> La Commission prend note de la position du Parlement soutenant la continuité du mécanisme pour une transition juste au-delà de 2027 ainsi que l’intégration du FTJ dans la politique de cohésion.</w:t>
      </w:r>
    </w:p>
    <w:p w14:paraId="2C82588C" w14:textId="15D36F52" w:rsidR="00DB0EC1" w:rsidRPr="00937A22" w:rsidRDefault="6C0EEB51" w:rsidP="00400428">
      <w:pPr>
        <w:spacing w:after="120" w:line="240" w:lineRule="auto"/>
        <w:jc w:val="both"/>
        <w:rPr>
          <w:rFonts w:ascii="Times New Roman" w:eastAsia="Times New Roman" w:hAnsi="Times New Roman" w:cs="Times New Roman"/>
          <w:sz w:val="24"/>
          <w:szCs w:val="24"/>
        </w:rPr>
      </w:pPr>
      <w:r>
        <w:rPr>
          <w:rFonts w:ascii="Times New Roman" w:hAnsi="Times New Roman"/>
          <w:sz w:val="24"/>
        </w:rPr>
        <w:t>La Commission partage le point de vue du Parlement concernant les synergies entre les fonds et les programmes qui sont essentielles pour remédier aux problèmes structurels ayant un effet sur la cohésion économique, sociale et territoriale.</w:t>
      </w:r>
    </w:p>
    <w:p w14:paraId="26F3FFE0" w14:textId="30274635" w:rsidR="00DB0EC1" w:rsidRPr="00937A22" w:rsidRDefault="6C0EEB51" w:rsidP="00400428">
      <w:pPr>
        <w:spacing w:after="120" w:line="240" w:lineRule="auto"/>
        <w:jc w:val="both"/>
        <w:rPr>
          <w:rFonts w:ascii="Times New Roman" w:eastAsia="Times New Roman" w:hAnsi="Times New Roman" w:cs="Times New Roman"/>
          <w:sz w:val="24"/>
          <w:szCs w:val="24"/>
        </w:rPr>
      </w:pPr>
      <w:r>
        <w:rPr>
          <w:rFonts w:ascii="Times New Roman" w:hAnsi="Times New Roman"/>
          <w:sz w:val="24"/>
        </w:rPr>
        <w:t xml:space="preserve">La portée des répercussions de la transition que le mécanisme pour une transition juste permet de relever, en tant qu’instrument pilote, devrait faire l’objet d’une réflexion approfondie compte tenu de la transformation majeure des économies régionales et des marchés du travail engendrés par la transition climatique, notamment dans le secteur automobile. </w:t>
      </w:r>
    </w:p>
    <w:p w14:paraId="002BEFAA" w14:textId="255888AF" w:rsidR="00DB0EC1" w:rsidRPr="00937A22" w:rsidRDefault="00DB0EC1" w:rsidP="00400428">
      <w:pPr>
        <w:spacing w:after="120" w:line="240" w:lineRule="auto"/>
        <w:jc w:val="both"/>
        <w:rPr>
          <w:rFonts w:ascii="Times New Roman" w:eastAsia="Times New Roman" w:hAnsi="Times New Roman" w:cs="Times New Roman"/>
          <w:sz w:val="24"/>
          <w:szCs w:val="24"/>
        </w:rPr>
      </w:pPr>
      <w:r>
        <w:rPr>
          <w:rFonts w:ascii="Times New Roman" w:hAnsi="Times New Roman"/>
          <w:b/>
          <w:bCs/>
          <w:sz w:val="24"/>
        </w:rPr>
        <w:t>(Paragraphe 26)</w:t>
      </w:r>
      <w:r>
        <w:rPr>
          <w:rFonts w:ascii="Times New Roman" w:hAnsi="Times New Roman"/>
          <w:sz w:val="24"/>
        </w:rPr>
        <w:t xml:space="preserve"> La Commission prend note de la demande du Parlement d’élargir certains programmes d’assistance aux régions automobiles en transition. Le programme d’assistance technique pour une transition vers une énergie verte (TARGET) est un mécanisme d’assistance technique mis en place pour assister étroitement les régions de l’UE exploitant le charbon, les tourbières et les schistes bitumineux dans l’identification et la préparation de projets portant sur les énergies propres et l’efficacité énergétique afin de soutenir une transition juste, aidant ainsi ces régions à abandonner la production d’énergie à partir de combustibles fossiles. Il n’est pas centré sur les processus industriels mais sur la production d’énergies renouvelables. Le programme «exchangeEU» a pris fin en 2022.</w:t>
      </w:r>
      <w:bookmarkEnd w:id="0"/>
    </w:p>
    <w:sectPr w:rsidR="00DB0EC1" w:rsidRPr="00937A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DDC7" w14:textId="77777777" w:rsidR="00064410" w:rsidRDefault="00064410" w:rsidP="00064410">
      <w:pPr>
        <w:spacing w:after="0" w:line="240" w:lineRule="auto"/>
      </w:pPr>
      <w:r>
        <w:separator/>
      </w:r>
    </w:p>
  </w:endnote>
  <w:endnote w:type="continuationSeparator" w:id="0">
    <w:p w14:paraId="1C5071A3" w14:textId="77777777" w:rsidR="00064410" w:rsidRDefault="00064410" w:rsidP="00064410">
      <w:pPr>
        <w:spacing w:after="0" w:line="240" w:lineRule="auto"/>
      </w:pPr>
      <w:r>
        <w:continuationSeparator/>
      </w:r>
    </w:p>
  </w:endnote>
  <w:endnote w:type="continuationNotice" w:id="1">
    <w:p w14:paraId="6BA8868D" w14:textId="77777777" w:rsidR="0033389E" w:rsidRDefault="003338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DC76E" w14:textId="77777777" w:rsidR="00064410" w:rsidRDefault="00064410" w:rsidP="00064410">
      <w:pPr>
        <w:spacing w:after="0" w:line="240" w:lineRule="auto"/>
      </w:pPr>
      <w:r>
        <w:separator/>
      </w:r>
    </w:p>
  </w:footnote>
  <w:footnote w:type="continuationSeparator" w:id="0">
    <w:p w14:paraId="4533C528" w14:textId="77777777" w:rsidR="00064410" w:rsidRDefault="00064410" w:rsidP="00064410">
      <w:pPr>
        <w:spacing w:after="0" w:line="240" w:lineRule="auto"/>
      </w:pPr>
      <w:r>
        <w:continuationSeparator/>
      </w:r>
    </w:p>
  </w:footnote>
  <w:footnote w:type="continuationNotice" w:id="1">
    <w:p w14:paraId="47A12198" w14:textId="77777777" w:rsidR="0033389E" w:rsidRDefault="003338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97A55"/>
    <w:multiLevelType w:val="hybridMultilevel"/>
    <w:tmpl w:val="BFE42A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64C35C9F"/>
    <w:multiLevelType w:val="hybridMultilevel"/>
    <w:tmpl w:val="DE6ED21C"/>
    <w:lvl w:ilvl="0" w:tplc="ADC8732A">
      <w:start w:val="1"/>
      <w:numFmt w:val="decimal"/>
      <w:lvlText w:val="%1."/>
      <w:lvlJc w:val="left"/>
      <w:pPr>
        <w:ind w:left="360" w:hanging="360"/>
      </w:pPr>
      <w:rPr>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16cid:durableId="285232602">
    <w:abstractNumId w:val="0"/>
  </w:num>
  <w:num w:numId="2" w16cid:durableId="840512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5015B7"/>
    <w:rsid w:val="00045F23"/>
    <w:rsid w:val="00064410"/>
    <w:rsid w:val="000868E8"/>
    <w:rsid w:val="000A3243"/>
    <w:rsid w:val="000A5F6C"/>
    <w:rsid w:val="000C4767"/>
    <w:rsid w:val="000D04CB"/>
    <w:rsid w:val="000D3165"/>
    <w:rsid w:val="00105618"/>
    <w:rsid w:val="0011722D"/>
    <w:rsid w:val="001B1BDB"/>
    <w:rsid w:val="00261CB3"/>
    <w:rsid w:val="00266767"/>
    <w:rsid w:val="00280B1A"/>
    <w:rsid w:val="002B27AF"/>
    <w:rsid w:val="002B4E92"/>
    <w:rsid w:val="002E15B7"/>
    <w:rsid w:val="002F6510"/>
    <w:rsid w:val="00331B73"/>
    <w:rsid w:val="0033389E"/>
    <w:rsid w:val="00347A77"/>
    <w:rsid w:val="00357A2A"/>
    <w:rsid w:val="003831A5"/>
    <w:rsid w:val="003B59F7"/>
    <w:rsid w:val="003E004A"/>
    <w:rsid w:val="003F3C89"/>
    <w:rsid w:val="00400428"/>
    <w:rsid w:val="00434A2C"/>
    <w:rsid w:val="00472148"/>
    <w:rsid w:val="004934A2"/>
    <w:rsid w:val="004B1FDB"/>
    <w:rsid w:val="004B5C9A"/>
    <w:rsid w:val="004C7C41"/>
    <w:rsid w:val="004D7FF0"/>
    <w:rsid w:val="005015B7"/>
    <w:rsid w:val="005027D7"/>
    <w:rsid w:val="00502D1F"/>
    <w:rsid w:val="00551CD3"/>
    <w:rsid w:val="00577044"/>
    <w:rsid w:val="00595765"/>
    <w:rsid w:val="005A6E4D"/>
    <w:rsid w:val="005B43FC"/>
    <w:rsid w:val="005E07CF"/>
    <w:rsid w:val="005E5CEA"/>
    <w:rsid w:val="005F36AC"/>
    <w:rsid w:val="006126E5"/>
    <w:rsid w:val="0063076C"/>
    <w:rsid w:val="006668D6"/>
    <w:rsid w:val="006811F4"/>
    <w:rsid w:val="006B0304"/>
    <w:rsid w:val="006C5F8F"/>
    <w:rsid w:val="006E1371"/>
    <w:rsid w:val="006E247E"/>
    <w:rsid w:val="006F1BCA"/>
    <w:rsid w:val="007205B5"/>
    <w:rsid w:val="00754321"/>
    <w:rsid w:val="007552F4"/>
    <w:rsid w:val="00760C72"/>
    <w:rsid w:val="0076517F"/>
    <w:rsid w:val="007B1161"/>
    <w:rsid w:val="007F7451"/>
    <w:rsid w:val="00815524"/>
    <w:rsid w:val="00823B37"/>
    <w:rsid w:val="00835B9A"/>
    <w:rsid w:val="008610CD"/>
    <w:rsid w:val="008649D5"/>
    <w:rsid w:val="00873284"/>
    <w:rsid w:val="0087363A"/>
    <w:rsid w:val="00881CB6"/>
    <w:rsid w:val="008849D7"/>
    <w:rsid w:val="00890ED6"/>
    <w:rsid w:val="00896A9A"/>
    <w:rsid w:val="008C4E46"/>
    <w:rsid w:val="008E68C4"/>
    <w:rsid w:val="00937A22"/>
    <w:rsid w:val="009476EE"/>
    <w:rsid w:val="009A1DCC"/>
    <w:rsid w:val="009B7121"/>
    <w:rsid w:val="009D32F7"/>
    <w:rsid w:val="009F242D"/>
    <w:rsid w:val="00A62449"/>
    <w:rsid w:val="00A71770"/>
    <w:rsid w:val="00AA45AD"/>
    <w:rsid w:val="00AA714E"/>
    <w:rsid w:val="00AC0E60"/>
    <w:rsid w:val="00AE796D"/>
    <w:rsid w:val="00B06DA1"/>
    <w:rsid w:val="00B31A3E"/>
    <w:rsid w:val="00B752F6"/>
    <w:rsid w:val="00B87F8A"/>
    <w:rsid w:val="00BA459D"/>
    <w:rsid w:val="00BA7E52"/>
    <w:rsid w:val="00BB1381"/>
    <w:rsid w:val="00BD294E"/>
    <w:rsid w:val="00BE0092"/>
    <w:rsid w:val="00C13FFB"/>
    <w:rsid w:val="00C57870"/>
    <w:rsid w:val="00C74737"/>
    <w:rsid w:val="00C928A0"/>
    <w:rsid w:val="00CE7A93"/>
    <w:rsid w:val="00CF6ECF"/>
    <w:rsid w:val="00D41318"/>
    <w:rsid w:val="00D43AA0"/>
    <w:rsid w:val="00D9317E"/>
    <w:rsid w:val="00DA4ECC"/>
    <w:rsid w:val="00DB0EC1"/>
    <w:rsid w:val="00DB7268"/>
    <w:rsid w:val="00DF0839"/>
    <w:rsid w:val="00E070AD"/>
    <w:rsid w:val="00E41477"/>
    <w:rsid w:val="00E5405D"/>
    <w:rsid w:val="00E856F8"/>
    <w:rsid w:val="00E906D3"/>
    <w:rsid w:val="00EB15DF"/>
    <w:rsid w:val="00EB4154"/>
    <w:rsid w:val="00F13BBC"/>
    <w:rsid w:val="00F360E2"/>
    <w:rsid w:val="00F45ACE"/>
    <w:rsid w:val="00F57201"/>
    <w:rsid w:val="00FB28EF"/>
    <w:rsid w:val="00FB711B"/>
    <w:rsid w:val="00FC0DC7"/>
    <w:rsid w:val="00FF4DD4"/>
    <w:rsid w:val="01203945"/>
    <w:rsid w:val="0499A9E0"/>
    <w:rsid w:val="05767A7D"/>
    <w:rsid w:val="07175FD9"/>
    <w:rsid w:val="093C311B"/>
    <w:rsid w:val="0BE776E7"/>
    <w:rsid w:val="0C01F1E3"/>
    <w:rsid w:val="0F43A596"/>
    <w:rsid w:val="0F5D2D64"/>
    <w:rsid w:val="104AE466"/>
    <w:rsid w:val="11E45625"/>
    <w:rsid w:val="14C2ABC1"/>
    <w:rsid w:val="17ADF3A5"/>
    <w:rsid w:val="1905735F"/>
    <w:rsid w:val="192DEB34"/>
    <w:rsid w:val="1B365331"/>
    <w:rsid w:val="21521023"/>
    <w:rsid w:val="220F382D"/>
    <w:rsid w:val="22812C9E"/>
    <w:rsid w:val="23A862AD"/>
    <w:rsid w:val="25C9C0D5"/>
    <w:rsid w:val="26E2A950"/>
    <w:rsid w:val="26F62C7B"/>
    <w:rsid w:val="2A6A0D58"/>
    <w:rsid w:val="2B2A2514"/>
    <w:rsid w:val="2BCA1870"/>
    <w:rsid w:val="2CCE4C4D"/>
    <w:rsid w:val="2F45065F"/>
    <w:rsid w:val="2FD79730"/>
    <w:rsid w:val="30FA82B4"/>
    <w:rsid w:val="31A617BC"/>
    <w:rsid w:val="33A303FE"/>
    <w:rsid w:val="389C8B01"/>
    <w:rsid w:val="39856840"/>
    <w:rsid w:val="39ABCA08"/>
    <w:rsid w:val="3A385B62"/>
    <w:rsid w:val="3B7B9571"/>
    <w:rsid w:val="3D6FFC24"/>
    <w:rsid w:val="3EFBFE77"/>
    <w:rsid w:val="3F042E76"/>
    <w:rsid w:val="3F0A876A"/>
    <w:rsid w:val="3F0BCC85"/>
    <w:rsid w:val="40A79CE6"/>
    <w:rsid w:val="43299D82"/>
    <w:rsid w:val="444040B0"/>
    <w:rsid w:val="46D83A05"/>
    <w:rsid w:val="474175AD"/>
    <w:rsid w:val="48F21614"/>
    <w:rsid w:val="49BEE975"/>
    <w:rsid w:val="4B615DEA"/>
    <w:rsid w:val="4CB9CAD7"/>
    <w:rsid w:val="50932977"/>
    <w:rsid w:val="50DB333C"/>
    <w:rsid w:val="51C7F44E"/>
    <w:rsid w:val="5326AA31"/>
    <w:rsid w:val="5553C3CA"/>
    <w:rsid w:val="563413A7"/>
    <w:rsid w:val="5B25F073"/>
    <w:rsid w:val="5C291987"/>
    <w:rsid w:val="5F065851"/>
    <w:rsid w:val="61E519F9"/>
    <w:rsid w:val="6262D986"/>
    <w:rsid w:val="66B4E61F"/>
    <w:rsid w:val="66D9BEF4"/>
    <w:rsid w:val="69C03960"/>
    <w:rsid w:val="6B5C09C1"/>
    <w:rsid w:val="6BAC32E4"/>
    <w:rsid w:val="6BAD3017"/>
    <w:rsid w:val="6C0EEB51"/>
    <w:rsid w:val="6C437F17"/>
    <w:rsid w:val="6C58C51F"/>
    <w:rsid w:val="6E93AA83"/>
    <w:rsid w:val="6F1298A4"/>
    <w:rsid w:val="7035171E"/>
    <w:rsid w:val="734C9283"/>
    <w:rsid w:val="7636674F"/>
    <w:rsid w:val="7CFA7A2C"/>
    <w:rsid w:val="7E90E3D5"/>
    <w:rsid w:val="7E964A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F47C3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1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basedOn w:val="DefaultParagraphFont"/>
    <w:link w:val="ListParagraph"/>
    <w:uiPriority w:val="34"/>
    <w:qFormat/>
    <w:locked/>
    <w:rsid w:val="004D7FF0"/>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lp1"/>
    <w:basedOn w:val="Normal"/>
    <w:link w:val="ListParagraphChar"/>
    <w:uiPriority w:val="34"/>
    <w:qFormat/>
    <w:rsid w:val="004D7FF0"/>
    <w:pPr>
      <w:spacing w:after="200" w:line="276" w:lineRule="auto"/>
      <w:ind w:left="720"/>
      <w:contextualSpacing/>
    </w:pPr>
  </w:style>
  <w:style w:type="paragraph" w:styleId="Revision">
    <w:name w:val="Revision"/>
    <w:hidden/>
    <w:uiPriority w:val="99"/>
    <w:semiHidden/>
    <w:rsid w:val="0033389E"/>
    <w:pPr>
      <w:spacing w:after="0" w:line="240" w:lineRule="auto"/>
    </w:pPr>
  </w:style>
  <w:style w:type="paragraph" w:styleId="Header">
    <w:name w:val="header"/>
    <w:basedOn w:val="Normal"/>
    <w:link w:val="HeaderChar"/>
    <w:uiPriority w:val="99"/>
    <w:unhideWhenUsed/>
    <w:rsid w:val="003338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89E"/>
  </w:style>
  <w:style w:type="paragraph" w:styleId="Footer">
    <w:name w:val="footer"/>
    <w:basedOn w:val="Normal"/>
    <w:link w:val="FooterChar"/>
    <w:uiPriority w:val="99"/>
    <w:unhideWhenUsed/>
    <w:rsid w:val="003338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89E"/>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3C89"/>
    <w:rPr>
      <w:b/>
      <w:bCs/>
    </w:rPr>
  </w:style>
  <w:style w:type="character" w:customStyle="1" w:styleId="CommentSubjectChar">
    <w:name w:val="Comment Subject Char"/>
    <w:basedOn w:val="CommentTextChar"/>
    <w:link w:val="CommentSubject"/>
    <w:uiPriority w:val="99"/>
    <w:semiHidden/>
    <w:rsid w:val="003F3C89"/>
    <w:rPr>
      <w:b/>
      <w:bCs/>
      <w:sz w:val="20"/>
      <w:szCs w:val="20"/>
    </w:rPr>
  </w:style>
  <w:style w:type="character" w:styleId="Mention">
    <w:name w:val="Mention"/>
    <w:basedOn w:val="DefaultParagraphFont"/>
    <w:uiPriority w:val="99"/>
    <w:unhideWhenUsed/>
    <w:rsid w:val="003F3C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270475">
      <w:bodyDiv w:val="1"/>
      <w:marLeft w:val="0"/>
      <w:marRight w:val="0"/>
      <w:marTop w:val="0"/>
      <w:marBottom w:val="0"/>
      <w:divBdr>
        <w:top w:val="none" w:sz="0" w:space="0" w:color="auto"/>
        <w:left w:val="none" w:sz="0" w:space="0" w:color="auto"/>
        <w:bottom w:val="none" w:sz="0" w:space="0" w:color="auto"/>
        <w:right w:val="none" w:sz="0" w:space="0" w:color="auto"/>
      </w:divBdr>
    </w:div>
    <w:div w:id="161467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F5052-1694-40DF-9842-7947582BB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5592</Characters>
  <Application>Microsoft Office Word</Application>
  <DocSecurity>0</DocSecurity>
  <Lines>82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Links>
    <vt:vector size="6" baseType="variant">
      <vt:variant>
        <vt:i4>131124</vt:i4>
      </vt:variant>
      <vt:variant>
        <vt:i4>0</vt:i4>
      </vt:variant>
      <vt:variant>
        <vt:i4>0</vt:i4>
      </vt:variant>
      <vt:variant>
        <vt:i4>5</vt:i4>
      </vt:variant>
      <vt:variant>
        <vt:lpwstr>mailto:Maeva.ROULETTE@ec.europa.eu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2024-02-22T07:56:00Z</dcterms:created>
  <dcterms:modified xsi:type="dcterms:W3CDTF">2024-02-22T08:06:00Z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2024-01-29T14:21:25Z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35e0fa4b-fe13-4424-93a7-638e72d4fe23</vt:lpwstr>
  </property>
  <property fmtid="{D5CDD505-2E9C-101B-9397-08002B2CF9AE}" pid="8" name="MSIP_Label_6bd9ddd1-4d20-43f6-abfa-fc3c07406f94_ContentBits">
    <vt:lpwstr>0</vt:lpwstr>
  </property>
</Properties>
</file>