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2FD1C" w14:textId="77777777" w:rsidR="00035103" w:rsidRPr="001D4DA3" w:rsidRDefault="00035103" w:rsidP="00035103">
      <w:pPr>
        <w:spacing w:after="600"/>
        <w:jc w:val="center"/>
        <w:rPr>
          <w:rFonts w:ascii="Times New Roman" w:hAnsi="Times New Roman"/>
          <w:b/>
          <w:bCs/>
        </w:rPr>
      </w:pPr>
      <w:bookmarkStart w:id="0" w:name="extractive"/>
      <w:r>
        <w:rPr>
          <w:rFonts w:ascii="Times New Roman" w:hAnsi="Times New Roman"/>
          <w:b/>
        </w:rPr>
        <w:t>Suite donnée à la résolution du Parlement européen sur le rôle de la politique de développement de l’Union européenne dans la transformation des industries extractives pour le développement durable dans les pays en développement</w:t>
      </w:r>
    </w:p>
    <w:bookmarkEnd w:id="0"/>
    <w:p w14:paraId="1044EB20" w14:textId="77777777" w:rsidR="00035103" w:rsidRPr="001D4DA3" w:rsidRDefault="00035103" w:rsidP="00035103">
      <w:pPr>
        <w:numPr>
          <w:ilvl w:val="0"/>
          <w:numId w:val="2"/>
        </w:numPr>
        <w:ind w:left="567" w:hanging="567"/>
        <w:rPr>
          <w:rFonts w:ascii="Times New Roman" w:hAnsi="Times New Roman"/>
          <w:i/>
          <w:iCs/>
        </w:rPr>
      </w:pPr>
      <w:r>
        <w:rPr>
          <w:rFonts w:ascii="Times New Roman" w:hAnsi="Times New Roman"/>
          <w:b/>
        </w:rPr>
        <w:t xml:space="preserve">Rapporteur(e): </w:t>
      </w:r>
      <w:r>
        <w:rPr>
          <w:rFonts w:ascii="Times New Roman" w:hAnsi="Times New Roman"/>
        </w:rPr>
        <w:t>Barry ANDREWS (Renew / IE)</w:t>
      </w:r>
    </w:p>
    <w:p w14:paraId="3EFCD6D5" w14:textId="77777777" w:rsidR="00035103" w:rsidRPr="001D4DA3" w:rsidRDefault="00035103" w:rsidP="00035103">
      <w:pPr>
        <w:numPr>
          <w:ilvl w:val="0"/>
          <w:numId w:val="2"/>
        </w:numPr>
        <w:ind w:left="567" w:hanging="567"/>
        <w:rPr>
          <w:rFonts w:ascii="Times New Roman" w:hAnsi="Times New Roman"/>
          <w:i/>
          <w:iCs/>
        </w:rPr>
      </w:pPr>
      <w:r>
        <w:rPr>
          <w:rFonts w:ascii="Times New Roman" w:hAnsi="Times New Roman"/>
          <w:b/>
        </w:rPr>
        <w:t>Numéros de référence:</w:t>
      </w:r>
      <w:r>
        <w:rPr>
          <w:rFonts w:ascii="Times New Roman" w:hAnsi="Times New Roman"/>
        </w:rPr>
        <w:t xml:space="preserve"> 2023/2031 (INI) / A9-0322/2023 / P9_TA(2023)0465</w:t>
      </w:r>
    </w:p>
    <w:p w14:paraId="04CA89AA" w14:textId="77777777" w:rsidR="00035103" w:rsidRPr="001D4DA3" w:rsidRDefault="00035103" w:rsidP="00035103">
      <w:pPr>
        <w:numPr>
          <w:ilvl w:val="0"/>
          <w:numId w:val="2"/>
        </w:numPr>
        <w:ind w:left="567" w:hanging="567"/>
        <w:rPr>
          <w:rFonts w:ascii="Times New Roman" w:hAnsi="Times New Roman"/>
        </w:rPr>
      </w:pPr>
      <w:r>
        <w:rPr>
          <w:rFonts w:ascii="Times New Roman" w:hAnsi="Times New Roman"/>
          <w:b/>
        </w:rPr>
        <w:t xml:space="preserve">Date d’adoption de la résolution: </w:t>
      </w:r>
      <w:r>
        <w:rPr>
          <w:rFonts w:ascii="Times New Roman" w:hAnsi="Times New Roman"/>
        </w:rPr>
        <w:t xml:space="preserve"> 13 décembre 2023</w:t>
      </w:r>
    </w:p>
    <w:p w14:paraId="691001E4" w14:textId="77777777" w:rsidR="00035103" w:rsidRPr="001D4DA3" w:rsidRDefault="00035103" w:rsidP="00035103">
      <w:pPr>
        <w:widowControl w:val="0"/>
        <w:numPr>
          <w:ilvl w:val="0"/>
          <w:numId w:val="2"/>
        </w:numPr>
        <w:ind w:left="567" w:hanging="567"/>
        <w:rPr>
          <w:rFonts w:ascii="Times New Roman" w:hAnsi="Times New Roman"/>
          <w:szCs w:val="24"/>
        </w:rPr>
      </w:pPr>
      <w:r>
        <w:rPr>
          <w:rFonts w:ascii="Times New Roman" w:hAnsi="Times New Roman"/>
          <w:b/>
        </w:rPr>
        <w:t>Commission parlementaire compétente:</w:t>
      </w:r>
      <w:r>
        <w:rPr>
          <w:rFonts w:ascii="Times New Roman" w:hAnsi="Times New Roman"/>
        </w:rPr>
        <w:t xml:space="preserve"> commission du développement (DEVE)</w:t>
      </w:r>
    </w:p>
    <w:p w14:paraId="26257E71" w14:textId="77777777" w:rsidR="00035103" w:rsidRPr="001D4DA3" w:rsidRDefault="00035103" w:rsidP="00035103">
      <w:pPr>
        <w:widowControl w:val="0"/>
        <w:numPr>
          <w:ilvl w:val="0"/>
          <w:numId w:val="2"/>
        </w:numPr>
        <w:ind w:left="567" w:hanging="567"/>
        <w:rPr>
          <w:rFonts w:ascii="Times New Roman" w:hAnsi="Times New Roman"/>
        </w:rPr>
      </w:pPr>
      <w:r>
        <w:rPr>
          <w:rFonts w:ascii="Times New Roman" w:hAnsi="Times New Roman"/>
          <w:b/>
        </w:rPr>
        <w:t>Analyse/évaluation succincte de la résolution et des demandes qu’elle contient:</w:t>
      </w:r>
      <w:r>
        <w:rPr>
          <w:rFonts w:ascii="Times New Roman" w:hAnsi="Times New Roman"/>
        </w:rPr>
        <w:t xml:space="preserve"> </w:t>
      </w:r>
    </w:p>
    <w:p w14:paraId="07707D23" w14:textId="77777777" w:rsidR="00035103" w:rsidRPr="001D4DA3" w:rsidRDefault="00035103" w:rsidP="00035103">
      <w:pPr>
        <w:spacing w:after="120"/>
        <w:rPr>
          <w:rFonts w:ascii="Times New Roman" w:hAnsi="Times New Roman"/>
        </w:rPr>
      </w:pPr>
      <w:r>
        <w:rPr>
          <w:rFonts w:ascii="Times New Roman" w:hAnsi="Times New Roman"/>
        </w:rPr>
        <w:t>La résolution invite l’Union européenne à faire des principes du développement durable une priorité de ses actions extérieures, et en particulier de ses politiques relatives aux industries extractives dans les pays en développement. Elle vise à faire en sorte que les actions extérieures de l’UE dans le secteur des industries extractives contribuent au développement inclusif et durable, respectent les droits de l’homme et protègent l’environnement. La résolution souligne l’importance de créer des situations gagnant-gagnant qui profitent aux communautés locales, de promouvoir un développement axé sur les personnes et l’environnement et d’aider les pays à faibles revenus riches en ressources à se détacher des modèles extractivistes. Elle insiste également sur la nécessité de respecter les droits des populations locales, notamment des peuples autochtones, et de lutter contre le travail forcé et le travail des enfants.</w:t>
      </w:r>
    </w:p>
    <w:p w14:paraId="017D5128" w14:textId="77777777" w:rsidR="00035103" w:rsidRPr="001D4DA3" w:rsidRDefault="00035103" w:rsidP="00035103">
      <w:pPr>
        <w:spacing w:after="120"/>
        <w:rPr>
          <w:rFonts w:ascii="Times New Roman" w:hAnsi="Times New Roman"/>
          <w:szCs w:val="24"/>
        </w:rPr>
      </w:pPr>
      <w:r>
        <w:rPr>
          <w:rFonts w:ascii="Times New Roman" w:hAnsi="Times New Roman"/>
        </w:rPr>
        <w:t>Dans sa résolution, le Parlement européen prie instamment l’Union de soutenir les efforts des pays en développement visant à réduire leur dépendance aux industries extractives, à diversifier leurs économies et à gérer leurs recettes de manière transparente. Il appelle également à renforcer le dialogue et la coopération avec les organisations de la société civile, les syndicats et les communautés locales dans les pays en développement concernés par la présence d’industries extractives. Il souligne la nécessité d’une coopération internationale, et notamment de la promotion du développement durable dans les industries extractives au moyen de partenariats multipartites et d’un soutien aux initiatives régionales et mondiales visant à améliorer la transparence et la responsabilité. L’UE est également invitée à renforcer son cadre politique et juridique, y compris en mettant en place des réglementations contraignantes dans le domaine du devoir de vigilance des entreprises et en intégrant les considérations relatives au développement durable dans les accords de commerce et d’investissement conclus avec les pays en développement.</w:t>
      </w:r>
    </w:p>
    <w:p w14:paraId="3F9F09CD" w14:textId="77777777" w:rsidR="00035103" w:rsidRPr="001D4DA3" w:rsidRDefault="00035103" w:rsidP="00035103">
      <w:pPr>
        <w:widowControl w:val="0"/>
        <w:numPr>
          <w:ilvl w:val="0"/>
          <w:numId w:val="2"/>
        </w:numPr>
        <w:ind w:left="567" w:hanging="567"/>
        <w:rPr>
          <w:rFonts w:ascii="Times New Roman" w:hAnsi="Times New Roman"/>
          <w:b/>
          <w:bCs/>
          <w:i/>
          <w:iCs/>
          <w:szCs w:val="24"/>
        </w:rPr>
      </w:pPr>
      <w:r>
        <w:rPr>
          <w:rFonts w:ascii="Times New Roman" w:hAnsi="Times New Roman"/>
          <w:b/>
        </w:rPr>
        <w:t>Réponse à ces demandes et aperçu des mesures que la Commission a prises ou envisage de prendre:</w:t>
      </w:r>
    </w:p>
    <w:p w14:paraId="5347E5FF" w14:textId="77777777" w:rsidR="00035103" w:rsidRPr="001D4DA3" w:rsidRDefault="00035103" w:rsidP="00035103">
      <w:pPr>
        <w:spacing w:after="120"/>
        <w:rPr>
          <w:rFonts w:ascii="Times New Roman" w:hAnsi="Times New Roman"/>
        </w:rPr>
      </w:pPr>
      <w:r>
        <w:rPr>
          <w:rFonts w:ascii="Times New Roman" w:hAnsi="Times New Roman"/>
        </w:rPr>
        <w:t>La Commission est déterminée à continuer de promouvoir la conclusion, avec les pays partenaires riches en ressources, de partenariats mutuellement bénéfiques qui s’étendent à l’ensemble de la chaîne de valeur des matières premières au-delà de l’extraction, et qui contribuent à la création de valeur ajoutée locale, profitent aux communautés locales et respectent les normes environnementales, sociales et de gouvernance les plus élevées (</w:t>
      </w:r>
      <w:r>
        <w:rPr>
          <w:rFonts w:ascii="Times New Roman" w:hAnsi="Times New Roman"/>
          <w:b/>
        </w:rPr>
        <w:t>paragraphe 2</w:t>
      </w:r>
      <w:r>
        <w:rPr>
          <w:rFonts w:ascii="Times New Roman" w:hAnsi="Times New Roman"/>
        </w:rPr>
        <w:t>). Ces efforts sont soutenus dans le cadre de la stratégie «Global Gateway»</w:t>
      </w:r>
      <w:r w:rsidRPr="001D4DA3">
        <w:rPr>
          <w:rFonts w:ascii="Times New Roman" w:hAnsi="Times New Roman"/>
          <w:vertAlign w:val="superscript"/>
        </w:rPr>
        <w:footnoteReference w:id="2"/>
      </w:r>
      <w:r>
        <w:rPr>
          <w:rFonts w:ascii="Times New Roman" w:hAnsi="Times New Roman"/>
        </w:rPr>
        <w:t xml:space="preserve"> et sont conformes aux objectifs de la communication intitulée «Un approvisionnement sûr et </w:t>
      </w:r>
      <w:r>
        <w:rPr>
          <w:rFonts w:ascii="Times New Roman" w:hAnsi="Times New Roman"/>
        </w:rPr>
        <w:lastRenderedPageBreak/>
        <w:t>durable en matières premières critiques à l’appui de la double transition» et de la législation européenne sur les matières premières critiques. La Commission soutient le renforcement des industries locales par la création de valeur ajoutée et la diversification à l’échelle nationale, ainsi que la coopération en matière de recherche et d’innovation, de renforcement des capacités, de formation et de développement des compétences en tant que domaines clés de coopération dans le cadre des partenariats stratégiques sur les chaînes de valeur des matières premières (</w:t>
      </w:r>
      <w:r>
        <w:rPr>
          <w:rFonts w:ascii="Times New Roman" w:hAnsi="Times New Roman"/>
          <w:b/>
        </w:rPr>
        <w:t>paragraphes 5 et 14</w:t>
      </w:r>
      <w:r>
        <w:rPr>
          <w:rFonts w:ascii="Times New Roman" w:hAnsi="Times New Roman"/>
        </w:rPr>
        <w:t>).</w:t>
      </w:r>
    </w:p>
    <w:p w14:paraId="084F5BDB" w14:textId="77777777" w:rsidR="00035103" w:rsidRPr="001D4DA3" w:rsidRDefault="00035103" w:rsidP="00035103">
      <w:pPr>
        <w:spacing w:after="120"/>
        <w:rPr>
          <w:rFonts w:ascii="Times New Roman" w:hAnsi="Times New Roman"/>
          <w:color w:val="000000"/>
        </w:rPr>
      </w:pPr>
      <w:r>
        <w:rPr>
          <w:rFonts w:ascii="Times New Roman" w:hAnsi="Times New Roman"/>
          <w:color w:val="000000"/>
        </w:rPr>
        <w:t>La supervision effective des projets et le suivi de la mise en œuvre de la stratégie «Global Gateway» sont assurés par les mécanismes et processus existants, complétés par les orientations stratégiques et les conseils du comité «Global Gateway», du groupe consultatif des acteurs du marché «Global Gateway» et de la plateforme de dialogue entre la société civile et les autorités locales «Global Gateway». Cette dernière a une approche inclusive et vise à garantir l’alignement avec les pays partenaires en ce qui concerne les valeurs que constituent la démocratie, la bonne gouvernance, la transparence, les partenariats d’égal à égal et les investissements verts et propres, axés sur la sécurité et stimulant le secteur privé (</w:t>
      </w:r>
      <w:r>
        <w:rPr>
          <w:rFonts w:ascii="Times New Roman" w:hAnsi="Times New Roman"/>
          <w:b/>
          <w:color w:val="000000"/>
        </w:rPr>
        <w:t>paragraphe 8</w:t>
      </w:r>
      <w:r>
        <w:rPr>
          <w:rFonts w:ascii="Times New Roman" w:hAnsi="Times New Roman"/>
          <w:color w:val="000000"/>
        </w:rPr>
        <w:t>).</w:t>
      </w:r>
    </w:p>
    <w:p w14:paraId="67838978" w14:textId="77777777" w:rsidR="00035103" w:rsidRPr="001D4DA3" w:rsidRDefault="00035103" w:rsidP="00035103">
      <w:pPr>
        <w:spacing w:after="120"/>
        <w:rPr>
          <w:rFonts w:ascii="Times New Roman" w:hAnsi="Times New Roman"/>
        </w:rPr>
      </w:pPr>
      <w:r>
        <w:rPr>
          <w:rFonts w:ascii="Times New Roman" w:hAnsi="Times New Roman"/>
        </w:rPr>
        <w:t>L’UE s’emploie résolument au renforcement des capacités dans les pays partenaires, y compris au niveau des autorités locales, en particulier dans les pays les plus fragiles. En outre, elle participe activement aux initiatives et forums européens et internationaux les plus pertinents, tels que l’initiative pour la transparence des industries extractives (EITI) et le forum de Paris pour un approvisionnement responsable en minerais de l’Organisation de coopération et de développement économiques (OCDE), au sein desquels les progrès sont régulièrement évalués et des propositions concrètes sont élaborées en vue d’améliorer globalement le cadre économique et réglementaire du secteur des industries extractives (</w:t>
      </w:r>
      <w:r>
        <w:rPr>
          <w:rFonts w:ascii="Times New Roman" w:hAnsi="Times New Roman"/>
          <w:b/>
        </w:rPr>
        <w:t>paragraphe 10</w:t>
      </w:r>
      <w:r>
        <w:rPr>
          <w:rFonts w:ascii="Times New Roman" w:hAnsi="Times New Roman"/>
        </w:rPr>
        <w:t>).</w:t>
      </w:r>
    </w:p>
    <w:p w14:paraId="3C3DA12D" w14:textId="36CF53AA" w:rsidR="00035103" w:rsidRPr="001D4DA3" w:rsidRDefault="00035103" w:rsidP="00035103">
      <w:pPr>
        <w:spacing w:after="120"/>
        <w:rPr>
          <w:rFonts w:ascii="Calibri" w:hAnsi="Calibri"/>
        </w:rPr>
      </w:pPr>
      <w:r>
        <w:rPr>
          <w:rFonts w:ascii="Times New Roman" w:hAnsi="Times New Roman"/>
          <w:color w:val="000000"/>
        </w:rPr>
        <w:t>L’UE soutient les capacités de la société civile et la faculté de ses acteurs à agir de manière indépendante en faveur de la bonne gouvernance et du développement, et ce, notamment par l’intermédiaire du programme indicatif pluriannuel thématique en faveur des organisations de la société civile (OSC).</w:t>
      </w:r>
      <w:r>
        <w:rPr>
          <w:rFonts w:ascii="Times New Roman" w:hAnsi="Times New Roman"/>
        </w:rPr>
        <w:t xml:space="preserve"> Elle continue de promouvoir activement les partenariats multipartites dans le cadre desquels des gouvernements, des OSC, le secteur privé et des institutions internationales se réunissent pour promouvoir le développement durable des industries extractives. À cette fin, elle entend accroître le soutien financier au partenariat européen pour des minerais responsables et, en particulier, au budget disponible pour le financement de projets de développement visant à améliorer les pratiques minières locales et les conditions de l’activité minière artisanale et à petite échelle (</w:t>
      </w:r>
      <w:r>
        <w:rPr>
          <w:rFonts w:ascii="Times New Roman" w:hAnsi="Times New Roman"/>
          <w:b/>
        </w:rPr>
        <w:t>paragraphes 9, 19 et 27</w:t>
      </w:r>
      <w:r>
        <w:rPr>
          <w:rFonts w:ascii="Times New Roman" w:hAnsi="Times New Roman"/>
        </w:rPr>
        <w:t>).</w:t>
      </w:r>
    </w:p>
    <w:p w14:paraId="235D1A5C" w14:textId="77777777" w:rsidR="00035103" w:rsidRPr="001D4DA3" w:rsidRDefault="00035103" w:rsidP="00035103">
      <w:pPr>
        <w:spacing w:after="120"/>
        <w:rPr>
          <w:rFonts w:ascii="Times New Roman" w:hAnsi="Times New Roman"/>
        </w:rPr>
      </w:pPr>
      <w:r>
        <w:rPr>
          <w:rFonts w:ascii="Times New Roman" w:hAnsi="Times New Roman"/>
        </w:rPr>
        <w:t xml:space="preserve">Bien que la directive sur le devoir de vigilance des entreprises en matière de durabilité ne soit toujours pas adoptée, les codes de conduite devraient être une composante obligatoire des obligations de vigilance des entreprises relevant de son champ d’application. Les codes de conduite constituent un outil important pour l’exercice du devoir de vigilance. De nouvelles mesures d’accompagnement sont déjà en cours d’élaboration, aux niveaux tant de la Commission que des États membres, en coordination étroite avec les différents partenaires chargés de la mise en œuvre, sur la base de l’expérience acquise en matière de devoir de vigilance volontaire dans le domaine des droits de l’homme et de l’environnement, et des enseignements qui en ont été tirés. Elles visent à renforcer les capacités des entreprises, des OSC, des communautés locales et des parties prenantes </w:t>
      </w:r>
      <w:r>
        <w:rPr>
          <w:rFonts w:ascii="Times New Roman" w:hAnsi="Times New Roman"/>
          <w:b/>
        </w:rPr>
        <w:t>(paragraphe 11)</w:t>
      </w:r>
      <w:r>
        <w:rPr>
          <w:rFonts w:ascii="Times New Roman" w:hAnsi="Times New Roman"/>
        </w:rPr>
        <w:t>.</w:t>
      </w:r>
    </w:p>
    <w:p w14:paraId="45C8FB30" w14:textId="77777777" w:rsidR="00035103" w:rsidRPr="001D4DA3" w:rsidRDefault="00035103" w:rsidP="00035103">
      <w:pPr>
        <w:spacing w:after="120"/>
        <w:ind w:left="-20" w:right="-20"/>
        <w:rPr>
          <w:rFonts w:ascii="Times New Roman" w:hAnsi="Times New Roman"/>
        </w:rPr>
      </w:pPr>
      <w:r>
        <w:rPr>
          <w:rFonts w:ascii="Times New Roman" w:hAnsi="Times New Roman"/>
        </w:rPr>
        <w:t xml:space="preserve">La prévention et l’élimination du travail des enfants et du travail forcé dans les chaînes d’approvisionnement mondiales constituent l’une des priorités de l’instrument de voisinage, de coopération au développement et de coopération internationale — Europe dans le monde (IVCDCI — Europe dans le monde) et sont financées au titre de divers programmes. Ce dernier </w:t>
      </w:r>
      <w:r>
        <w:rPr>
          <w:rFonts w:ascii="Times New Roman" w:hAnsi="Times New Roman"/>
        </w:rPr>
        <w:lastRenderedPageBreak/>
        <w:t xml:space="preserve">dispositif vise à renforcer la coopération multipartite locale, en associant les autorités, le secteur privé, les syndicats et la société civile </w:t>
      </w:r>
      <w:r>
        <w:rPr>
          <w:rFonts w:ascii="Times New Roman" w:hAnsi="Times New Roman"/>
          <w:b/>
        </w:rPr>
        <w:t>(paragraphe 13)</w:t>
      </w:r>
      <w:r>
        <w:rPr>
          <w:rFonts w:ascii="Times New Roman" w:hAnsi="Times New Roman"/>
        </w:rPr>
        <w:t>.</w:t>
      </w:r>
    </w:p>
    <w:p w14:paraId="4A592A04" w14:textId="77777777" w:rsidR="00035103" w:rsidRPr="001D4DA3" w:rsidRDefault="00035103" w:rsidP="00035103">
      <w:pPr>
        <w:spacing w:after="120"/>
        <w:rPr>
          <w:rFonts w:ascii="Times New Roman" w:hAnsi="Times New Roman"/>
        </w:rPr>
      </w:pPr>
      <w:r>
        <w:rPr>
          <w:rFonts w:ascii="Times New Roman" w:hAnsi="Times New Roman"/>
        </w:rPr>
        <w:t>L’UE participe activement à des enceintes multilatérales, telles que le partenariat pour la sécurité de l’approvisionnement en minerais conduit par les États-Unis, dans le but de mettre les industries extractives au service du développement durable. L’UE joue également un rôle moteur dans la mise en place d’un club des matières premières critiques qui rassemblerait autour d’une même table les pays producteurs et les pays consommateurs de minerais afin de mettre en évidence les problématiques et les perspectives communes (</w:t>
      </w:r>
      <w:r>
        <w:rPr>
          <w:rFonts w:ascii="Times New Roman" w:hAnsi="Times New Roman"/>
          <w:b/>
        </w:rPr>
        <w:t>paragraphe 18</w:t>
      </w:r>
      <w:r>
        <w:rPr>
          <w:rFonts w:ascii="Times New Roman" w:hAnsi="Times New Roman"/>
        </w:rPr>
        <w:t>).</w:t>
      </w:r>
    </w:p>
    <w:p w14:paraId="59ADC387" w14:textId="77777777" w:rsidR="00035103" w:rsidRPr="001D4DA3" w:rsidRDefault="00035103" w:rsidP="00035103">
      <w:pPr>
        <w:spacing w:after="120"/>
        <w:rPr>
          <w:rFonts w:ascii="Times New Roman" w:hAnsi="Times New Roman"/>
        </w:rPr>
      </w:pPr>
      <w:r>
        <w:rPr>
          <w:rFonts w:ascii="Times New Roman" w:hAnsi="Times New Roman"/>
        </w:rPr>
        <w:t>Depuis 2019, l’UE s’est fortement mobilisée pour la mise à disposition des capacités institutionnelles nécessaires au fonctionnement du Centre pour le développement des minéraux en Afrique, l’agence spécialisée de l’Union africaine chargée de coordonner et de surveiller la mise en œuvre de la Vision du régime minier de l’Afrique. L’un des principaux objectifs est de coopérer avec les autres partenaires de développement et acteurs du secteur privé et de la société civile actifs dans le secteur des industries extractives (</w:t>
      </w:r>
      <w:r>
        <w:rPr>
          <w:rFonts w:ascii="Times New Roman" w:hAnsi="Times New Roman"/>
          <w:b/>
        </w:rPr>
        <w:t>paragraphe 24</w:t>
      </w:r>
      <w:r>
        <w:rPr>
          <w:rFonts w:ascii="Times New Roman" w:hAnsi="Times New Roman"/>
        </w:rPr>
        <w:t>).</w:t>
      </w:r>
    </w:p>
    <w:p w14:paraId="7A32F758" w14:textId="77777777" w:rsidR="00035103" w:rsidRPr="001D4DA3" w:rsidRDefault="00035103" w:rsidP="00035103">
      <w:pPr>
        <w:spacing w:after="120"/>
        <w:rPr>
          <w:rFonts w:ascii="Times New Roman" w:hAnsi="Times New Roman"/>
        </w:rPr>
      </w:pPr>
      <w:r>
        <w:rPr>
          <w:rFonts w:ascii="Times New Roman" w:hAnsi="Times New Roman"/>
        </w:rPr>
        <w:t>Depuis 2016, l’UE s’implique fortement dans le fonctionnement de l’initiative pour la transparence des industries extractives (EITI), en apportant un soutien financier ciblé au secrétariat de l’EITI et en participant activement, en tant qu’observateur, au processus décisionnel du conseil d’administration de l’ITIE. Le financement sous forme de subventions de l’UE a été récemment prolongé jusqu’à la fin de 2027 afin d’aider les pays fragiles à mettre en œuvre les normes de l’EITI. De même, la Commission a récemment étendu le financement de l’UE à l’initiative CONNEX du G7, afin d’aider les pays partenaires en matière de développement à négocier/renégocier des contrats mutuellement avantageux et équitables avec les investisseurs étrangers, en conformité sociale et environnementale avec les normes environnementales, sociales et de gouvernance et les droits de l’homme (</w:t>
      </w:r>
      <w:r>
        <w:rPr>
          <w:rFonts w:ascii="Times New Roman" w:hAnsi="Times New Roman"/>
          <w:b/>
        </w:rPr>
        <w:t>paragraphes 25 et 26</w:t>
      </w:r>
      <w:r>
        <w:rPr>
          <w:rFonts w:ascii="Times New Roman" w:hAnsi="Times New Roman"/>
        </w:rPr>
        <w:t>).</w:t>
      </w:r>
    </w:p>
    <w:p w14:paraId="1047DAFD" w14:textId="77777777" w:rsidR="00035103" w:rsidRPr="00F03DE8" w:rsidRDefault="00035103" w:rsidP="00035103">
      <w:pPr>
        <w:spacing w:after="120"/>
        <w:rPr>
          <w:rFonts w:ascii="Times New Roman" w:hAnsi="Times New Roman"/>
          <w:szCs w:val="24"/>
        </w:rPr>
      </w:pPr>
      <w:r>
        <w:rPr>
          <w:rFonts w:ascii="Times New Roman" w:hAnsi="Times New Roman"/>
        </w:rPr>
        <w:t>La Commission confirme qu’elle prépare actuellement son premier rapport sur le réexamen du règlement sur les minerais provenant de zones de conflit (</w:t>
      </w:r>
      <w:r>
        <w:rPr>
          <w:rFonts w:ascii="Times New Roman" w:hAnsi="Times New Roman"/>
          <w:b/>
        </w:rPr>
        <w:t>paragraphe 31</w:t>
      </w:r>
      <w:r>
        <w:rPr>
          <w:rFonts w:ascii="Times New Roman" w:hAnsi="Times New Roman"/>
        </w:rPr>
        <w:t>). Le réexamen porte sur les effets que produit le règlement sur le terrain, dans les pays producteurs de minerais 3TG (étain, tungstène, tantale et or), et sur les opérateurs économiques de l’UE. Il analyse en outre le fonctionnement et l’efficacité des mesures d’accompagnement du règlement et comprend des études annexes sur le champ d’application en termes de produits et de risques, ainsi que sur les liens éventuels avec d’autres dispositions législatives en matière devoir de vigilance.</w:t>
      </w:r>
    </w:p>
    <w:p w14:paraId="3423B8EB" w14:textId="7D5935E8" w:rsidR="637B54E1" w:rsidRPr="00035103" w:rsidRDefault="00035103" w:rsidP="00035103">
      <w:r>
        <w:rPr>
          <w:rFonts w:ascii="Times New Roman" w:hAnsi="Times New Roman"/>
          <w:color w:val="000000"/>
        </w:rPr>
        <w:t xml:space="preserve">Tous les accords commerciaux conclus par l’UE depuis 2011 incluent des règles relatives au commerce et au développement durable </w:t>
      </w:r>
      <w:r>
        <w:rPr>
          <w:rFonts w:ascii="Times New Roman" w:hAnsi="Times New Roman"/>
        </w:rPr>
        <w:t>(</w:t>
      </w:r>
      <w:r>
        <w:rPr>
          <w:rFonts w:ascii="Times New Roman" w:hAnsi="Times New Roman"/>
          <w:b/>
        </w:rPr>
        <w:t>paragraphe 34</w:t>
      </w:r>
      <w:r>
        <w:rPr>
          <w:rFonts w:ascii="Times New Roman" w:hAnsi="Times New Roman"/>
        </w:rPr>
        <w:t>), qui imposent aux deux parties de respecter, de promouvoir et de concrétiser les principes relatifs aux droits fondamentaux au travail et à la mise en œuvre effective des conventions internationales du travail et des accords environnementaux, y compris l’accord de Paris sur le changement climatique.</w:t>
      </w:r>
      <w:r>
        <w:rPr>
          <w:rFonts w:ascii="Times New Roman" w:hAnsi="Times New Roman"/>
          <w:color w:val="000000"/>
        </w:rPr>
        <w:t xml:space="preserve"> Les chapitres des accords de l’UE consacrés au commerce et au développement durable imposent aux deux parties d’appliquer effectivement leur législation en matière d’environnement et de travail, sans y déroger ni l’affaiblir, afin d’encourager le commerce ou les investissements, de coopérer en vue d’une transition vers une économie circulaire et efficace dans l’utilisation des ressources et vers des chaînes d’approvisionnement «zéro déforestation», et de promouvoir des pratiques telles que la responsabilité sociale des entreprises.</w:t>
      </w:r>
    </w:p>
    <w:sectPr w:rsidR="637B54E1" w:rsidRPr="0003510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E2350" w14:textId="77777777" w:rsidR="005C68CD" w:rsidRDefault="005C68CD" w:rsidP="00F42613">
      <w:pPr>
        <w:spacing w:after="0"/>
      </w:pPr>
      <w:r>
        <w:separator/>
      </w:r>
    </w:p>
  </w:endnote>
  <w:endnote w:type="continuationSeparator" w:id="0">
    <w:p w14:paraId="4C8BD004" w14:textId="77777777" w:rsidR="005C68CD" w:rsidRDefault="005C68CD" w:rsidP="00F42613">
      <w:pPr>
        <w:spacing w:after="0"/>
      </w:pPr>
      <w:r>
        <w:continuationSeparator/>
      </w:r>
    </w:p>
  </w:endnote>
  <w:endnote w:type="continuationNotice" w:id="1">
    <w:p w14:paraId="73B5FFA2" w14:textId="77777777" w:rsidR="005C68CD" w:rsidRDefault="005C68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9B0E6" w14:textId="77777777" w:rsidR="005C68CD" w:rsidRDefault="005C68CD" w:rsidP="00F42613">
      <w:pPr>
        <w:spacing w:after="0"/>
      </w:pPr>
      <w:r>
        <w:separator/>
      </w:r>
    </w:p>
  </w:footnote>
  <w:footnote w:type="continuationSeparator" w:id="0">
    <w:p w14:paraId="38EBCB5C" w14:textId="77777777" w:rsidR="005C68CD" w:rsidRDefault="005C68CD" w:rsidP="00F42613">
      <w:pPr>
        <w:spacing w:after="0"/>
      </w:pPr>
      <w:r>
        <w:continuationSeparator/>
      </w:r>
    </w:p>
  </w:footnote>
  <w:footnote w:type="continuationNotice" w:id="1">
    <w:p w14:paraId="208D71D2" w14:textId="77777777" w:rsidR="005C68CD" w:rsidRDefault="005C68CD">
      <w:pPr>
        <w:spacing w:after="0"/>
      </w:pPr>
    </w:p>
  </w:footnote>
  <w:footnote w:id="2">
    <w:p w14:paraId="6275F18D" w14:textId="77777777" w:rsidR="00035103" w:rsidRPr="00FB5AC1" w:rsidRDefault="00035103" w:rsidP="00035103">
      <w:pPr>
        <w:pStyle w:val="FootnoteText"/>
        <w:spacing w:after="0"/>
      </w:pPr>
      <w:r>
        <w:rPr>
          <w:rStyle w:val="FootnoteReference"/>
        </w:rPr>
        <w:footnoteRef/>
      </w:r>
      <w:r>
        <w:t xml:space="preserve"> </w:t>
      </w:r>
      <w:r>
        <w:tab/>
      </w:r>
      <w:r>
        <w:rPr>
          <w:rFonts w:ascii="Times New Roman" w:hAnsi="Times New Roman"/>
        </w:rPr>
        <w:t>JOIN(2021) 30 final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73D2"/>
    <w:multiLevelType w:val="hybridMultilevel"/>
    <w:tmpl w:val="C66A48E8"/>
    <w:lvl w:ilvl="0" w:tplc="492C7160">
      <w:start w:val="1"/>
      <w:numFmt w:val="decimal"/>
      <w:lvlText w:val="%1."/>
      <w:lvlJc w:val="left"/>
      <w:pPr>
        <w:ind w:left="720" w:hanging="720"/>
      </w:pPr>
      <w:rPr>
        <w:rFonts w:hint="default"/>
        <w:b/>
        <w:i w:val="0"/>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1BF068C7"/>
    <w:multiLevelType w:val="hybridMultilevel"/>
    <w:tmpl w:val="41E09738"/>
    <w:lvl w:ilvl="0" w:tplc="C0C4B1A8">
      <w:start w:val="1"/>
      <w:numFmt w:val="decimal"/>
      <w:lvlText w:val="%1."/>
      <w:lvlJc w:val="left"/>
      <w:pPr>
        <w:ind w:left="720" w:hanging="360"/>
      </w:pPr>
    </w:lvl>
    <w:lvl w:ilvl="1" w:tplc="FA1EED3E">
      <w:start w:val="1"/>
      <w:numFmt w:val="lowerLetter"/>
      <w:lvlText w:val="%2."/>
      <w:lvlJc w:val="left"/>
      <w:pPr>
        <w:ind w:left="1440" w:hanging="360"/>
      </w:pPr>
    </w:lvl>
    <w:lvl w:ilvl="2" w:tplc="173833C4">
      <w:start w:val="1"/>
      <w:numFmt w:val="lowerRoman"/>
      <w:lvlText w:val="%3."/>
      <w:lvlJc w:val="right"/>
      <w:pPr>
        <w:ind w:left="2160" w:hanging="180"/>
      </w:pPr>
    </w:lvl>
    <w:lvl w:ilvl="3" w:tplc="717E6C5C">
      <w:start w:val="1"/>
      <w:numFmt w:val="decimal"/>
      <w:lvlText w:val="%4."/>
      <w:lvlJc w:val="left"/>
      <w:pPr>
        <w:ind w:left="2880" w:hanging="360"/>
      </w:pPr>
    </w:lvl>
    <w:lvl w:ilvl="4" w:tplc="7EC86744">
      <w:start w:val="1"/>
      <w:numFmt w:val="lowerLetter"/>
      <w:lvlText w:val="%5."/>
      <w:lvlJc w:val="left"/>
      <w:pPr>
        <w:ind w:left="3600" w:hanging="360"/>
      </w:pPr>
    </w:lvl>
    <w:lvl w:ilvl="5" w:tplc="109449EA">
      <w:start w:val="1"/>
      <w:numFmt w:val="lowerRoman"/>
      <w:lvlText w:val="%6."/>
      <w:lvlJc w:val="right"/>
      <w:pPr>
        <w:ind w:left="4320" w:hanging="180"/>
      </w:pPr>
    </w:lvl>
    <w:lvl w:ilvl="6" w:tplc="E8742A62">
      <w:start w:val="1"/>
      <w:numFmt w:val="decimal"/>
      <w:lvlText w:val="%7."/>
      <w:lvlJc w:val="left"/>
      <w:pPr>
        <w:ind w:left="5040" w:hanging="360"/>
      </w:pPr>
    </w:lvl>
    <w:lvl w:ilvl="7" w:tplc="471436F8">
      <w:start w:val="1"/>
      <w:numFmt w:val="lowerLetter"/>
      <w:lvlText w:val="%8."/>
      <w:lvlJc w:val="left"/>
      <w:pPr>
        <w:ind w:left="5760" w:hanging="360"/>
      </w:pPr>
    </w:lvl>
    <w:lvl w:ilvl="8" w:tplc="3A985432">
      <w:start w:val="1"/>
      <w:numFmt w:val="lowerRoman"/>
      <w:lvlText w:val="%9."/>
      <w:lvlJc w:val="right"/>
      <w:pPr>
        <w:ind w:left="6480" w:hanging="180"/>
      </w:pPr>
    </w:lvl>
  </w:abstractNum>
  <w:num w:numId="1" w16cid:durableId="1686440410">
    <w:abstractNumId w:val="1"/>
  </w:num>
  <w:num w:numId="2" w16cid:durableId="2117554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613"/>
    <w:rsid w:val="00035103"/>
    <w:rsid w:val="000434C1"/>
    <w:rsid w:val="00064341"/>
    <w:rsid w:val="001431F9"/>
    <w:rsid w:val="001897BC"/>
    <w:rsid w:val="001A01D6"/>
    <w:rsid w:val="001A62AA"/>
    <w:rsid w:val="001B51EE"/>
    <w:rsid w:val="001D61E0"/>
    <w:rsid w:val="002061AB"/>
    <w:rsid w:val="002B47C8"/>
    <w:rsid w:val="003F3A31"/>
    <w:rsid w:val="0040689B"/>
    <w:rsid w:val="00440EB7"/>
    <w:rsid w:val="00455F63"/>
    <w:rsid w:val="00462001"/>
    <w:rsid w:val="00484141"/>
    <w:rsid w:val="00497648"/>
    <w:rsid w:val="00504D7A"/>
    <w:rsid w:val="005C68CD"/>
    <w:rsid w:val="006215DE"/>
    <w:rsid w:val="00627276"/>
    <w:rsid w:val="00720B0E"/>
    <w:rsid w:val="00752063"/>
    <w:rsid w:val="00773099"/>
    <w:rsid w:val="007E367B"/>
    <w:rsid w:val="0086349D"/>
    <w:rsid w:val="008D1D68"/>
    <w:rsid w:val="008F2FD8"/>
    <w:rsid w:val="009300DF"/>
    <w:rsid w:val="009539CC"/>
    <w:rsid w:val="009B4BF7"/>
    <w:rsid w:val="009B55B0"/>
    <w:rsid w:val="00AA6A83"/>
    <w:rsid w:val="00AA7DBB"/>
    <w:rsid w:val="00AB0DCB"/>
    <w:rsid w:val="00B81748"/>
    <w:rsid w:val="00C55FD9"/>
    <w:rsid w:val="00D30BDA"/>
    <w:rsid w:val="00D36AD0"/>
    <w:rsid w:val="00DA5B1C"/>
    <w:rsid w:val="00E301DB"/>
    <w:rsid w:val="00E33A8D"/>
    <w:rsid w:val="00E82B12"/>
    <w:rsid w:val="00EB7B67"/>
    <w:rsid w:val="00F42613"/>
    <w:rsid w:val="00F54535"/>
    <w:rsid w:val="00F54650"/>
    <w:rsid w:val="00F56733"/>
    <w:rsid w:val="00FB5AC1"/>
    <w:rsid w:val="00FC7476"/>
    <w:rsid w:val="010B32D4"/>
    <w:rsid w:val="0140D806"/>
    <w:rsid w:val="016CA8B9"/>
    <w:rsid w:val="019EFEA2"/>
    <w:rsid w:val="01CDA3D1"/>
    <w:rsid w:val="025ED59D"/>
    <w:rsid w:val="0317549D"/>
    <w:rsid w:val="032169D0"/>
    <w:rsid w:val="0321A6A6"/>
    <w:rsid w:val="032AF9A8"/>
    <w:rsid w:val="0381AC02"/>
    <w:rsid w:val="03B49365"/>
    <w:rsid w:val="03C78998"/>
    <w:rsid w:val="03D1A19A"/>
    <w:rsid w:val="03FAA5FE"/>
    <w:rsid w:val="044AB632"/>
    <w:rsid w:val="04A44807"/>
    <w:rsid w:val="04A9E1D5"/>
    <w:rsid w:val="04BD3A31"/>
    <w:rsid w:val="056C10CD"/>
    <w:rsid w:val="0596765F"/>
    <w:rsid w:val="05E375C1"/>
    <w:rsid w:val="06053CED"/>
    <w:rsid w:val="0658E582"/>
    <w:rsid w:val="06952698"/>
    <w:rsid w:val="07090586"/>
    <w:rsid w:val="0753A7C6"/>
    <w:rsid w:val="07D99287"/>
    <w:rsid w:val="0899AB5E"/>
    <w:rsid w:val="094EE98D"/>
    <w:rsid w:val="099B5467"/>
    <w:rsid w:val="09C279C6"/>
    <w:rsid w:val="0A1C8E1C"/>
    <w:rsid w:val="0B0F827C"/>
    <w:rsid w:val="0B41A7E1"/>
    <w:rsid w:val="0B9193FB"/>
    <w:rsid w:val="0BB1AE9E"/>
    <w:rsid w:val="0CD07672"/>
    <w:rsid w:val="0CEA806F"/>
    <w:rsid w:val="0D4BB3FD"/>
    <w:rsid w:val="0E225AB0"/>
    <w:rsid w:val="0E271DA6"/>
    <w:rsid w:val="0EEDBE05"/>
    <w:rsid w:val="0F3EF3E3"/>
    <w:rsid w:val="0F4BD997"/>
    <w:rsid w:val="0F629B72"/>
    <w:rsid w:val="0FDE84D2"/>
    <w:rsid w:val="11048E41"/>
    <w:rsid w:val="117A8749"/>
    <w:rsid w:val="11E57A46"/>
    <w:rsid w:val="11F82A5F"/>
    <w:rsid w:val="122A01CF"/>
    <w:rsid w:val="1332B6F0"/>
    <w:rsid w:val="1389847C"/>
    <w:rsid w:val="13DD5DD3"/>
    <w:rsid w:val="13E1721E"/>
    <w:rsid w:val="144D0BD3"/>
    <w:rsid w:val="1489172D"/>
    <w:rsid w:val="148CFE63"/>
    <w:rsid w:val="15D13B7A"/>
    <w:rsid w:val="16074C70"/>
    <w:rsid w:val="162B9B30"/>
    <w:rsid w:val="16A83488"/>
    <w:rsid w:val="1771B916"/>
    <w:rsid w:val="17C1CDD3"/>
    <w:rsid w:val="17C779C0"/>
    <w:rsid w:val="17F7A3D7"/>
    <w:rsid w:val="1912F6DB"/>
    <w:rsid w:val="198B7F14"/>
    <w:rsid w:val="19EE7E2E"/>
    <w:rsid w:val="1A81A68A"/>
    <w:rsid w:val="1B274F75"/>
    <w:rsid w:val="1C2A4FE2"/>
    <w:rsid w:val="1C463E71"/>
    <w:rsid w:val="1C89E243"/>
    <w:rsid w:val="1C928FC1"/>
    <w:rsid w:val="1CC8D419"/>
    <w:rsid w:val="1D7FFE7F"/>
    <w:rsid w:val="1D8C7D2E"/>
    <w:rsid w:val="1D9DC20A"/>
    <w:rsid w:val="1F5517AD"/>
    <w:rsid w:val="1FB33EF9"/>
    <w:rsid w:val="1FB94EEF"/>
    <w:rsid w:val="209846AA"/>
    <w:rsid w:val="209C65C1"/>
    <w:rsid w:val="20A30932"/>
    <w:rsid w:val="219690F9"/>
    <w:rsid w:val="219A97DA"/>
    <w:rsid w:val="21C1963D"/>
    <w:rsid w:val="223A859E"/>
    <w:rsid w:val="22F12A40"/>
    <w:rsid w:val="231FB7C3"/>
    <w:rsid w:val="23AB89AD"/>
    <w:rsid w:val="2450F3C5"/>
    <w:rsid w:val="24BB8824"/>
    <w:rsid w:val="250356CA"/>
    <w:rsid w:val="253166D5"/>
    <w:rsid w:val="254C4197"/>
    <w:rsid w:val="254D97CD"/>
    <w:rsid w:val="2591EA03"/>
    <w:rsid w:val="25F30EC7"/>
    <w:rsid w:val="25FDBDD9"/>
    <w:rsid w:val="26389182"/>
    <w:rsid w:val="26E811F8"/>
    <w:rsid w:val="26FCDB80"/>
    <w:rsid w:val="27244F19"/>
    <w:rsid w:val="28521830"/>
    <w:rsid w:val="28B9FB56"/>
    <w:rsid w:val="29367115"/>
    <w:rsid w:val="294738C5"/>
    <w:rsid w:val="2991DAFA"/>
    <w:rsid w:val="29B288D2"/>
    <w:rsid w:val="2A266B1E"/>
    <w:rsid w:val="2B97F2DB"/>
    <w:rsid w:val="2C1DBFC9"/>
    <w:rsid w:val="2C335DDF"/>
    <w:rsid w:val="2C3B883B"/>
    <w:rsid w:val="2C4DB3AE"/>
    <w:rsid w:val="2C886EAF"/>
    <w:rsid w:val="2D8518D1"/>
    <w:rsid w:val="2DCF2E40"/>
    <w:rsid w:val="2EF750B5"/>
    <w:rsid w:val="2F8DBC08"/>
    <w:rsid w:val="30792D95"/>
    <w:rsid w:val="3180E2CF"/>
    <w:rsid w:val="3191F19B"/>
    <w:rsid w:val="31A5CBF5"/>
    <w:rsid w:val="31CAA07E"/>
    <w:rsid w:val="32C09A88"/>
    <w:rsid w:val="32DBA58F"/>
    <w:rsid w:val="335072AA"/>
    <w:rsid w:val="33B8CA57"/>
    <w:rsid w:val="34803C10"/>
    <w:rsid w:val="34E1C5CF"/>
    <w:rsid w:val="34EC430B"/>
    <w:rsid w:val="34EC7D12"/>
    <w:rsid w:val="35326F8D"/>
    <w:rsid w:val="359B6CB3"/>
    <w:rsid w:val="36D6550B"/>
    <w:rsid w:val="3763F969"/>
    <w:rsid w:val="38241DD4"/>
    <w:rsid w:val="3837B8F2"/>
    <w:rsid w:val="38C635D4"/>
    <w:rsid w:val="39598C29"/>
    <w:rsid w:val="39BFB42E"/>
    <w:rsid w:val="39FB4344"/>
    <w:rsid w:val="3A51B2C2"/>
    <w:rsid w:val="3A812E05"/>
    <w:rsid w:val="3ACF3AD5"/>
    <w:rsid w:val="3B2B01C5"/>
    <w:rsid w:val="3B9A98FE"/>
    <w:rsid w:val="3BE42B5F"/>
    <w:rsid w:val="3C06F5CE"/>
    <w:rsid w:val="3C4302DA"/>
    <w:rsid w:val="3C844914"/>
    <w:rsid w:val="3CCC7A30"/>
    <w:rsid w:val="3CF754F0"/>
    <w:rsid w:val="3DD45409"/>
    <w:rsid w:val="3EBFECA0"/>
    <w:rsid w:val="3F56931C"/>
    <w:rsid w:val="3F9B94E2"/>
    <w:rsid w:val="4026110D"/>
    <w:rsid w:val="40AB3B31"/>
    <w:rsid w:val="41EE889D"/>
    <w:rsid w:val="4253BAB1"/>
    <w:rsid w:val="426BD0CC"/>
    <w:rsid w:val="42A78856"/>
    <w:rsid w:val="43CD0515"/>
    <w:rsid w:val="440196F0"/>
    <w:rsid w:val="4443958D"/>
    <w:rsid w:val="45DEF43C"/>
    <w:rsid w:val="45EF045F"/>
    <w:rsid w:val="46A4B797"/>
    <w:rsid w:val="46BECA75"/>
    <w:rsid w:val="46C31F62"/>
    <w:rsid w:val="475251EF"/>
    <w:rsid w:val="475616CC"/>
    <w:rsid w:val="47AC2839"/>
    <w:rsid w:val="47CC0FD4"/>
    <w:rsid w:val="482F0BB0"/>
    <w:rsid w:val="48666B00"/>
    <w:rsid w:val="48D92E1A"/>
    <w:rsid w:val="494FFC19"/>
    <w:rsid w:val="49B7C9A3"/>
    <w:rsid w:val="49EE977F"/>
    <w:rsid w:val="4A023B61"/>
    <w:rsid w:val="4A4476BE"/>
    <w:rsid w:val="4A901ED7"/>
    <w:rsid w:val="4B0617DF"/>
    <w:rsid w:val="4B0B1C78"/>
    <w:rsid w:val="4C4EC815"/>
    <w:rsid w:val="4DBCAD30"/>
    <w:rsid w:val="4EC50BC6"/>
    <w:rsid w:val="4F71B945"/>
    <w:rsid w:val="4FD021B2"/>
    <w:rsid w:val="4FDB1C2E"/>
    <w:rsid w:val="503B496F"/>
    <w:rsid w:val="5074541A"/>
    <w:rsid w:val="511407DD"/>
    <w:rsid w:val="5119BD24"/>
    <w:rsid w:val="52DDB602"/>
    <w:rsid w:val="53B2A624"/>
    <w:rsid w:val="53C1EFED"/>
    <w:rsid w:val="541FA840"/>
    <w:rsid w:val="545754D4"/>
    <w:rsid w:val="549282AD"/>
    <w:rsid w:val="553A390D"/>
    <w:rsid w:val="56939560"/>
    <w:rsid w:val="56E7222F"/>
    <w:rsid w:val="56E90FD5"/>
    <w:rsid w:val="5702D63F"/>
    <w:rsid w:val="57345B90"/>
    <w:rsid w:val="57C41AA5"/>
    <w:rsid w:val="57CC1449"/>
    <w:rsid w:val="57D2CC3A"/>
    <w:rsid w:val="5840F3FA"/>
    <w:rsid w:val="5847E165"/>
    <w:rsid w:val="586997CA"/>
    <w:rsid w:val="586BB7D9"/>
    <w:rsid w:val="5882B889"/>
    <w:rsid w:val="58F0D831"/>
    <w:rsid w:val="59A8D5D3"/>
    <w:rsid w:val="59C41980"/>
    <w:rsid w:val="59C5C673"/>
    <w:rsid w:val="5A07014B"/>
    <w:rsid w:val="5A0FB296"/>
    <w:rsid w:val="5B3AA4B9"/>
    <w:rsid w:val="5B4C35B6"/>
    <w:rsid w:val="5B5A4D19"/>
    <w:rsid w:val="5BE7A6CE"/>
    <w:rsid w:val="5C14CE41"/>
    <w:rsid w:val="5CE60A36"/>
    <w:rsid w:val="5D3F28FC"/>
    <w:rsid w:val="5DF9DFF8"/>
    <w:rsid w:val="5E993796"/>
    <w:rsid w:val="5EB27AC1"/>
    <w:rsid w:val="5F2933C6"/>
    <w:rsid w:val="5F625AE7"/>
    <w:rsid w:val="5F756E04"/>
    <w:rsid w:val="5F95B059"/>
    <w:rsid w:val="5FD4B1D3"/>
    <w:rsid w:val="613180BA"/>
    <w:rsid w:val="61D59B4E"/>
    <w:rsid w:val="61FCAE50"/>
    <w:rsid w:val="62CD511B"/>
    <w:rsid w:val="63368FBC"/>
    <w:rsid w:val="637B54E1"/>
    <w:rsid w:val="63AE6A80"/>
    <w:rsid w:val="63B57BC0"/>
    <w:rsid w:val="6417DD3F"/>
    <w:rsid w:val="64916FCD"/>
    <w:rsid w:val="64ADBC69"/>
    <w:rsid w:val="64BB92A6"/>
    <w:rsid w:val="64D9105A"/>
    <w:rsid w:val="650D3C10"/>
    <w:rsid w:val="6539691F"/>
    <w:rsid w:val="65484D3B"/>
    <w:rsid w:val="655D427C"/>
    <w:rsid w:val="663C7C57"/>
    <w:rsid w:val="664C645E"/>
    <w:rsid w:val="664CC59B"/>
    <w:rsid w:val="6673429D"/>
    <w:rsid w:val="66ED1C82"/>
    <w:rsid w:val="6729D341"/>
    <w:rsid w:val="6764E7C5"/>
    <w:rsid w:val="67A00B2F"/>
    <w:rsid w:val="67D9CE35"/>
    <w:rsid w:val="6803A433"/>
    <w:rsid w:val="683B10FE"/>
    <w:rsid w:val="6889C929"/>
    <w:rsid w:val="68C76186"/>
    <w:rsid w:val="69B4352B"/>
    <w:rsid w:val="69D36536"/>
    <w:rsid w:val="69FC36D0"/>
    <w:rsid w:val="6A35B267"/>
    <w:rsid w:val="6B2036BE"/>
    <w:rsid w:val="6B659ED8"/>
    <w:rsid w:val="6C0F9E20"/>
    <w:rsid w:val="6C1BF434"/>
    <w:rsid w:val="6CBC071F"/>
    <w:rsid w:val="6CF4F894"/>
    <w:rsid w:val="6D41F1E0"/>
    <w:rsid w:val="6E7C99C1"/>
    <w:rsid w:val="6F56D14D"/>
    <w:rsid w:val="6F6D0556"/>
    <w:rsid w:val="6FDCE4EB"/>
    <w:rsid w:val="7048C7BF"/>
    <w:rsid w:val="70671404"/>
    <w:rsid w:val="70FC5DD6"/>
    <w:rsid w:val="714A9CF7"/>
    <w:rsid w:val="7180ED51"/>
    <w:rsid w:val="72896408"/>
    <w:rsid w:val="72F993C6"/>
    <w:rsid w:val="730D3676"/>
    <w:rsid w:val="7333E4B6"/>
    <w:rsid w:val="733526F1"/>
    <w:rsid w:val="73587084"/>
    <w:rsid w:val="73B297AE"/>
    <w:rsid w:val="73CDC557"/>
    <w:rsid w:val="7400D294"/>
    <w:rsid w:val="74A786A0"/>
    <w:rsid w:val="7570D323"/>
    <w:rsid w:val="758E96D7"/>
    <w:rsid w:val="77786DCA"/>
    <w:rsid w:val="7778CD7E"/>
    <w:rsid w:val="798B5E7A"/>
    <w:rsid w:val="79F5338F"/>
    <w:rsid w:val="7AF67450"/>
    <w:rsid w:val="7B1694C0"/>
    <w:rsid w:val="7B546228"/>
    <w:rsid w:val="7B98FB49"/>
    <w:rsid w:val="7C1093E1"/>
    <w:rsid w:val="7C6836F4"/>
    <w:rsid w:val="7CF66084"/>
    <w:rsid w:val="7CF8F14C"/>
    <w:rsid w:val="7E32B040"/>
    <w:rsid w:val="7F08A602"/>
    <w:rsid w:val="7F2737BB"/>
    <w:rsid w:val="7F4E0DF1"/>
    <w:rsid w:val="7F69AEF6"/>
    <w:rsid w:val="7F8E2B1E"/>
    <w:rsid w:val="7FB01946"/>
    <w:rsid w:val="7FCE80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D8FB5"/>
  <w15:chartTrackingRefBased/>
  <w15:docId w15:val="{DBC4A9A9-75C6-46CC-AE39-A9E2E78BD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613"/>
    <w:pPr>
      <w:spacing w:after="240" w:line="240" w:lineRule="auto"/>
      <w:jc w:val="both"/>
    </w:pPr>
    <w:rPr>
      <w:rFonts w:ascii="Courier New" w:eastAsia="Times New Roman" w:hAnsi="Courier New"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single space,fn"/>
    <w:basedOn w:val="Normal"/>
    <w:link w:val="FootnoteTextChar2"/>
    <w:uiPriority w:val="99"/>
    <w:qFormat/>
    <w:rsid w:val="00F42613"/>
    <w:pPr>
      <w:ind w:left="357" w:hanging="357"/>
    </w:pPr>
    <w:rPr>
      <w:sz w:val="20"/>
    </w:rPr>
  </w:style>
  <w:style w:type="character" w:customStyle="1" w:styleId="FootnoteTextChar">
    <w:name w:val="Footnote Text Char"/>
    <w:basedOn w:val="DefaultParagraphFont"/>
    <w:uiPriority w:val="99"/>
    <w:semiHidden/>
    <w:rsid w:val="00F42613"/>
    <w:rPr>
      <w:rFonts w:ascii="Courier New" w:eastAsia="Times New Roman" w:hAnsi="Courier New" w:cs="Times New Roman"/>
      <w:sz w:val="20"/>
      <w:szCs w:val="20"/>
      <w:lang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F42613"/>
    <w:rPr>
      <w:vertAlign w:val="superscript"/>
    </w:rPr>
  </w:style>
  <w:style w:type="character" w:styleId="Hyperlink">
    <w:name w:val="Hyperlink"/>
    <w:aliases w:val="Char1"/>
    <w:uiPriority w:val="99"/>
    <w:qFormat/>
    <w:rsid w:val="00F42613"/>
    <w:rPr>
      <w:color w:val="0000FF"/>
      <w:u w:val="single"/>
    </w:rPr>
  </w:style>
  <w:style w:type="character" w:customStyle="1" w:styleId="FootnoteTextChar2">
    <w:name w:val="Footnote Text Char2"/>
    <w:aliases w:val="Footnote Text Char1 Char Char,Footnote Text Char Char Char Char,Fußnotentext Char Char1 Char Char Char,Fußnotentext Char1 Char1 Char Char Char Char,Fußnotentext Char Char Char Char Char Char Char1 Char,Footnote Text Char1 Char1"/>
    <w:link w:val="FootnoteText"/>
    <w:uiPriority w:val="99"/>
    <w:qFormat/>
    <w:rsid w:val="00F42613"/>
    <w:rPr>
      <w:rFonts w:ascii="Courier New" w:eastAsia="Times New Roman" w:hAnsi="Courier New" w:cs="Times New Roman"/>
      <w:sz w:val="20"/>
      <w:szCs w:val="20"/>
      <w:lang w:eastAsia="en-GB"/>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F42613"/>
    <w:pPr>
      <w:spacing w:after="160" w:line="240" w:lineRule="exact"/>
      <w:jc w:val="left"/>
    </w:pPr>
    <w:rPr>
      <w:rFonts w:asciiTheme="minorHAnsi" w:eastAsiaTheme="minorHAnsi" w:hAnsiTheme="minorHAnsi" w:cstheme="minorBidi"/>
      <w:sz w:val="22"/>
      <w:szCs w:val="22"/>
      <w:vertAlign w:val="superscript"/>
      <w:lang w:eastAsia="en-US"/>
    </w:rPr>
  </w:style>
  <w:style w:type="paragraph" w:styleId="ListParagraph">
    <w:name w:val="List Paragraph"/>
    <w:basedOn w:val="Normal"/>
    <w:uiPriority w:val="34"/>
    <w:qFormat/>
    <w:rsid w:val="001431F9"/>
    <w:pPr>
      <w:ind w:left="720"/>
      <w:contextualSpacing/>
    </w:pPr>
  </w:style>
  <w:style w:type="character" w:customStyle="1" w:styleId="normaltextrun">
    <w:name w:val="normaltextrun"/>
    <w:basedOn w:val="DefaultParagraphFont"/>
    <w:rsid w:val="00440EB7"/>
  </w:style>
  <w:style w:type="character" w:customStyle="1" w:styleId="eop">
    <w:name w:val="eop"/>
    <w:basedOn w:val="DefaultParagraphFont"/>
    <w:rsid w:val="00440EB7"/>
  </w:style>
  <w:style w:type="paragraph" w:customStyle="1" w:styleId="NormalHanging12a">
    <w:name w:val="NormalHanging12a"/>
    <w:basedOn w:val="Normal"/>
    <w:link w:val="NormalHanging12aChar"/>
    <w:uiPriority w:val="1"/>
    <w:rsid w:val="0753A7C6"/>
    <w:pPr>
      <w:ind w:left="567" w:hanging="567"/>
    </w:pPr>
    <w:rPr>
      <w:lang w:eastAsia="en-US"/>
    </w:rPr>
  </w:style>
  <w:style w:type="character" w:customStyle="1" w:styleId="NormalHanging12aChar">
    <w:name w:val="NormalHanging12a Char"/>
    <w:basedOn w:val="DefaultParagraphFont"/>
    <w:link w:val="NormalHanging12a"/>
    <w:uiPriority w:val="1"/>
    <w:rsid w:val="0753A7C6"/>
    <w:rPr>
      <w:sz w:val="24"/>
      <w:szCs w:val="24"/>
      <w:lang w:eastAsia="en-US"/>
    </w:rPr>
  </w:style>
  <w:style w:type="paragraph" w:styleId="Header">
    <w:name w:val="header"/>
    <w:basedOn w:val="Normal"/>
    <w:link w:val="HeaderChar"/>
    <w:uiPriority w:val="99"/>
    <w:semiHidden/>
    <w:unhideWhenUsed/>
    <w:rsid w:val="00E82B12"/>
    <w:pPr>
      <w:tabs>
        <w:tab w:val="center" w:pos="4513"/>
        <w:tab w:val="right" w:pos="9026"/>
      </w:tabs>
      <w:spacing w:after="0"/>
    </w:pPr>
  </w:style>
  <w:style w:type="character" w:customStyle="1" w:styleId="HeaderChar">
    <w:name w:val="Header Char"/>
    <w:basedOn w:val="DefaultParagraphFont"/>
    <w:link w:val="Header"/>
    <w:uiPriority w:val="99"/>
    <w:semiHidden/>
    <w:rsid w:val="00E82B12"/>
    <w:rPr>
      <w:rFonts w:ascii="Courier New" w:eastAsia="Times New Roman" w:hAnsi="Courier New" w:cs="Times New Roman"/>
      <w:sz w:val="24"/>
      <w:szCs w:val="20"/>
      <w:lang w:eastAsia="en-GB"/>
    </w:rPr>
  </w:style>
  <w:style w:type="paragraph" w:styleId="Footer">
    <w:name w:val="footer"/>
    <w:basedOn w:val="Normal"/>
    <w:link w:val="FooterChar"/>
    <w:uiPriority w:val="99"/>
    <w:semiHidden/>
    <w:unhideWhenUsed/>
    <w:rsid w:val="00E82B12"/>
    <w:pPr>
      <w:tabs>
        <w:tab w:val="center" w:pos="4513"/>
        <w:tab w:val="right" w:pos="9026"/>
      </w:tabs>
      <w:spacing w:after="0"/>
    </w:pPr>
  </w:style>
  <w:style w:type="character" w:customStyle="1" w:styleId="FooterChar">
    <w:name w:val="Footer Char"/>
    <w:basedOn w:val="DefaultParagraphFont"/>
    <w:link w:val="Footer"/>
    <w:uiPriority w:val="99"/>
    <w:semiHidden/>
    <w:rsid w:val="00E82B12"/>
    <w:rPr>
      <w:rFonts w:ascii="Courier New" w:eastAsia="Times New Roman" w:hAnsi="Courier New" w:cs="Times New Roman"/>
      <w:sz w:val="24"/>
      <w:szCs w:val="20"/>
      <w:lang w:eastAsia="en-GB"/>
    </w:rPr>
  </w:style>
  <w:style w:type="paragraph" w:styleId="Revision">
    <w:name w:val="Revision"/>
    <w:hidden/>
    <w:uiPriority w:val="99"/>
    <w:semiHidden/>
    <w:rsid w:val="002061AB"/>
    <w:pPr>
      <w:spacing w:after="0" w:line="240" w:lineRule="auto"/>
    </w:pPr>
    <w:rPr>
      <w:rFonts w:ascii="Courier New" w:eastAsia="Times New Roman" w:hAnsi="Courier New" w:cs="Times New Roman"/>
      <w:sz w:val="24"/>
      <w:szCs w:val="20"/>
      <w:lang w:eastAsia="en-GB"/>
    </w:rPr>
  </w:style>
  <w:style w:type="character" w:styleId="CommentReference">
    <w:name w:val="annotation reference"/>
    <w:basedOn w:val="DefaultParagraphFont"/>
    <w:uiPriority w:val="99"/>
    <w:semiHidden/>
    <w:unhideWhenUsed/>
    <w:rsid w:val="002061AB"/>
    <w:rPr>
      <w:sz w:val="16"/>
      <w:szCs w:val="16"/>
    </w:rPr>
  </w:style>
  <w:style w:type="paragraph" w:styleId="CommentText">
    <w:name w:val="annotation text"/>
    <w:basedOn w:val="Normal"/>
    <w:link w:val="CommentTextChar"/>
    <w:uiPriority w:val="99"/>
    <w:unhideWhenUsed/>
    <w:rsid w:val="002061AB"/>
    <w:rPr>
      <w:sz w:val="20"/>
    </w:rPr>
  </w:style>
  <w:style w:type="character" w:customStyle="1" w:styleId="CommentTextChar">
    <w:name w:val="Comment Text Char"/>
    <w:basedOn w:val="DefaultParagraphFont"/>
    <w:link w:val="CommentText"/>
    <w:uiPriority w:val="99"/>
    <w:rsid w:val="002061AB"/>
    <w:rPr>
      <w:rFonts w:ascii="Courier New" w:eastAsia="Times New Roman" w:hAnsi="Courier New"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061AB"/>
    <w:rPr>
      <w:b/>
      <w:bCs/>
    </w:rPr>
  </w:style>
  <w:style w:type="character" w:customStyle="1" w:styleId="CommentSubjectChar">
    <w:name w:val="Comment Subject Char"/>
    <w:basedOn w:val="CommentTextChar"/>
    <w:link w:val="CommentSubject"/>
    <w:uiPriority w:val="99"/>
    <w:semiHidden/>
    <w:rsid w:val="002061AB"/>
    <w:rPr>
      <w:rFonts w:ascii="Courier New" w:eastAsia="Times New Roman" w:hAnsi="Courier New"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05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2B821FD596CA4199F5E15CA8AF115B" ma:contentTypeVersion="6" ma:contentTypeDescription="Create a new document." ma:contentTypeScope="" ma:versionID="ede8ed15f0d15049e5bf77b65a93b564">
  <xsd:schema xmlns:xsd="http://www.w3.org/2001/XMLSchema" xmlns:xs="http://www.w3.org/2001/XMLSchema" xmlns:p="http://schemas.microsoft.com/office/2006/metadata/properties" xmlns:ns2="6d5ad584-533d-4d9e-8d12-f1eda2044479" targetNamespace="http://schemas.microsoft.com/office/2006/metadata/properties" ma:root="true" ma:fieldsID="3960b9a1fdf3ca65f2b464f31d526a0d" ns2:_="">
    <xsd:import namespace="6d5ad584-533d-4d9e-8d12-f1eda20444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5ad584-533d-4d9e-8d12-f1eda2044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D01C18-BDDC-46DB-AB6F-B4DB43958C0B}">
  <ds:schemaRefs>
    <ds:schemaRef ds:uri="http://schemas.microsoft.com/sharepoint/v3/contenttype/forms"/>
  </ds:schemaRefs>
</ds:datastoreItem>
</file>

<file path=customXml/itemProps2.xml><?xml version="1.0" encoding="utf-8"?>
<ds:datastoreItem xmlns:ds="http://schemas.openxmlformats.org/officeDocument/2006/customXml" ds:itemID="{2D84B7B9-A198-4769-AF95-338A4FB5E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5ad584-533d-4d9e-8d12-f1eda2044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F5F89A-92F4-4AD1-8267-771CF89DF5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1660</Words>
  <Characters>9679</Characters>
  <Application>Microsoft Office Word</Application>
  <DocSecurity>0</DocSecurity>
  <Lines>132</Lines>
  <Paragraphs>23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KALBUROV Ivan (INTPA)</dc:creator>
  <cp:keywords/>
  <dc:description/>
  <cp:lastModifiedBy>DELBAER Gerda (SG)</cp:lastModifiedBy>
  <cp:revision>2</cp:revision>
  <dcterms:created xsi:type="dcterms:W3CDTF">2024-03-26T15:35:00Z</dcterms:created>
  <dcterms:modified xsi:type="dcterms:W3CDTF">2024-03-26T15:35:00Z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2023-12-14T15:05:47Z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651af0e3-744b-471f-a97a-7eebb295dacb</vt:lpwstr>
  </property>
  <property fmtid="{D5CDD505-2E9C-101B-9397-08002B2CF9AE}" pid="8" name="MSIP_Label_6bd9ddd1-4d20-43f6-abfa-fc3c07406f94_ContentBits">
    <vt:lpwstr>0</vt:lpwstr>
  </property>
  <property fmtid="{D5CDD505-2E9C-101B-9397-08002B2CF9AE}" pid="9" name="ContentTypeId">
    <vt:lpwstr>0x010100852B821FD596CA4199F5E15CA8AF115B</vt:lpwstr>
  </property>
</Properties>
</file>