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C8E6" w14:textId="3953A44E" w:rsidR="00F42613" w:rsidRDefault="00F42613" w:rsidP="00F42613">
      <w:pPr>
        <w:spacing w:after="600"/>
        <w:jc w:val="center"/>
        <w:rPr>
          <w:rFonts w:ascii="Times New Roman" w:hAnsi="Times New Roman"/>
          <w:b/>
          <w:bCs/>
        </w:rPr>
      </w:pPr>
      <w:bookmarkStart w:id="0" w:name="SME"/>
      <w:bookmarkStart w:id="1" w:name="_Hlk158196331"/>
      <w:r>
        <w:rPr>
          <w:rFonts w:ascii="Times New Roman" w:hAnsi="Times New Roman"/>
          <w:b/>
        </w:rPr>
        <w:t xml:space="preserve">Suite donnée à la résolution non législative du Parlement européen sur </w:t>
      </w:r>
      <w:bookmarkStart w:id="2" w:name="_Hlk158196218"/>
      <w:r>
        <w:rPr>
          <w:rFonts w:ascii="Times New Roman" w:hAnsi="Times New Roman"/>
          <w:b/>
        </w:rPr>
        <w:t>la coopération au développement de l’Union européenne pour améliorer l’accès à l’éducation et à la formation dans les pays en développement</w:t>
      </w:r>
      <w:bookmarkEnd w:id="2"/>
    </w:p>
    <w:bookmarkEnd w:id="0"/>
    <w:p w14:paraId="1298E41E" w14:textId="71E7CF71" w:rsidR="00F42613" w:rsidRPr="0075093A" w:rsidRDefault="003B3956" w:rsidP="00F42613">
      <w:pPr>
        <w:numPr>
          <w:ilvl w:val="0"/>
          <w:numId w:val="1"/>
        </w:numPr>
        <w:ind w:left="567" w:hanging="567"/>
        <w:rPr>
          <w:rFonts w:ascii="Times New Roman" w:hAnsi="Times New Roman"/>
          <w:b/>
        </w:rPr>
      </w:pPr>
      <w:r>
        <w:rPr>
          <w:rFonts w:ascii="Times New Roman" w:hAnsi="Times New Roman"/>
          <w:b/>
        </w:rPr>
        <w:t xml:space="preserve">Rapporteur: </w:t>
      </w:r>
      <w:r>
        <w:rPr>
          <w:rFonts w:ascii="Times New Roman" w:hAnsi="Times New Roman"/>
        </w:rPr>
        <w:t>György HÖLVÉNYI (PPE/HU)</w:t>
      </w:r>
    </w:p>
    <w:p w14:paraId="0E740E18" w14:textId="6971CA1F" w:rsidR="00F42613" w:rsidRPr="00307087" w:rsidRDefault="00F42613" w:rsidP="00F42613">
      <w:pPr>
        <w:numPr>
          <w:ilvl w:val="0"/>
          <w:numId w:val="1"/>
        </w:numPr>
        <w:ind w:left="567" w:hanging="567"/>
        <w:rPr>
          <w:rFonts w:ascii="Times New Roman" w:hAnsi="Times New Roman"/>
          <w:i/>
          <w:iCs/>
        </w:rPr>
      </w:pPr>
      <w:r>
        <w:rPr>
          <w:rFonts w:ascii="Times New Roman" w:hAnsi="Times New Roman"/>
          <w:b/>
        </w:rPr>
        <w:t>Numéros de référence:</w:t>
      </w:r>
      <w:r>
        <w:rPr>
          <w:rFonts w:ascii="Times New Roman" w:hAnsi="Times New Roman"/>
        </w:rPr>
        <w:t xml:space="preserve"> 2023/2067 (INI)/A9-0338/2023/P9_TA(2023)0466</w:t>
      </w:r>
    </w:p>
    <w:p w14:paraId="154D753B" w14:textId="4D63E3F3" w:rsidR="00F42613" w:rsidRDefault="00F42613" w:rsidP="00F42613">
      <w:pPr>
        <w:numPr>
          <w:ilvl w:val="0"/>
          <w:numId w:val="1"/>
        </w:numPr>
        <w:ind w:left="567" w:hanging="567"/>
        <w:rPr>
          <w:rFonts w:ascii="Times New Roman" w:hAnsi="Times New Roman"/>
        </w:rPr>
      </w:pPr>
      <w:r>
        <w:rPr>
          <w:rFonts w:ascii="Times New Roman" w:hAnsi="Times New Roman"/>
          <w:b/>
        </w:rPr>
        <w:t>Date d’adoption de la résolution:</w:t>
      </w:r>
      <w:r>
        <w:rPr>
          <w:rFonts w:ascii="Times New Roman" w:hAnsi="Times New Roman"/>
        </w:rPr>
        <w:t xml:space="preserve"> 13 décembre 2023</w:t>
      </w:r>
    </w:p>
    <w:p w14:paraId="579708FC" w14:textId="7749A4A9" w:rsidR="00F42613" w:rsidRPr="00F17E61" w:rsidRDefault="00F42613" w:rsidP="00F42613">
      <w:pPr>
        <w:widowControl w:val="0"/>
        <w:numPr>
          <w:ilvl w:val="0"/>
          <w:numId w:val="1"/>
        </w:numPr>
        <w:ind w:left="567" w:hanging="567"/>
        <w:rPr>
          <w:rFonts w:ascii="Times New Roman" w:hAnsi="Times New Roman"/>
          <w:szCs w:val="24"/>
        </w:rPr>
      </w:pPr>
      <w:bookmarkStart w:id="3" w:name="_Hlk152762992"/>
      <w:r>
        <w:rPr>
          <w:rFonts w:ascii="Times New Roman" w:hAnsi="Times New Roman"/>
          <w:b/>
        </w:rPr>
        <w:t>Commission parlementaire compétente:</w:t>
      </w:r>
      <w:r>
        <w:rPr>
          <w:rFonts w:ascii="Times New Roman" w:hAnsi="Times New Roman"/>
        </w:rPr>
        <w:t xml:space="preserve"> commission du développement (DEVE)</w:t>
      </w:r>
    </w:p>
    <w:bookmarkEnd w:id="3"/>
    <w:p w14:paraId="5840A05C" w14:textId="77777777" w:rsidR="00F42613" w:rsidRPr="0075739E" w:rsidRDefault="00F42613" w:rsidP="00F42613">
      <w:pPr>
        <w:widowControl w:val="0"/>
        <w:numPr>
          <w:ilvl w:val="0"/>
          <w:numId w:val="1"/>
        </w:numPr>
        <w:ind w:left="567" w:hanging="567"/>
        <w:rPr>
          <w:rFonts w:ascii="Times New Roman" w:hAnsi="Times New Roman"/>
        </w:rPr>
      </w:pPr>
      <w:r>
        <w:rPr>
          <w:rFonts w:ascii="Times New Roman" w:hAnsi="Times New Roman"/>
          <w:b/>
        </w:rPr>
        <w:t>Analyse/évaluation succincte de la résolution et des demandes qu’elle contient:</w:t>
      </w:r>
      <w:r>
        <w:rPr>
          <w:rFonts w:ascii="Times New Roman" w:hAnsi="Times New Roman"/>
        </w:rPr>
        <w:t xml:space="preserve"> </w:t>
      </w:r>
    </w:p>
    <w:p w14:paraId="6D28A9C5" w14:textId="779CD95A" w:rsidR="00893540" w:rsidRPr="001431F9" w:rsidRDefault="659D62BB" w:rsidP="00597495">
      <w:pPr>
        <w:spacing w:after="120"/>
        <w:rPr>
          <w:rFonts w:ascii="Times New Roman" w:hAnsi="Times New Roman"/>
        </w:rPr>
      </w:pPr>
      <w:r>
        <w:rPr>
          <w:rFonts w:ascii="Times New Roman" w:hAnsi="Times New Roman"/>
        </w:rPr>
        <w:t>Dans sa résolution, le Parlement plaide pour qu</w:t>
      </w:r>
      <w:r w:rsidR="00BE1A90">
        <w:rPr>
          <w:rFonts w:ascii="Times New Roman" w:hAnsi="Times New Roman"/>
        </w:rPr>
        <w:t>’</w:t>
      </w:r>
      <w:r>
        <w:rPr>
          <w:rFonts w:ascii="Times New Roman" w:hAnsi="Times New Roman"/>
        </w:rPr>
        <w:t>une attention renouvelée soit accordée au droit à l’éducation pour tous, en mettant l’accent sur le fait que l’éducation doit être gratuite, de qualité, inclusive et accessible, y compris dans les pays fragiles et touchés par des conflits, afin d’atteindre les objectifs de développement durable (ODD) d’ici à 2030. Il demande instamment une augmentation des investissements dans l’éducation dans les pays en développement, en particulier en Afrique subsaharienne, afin de libérer le potentiel humain et de stimuler la croissance économique. Il condamne l’utilisation des écoles à des fins de discours de haine et d’activités extrémistes, et souligne la nécessité de véhiculer des valeurs sociales communes et de favoriser la citoyenneté au moyen d’une éducation de qualité. En outre, il souligne l’importance pour les filles et les femmes d’avoir accès à une éducation de qualité, qui aborde des questions telles que l’accouchement précoce, le mariage précoce et les violences sexistes. Il appelle à soutenir les initiatives qui facilitent l’accès des groupes vulnérables et isolés à l’éducation et à la formation, notamment les populations contraintes au déplacement ou les personnes confrontées à des problèmes de santé mentale ou à des difficultés sociales. Il insiste également sur la nécessité de renforcer l’analyse des coûts et des incidences, d’augmenter le financement de l’éducation préprimaire et primaire, et de promouvoir les partenariats public-privé dans le domaine de la formation technique et professionnelle. Il demande instamment que des mesures soient prises afin de garantir l’accessibilité des écoles et le transport scolaire, en particulier pour les enfants handicapés, et de promouvoir l’apprentissage en ligne et les technologies numériques dans le but de faciliter l’accès à l’éducation. Enfin, il invite la Commission à définir une stratégie claire de mise en œuvre en matière d’action extérieure pour atteindre l’objectif de dépense d’au moins 10 % pour l’éducation, et à veiller à ce que les investissements de l’Union dans l’éducation et la formation servent à soutenir le développement durable des pays partenaires.</w:t>
      </w:r>
    </w:p>
    <w:p w14:paraId="1ABAE65D" w14:textId="55850A1F" w:rsidR="00F42613" w:rsidRPr="00F42613" w:rsidRDefault="00F42613" w:rsidP="004765E7">
      <w:pPr>
        <w:widowControl w:val="0"/>
        <w:numPr>
          <w:ilvl w:val="0"/>
          <w:numId w:val="1"/>
        </w:numPr>
        <w:ind w:left="567" w:hanging="567"/>
        <w:rPr>
          <w:rFonts w:ascii="Times New Roman" w:hAnsi="Times New Roman"/>
          <w:b/>
          <w:bCs/>
          <w:i/>
          <w:iCs/>
        </w:rPr>
      </w:pPr>
      <w:r>
        <w:rPr>
          <w:rFonts w:ascii="Times New Roman" w:hAnsi="Times New Roman"/>
          <w:b/>
        </w:rPr>
        <w:t>Réponse à ces demandes et aperçu des mesures que la Commission a prises ou envisage de prendre:</w:t>
      </w:r>
    </w:p>
    <w:p w14:paraId="47BA2E5F" w14:textId="7D4FF05E" w:rsidR="06454F17" w:rsidRDefault="20FAB325" w:rsidP="00597495">
      <w:pPr>
        <w:pStyle w:val="NormalHanging12a"/>
        <w:widowControl w:val="0"/>
        <w:spacing w:after="120"/>
        <w:ind w:left="0" w:firstLine="0"/>
        <w:rPr>
          <w:rFonts w:ascii="Times New Roman" w:hAnsi="Times New Roman"/>
          <w:b/>
          <w:bCs/>
        </w:rPr>
      </w:pPr>
      <w:r>
        <w:rPr>
          <w:rFonts w:ascii="Times New Roman" w:hAnsi="Times New Roman"/>
        </w:rPr>
        <w:t>Dans un monde de plus en plus polarisé, l’éducation à l</w:t>
      </w:r>
      <w:r w:rsidR="00BE1A90">
        <w:rPr>
          <w:rFonts w:ascii="Times New Roman" w:hAnsi="Times New Roman"/>
        </w:rPr>
        <w:t>’</w:t>
      </w:r>
      <w:r>
        <w:rPr>
          <w:rFonts w:ascii="Times New Roman" w:hAnsi="Times New Roman"/>
        </w:rPr>
        <w:t xml:space="preserve">échelle de planète et le dialogue interculturel sont plus importants que jamais. Ce constat ressort du sommet des Nations unies sur la transformation de l’éducation. L’UE reconnaît le rôle que jouent les partenariats et la coopération à tous les niveaux dans l’apprentissage de la solidarité mondiale, de la justice sociale, de la paix, des droits de l’homme, et de la durabilité. La Commission suit une approche fondée sur les droits de l’homme pour renforcer l’éducation pour tous en vue d’atteindre les objectifs de développement durable, tout en veillant à intégrer la dimension de genre dans toutes ses interventions. Une boîte à outils complète relative à cette approche a été élaborée et </w:t>
      </w:r>
      <w:r>
        <w:rPr>
          <w:rFonts w:ascii="Times New Roman" w:hAnsi="Times New Roman"/>
        </w:rPr>
        <w:lastRenderedPageBreak/>
        <w:t>déployée dans l’ensemble des services de la Commission. En outre, la Commission aide les organisations de la société civile à renforcer la protection des personnes LGBTIQ, à lutter contre l’impunité, la violence et la stigmatisation, à plaider en faveur de lois antidiscriminatoires et à faire émerger des mouvements dans le monde entier (</w:t>
      </w:r>
      <w:r>
        <w:rPr>
          <w:rFonts w:ascii="Times New Roman" w:hAnsi="Times New Roman"/>
          <w:b/>
        </w:rPr>
        <w:t>paragraphes 7 et 20</w:t>
      </w:r>
      <w:r>
        <w:rPr>
          <w:rFonts w:ascii="Times New Roman" w:hAnsi="Times New Roman"/>
        </w:rPr>
        <w:t>).</w:t>
      </w:r>
    </w:p>
    <w:p w14:paraId="5D0FB55A" w14:textId="70D56044" w:rsidR="06454F17" w:rsidRDefault="06454F17" w:rsidP="00597495">
      <w:pPr>
        <w:pStyle w:val="NormalHanging12a"/>
        <w:widowControl w:val="0"/>
        <w:spacing w:after="120"/>
        <w:ind w:left="0" w:firstLine="0"/>
        <w:rPr>
          <w:rFonts w:ascii="Times New Roman" w:hAnsi="Times New Roman"/>
          <w:b/>
          <w:bCs/>
        </w:rPr>
      </w:pPr>
      <w:r>
        <w:rPr>
          <w:rFonts w:ascii="Times New Roman" w:hAnsi="Times New Roman"/>
        </w:rPr>
        <w:t>Le programme Erasmus+ est un vecteur essentiel pour concrétiser la dimension internationale de l’espace européen de l’éducation. Il est également notre principal instrument permettant de soutenir l’environnement favorable aux investissements dans les infrastructures au titre de la stratégie «Global Gateway» en ce qu</w:t>
      </w:r>
      <w:r w:rsidR="00BE1A90">
        <w:rPr>
          <w:rFonts w:ascii="Times New Roman" w:hAnsi="Times New Roman"/>
        </w:rPr>
        <w:t>’</w:t>
      </w:r>
      <w:r>
        <w:rPr>
          <w:rFonts w:ascii="Times New Roman" w:hAnsi="Times New Roman"/>
        </w:rPr>
        <w:t xml:space="preserve">il renforce les capacités et les compétences nécessaires afin de trouver des solutions aux défis mondiaux urgents. Les possibilités de mobilité et d’échange dont disposent les étudiants et les professionnels de l’enseignement africains dans le cadre d’Erasmus+ ont été considérablement augmentées pour la période 2021-2027; pour l’Afrique subsaharienne, le financement (qui couvre l’Afrique subsaharienne, les Caraïbes et le Pacifique) est passé de 85 millions d’euros à 570 millions d’euros. Une nouvelle augmentation sera envisagée lors de l’examen à mi-parcours de l’instrument de voisinage, de coopération au développement et de coopération internationale (IVCDCI) </w:t>
      </w:r>
      <w:r>
        <w:rPr>
          <w:rFonts w:ascii="Times New Roman" w:hAnsi="Times New Roman"/>
          <w:b/>
        </w:rPr>
        <w:t>(paragraphe 11</w:t>
      </w:r>
      <w:r>
        <w:rPr>
          <w:rFonts w:ascii="Times New Roman" w:hAnsi="Times New Roman"/>
        </w:rPr>
        <w:t>).</w:t>
      </w:r>
    </w:p>
    <w:p w14:paraId="75723945" w14:textId="20168935" w:rsidR="7CA450F3" w:rsidRPr="00597495" w:rsidRDefault="7CA450F3" w:rsidP="00597495">
      <w:pPr>
        <w:pStyle w:val="NormalHanging12a"/>
        <w:widowControl w:val="0"/>
        <w:spacing w:after="120"/>
        <w:ind w:left="0" w:firstLine="0"/>
        <w:rPr>
          <w:rFonts w:ascii="Times New Roman" w:hAnsi="Times New Roman"/>
        </w:rPr>
      </w:pPr>
      <w:r>
        <w:rPr>
          <w:rFonts w:ascii="Times New Roman" w:hAnsi="Times New Roman"/>
        </w:rPr>
        <w:t>L’UE considère que l’éducation, y compris l’enseignement et la formation techniques et professionnels (EFTP), est essentielle pour lutter contre les inégalités et favoriser des transitions écologique et numérique durables, ainsi que les investissements de l’UE dans ces secteurs. Elle constitue donc d’un pilier de la stratégie «Global Gateway». Ainsi, il sera important de travailler avec le secteur privé actif dans ces secteurs afin de concevoir des programmes d’enseignement et de formation professionnels (EFP) et de les aligner sur les possibilités d’emploi et les investissements. Par ses investissements dans tous les niveaux d’éducation, ainsi que par le développement professionnel des enseignants, par exemple dans le cadre de l’initiative régionale en faveur des enseignants pour l’Afrique, dotée d’un financement de 100 millions d’euros, l’UE encourage l’acquisition de compétences vertes et numériques, tant de base que spécialisées. Cette initiative régionale aidera les pays africains partenaires à dispenser une éducation de qualité à l</w:t>
      </w:r>
      <w:r w:rsidR="00BE1A90">
        <w:rPr>
          <w:rFonts w:ascii="Times New Roman" w:hAnsi="Times New Roman"/>
        </w:rPr>
        <w:t>’</w:t>
      </w:r>
      <w:r>
        <w:rPr>
          <w:rFonts w:ascii="Times New Roman" w:hAnsi="Times New Roman"/>
        </w:rPr>
        <w:t>ensemble de leurs citoyens et jettera les bases nécessaires à la poursuite du développement du capital humain, notamment en ce qui concerne les transitions numérique et écologique. Elle sera mise en œuvre en complémentarité avec les actions et programmes bilatéraux de l’UE par les États membres de l’UE, l’Union africaine, l’UNESCO, et des fonds mondiaux (</w:t>
      </w:r>
      <w:r>
        <w:rPr>
          <w:rFonts w:ascii="Times New Roman" w:hAnsi="Times New Roman"/>
          <w:b/>
        </w:rPr>
        <w:t>paragraphes 13, 46 et 53</w:t>
      </w:r>
      <w:r>
        <w:rPr>
          <w:rFonts w:ascii="Times New Roman" w:hAnsi="Times New Roman"/>
        </w:rPr>
        <w:t>).</w:t>
      </w:r>
    </w:p>
    <w:p w14:paraId="6A945FEA" w14:textId="023AFFAD" w:rsidR="2A438185" w:rsidRDefault="2A438185" w:rsidP="00597495">
      <w:pPr>
        <w:pStyle w:val="NormalHanging12a"/>
        <w:widowControl w:val="0"/>
        <w:spacing w:after="120"/>
        <w:ind w:left="0" w:firstLine="0"/>
        <w:rPr>
          <w:rFonts w:ascii="Times New Roman" w:hAnsi="Times New Roman"/>
        </w:rPr>
      </w:pPr>
      <w:r>
        <w:rPr>
          <w:rFonts w:ascii="Times New Roman" w:hAnsi="Times New Roman"/>
        </w:rPr>
        <w:t>Conformément à l’ODD 7, l’UE est déterminée à garantir l’accès de tous à des services énergétiques fiables, durables et modernes à un coût abordable et aide les pays partenaires à s’engager dans la transition énergétique en facilitant les investissements durables et à long terme dans des infrastructures énergétiques propres. Au cours de la période 2014-2020, près de 30 millions de personnes, la plupart en Afrique, ont bénéficié d’un accès nouveau ou amélioré à l’énergie grâce aux financements de la Commission, et plus de 31 000 MW de capacités d’énergie renouvelable ont été installées. Dans le cadre de la stratégie «Global Gateway» et des efforts conjoints actuellement déployés par l’Équipe Europe, la Commission continuera de garantir l’accès à une énergie propre à un coût abordable, afin de répondre à la hausse de la demande d’énergie dans le monde (</w:t>
      </w:r>
      <w:r>
        <w:rPr>
          <w:rFonts w:ascii="Times New Roman" w:hAnsi="Times New Roman"/>
          <w:b/>
        </w:rPr>
        <w:t>paragraphe 14</w:t>
      </w:r>
      <w:r>
        <w:rPr>
          <w:rFonts w:ascii="Times New Roman" w:hAnsi="Times New Roman"/>
        </w:rPr>
        <w:t>).</w:t>
      </w:r>
    </w:p>
    <w:p w14:paraId="3D0BC657" w14:textId="500DA9B2" w:rsidR="43D66F1A" w:rsidRPr="00597495" w:rsidRDefault="35DC59BC" w:rsidP="00597495">
      <w:pPr>
        <w:pStyle w:val="NormalHanging12a"/>
        <w:widowControl w:val="0"/>
        <w:spacing w:after="120"/>
        <w:ind w:left="0" w:firstLine="0"/>
        <w:rPr>
          <w:rFonts w:ascii="Times New Roman" w:hAnsi="Times New Roman"/>
          <w:b/>
          <w:bCs/>
        </w:rPr>
      </w:pPr>
      <w:r>
        <w:rPr>
          <w:rFonts w:ascii="Times New Roman" w:hAnsi="Times New Roman"/>
        </w:rPr>
        <w:t xml:space="preserve">L’UE s’est engagée en faveur de l’éducation, notamment dans les situations d’urgence et de crises prolongées, et consacre 10 % de son budget humanitaire et au moins 10 % de son budget en faveur des partenariats internationaux au soutien de la création d’environnements sûrs et favorables qui garantissent un apprentissage de qualité pour tous, y compris pour les populations contraintes au déplacement. En ce qui concerne les partenariats internationaux, les fonds dédiés à l’éducation ont dépassé ce pourcentage minimum en 2021-2022, et cette </w:t>
      </w:r>
      <w:r>
        <w:rPr>
          <w:rFonts w:ascii="Times New Roman" w:hAnsi="Times New Roman"/>
        </w:rPr>
        <w:lastRenderedPageBreak/>
        <w:t>tendance positive devrait se poursuivre également en 2023. L’UE défend l’égalité entre les hommes et les femmes et l’émancipation de toutes les filles, y compris réfugiées, dans le cadre et au moyen de l’éducation et de la formation. Elle promeut un objectif de 50 % de participation des filles aux projets d’éducation dans les situations d’urgence et, 85 % des actions entreprises dans le cadre des relations extérieures au titre du troisième plan d’action sur l’égalité entre les hommes et les femmes et de l’IVCDCI devraient contribuer à l’égalité entre les hommes et les femmes et à l’émancipation des femmes d’ici à 2025 (</w:t>
      </w:r>
      <w:r>
        <w:rPr>
          <w:rFonts w:ascii="Times New Roman" w:hAnsi="Times New Roman"/>
          <w:b/>
        </w:rPr>
        <w:t>paragraphes 16 et 49</w:t>
      </w:r>
      <w:r>
        <w:rPr>
          <w:rFonts w:ascii="Times New Roman" w:hAnsi="Times New Roman"/>
        </w:rPr>
        <w:t>).</w:t>
      </w:r>
    </w:p>
    <w:p w14:paraId="5928B2B0" w14:textId="68CAFDF0" w:rsidR="68D65327" w:rsidRPr="00597495" w:rsidRDefault="45924B18" w:rsidP="00597495">
      <w:pPr>
        <w:spacing w:after="120"/>
        <w:rPr>
          <w:rFonts w:ascii="Times New Roman" w:hAnsi="Times New Roman"/>
        </w:rPr>
      </w:pPr>
      <w:r>
        <w:rPr>
          <w:rFonts w:ascii="Times New Roman" w:hAnsi="Times New Roman"/>
        </w:rPr>
        <w:t>Les actions liées à la santé et aux droits en matière de sexualité et de procréation (SDSP), ainsi que le soutien en faveur du renforcement des systèmes de santé et de leur lien avec l’éducation, sont des aspects importants des partenariats internationaux de l’UE. Il est important d’aborder la question de la santé dans toutes les politiques, comme le prévoit la stratégie de l’UE en matière de santé mondiale (</w:t>
      </w:r>
      <w:r>
        <w:rPr>
          <w:rFonts w:ascii="Times New Roman" w:hAnsi="Times New Roman"/>
          <w:b/>
        </w:rPr>
        <w:t>paragraphe 20</w:t>
      </w:r>
      <w:r>
        <w:rPr>
          <w:rFonts w:ascii="Times New Roman" w:hAnsi="Times New Roman"/>
        </w:rPr>
        <w:t>). L’UE est résolue à mener une action extérieure qui tienne compte du handicap, conformément à la stratégie européenne en faveur des personnes handicapées. Elle aligne ses interventions extérieures sur les cadres et accords internationaux. Parmi ceux-ci figure la convention des Nations unies relative aux droits des personnes handicapées (CNUDPH), qui met l’accent sur le droit des personnes handicapées à participer pleinement à tous les aspects de la vie, y compris l’éducation (</w:t>
      </w:r>
      <w:r>
        <w:rPr>
          <w:rFonts w:ascii="Times New Roman" w:hAnsi="Times New Roman"/>
          <w:b/>
        </w:rPr>
        <w:t>paragraphe 23</w:t>
      </w:r>
      <w:r>
        <w:rPr>
          <w:rFonts w:ascii="Times New Roman" w:hAnsi="Times New Roman"/>
        </w:rPr>
        <w:t>).</w:t>
      </w:r>
    </w:p>
    <w:p w14:paraId="7E1582FC" w14:textId="7C3EBC9A" w:rsidR="19E36EC4" w:rsidRPr="0004607D" w:rsidRDefault="364E047B" w:rsidP="00597495">
      <w:pPr>
        <w:pStyle w:val="NormalHanging12a"/>
        <w:widowControl w:val="0"/>
        <w:spacing w:after="120"/>
        <w:ind w:left="0" w:firstLine="0"/>
        <w:rPr>
          <w:rFonts w:ascii="Times New Roman" w:hAnsi="Times New Roman"/>
        </w:rPr>
      </w:pPr>
      <w:r>
        <w:rPr>
          <w:rFonts w:ascii="Times New Roman" w:hAnsi="Times New Roman"/>
        </w:rPr>
        <w:t>L’UE reconnaît l’éducation comme un droit fondamental et un besoin dans les phénomènes d’urgence à évolution lente, les conflits, les catastrophes provoquées par des aléas naturels ou des épidémies, les crises et les situations d’urgence. Elle œuvre conformément à l’approche associant l’aide humanitaire, le développement et la paix avec un large éventail de partenaires du secteur de l</w:t>
      </w:r>
      <w:r w:rsidR="00BE1A90">
        <w:rPr>
          <w:rFonts w:ascii="Times New Roman" w:hAnsi="Times New Roman"/>
        </w:rPr>
        <w:t>’</w:t>
      </w:r>
      <w:r>
        <w:rPr>
          <w:rFonts w:ascii="Times New Roman" w:hAnsi="Times New Roman"/>
        </w:rPr>
        <w:t>éducation aux niveaux mondial, régional et local afin de trouver et de mettre en œuvre les solutions les plus appropriées et les plus adaptées au contexte en matière d’offre d</w:t>
      </w:r>
      <w:r w:rsidR="00BE1A90">
        <w:rPr>
          <w:rFonts w:ascii="Times New Roman" w:hAnsi="Times New Roman"/>
        </w:rPr>
        <w:t>’</w:t>
      </w:r>
      <w:r>
        <w:rPr>
          <w:rFonts w:ascii="Times New Roman" w:hAnsi="Times New Roman"/>
        </w:rPr>
        <w:t>éducation et de renforcement des systèmes. Elle s’efforce de placer les enfants et les jeunes au centre de ses actions de préparation et de sa réaction dans le domaine de l’éducation (</w:t>
      </w:r>
      <w:r>
        <w:rPr>
          <w:rFonts w:ascii="Times New Roman" w:hAnsi="Times New Roman"/>
          <w:b/>
        </w:rPr>
        <w:t>paragraphe 24</w:t>
      </w:r>
      <w:r>
        <w:rPr>
          <w:rFonts w:ascii="Times New Roman" w:hAnsi="Times New Roman"/>
        </w:rPr>
        <w:t>).</w:t>
      </w:r>
    </w:p>
    <w:p w14:paraId="69EAE1EA" w14:textId="1232DF52" w:rsidR="1D0F9D69" w:rsidRPr="0004607D" w:rsidRDefault="1D0F9D69" w:rsidP="00597495">
      <w:pPr>
        <w:pStyle w:val="NormalHanging12a"/>
        <w:widowControl w:val="0"/>
        <w:spacing w:after="120"/>
        <w:ind w:left="0" w:firstLine="0"/>
        <w:rPr>
          <w:rFonts w:ascii="Times New Roman" w:hAnsi="Times New Roman"/>
        </w:rPr>
      </w:pPr>
      <w:r>
        <w:rPr>
          <w:rFonts w:ascii="Times New Roman" w:hAnsi="Times New Roman"/>
        </w:rPr>
        <w:t>L’UE reconnaît l’éducation comme un bien public. Conformément au plan d’action pour la jeunesse dans l’action extérieure de l’UE et à la stratégie de l’UE sur les droits de l’enfant, l’UE contribue à garantir une éducation de qualité, sûre et inclusive en investissant dans le développement de systèmes éducatifs accessibles et de qualité, ainsi qu’en soutenant l’accès à une connectivité à l’internet durable et à un coût abordable dans les écoles (</w:t>
      </w:r>
      <w:r>
        <w:rPr>
          <w:rFonts w:ascii="Times New Roman" w:hAnsi="Times New Roman"/>
          <w:b/>
        </w:rPr>
        <w:t>paragraphe 28</w:t>
      </w:r>
      <w:r>
        <w:rPr>
          <w:rFonts w:ascii="Times New Roman" w:hAnsi="Times New Roman"/>
        </w:rPr>
        <w:t>).</w:t>
      </w:r>
    </w:p>
    <w:p w14:paraId="17288582" w14:textId="4A77CE60" w:rsidR="00974073" w:rsidRPr="002E482A" w:rsidRDefault="32C1A068" w:rsidP="00597495">
      <w:pPr>
        <w:spacing w:after="120"/>
        <w:rPr>
          <w:rFonts w:ascii="Times New Roman" w:hAnsi="Times New Roman"/>
        </w:rPr>
      </w:pPr>
      <w:r>
        <w:rPr>
          <w:rFonts w:ascii="Times New Roman" w:hAnsi="Times New Roman"/>
        </w:rPr>
        <w:t>La Commission européenne reconnaît les avantages et la nécessité d’adopter des approches intégrées dans ses programmes d’éducation. Il existe des preuves solides que l</w:t>
      </w:r>
      <w:r w:rsidR="00BE1A90">
        <w:rPr>
          <w:rFonts w:ascii="Times New Roman" w:hAnsi="Times New Roman"/>
        </w:rPr>
        <w:t>’</w:t>
      </w:r>
      <w:r>
        <w:rPr>
          <w:rFonts w:ascii="Times New Roman" w:hAnsi="Times New Roman"/>
        </w:rPr>
        <w:t>établissement de liens entre l’éducation et l’hygiène, la nutrition, le climat et l’environnement, les arts et la culture et le soutien psychosocial a une incidence sur les acquis d’apprentissage, l</w:t>
      </w:r>
      <w:r w:rsidR="00BE1A90">
        <w:rPr>
          <w:rFonts w:ascii="Times New Roman" w:hAnsi="Times New Roman"/>
        </w:rPr>
        <w:t>’</w:t>
      </w:r>
      <w:r>
        <w:rPr>
          <w:rFonts w:ascii="Times New Roman" w:hAnsi="Times New Roman"/>
        </w:rPr>
        <w:t>inclusion et le mode de vie durable. C’est la raison pour laquelle la Commission européenne a rejoint la «School Meals Coalition» (coalition pour les repas scolaires) et intégré l’alimentation scolaire dans plusieurs programmes nationaux (</w:t>
      </w:r>
      <w:r>
        <w:rPr>
          <w:rFonts w:ascii="Times New Roman" w:hAnsi="Times New Roman"/>
          <w:b/>
        </w:rPr>
        <w:t>paragraphes 16 et 30</w:t>
      </w:r>
      <w:r>
        <w:rPr>
          <w:rFonts w:ascii="Times New Roman" w:hAnsi="Times New Roman"/>
        </w:rPr>
        <w:t>).</w:t>
      </w:r>
    </w:p>
    <w:p w14:paraId="7C933F61" w14:textId="419931A4" w:rsidR="2DB86E79" w:rsidRPr="0004607D" w:rsidRDefault="2DB86E79" w:rsidP="00597495">
      <w:pPr>
        <w:pStyle w:val="NormalHanging12a"/>
        <w:widowControl w:val="0"/>
        <w:spacing w:after="120"/>
        <w:ind w:left="0" w:firstLine="0"/>
        <w:rPr>
          <w:rFonts w:ascii="Times New Roman" w:hAnsi="Times New Roman"/>
        </w:rPr>
      </w:pPr>
      <w:r>
        <w:rPr>
          <w:rFonts w:ascii="Times New Roman" w:hAnsi="Times New Roman"/>
        </w:rPr>
        <w:t>La Commission effectue des contrôles ex ante, des audits et des contrôles sur place afin de s’assurer que l’exécution du budget de l’UE est encadrée par des procédures préventives solides, et que ces dernières sont appliquées de manière adéquate. Si tel n’est pas le cas, la Commission intervient en suspendant les paiements aux bénéficiaires (</w:t>
      </w:r>
      <w:r>
        <w:rPr>
          <w:rFonts w:ascii="Times New Roman" w:hAnsi="Times New Roman"/>
          <w:b/>
        </w:rPr>
        <w:t>paragraphe 35</w:t>
      </w:r>
      <w:r>
        <w:rPr>
          <w:rFonts w:ascii="Times New Roman" w:hAnsi="Times New Roman"/>
        </w:rPr>
        <w:t>).</w:t>
      </w:r>
    </w:p>
    <w:p w14:paraId="6FD4D7AD" w14:textId="09088182" w:rsidR="3F66CB9D" w:rsidRPr="0004607D" w:rsidRDefault="3F66CB9D" w:rsidP="00597495">
      <w:pPr>
        <w:pStyle w:val="NormalHanging12a"/>
        <w:widowControl w:val="0"/>
        <w:spacing w:after="120"/>
        <w:ind w:left="0" w:firstLine="0"/>
        <w:rPr>
          <w:rFonts w:ascii="Times New Roman" w:hAnsi="Times New Roman"/>
        </w:rPr>
      </w:pPr>
      <w:r>
        <w:rPr>
          <w:rFonts w:ascii="Times New Roman" w:hAnsi="Times New Roman"/>
        </w:rPr>
        <w:t>La transformation des systèmes éducatifs aux fins d</w:t>
      </w:r>
      <w:r w:rsidR="00BE1A90">
        <w:rPr>
          <w:rFonts w:ascii="Times New Roman" w:hAnsi="Times New Roman"/>
        </w:rPr>
        <w:t>’</w:t>
      </w:r>
      <w:r>
        <w:rPr>
          <w:rFonts w:ascii="Times New Roman" w:hAnsi="Times New Roman"/>
        </w:rPr>
        <w:t>une éducation de qualité pour tous les enfants constitue un objectif essentiel qu</w:t>
      </w:r>
      <w:r w:rsidR="00BE1A90">
        <w:rPr>
          <w:rFonts w:ascii="Times New Roman" w:hAnsi="Times New Roman"/>
        </w:rPr>
        <w:t>’</w:t>
      </w:r>
      <w:r>
        <w:rPr>
          <w:rFonts w:ascii="Times New Roman" w:hAnsi="Times New Roman"/>
        </w:rPr>
        <w:t xml:space="preserve">il convient de soutenir. À cette fin, en tant que chef de file au niveau mondial du sommet des Nations unies sur la transformation de l’éducation, l’UE est un membre actif du comité directeur de haut niveau de l’ODD 4, qui fournit des outils aux pays et suit les progrès accomplis dans la réalisation de cet ODD. Par ailleurs, l’UE </w:t>
      </w:r>
      <w:r>
        <w:rPr>
          <w:rFonts w:ascii="Times New Roman" w:hAnsi="Times New Roman"/>
        </w:rPr>
        <w:lastRenderedPageBreak/>
        <w:t>contribue au rapport mondial de suivi sur l’éducation, qui fournit des données probantes et des analyses solides destinées à soutenir l’élaboration des politiques, facilite l’échange de bonnes pratiques et promeut l’obligation de rendre des comptes (</w:t>
      </w:r>
      <w:r>
        <w:rPr>
          <w:rFonts w:ascii="Times New Roman" w:hAnsi="Times New Roman"/>
          <w:b/>
        </w:rPr>
        <w:t>paragraphe 36</w:t>
      </w:r>
      <w:r>
        <w:rPr>
          <w:rFonts w:ascii="Times New Roman" w:hAnsi="Times New Roman"/>
        </w:rPr>
        <w:t>).</w:t>
      </w:r>
    </w:p>
    <w:p w14:paraId="5DCDFFCE" w14:textId="08A30C43" w:rsidR="2C3E413B" w:rsidRPr="0004607D" w:rsidRDefault="2C3E413B" w:rsidP="00597495">
      <w:pPr>
        <w:pStyle w:val="NormalHanging12a"/>
        <w:widowControl w:val="0"/>
        <w:spacing w:after="120"/>
        <w:ind w:left="0" w:firstLine="0"/>
        <w:rPr>
          <w:rFonts w:ascii="Times New Roman" w:hAnsi="Times New Roman"/>
        </w:rPr>
      </w:pPr>
      <w:r>
        <w:rPr>
          <w:rFonts w:ascii="Times New Roman" w:hAnsi="Times New Roman"/>
        </w:rPr>
        <w:t>Il existe, dans le cadre de la stratégie «Global Gateway», plusieurs initiatives phares régionales dans le domaine du numérique, telles que l’initiative AfricaConnect4 et l’alliance numérique UE-ALC. Il existe également des initiatives nationales de l’Équipe Europe, telles que l’initiative en matière de numérisation centrée sur l’humain au Kenya, qui contribuent à accroître la connectivité, y compris la connectivité pour le dernier kilomètre (</w:t>
      </w:r>
      <w:r>
        <w:rPr>
          <w:rFonts w:ascii="Times New Roman" w:hAnsi="Times New Roman"/>
          <w:b/>
        </w:rPr>
        <w:t>paragraphe 38</w:t>
      </w:r>
      <w:r>
        <w:rPr>
          <w:rFonts w:ascii="Times New Roman" w:hAnsi="Times New Roman"/>
        </w:rPr>
        <w:t>).</w:t>
      </w:r>
    </w:p>
    <w:p w14:paraId="168C39EB" w14:textId="6FCD280B" w:rsidR="7BB57F62" w:rsidRDefault="7BB57F62" w:rsidP="00597495">
      <w:pPr>
        <w:pStyle w:val="NormalHanging12a"/>
        <w:widowControl w:val="0"/>
        <w:spacing w:after="120"/>
        <w:ind w:left="0" w:firstLine="0"/>
        <w:rPr>
          <w:rFonts w:ascii="Times New Roman" w:hAnsi="Times New Roman"/>
        </w:rPr>
      </w:pPr>
      <w:r>
        <w:rPr>
          <w:rFonts w:ascii="Times New Roman" w:hAnsi="Times New Roman"/>
        </w:rPr>
        <w:t>Le renforcement des liens interpersonnels est au cœur de la stratégie «Global Gateway». Les programmes d’échange renforcent les liens entre les peuples et entre les continents, et favorisent les relations d’intérêt mutuel durables. Si Erasmus+ est le programme phare de l’UE pour les échanges, plusieurs autres programmes régionaux, traitant eux aussi de l’éducation et du développement des compétences au moyen d’échanges, sont en cours d’élaboration, notamment pour l’Afrique subsaharienne (</w:t>
      </w:r>
      <w:r>
        <w:rPr>
          <w:rFonts w:ascii="Times New Roman" w:hAnsi="Times New Roman"/>
          <w:b/>
        </w:rPr>
        <w:t>paragraphe 39</w:t>
      </w:r>
      <w:r>
        <w:rPr>
          <w:rFonts w:ascii="Times New Roman" w:hAnsi="Times New Roman"/>
        </w:rPr>
        <w:t>).</w:t>
      </w:r>
    </w:p>
    <w:p w14:paraId="250BE9BE" w14:textId="2E4BDE74" w:rsidR="69E876B6" w:rsidRPr="00597495" w:rsidRDefault="7BB57F62" w:rsidP="00597495">
      <w:pPr>
        <w:pStyle w:val="NormalHanging12a"/>
        <w:widowControl w:val="0"/>
        <w:spacing w:after="120" w:line="259" w:lineRule="auto"/>
        <w:ind w:left="0" w:firstLine="0"/>
        <w:rPr>
          <w:rFonts w:ascii="Times New Roman" w:hAnsi="Times New Roman"/>
        </w:rPr>
      </w:pPr>
      <w:r>
        <w:rPr>
          <w:rFonts w:ascii="Times New Roman" w:hAnsi="Times New Roman"/>
        </w:rPr>
        <w:t>L’UE est un partenaire clé au niveau national pour le soutien technique et le dialogue concernant les financements nationaux et la gestion des finances publiques liés à l’éducation. Son approche de renforcement des systèmes s’aligne sur les stratégies des pays partenaires et consolide les systèmes et accroît les capacités. Par exemple, l’appui budgétaire de l’UE dans le domaine de l’éducation favorise l’amélioration de l’efficience et de l’efficacité des dépenses publiques (</w:t>
      </w:r>
      <w:r>
        <w:rPr>
          <w:rFonts w:ascii="Times New Roman" w:hAnsi="Times New Roman"/>
          <w:b/>
        </w:rPr>
        <w:t>paragraphe 41</w:t>
      </w:r>
      <w:r>
        <w:rPr>
          <w:rFonts w:ascii="Times New Roman" w:hAnsi="Times New Roman"/>
        </w:rPr>
        <w:t>).</w:t>
      </w:r>
      <w:bookmarkEnd w:id="1"/>
    </w:p>
    <w:sectPr w:rsidR="69E876B6" w:rsidRPr="005974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9097" w14:textId="77777777" w:rsidR="00D94C68" w:rsidRDefault="00D94C68" w:rsidP="00F42613">
      <w:pPr>
        <w:spacing w:after="0"/>
      </w:pPr>
      <w:r>
        <w:separator/>
      </w:r>
    </w:p>
  </w:endnote>
  <w:endnote w:type="continuationSeparator" w:id="0">
    <w:p w14:paraId="62A3E3A5" w14:textId="77777777" w:rsidR="00D94C68" w:rsidRDefault="00D94C68" w:rsidP="00F42613">
      <w:pPr>
        <w:spacing w:after="0"/>
      </w:pPr>
      <w:r>
        <w:continuationSeparator/>
      </w:r>
    </w:p>
  </w:endnote>
  <w:endnote w:type="continuationNotice" w:id="1">
    <w:p w14:paraId="5C2EF213" w14:textId="77777777" w:rsidR="00D94C68" w:rsidRDefault="00D94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C1A4" w14:textId="77777777" w:rsidR="00D94C68" w:rsidRDefault="00D94C68" w:rsidP="00F42613">
      <w:pPr>
        <w:spacing w:after="0"/>
      </w:pPr>
      <w:r>
        <w:separator/>
      </w:r>
    </w:p>
  </w:footnote>
  <w:footnote w:type="continuationSeparator" w:id="0">
    <w:p w14:paraId="0EBF6558" w14:textId="77777777" w:rsidR="00D94C68" w:rsidRDefault="00D94C68" w:rsidP="00F42613">
      <w:pPr>
        <w:spacing w:after="0"/>
      </w:pPr>
      <w:r>
        <w:continuationSeparator/>
      </w:r>
    </w:p>
  </w:footnote>
  <w:footnote w:type="continuationNotice" w:id="1">
    <w:p w14:paraId="071A5615" w14:textId="77777777" w:rsidR="00D94C68" w:rsidRDefault="00D94C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11755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2613"/>
    <w:rsid w:val="000257DE"/>
    <w:rsid w:val="0004607D"/>
    <w:rsid w:val="000E60A0"/>
    <w:rsid w:val="00140FD2"/>
    <w:rsid w:val="001431F9"/>
    <w:rsid w:val="001A01D6"/>
    <w:rsid w:val="00231593"/>
    <w:rsid w:val="002C5293"/>
    <w:rsid w:val="002E482A"/>
    <w:rsid w:val="003440C8"/>
    <w:rsid w:val="003850BD"/>
    <w:rsid w:val="0039517F"/>
    <w:rsid w:val="003B3956"/>
    <w:rsid w:val="004459C5"/>
    <w:rsid w:val="004765E7"/>
    <w:rsid w:val="00497648"/>
    <w:rsid w:val="00567F2A"/>
    <w:rsid w:val="00597495"/>
    <w:rsid w:val="005E0986"/>
    <w:rsid w:val="005F1740"/>
    <w:rsid w:val="00604CA8"/>
    <w:rsid w:val="006F29FA"/>
    <w:rsid w:val="0075093A"/>
    <w:rsid w:val="007E367B"/>
    <w:rsid w:val="008264A9"/>
    <w:rsid w:val="008503EA"/>
    <w:rsid w:val="00893540"/>
    <w:rsid w:val="008E01ED"/>
    <w:rsid w:val="00974073"/>
    <w:rsid w:val="00987D1A"/>
    <w:rsid w:val="009B55B0"/>
    <w:rsid w:val="00A13A30"/>
    <w:rsid w:val="00A27EDE"/>
    <w:rsid w:val="00AD4DA1"/>
    <w:rsid w:val="00B43FB7"/>
    <w:rsid w:val="00BE1A90"/>
    <w:rsid w:val="00D738A1"/>
    <w:rsid w:val="00D94C68"/>
    <w:rsid w:val="00DA773B"/>
    <w:rsid w:val="00DE67CB"/>
    <w:rsid w:val="00E97D50"/>
    <w:rsid w:val="00EE0634"/>
    <w:rsid w:val="00F12728"/>
    <w:rsid w:val="00F42613"/>
    <w:rsid w:val="00F42D87"/>
    <w:rsid w:val="012343CB"/>
    <w:rsid w:val="01D4211E"/>
    <w:rsid w:val="0292A3F9"/>
    <w:rsid w:val="02E82338"/>
    <w:rsid w:val="02E86181"/>
    <w:rsid w:val="03B35BDF"/>
    <w:rsid w:val="04002318"/>
    <w:rsid w:val="0425650E"/>
    <w:rsid w:val="06454F17"/>
    <w:rsid w:val="06B82810"/>
    <w:rsid w:val="0828CA36"/>
    <w:rsid w:val="08603E12"/>
    <w:rsid w:val="08C95707"/>
    <w:rsid w:val="094E4941"/>
    <w:rsid w:val="0B5715E5"/>
    <w:rsid w:val="0B95E47B"/>
    <w:rsid w:val="0C778131"/>
    <w:rsid w:val="0CA2A8A3"/>
    <w:rsid w:val="0CB3C207"/>
    <w:rsid w:val="0D0AE112"/>
    <w:rsid w:val="0DCE9216"/>
    <w:rsid w:val="0E20A7B3"/>
    <w:rsid w:val="0E6319EB"/>
    <w:rsid w:val="0EAF9F83"/>
    <w:rsid w:val="0F0FF929"/>
    <w:rsid w:val="119ABAAD"/>
    <w:rsid w:val="11C65769"/>
    <w:rsid w:val="14C94B6C"/>
    <w:rsid w:val="14D25B6F"/>
    <w:rsid w:val="150D2628"/>
    <w:rsid w:val="1567FDDB"/>
    <w:rsid w:val="15B46CBB"/>
    <w:rsid w:val="15C63030"/>
    <w:rsid w:val="15C6E7B0"/>
    <w:rsid w:val="15F0C783"/>
    <w:rsid w:val="1626C693"/>
    <w:rsid w:val="164A7C52"/>
    <w:rsid w:val="174DFCDD"/>
    <w:rsid w:val="1866D75E"/>
    <w:rsid w:val="19E36EC4"/>
    <w:rsid w:val="1A383F53"/>
    <w:rsid w:val="1A46E42F"/>
    <w:rsid w:val="1B1BCD46"/>
    <w:rsid w:val="1BD553D4"/>
    <w:rsid w:val="1BD96841"/>
    <w:rsid w:val="1CB68EC6"/>
    <w:rsid w:val="1D0F9D69"/>
    <w:rsid w:val="1DD13047"/>
    <w:rsid w:val="1DFBA3F2"/>
    <w:rsid w:val="1E69FB1C"/>
    <w:rsid w:val="1E793DB5"/>
    <w:rsid w:val="20FAB325"/>
    <w:rsid w:val="2131019D"/>
    <w:rsid w:val="2226C584"/>
    <w:rsid w:val="22CCD1FE"/>
    <w:rsid w:val="24611D43"/>
    <w:rsid w:val="2571EBAF"/>
    <w:rsid w:val="269983F5"/>
    <w:rsid w:val="28AE3584"/>
    <w:rsid w:val="28F1AA8E"/>
    <w:rsid w:val="28F96543"/>
    <w:rsid w:val="2926DC9C"/>
    <w:rsid w:val="29D65241"/>
    <w:rsid w:val="2A438185"/>
    <w:rsid w:val="2A8D7AEF"/>
    <w:rsid w:val="2C3E413B"/>
    <w:rsid w:val="2D02B7F1"/>
    <w:rsid w:val="2DB86E79"/>
    <w:rsid w:val="2DD1EE56"/>
    <w:rsid w:val="2DF3AE4F"/>
    <w:rsid w:val="2E29E9B1"/>
    <w:rsid w:val="2EE96BC1"/>
    <w:rsid w:val="2F60EC12"/>
    <w:rsid w:val="3000D25B"/>
    <w:rsid w:val="306B3B39"/>
    <w:rsid w:val="32C1A068"/>
    <w:rsid w:val="33D19FE5"/>
    <w:rsid w:val="3497CDDE"/>
    <w:rsid w:val="34B1C069"/>
    <w:rsid w:val="353430DA"/>
    <w:rsid w:val="35D93D99"/>
    <w:rsid w:val="35DC59BC"/>
    <w:rsid w:val="364E047B"/>
    <w:rsid w:val="3727AB73"/>
    <w:rsid w:val="37FCA0DC"/>
    <w:rsid w:val="3878455C"/>
    <w:rsid w:val="39108E78"/>
    <w:rsid w:val="3918CBE1"/>
    <w:rsid w:val="399FEC3C"/>
    <w:rsid w:val="39D0A431"/>
    <w:rsid w:val="39FB914B"/>
    <w:rsid w:val="3AB49C42"/>
    <w:rsid w:val="3C5CBFD3"/>
    <w:rsid w:val="3E125AC1"/>
    <w:rsid w:val="3E287D1F"/>
    <w:rsid w:val="3F66CB9D"/>
    <w:rsid w:val="40320FF8"/>
    <w:rsid w:val="42453598"/>
    <w:rsid w:val="42D89C22"/>
    <w:rsid w:val="439105E9"/>
    <w:rsid w:val="43D66F1A"/>
    <w:rsid w:val="449174E9"/>
    <w:rsid w:val="44B2F54E"/>
    <w:rsid w:val="44E7B2FC"/>
    <w:rsid w:val="455A4E9E"/>
    <w:rsid w:val="45924B18"/>
    <w:rsid w:val="4613A644"/>
    <w:rsid w:val="47815BEB"/>
    <w:rsid w:val="48679D5A"/>
    <w:rsid w:val="48CE737A"/>
    <w:rsid w:val="4AA1EF34"/>
    <w:rsid w:val="4B81F44D"/>
    <w:rsid w:val="4C085F53"/>
    <w:rsid w:val="4C25673C"/>
    <w:rsid w:val="4C9EAC40"/>
    <w:rsid w:val="4D8283F4"/>
    <w:rsid w:val="4E0260CE"/>
    <w:rsid w:val="4E8CE1CC"/>
    <w:rsid w:val="4F8605D1"/>
    <w:rsid w:val="50BAB49A"/>
    <w:rsid w:val="51A0E14D"/>
    <w:rsid w:val="5370EA37"/>
    <w:rsid w:val="55785EF3"/>
    <w:rsid w:val="55887D03"/>
    <w:rsid w:val="56C2ADBB"/>
    <w:rsid w:val="58F90E4F"/>
    <w:rsid w:val="5965EEF6"/>
    <w:rsid w:val="59F8B1D5"/>
    <w:rsid w:val="5AE32582"/>
    <w:rsid w:val="5B1DF7D7"/>
    <w:rsid w:val="5D491B84"/>
    <w:rsid w:val="5D7F7F61"/>
    <w:rsid w:val="5DC8152E"/>
    <w:rsid w:val="5F04A460"/>
    <w:rsid w:val="61F15C4E"/>
    <w:rsid w:val="6516C156"/>
    <w:rsid w:val="651F475B"/>
    <w:rsid w:val="659D62BB"/>
    <w:rsid w:val="67A46E9D"/>
    <w:rsid w:val="68D65327"/>
    <w:rsid w:val="69AF7B5F"/>
    <w:rsid w:val="69E876B6"/>
    <w:rsid w:val="69F0CBED"/>
    <w:rsid w:val="6A1CA978"/>
    <w:rsid w:val="6ABF3E4B"/>
    <w:rsid w:val="6AEB206A"/>
    <w:rsid w:val="6B92AA2C"/>
    <w:rsid w:val="6BB879D9"/>
    <w:rsid w:val="6BF4A669"/>
    <w:rsid w:val="6C2120F9"/>
    <w:rsid w:val="6D544A3A"/>
    <w:rsid w:val="6DB7E13A"/>
    <w:rsid w:val="6EEBD0F0"/>
    <w:rsid w:val="706575F2"/>
    <w:rsid w:val="71003E2D"/>
    <w:rsid w:val="7106D179"/>
    <w:rsid w:val="71CE58B1"/>
    <w:rsid w:val="71D0F21F"/>
    <w:rsid w:val="73C38BBE"/>
    <w:rsid w:val="73FD8F9C"/>
    <w:rsid w:val="74575D5C"/>
    <w:rsid w:val="7565F457"/>
    <w:rsid w:val="766BC1FD"/>
    <w:rsid w:val="76E92EE8"/>
    <w:rsid w:val="77D471C8"/>
    <w:rsid w:val="78855B5F"/>
    <w:rsid w:val="7955EEF7"/>
    <w:rsid w:val="799D3433"/>
    <w:rsid w:val="79E032E4"/>
    <w:rsid w:val="7A3ABAC8"/>
    <w:rsid w:val="7AC67D33"/>
    <w:rsid w:val="7B22468A"/>
    <w:rsid w:val="7BB57F62"/>
    <w:rsid w:val="7C31393A"/>
    <w:rsid w:val="7CA450F3"/>
    <w:rsid w:val="7CB5F5D9"/>
    <w:rsid w:val="7D2D0A85"/>
    <w:rsid w:val="7D7283FF"/>
    <w:rsid w:val="7EB46D55"/>
    <w:rsid w:val="7FAD52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8FB5"/>
  <w15:chartTrackingRefBased/>
  <w15:docId w15:val="{6E6EC7EB-953D-477B-A7E7-9FDE96C5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13"/>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2"/>
    <w:uiPriority w:val="99"/>
    <w:qFormat/>
    <w:rsid w:val="00F42613"/>
    <w:pPr>
      <w:ind w:left="357" w:hanging="357"/>
    </w:pPr>
    <w:rPr>
      <w:sz w:val="20"/>
    </w:rPr>
  </w:style>
  <w:style w:type="character" w:customStyle="1" w:styleId="FootnoteTextChar">
    <w:name w:val="Footnote Text Char"/>
    <w:basedOn w:val="DefaultParagraphFont"/>
    <w:uiPriority w:val="99"/>
    <w:semiHidden/>
    <w:rsid w:val="00F4261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42613"/>
    <w:rPr>
      <w:vertAlign w:val="superscript"/>
    </w:rPr>
  </w:style>
  <w:style w:type="character" w:styleId="Hyperlink">
    <w:name w:val="Hyperlink"/>
    <w:aliases w:val="Char1"/>
    <w:uiPriority w:val="99"/>
    <w:qFormat/>
    <w:rsid w:val="00F42613"/>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F42613"/>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42613"/>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1431F9"/>
    <w:pPr>
      <w:ind w:left="720"/>
      <w:contextualSpacing/>
    </w:pPr>
  </w:style>
  <w:style w:type="paragraph" w:customStyle="1" w:styleId="NormalHanging12a">
    <w:name w:val="NormalHanging12a"/>
    <w:basedOn w:val="Normal"/>
    <w:link w:val="NormalHanging12aChar"/>
    <w:uiPriority w:val="1"/>
    <w:rsid w:val="1A383F53"/>
    <w:pPr>
      <w:ind w:left="567" w:hanging="567"/>
    </w:pPr>
    <w:rPr>
      <w:lang w:eastAsia="en-US"/>
    </w:rPr>
  </w:style>
  <w:style w:type="character" w:customStyle="1" w:styleId="NormalHanging12aChar">
    <w:name w:val="NormalHanging12a Char"/>
    <w:basedOn w:val="DefaultParagraphFont"/>
    <w:link w:val="NormalHanging12a"/>
    <w:uiPriority w:val="1"/>
    <w:rsid w:val="1A383F53"/>
    <w:rPr>
      <w:sz w:val="24"/>
      <w:szCs w:val="24"/>
      <w:lang w:eastAsia="en-US"/>
    </w:rPr>
  </w:style>
  <w:style w:type="paragraph" w:styleId="Revision">
    <w:name w:val="Revision"/>
    <w:hidden/>
    <w:uiPriority w:val="99"/>
    <w:semiHidden/>
    <w:rsid w:val="00DA773B"/>
    <w:pPr>
      <w:spacing w:after="0" w:line="240" w:lineRule="auto"/>
    </w:pPr>
    <w:rPr>
      <w:rFonts w:ascii="Courier New" w:eastAsia="Times New Roman" w:hAnsi="Courier New" w:cs="Times New Roman"/>
      <w:sz w:val="24"/>
      <w:szCs w:val="20"/>
      <w:lang w:eastAsia="en-GB"/>
    </w:rPr>
  </w:style>
  <w:style w:type="character" w:styleId="CommentReference">
    <w:name w:val="annotation reference"/>
    <w:basedOn w:val="DefaultParagraphFont"/>
    <w:uiPriority w:val="99"/>
    <w:semiHidden/>
    <w:unhideWhenUsed/>
    <w:rsid w:val="00DA773B"/>
    <w:rPr>
      <w:sz w:val="16"/>
      <w:szCs w:val="16"/>
    </w:rPr>
  </w:style>
  <w:style w:type="paragraph" w:styleId="CommentText">
    <w:name w:val="annotation text"/>
    <w:basedOn w:val="Normal"/>
    <w:link w:val="CommentTextChar"/>
    <w:uiPriority w:val="99"/>
    <w:unhideWhenUsed/>
    <w:rsid w:val="00DA773B"/>
    <w:rPr>
      <w:sz w:val="20"/>
    </w:rPr>
  </w:style>
  <w:style w:type="character" w:customStyle="1" w:styleId="CommentTextChar">
    <w:name w:val="Comment Text Char"/>
    <w:basedOn w:val="DefaultParagraphFont"/>
    <w:link w:val="CommentText"/>
    <w:uiPriority w:val="99"/>
    <w:rsid w:val="00DA773B"/>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A773B"/>
    <w:rPr>
      <w:b/>
      <w:bCs/>
    </w:rPr>
  </w:style>
  <w:style w:type="character" w:customStyle="1" w:styleId="CommentSubjectChar">
    <w:name w:val="Comment Subject Char"/>
    <w:basedOn w:val="CommentTextChar"/>
    <w:link w:val="CommentSubject"/>
    <w:uiPriority w:val="99"/>
    <w:semiHidden/>
    <w:rsid w:val="00DA773B"/>
    <w:rPr>
      <w:rFonts w:ascii="Courier New" w:eastAsia="Times New Roman" w:hAnsi="Courier New" w:cs="Times New Roman"/>
      <w:b/>
      <w:bCs/>
      <w:sz w:val="20"/>
      <w:szCs w:val="20"/>
      <w:lang w:eastAsia="en-GB"/>
    </w:rPr>
  </w:style>
  <w:style w:type="paragraph" w:styleId="Header">
    <w:name w:val="header"/>
    <w:basedOn w:val="Normal"/>
    <w:link w:val="HeaderChar"/>
    <w:uiPriority w:val="99"/>
    <w:semiHidden/>
    <w:unhideWhenUsed/>
    <w:rsid w:val="008503EA"/>
    <w:pPr>
      <w:tabs>
        <w:tab w:val="center" w:pos="4513"/>
        <w:tab w:val="right" w:pos="9026"/>
      </w:tabs>
      <w:spacing w:after="0"/>
    </w:pPr>
  </w:style>
  <w:style w:type="character" w:customStyle="1" w:styleId="HeaderChar">
    <w:name w:val="Header Char"/>
    <w:basedOn w:val="DefaultParagraphFont"/>
    <w:link w:val="Header"/>
    <w:uiPriority w:val="99"/>
    <w:semiHidden/>
    <w:rsid w:val="008503EA"/>
    <w:rPr>
      <w:rFonts w:ascii="Courier New" w:eastAsia="Times New Roman" w:hAnsi="Courier New" w:cs="Times New Roman"/>
      <w:sz w:val="24"/>
      <w:szCs w:val="20"/>
      <w:lang w:eastAsia="en-GB"/>
    </w:rPr>
  </w:style>
  <w:style w:type="paragraph" w:styleId="Footer">
    <w:name w:val="footer"/>
    <w:basedOn w:val="Normal"/>
    <w:link w:val="FooterChar"/>
    <w:uiPriority w:val="99"/>
    <w:semiHidden/>
    <w:unhideWhenUsed/>
    <w:rsid w:val="008503EA"/>
    <w:pPr>
      <w:tabs>
        <w:tab w:val="center" w:pos="4513"/>
        <w:tab w:val="right" w:pos="9026"/>
      </w:tabs>
      <w:spacing w:after="0"/>
    </w:pPr>
  </w:style>
  <w:style w:type="character" w:customStyle="1" w:styleId="FooterChar">
    <w:name w:val="Footer Char"/>
    <w:basedOn w:val="DefaultParagraphFont"/>
    <w:link w:val="Footer"/>
    <w:uiPriority w:val="99"/>
    <w:semiHidden/>
    <w:rsid w:val="008503EA"/>
    <w:rPr>
      <w:rFonts w:ascii="Courier New" w:eastAsia="Times New Roman" w:hAnsi="Courier New" w:cs="Times New Roman"/>
      <w:sz w:val="24"/>
      <w:szCs w:val="20"/>
      <w:lang w:eastAsia="en-GB"/>
    </w:rPr>
  </w:style>
  <w:style w:type="character" w:styleId="UnresolvedMention">
    <w:name w:val="Unresolved Mention"/>
    <w:basedOn w:val="DefaultParagraphFont"/>
    <w:uiPriority w:val="99"/>
    <w:semiHidden/>
    <w:unhideWhenUsed/>
    <w:rsid w:val="0039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6" ma:contentTypeDescription="Create a new document." ma:contentTypeScope="" ma:versionID="ede8ed15f0d15049e5bf77b65a93b564">
  <xsd:schema xmlns:xsd="http://www.w3.org/2001/XMLSchema" xmlns:xs="http://www.w3.org/2001/XMLSchema" xmlns:p="http://schemas.microsoft.com/office/2006/metadata/properties" xmlns:ns2="6d5ad584-533d-4d9e-8d12-f1eda2044479" targetNamespace="http://schemas.microsoft.com/office/2006/metadata/properties" ma:root="true" ma:fieldsID="3960b9a1fdf3ca65f2b464f31d526a0d" ns2:_="">
    <xsd:import namespace="6d5ad584-533d-4d9e-8d12-f1eda2044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9C4E1-857E-4E46-B5FA-8510564B6FB8}">
  <ds:schemaRefs>
    <ds:schemaRef ds:uri="http://schemas.microsoft.com/sharepoint/v3/contenttype/forms"/>
  </ds:schemaRefs>
</ds:datastoreItem>
</file>

<file path=customXml/itemProps2.xml><?xml version="1.0" encoding="utf-8"?>
<ds:datastoreItem xmlns:ds="http://schemas.openxmlformats.org/officeDocument/2006/customXml" ds:itemID="{2845F9ED-10E5-4FC2-87E3-2D8437203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DC2CB-29F9-4443-A2AE-9B64737C7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2072</Words>
  <Characters>11708</Characters>
  <Application>Microsoft Office Word</Application>
  <DocSecurity>0</DocSecurity>
  <Lines>158</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(INTPA)</dc:creator>
  <cp:keywords/>
  <dc:description/>
  <cp:lastModifiedBy>DELBAER Gerda (SG)</cp:lastModifiedBy>
  <cp:revision>2</cp:revision>
  <dcterms:created xsi:type="dcterms:W3CDTF">2024-04-10T13:52:00Z</dcterms:created>
  <dcterms:modified xsi:type="dcterms:W3CDTF">2024-04-10T13:52:00Z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2023-12-14T15:05:47Z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651af0e3-744b-471f-a97a-7eebb295dacb</vt:lpwstr>
  </property>
  <property fmtid="{D5CDD505-2E9C-101B-9397-08002B2CF9AE}" pid="8" name="MSIP_Label_6bd9ddd1-4d20-43f6-abfa-fc3c07406f94_ContentBits">
    <vt:lpwstr>0</vt:lpwstr>
  </property>
  <property fmtid="{D5CDD505-2E9C-101B-9397-08002B2CF9AE}" pid="9" name="ContentTypeId">
    <vt:lpwstr>0x010100852B821FD596CA4199F5E15CA8AF115B</vt:lpwstr>
  </property>
</Properties>
</file>