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3F0" w:rsidRPr="008233F0" w:rsidRDefault="008233F0" w:rsidP="008233F0">
      <w:pPr>
        <w:spacing w:after="240"/>
        <w:jc w:val="center"/>
        <w:rPr>
          <w:rFonts w:eastAsia="Times New Roman"/>
          <w:szCs w:val="20"/>
          <w:lang w:val="fr-FR" w:eastAsia="en-GB"/>
        </w:rPr>
      </w:pPr>
      <w:bookmarkStart w:id="0" w:name="_GoBack"/>
      <w:bookmarkEnd w:id="0"/>
      <w:r w:rsidRPr="008233F0">
        <w:rPr>
          <w:rFonts w:eastAsia="Times New Roman"/>
          <w:b/>
          <w:szCs w:val="20"/>
          <w:lang w:val="fr-FR" w:eastAsia="en-GB"/>
        </w:rPr>
        <w:t>Procédure LEGISLATIVE ORDINAIRE</w:t>
      </w:r>
    </w:p>
    <w:p w:rsidR="008233F0" w:rsidRPr="008233F0" w:rsidRDefault="008233F0" w:rsidP="008233F0">
      <w:pPr>
        <w:spacing w:after="600"/>
        <w:jc w:val="center"/>
        <w:rPr>
          <w:rFonts w:eastAsia="Times New Roman"/>
          <w:b/>
          <w:bCs/>
          <w:szCs w:val="20"/>
          <w:lang w:val="fr-FR" w:eastAsia="en-GB"/>
        </w:rPr>
      </w:pPr>
      <w:bookmarkStart w:id="1" w:name="Eickhout"/>
      <w:r w:rsidRPr="008233F0">
        <w:rPr>
          <w:rFonts w:eastAsia="Times New Roman"/>
          <w:b/>
          <w:szCs w:val="20"/>
          <w:lang w:val="fr-FR" w:eastAsia="en-GB"/>
        </w:rPr>
        <w:t>Suite donnée à la résolution législative du Parlement européen sur la proposition de règlement du Parlement européen et du Conseil relatif aux gaz à effet de serre fluoré, modifiant la directive (UE) 2019/1937 et abrogeant le règlement (UE) nº 517/2014</w:t>
      </w:r>
    </w:p>
    <w:bookmarkEnd w:id="1"/>
    <w:p w:rsidR="008233F0" w:rsidRPr="008233F0" w:rsidRDefault="008233F0" w:rsidP="008233F0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8233F0">
        <w:rPr>
          <w:rFonts w:eastAsia="Times New Roman"/>
          <w:b/>
          <w:szCs w:val="20"/>
          <w:lang w:val="fr-FR" w:eastAsia="en-GB"/>
        </w:rPr>
        <w:t>1.</w:t>
      </w:r>
      <w:r w:rsidRPr="008233F0">
        <w:rPr>
          <w:rFonts w:eastAsia="Times New Roman"/>
          <w:b/>
          <w:szCs w:val="20"/>
          <w:lang w:val="fr-FR" w:eastAsia="en-GB"/>
        </w:rPr>
        <w:tab/>
        <w:t xml:space="preserve">Rapporteur: </w:t>
      </w:r>
      <w:r w:rsidRPr="008233F0">
        <w:rPr>
          <w:rFonts w:eastAsia="Times New Roman"/>
          <w:szCs w:val="20"/>
          <w:lang w:val="fr-FR" w:eastAsia="en-GB"/>
        </w:rPr>
        <w:t>Bas EICKHOUT (Verts/ALE/NL)</w:t>
      </w:r>
    </w:p>
    <w:p w:rsidR="008233F0" w:rsidRPr="008233F0" w:rsidRDefault="008233F0" w:rsidP="008233F0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8233F0">
        <w:rPr>
          <w:rFonts w:eastAsia="Times New Roman"/>
          <w:b/>
          <w:szCs w:val="20"/>
          <w:lang w:val="fr-FR" w:eastAsia="en-GB"/>
        </w:rPr>
        <w:t>2.</w:t>
      </w:r>
      <w:r w:rsidRPr="008233F0">
        <w:rPr>
          <w:rFonts w:eastAsia="Times New Roman"/>
          <w:b/>
          <w:szCs w:val="20"/>
          <w:lang w:val="fr-FR" w:eastAsia="en-GB"/>
        </w:rPr>
        <w:tab/>
        <w:t>Numéros de référence:</w:t>
      </w:r>
      <w:r w:rsidRPr="008233F0">
        <w:rPr>
          <w:rFonts w:eastAsia="Times New Roman"/>
          <w:szCs w:val="20"/>
          <w:lang w:val="fr-FR" w:eastAsia="en-GB"/>
        </w:rPr>
        <w:t xml:space="preserve"> 2022/0099 (COD) / A9-0048/2023 / P9_TA(2024)0002</w:t>
      </w:r>
    </w:p>
    <w:p w:rsidR="008233F0" w:rsidRPr="008233F0" w:rsidRDefault="008233F0" w:rsidP="008233F0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8233F0">
        <w:rPr>
          <w:rFonts w:eastAsia="Times New Roman"/>
          <w:b/>
          <w:szCs w:val="20"/>
          <w:lang w:val="fr-FR" w:eastAsia="en-GB"/>
        </w:rPr>
        <w:t>3.</w:t>
      </w:r>
      <w:r w:rsidRPr="008233F0">
        <w:rPr>
          <w:rFonts w:eastAsia="Times New Roman"/>
          <w:b/>
          <w:szCs w:val="20"/>
          <w:lang w:val="fr-FR" w:eastAsia="en-GB"/>
        </w:rPr>
        <w:tab/>
        <w:t xml:space="preserve">Date d'adoption de la résolution: </w:t>
      </w:r>
      <w:r w:rsidRPr="008233F0">
        <w:rPr>
          <w:rFonts w:eastAsia="Times New Roman"/>
          <w:szCs w:val="20"/>
          <w:lang w:val="fr-FR" w:eastAsia="en-GB"/>
        </w:rPr>
        <w:t>16 janvier 2024</w:t>
      </w:r>
    </w:p>
    <w:p w:rsidR="008233F0" w:rsidRPr="008233F0" w:rsidRDefault="008233F0" w:rsidP="008233F0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8233F0">
        <w:rPr>
          <w:rFonts w:eastAsia="Times New Roman"/>
          <w:b/>
          <w:szCs w:val="20"/>
          <w:lang w:val="fr-FR" w:eastAsia="en-GB"/>
        </w:rPr>
        <w:t>4.</w:t>
      </w:r>
      <w:r w:rsidRPr="008233F0">
        <w:rPr>
          <w:rFonts w:eastAsia="Times New Roman"/>
          <w:b/>
          <w:szCs w:val="20"/>
          <w:lang w:val="fr-FR" w:eastAsia="en-GB"/>
        </w:rPr>
        <w:tab/>
        <w:t xml:space="preserve">Base juridique: </w:t>
      </w:r>
      <w:r w:rsidRPr="008233F0">
        <w:rPr>
          <w:rFonts w:eastAsia="Times New Roman"/>
          <w:szCs w:val="20"/>
          <w:lang w:val="fr-FR" w:eastAsia="en-GB"/>
        </w:rPr>
        <w:t>article 192, paragraphe 1, du traité sur le fonctionnement de l’Union européenne</w:t>
      </w:r>
    </w:p>
    <w:p w:rsidR="008233F0" w:rsidRPr="008233F0" w:rsidRDefault="008233F0" w:rsidP="008233F0">
      <w:pPr>
        <w:spacing w:after="240" w:line="240" w:lineRule="atLeast"/>
        <w:ind w:left="567" w:hanging="567"/>
        <w:rPr>
          <w:rFonts w:eastAsia="Times New Roman"/>
          <w:i/>
          <w:szCs w:val="20"/>
          <w:lang w:val="fr-FR" w:eastAsia="en-GB"/>
        </w:rPr>
      </w:pPr>
      <w:r w:rsidRPr="008233F0">
        <w:rPr>
          <w:rFonts w:eastAsia="Times New Roman"/>
          <w:b/>
          <w:szCs w:val="20"/>
          <w:lang w:val="fr-FR" w:eastAsia="en-GB"/>
        </w:rPr>
        <w:t>5.</w:t>
      </w:r>
      <w:r w:rsidRPr="008233F0">
        <w:rPr>
          <w:rFonts w:eastAsia="Times New Roman"/>
          <w:b/>
          <w:szCs w:val="20"/>
          <w:lang w:val="fr-FR" w:eastAsia="en-GB"/>
        </w:rPr>
        <w:tab/>
        <w:t>Commission parlementaire compétente:</w:t>
      </w:r>
      <w:r w:rsidRPr="008233F0">
        <w:rPr>
          <w:rFonts w:eastAsia="Times New Roman"/>
          <w:szCs w:val="20"/>
          <w:lang w:val="fr-FR" w:eastAsia="en-GB"/>
        </w:rPr>
        <w:t xml:space="preserve"> commission de l’environnement, de la santé publique et de la sécurité alimentaire (ENVI)</w:t>
      </w:r>
    </w:p>
    <w:p w:rsidR="008765BE" w:rsidRDefault="008233F0" w:rsidP="008233F0">
      <w:r w:rsidRPr="008233F0">
        <w:rPr>
          <w:rFonts w:eastAsia="Times New Roman"/>
          <w:b/>
          <w:szCs w:val="20"/>
          <w:lang w:val="fr-FR" w:eastAsia="en-GB"/>
        </w:rPr>
        <w:t>6.</w:t>
      </w:r>
      <w:r w:rsidRPr="008233F0">
        <w:rPr>
          <w:rFonts w:eastAsia="Times New Roman"/>
          <w:b/>
          <w:szCs w:val="20"/>
          <w:lang w:val="fr-FR" w:eastAsia="en-GB"/>
        </w:rPr>
        <w:tab/>
        <w:t>Position de la Commission:</w:t>
      </w:r>
      <w:r w:rsidRPr="008233F0">
        <w:rPr>
          <w:rFonts w:eastAsia="Times New Roman"/>
          <w:color w:val="000000"/>
          <w:sz w:val="22"/>
          <w:szCs w:val="20"/>
          <w:lang w:val="fr-FR" w:eastAsia="en-GB"/>
        </w:rPr>
        <w:t xml:space="preserve"> </w:t>
      </w:r>
      <w:r w:rsidRPr="008233F0">
        <w:rPr>
          <w:rFonts w:eastAsia="Times New Roman"/>
          <w:color w:val="000000"/>
          <w:szCs w:val="20"/>
          <w:lang w:val="fr-FR" w:eastAsia="en-GB"/>
        </w:rPr>
        <w:t>la Commission accepte tous les amendements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F0"/>
    <w:rsid w:val="005762E3"/>
    <w:rsid w:val="008233F0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06305-07BD-4C39-B212-640342F4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>European Parliament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2024-04-16T13:36:00Z</dcterms:created>
  <dcterms:modified xsi:type="dcterms:W3CDTF">2024-04-16T13:36:00Z</dcterms:modified>
</cp:coreProperties>
</file>