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8EB6" w14:textId="4CCBB87B" w:rsidR="00331DB9" w:rsidRPr="00331DB9" w:rsidRDefault="47758449" w:rsidP="007F1653">
      <w:pPr>
        <w:spacing w:after="600"/>
        <w:jc w:val="center"/>
        <w:rPr>
          <w:rFonts w:ascii="Times New Roman" w:hAnsi="Times New Roman"/>
          <w:b/>
          <w:bCs/>
        </w:rPr>
      </w:pPr>
      <w:r>
        <w:rPr>
          <w:rFonts w:ascii="Times New Roman" w:hAnsi="Times New Roman"/>
          <w:b/>
        </w:rPr>
        <w:t>Suite donnée à la résolution non législative du Parlement européen sur les inondations dévastatrices en Europe centrale et orientale, les pertes de vies humaines et la préparation de l’Union pour agir face à de telles catastrophes amplifiées par le changement climatique</w:t>
      </w:r>
    </w:p>
    <w:p w14:paraId="1F5DAD32" w14:textId="67D72EFA" w:rsidR="004A6C66" w:rsidRPr="005A00C3" w:rsidRDefault="47758449" w:rsidP="7509D027">
      <w:pPr>
        <w:numPr>
          <w:ilvl w:val="0"/>
          <w:numId w:val="27"/>
        </w:numPr>
        <w:ind w:left="567" w:hanging="567"/>
        <w:rPr>
          <w:rFonts w:ascii="Times New Roman" w:hAnsi="Times New Roman"/>
          <w:b/>
          <w:bCs/>
        </w:rPr>
      </w:pPr>
      <w:r>
        <w:rPr>
          <w:rFonts w:ascii="Times New Roman" w:hAnsi="Times New Roman"/>
          <w:b/>
        </w:rPr>
        <w:t>Résolution présentée conformément à l’article 136, paragraphes 2 et 4, du règlement intérieur du Parlement européen</w:t>
      </w:r>
    </w:p>
    <w:p w14:paraId="67CA0FCF" w14:textId="5F0DB490" w:rsidR="004A6C66" w:rsidRPr="00F059C8" w:rsidRDefault="00535D4D" w:rsidP="00A824B4">
      <w:pPr>
        <w:numPr>
          <w:ilvl w:val="0"/>
          <w:numId w:val="27"/>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2024/2817 (RSP) / RC-B10-0057/2024 / P10_TA (2024)0014</w:t>
      </w:r>
    </w:p>
    <w:p w14:paraId="4DCD5E53" w14:textId="7BFE184E" w:rsidR="005A00C3" w:rsidRPr="00E07C2D"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19 septembre 2024</w:t>
      </w:r>
    </w:p>
    <w:p w14:paraId="5AA88618" w14:textId="08BEFFF8" w:rsidR="00EC0A27" w:rsidRPr="00B127A9" w:rsidRDefault="2C0BBB05" w:rsidP="7509D027">
      <w:pPr>
        <w:numPr>
          <w:ilvl w:val="0"/>
          <w:numId w:val="27"/>
        </w:numPr>
        <w:ind w:left="567" w:hanging="567"/>
        <w:rPr>
          <w:rFonts w:ascii="Times New Roman" w:hAnsi="Times New Roman"/>
          <w:i/>
          <w:iCs/>
        </w:rPr>
      </w:pPr>
      <w:r>
        <w:rPr>
          <w:rFonts w:ascii="Times New Roman" w:hAnsi="Times New Roman"/>
          <w:b/>
        </w:rPr>
        <w:t>Commission parlementaire compétente:</w:t>
      </w:r>
      <w:r>
        <w:rPr>
          <w:b/>
        </w:rPr>
        <w:t xml:space="preserve"> </w:t>
      </w:r>
      <w:r>
        <w:rPr>
          <w:rFonts w:ascii="Times New Roman" w:hAnsi="Times New Roman"/>
        </w:rPr>
        <w:t>commission de l’environnement, de la santé publique et de la sécurité alimentaire</w:t>
      </w:r>
    </w:p>
    <w:p w14:paraId="0E2D2ECC" w14:textId="45321917" w:rsidR="004A6C66" w:rsidRPr="00B0161C" w:rsidRDefault="004A6C66" w:rsidP="00A824B4">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0CC0AC79" w14:textId="2F5A3CA1" w:rsidR="00242E05" w:rsidRDefault="5BB44C0F" w:rsidP="007F1653">
      <w:pPr>
        <w:widowControl w:val="0"/>
        <w:spacing w:after="120"/>
        <w:rPr>
          <w:rFonts w:ascii="Times New Roman" w:hAnsi="Times New Roman"/>
        </w:rPr>
      </w:pPr>
      <w:r>
        <w:rPr>
          <w:rFonts w:ascii="Times New Roman" w:hAnsi="Times New Roman"/>
        </w:rPr>
        <w:t>Dans sa résolution sur les inondations qui ont frappé l’Allemagne, l’Autriche, la Hongrie, la Pologne, la Roumanie, la Slovaquie et la Tchéquie, le Parlement européen fait part de ses préoccupations concernant l’intensité croissante et la multiplication des phénomènes météorologiques extrêmes et aborde quatre sujets.</w:t>
      </w:r>
    </w:p>
    <w:p w14:paraId="08E04F0C" w14:textId="394548CB" w:rsidR="00692624" w:rsidRDefault="4CA525EA" w:rsidP="007F1653">
      <w:pPr>
        <w:widowControl w:val="0"/>
        <w:spacing w:after="120"/>
        <w:rPr>
          <w:rFonts w:ascii="Times New Roman" w:hAnsi="Times New Roman"/>
        </w:rPr>
      </w:pPr>
      <w:r>
        <w:rPr>
          <w:rFonts w:ascii="Times New Roman" w:hAnsi="Times New Roman"/>
        </w:rPr>
        <w:t>Premièrement, il plaide en faveur d’un financement adéquat pour améliorer la préparation et le renforcement des capacités dans l’avenir. Il invite également la Commission à entamer rapidement la révision prévue du mécanisme de protection civile de l’Union (MPCU) et à présenter des propositions législatives en vue de son renforcement.</w:t>
      </w:r>
    </w:p>
    <w:p w14:paraId="5E37DC5B" w14:textId="386B0A69" w:rsidR="0092379E" w:rsidRDefault="00692624" w:rsidP="007F1653">
      <w:pPr>
        <w:widowControl w:val="0"/>
        <w:spacing w:after="120"/>
        <w:rPr>
          <w:rFonts w:ascii="Times New Roman" w:hAnsi="Times New Roman"/>
          <w:szCs w:val="24"/>
        </w:rPr>
      </w:pPr>
      <w:r>
        <w:rPr>
          <w:rFonts w:ascii="Times New Roman" w:hAnsi="Times New Roman"/>
        </w:rPr>
        <w:t xml:space="preserve">Deuxièmement, il souligne la nécessité d’accélérer la mobilisation des moyens financiers du Fonds de solidarité de l’Union européenne et de mobiliser la réserve de crise de la politique agricole commune. </w:t>
      </w:r>
    </w:p>
    <w:p w14:paraId="1DA049A4" w14:textId="2FB1A2F7" w:rsidR="0092379E" w:rsidRDefault="68B85CEC" w:rsidP="007F1653">
      <w:pPr>
        <w:widowControl w:val="0"/>
        <w:spacing w:after="120"/>
        <w:rPr>
          <w:rFonts w:ascii="Times New Roman" w:hAnsi="Times New Roman"/>
        </w:rPr>
      </w:pPr>
      <w:r>
        <w:rPr>
          <w:rFonts w:ascii="Times New Roman" w:hAnsi="Times New Roman"/>
        </w:rPr>
        <w:t>Troisièmement, il demande un soutien technique et financier au titre d’autres instruments de la politique de cohésion et une augmentation des investissements de l’Union dans la résilience régionale et locale. Il recommande aussi que la future politique de cohésion de l’UE se concentre davantage sur l’atténuation du changement climatique et l’adaptation à celui-ci.</w:t>
      </w:r>
    </w:p>
    <w:p w14:paraId="7EB36A5B" w14:textId="04B24BE5" w:rsidR="00B0161C" w:rsidRDefault="68B85CEC" w:rsidP="007F1653">
      <w:pPr>
        <w:widowControl w:val="0"/>
        <w:spacing w:after="120"/>
        <w:rPr>
          <w:rFonts w:ascii="Times New Roman" w:hAnsi="Times New Roman"/>
        </w:rPr>
      </w:pPr>
      <w:r>
        <w:rPr>
          <w:rFonts w:ascii="Times New Roman" w:hAnsi="Times New Roman"/>
        </w:rPr>
        <w:t xml:space="preserve">Quatrièmement, il met l’accent sur la nécessité d’une adaptation au changement climatique et préconise une combinaison de mesures stratégiques et de propositions législatives, tout en soulignant le besoin d’investir davantage dans les mesures de prévention des risques d’inondation et la gestion des inondations.  </w:t>
      </w:r>
    </w:p>
    <w:p w14:paraId="5C9FD293" w14:textId="77777777" w:rsidR="004045BB" w:rsidRPr="004045BB" w:rsidRDefault="004A6C66" w:rsidP="00394D3C">
      <w:pPr>
        <w:widowControl w:val="0"/>
        <w:numPr>
          <w:ilvl w:val="0"/>
          <w:numId w:val="27"/>
        </w:numPr>
        <w:ind w:left="567" w:hanging="567"/>
        <w:rPr>
          <w:rFonts w:ascii="Times New Roman" w:hAnsi="Times New Roman"/>
          <w:b/>
          <w:bCs/>
          <w:iCs/>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73CCA1B0" w14:textId="0FE844B0" w:rsidR="004A6C66" w:rsidRPr="00D40389" w:rsidRDefault="00340D44" w:rsidP="007F1653">
      <w:pPr>
        <w:widowControl w:val="0"/>
        <w:spacing w:after="120"/>
        <w:rPr>
          <w:rFonts w:ascii="Times New Roman" w:hAnsi="Times New Roman"/>
          <w:b/>
          <w:bCs/>
          <w:iCs/>
          <w:szCs w:val="24"/>
        </w:rPr>
      </w:pPr>
      <w:r>
        <w:rPr>
          <w:rFonts w:ascii="Times New Roman" w:hAnsi="Times New Roman"/>
          <w:b/>
          <w:i/>
        </w:rPr>
        <w:t>Généralités</w:t>
      </w:r>
    </w:p>
    <w:p w14:paraId="1A30DCD2" w14:textId="7D219E96" w:rsidR="001B1015" w:rsidRPr="00037012" w:rsidRDefault="00210B3D" w:rsidP="007F1653">
      <w:pPr>
        <w:spacing w:after="120"/>
        <w:rPr>
          <w:rFonts w:ascii="Times New Roman" w:hAnsi="Times New Roman"/>
          <w:u w:val="single"/>
        </w:rPr>
      </w:pPr>
      <w:r>
        <w:rPr>
          <w:rFonts w:ascii="Times New Roman" w:hAnsi="Times New Roman"/>
          <w:u w:val="single"/>
        </w:rPr>
        <w:t>Paragraphes 1 à 4</w:t>
      </w:r>
    </w:p>
    <w:p w14:paraId="729074F9" w14:textId="2E7C0A31" w:rsidR="00340D44" w:rsidRDefault="4A85013B" w:rsidP="007F1653">
      <w:pPr>
        <w:spacing w:after="120"/>
        <w:rPr>
          <w:rFonts w:ascii="Times New Roman" w:hAnsi="Times New Roman"/>
        </w:rPr>
      </w:pPr>
      <w:r>
        <w:rPr>
          <w:rFonts w:ascii="Times New Roman" w:hAnsi="Times New Roman"/>
        </w:rPr>
        <w:t>La Commission se félicite de la résolution du Parlement européen sur les récentes inondations dévastatrices en Europe centrale et orientale.</w:t>
      </w:r>
    </w:p>
    <w:p w14:paraId="78FEE463" w14:textId="33459BC9" w:rsidR="008931F9" w:rsidRDefault="008931F9" w:rsidP="007F1653">
      <w:pPr>
        <w:spacing w:after="120"/>
        <w:rPr>
          <w:rFonts w:ascii="Times New Roman" w:hAnsi="Times New Roman"/>
        </w:rPr>
      </w:pPr>
      <w:r>
        <w:rPr>
          <w:rFonts w:ascii="Times New Roman" w:hAnsi="Times New Roman"/>
        </w:rPr>
        <w:t xml:space="preserve">Lors de la présentation des orientations politiques pour la prochaine Commission européenne 2024-2029 au Parlement européen le 18 juillet 2024, la présidente de la Commission a </w:t>
      </w:r>
      <w:r>
        <w:rPr>
          <w:rFonts w:ascii="Times New Roman" w:hAnsi="Times New Roman"/>
        </w:rPr>
        <w:lastRenderedPageBreak/>
        <w:t>souligné la nécessité d’une nouvelle ambition dans le domaine de la gestion des crises et de la sécurité et d’une intensification des travaux en matière de résilience et de préparation au changement climatique. La présidente de la Commission a annoncé l’élaboration d’une stratégie pour une union de la préparation, qui s’inspirera du rapport de Sauli Niinistö, ancien président finlandais, intitulé «Safer Together – Strengthening Europe’s Civilian and Military Preparedness and Readiness» (Plus en sécurité ensemble – renforcer la préparation et l’état de préparation civils et militaires de l’Europe) et présenté le 30 octobre 2024</w:t>
      </w:r>
      <w:r w:rsidR="00242E05">
        <w:rPr>
          <w:rStyle w:val="FootnoteReference"/>
          <w:rFonts w:ascii="Times New Roman" w:hAnsi="Times New Roman"/>
        </w:rPr>
        <w:footnoteReference w:id="2"/>
      </w:r>
      <w:r>
        <w:rPr>
          <w:rFonts w:ascii="Times New Roman" w:hAnsi="Times New Roman"/>
        </w:rPr>
        <w:t>.</w:t>
      </w:r>
    </w:p>
    <w:p w14:paraId="5F942207" w14:textId="051F06C1" w:rsidR="001B1015" w:rsidRPr="00037012" w:rsidRDefault="00C9517A" w:rsidP="007F1653">
      <w:pPr>
        <w:spacing w:after="120"/>
        <w:rPr>
          <w:rFonts w:ascii="Times New Roman" w:hAnsi="Times New Roman"/>
        </w:rPr>
      </w:pPr>
      <w:r>
        <w:rPr>
          <w:rFonts w:ascii="Times New Roman" w:hAnsi="Times New Roman"/>
        </w:rPr>
        <w:t>Au cours de son mandat actuel, la Commission a présenté, entre autres, une proposition de directive relative à la surveillance et à la résilience des sols</w:t>
      </w:r>
      <w:r w:rsidR="00242E05">
        <w:rPr>
          <w:rStyle w:val="FootnoteReference"/>
          <w:rFonts w:ascii="Times New Roman" w:hAnsi="Times New Roman"/>
        </w:rPr>
        <w:footnoteReference w:id="3"/>
      </w:r>
      <w:r>
        <w:rPr>
          <w:rFonts w:ascii="Times New Roman" w:hAnsi="Times New Roman"/>
        </w:rPr>
        <w:t xml:space="preserve"> afin d’accroître la résilience aux phénomènes extrêmes et d’en atténuer les effets. Son objectif est d’améliorer la capacité des sols à absorber et retenir l’eau. Les principes d’atténuation de l’artificialisation des terres proposés ont pour but de remédier aux effets négatifs de l’imperméabilisation et de l’artificialisation des sols. Le cadre proposé pour la surveillance et l’évaluation de la santé des sols permettra aux États membres de recenser les zones qui ont le plus besoin d’une intervention destinée à améliorer la résilience des sols face aux phénomènes météorologiques extrêmes.</w:t>
      </w:r>
    </w:p>
    <w:p w14:paraId="499194C9" w14:textId="10763761" w:rsidR="001B1015" w:rsidRPr="00037012" w:rsidRDefault="001B1015" w:rsidP="007F1653">
      <w:pPr>
        <w:spacing w:after="120"/>
        <w:rPr>
          <w:rFonts w:ascii="Times New Roman" w:hAnsi="Times New Roman"/>
        </w:rPr>
      </w:pPr>
      <w:r>
        <w:rPr>
          <w:rFonts w:ascii="Times New Roman" w:hAnsi="Times New Roman"/>
        </w:rPr>
        <w:t>La Commission a également présenté une proposition de règlement relatif à un cadre de surveillance pour des forêts européennes résilientes</w:t>
      </w:r>
      <w:r w:rsidR="00242E05">
        <w:rPr>
          <w:rStyle w:val="FootnoteReference"/>
          <w:rFonts w:ascii="Times New Roman" w:hAnsi="Times New Roman"/>
        </w:rPr>
        <w:footnoteReference w:id="4"/>
      </w:r>
      <w:r>
        <w:rPr>
          <w:rFonts w:ascii="Times New Roman" w:hAnsi="Times New Roman"/>
        </w:rPr>
        <w:t xml:space="preserve"> afin de garantir un système de surveillance coordonné de l’UE qui permettra d’améliorer l’évaluation des risques et la préparation. Ce règlement permettra la collecte et le partage de données comparables sur les forêts, en s’appuyant sur les systèmes nationaux existants, et encouragera les États membres à élaborer des plans intégrés à long terme pour les forêts ou à adapter les plans existants.</w:t>
      </w:r>
    </w:p>
    <w:p w14:paraId="7105BE34" w14:textId="2237310C" w:rsidR="001B1015" w:rsidRPr="00037012" w:rsidRDefault="68DE113B" w:rsidP="007F1653">
      <w:pPr>
        <w:spacing w:after="120"/>
        <w:rPr>
          <w:rFonts w:ascii="Times New Roman" w:hAnsi="Times New Roman"/>
        </w:rPr>
      </w:pPr>
      <w:r>
        <w:rPr>
          <w:rFonts w:ascii="Times New Roman" w:hAnsi="Times New Roman"/>
        </w:rPr>
        <w:t>Un autre élément important est la mise en œuvre de la directive «Inondations»</w:t>
      </w:r>
      <w:r w:rsidR="00242E05">
        <w:rPr>
          <w:rStyle w:val="FootnoteReference"/>
          <w:rFonts w:ascii="Times New Roman" w:hAnsi="Times New Roman"/>
        </w:rPr>
        <w:footnoteReference w:id="5"/>
      </w:r>
      <w:r>
        <w:rPr>
          <w:rFonts w:ascii="Times New Roman" w:hAnsi="Times New Roman"/>
        </w:rPr>
        <w:t>, relative à l’évaluation et à la gestion des risques d’inondation. Les États membres sont tenus d’évaluer toutes les zones où des inondations significatives pourraient se produire et de prendre des mesures adéquates et coordonnées pour réduire les risques d’inondation. Ce processus est soutenu par la Commission au moyen d’une plateforme de coopération multipartite appelée «stratégie commune de mise en œuvre».</w:t>
      </w:r>
    </w:p>
    <w:p w14:paraId="045ED345" w14:textId="3A6164AA" w:rsidR="001B1015" w:rsidRPr="00037012" w:rsidRDefault="240B6B5E" w:rsidP="007F1653">
      <w:pPr>
        <w:spacing w:after="120"/>
        <w:rPr>
          <w:rFonts w:ascii="Times New Roman" w:hAnsi="Times New Roman"/>
        </w:rPr>
      </w:pPr>
      <w:r>
        <w:rPr>
          <w:rFonts w:ascii="Times New Roman" w:hAnsi="Times New Roman"/>
        </w:rPr>
        <w:t xml:space="preserve">Sur le plan international, l’UE a plaidé en faveur d’un renforcement substantiel des ambitions mondiales en matière de climat lors de la dernière conférence des Nations unies sur les changements climatiques. À l’échelle mondiale, l’UE soutient la transformation écologique en investissant à la fois dans la résilience au changement climatique et dans l’atténuation de celui-ci par l’intermédiaire de sa stratégie «Global Gateway». La Commission a également contribué à promouvoir le Programme d’action pour l’eau lors de la conférence des Nations unies sur l’eau 2023 et a présenté une </w:t>
      </w:r>
      <w:hyperlink r:id="rId11">
        <w:r>
          <w:rPr>
            <w:rFonts w:ascii="Times New Roman" w:hAnsi="Times New Roman"/>
          </w:rPr>
          <w:t>liste d’engagements volontaires</w:t>
        </w:r>
        <w:r w:rsidR="00242E05">
          <w:rPr>
            <w:rStyle w:val="FootnoteReference"/>
            <w:rFonts w:ascii="Times New Roman" w:hAnsi="Times New Roman"/>
          </w:rPr>
          <w:footnoteReference w:id="6"/>
        </w:r>
      </w:hyperlink>
      <w:r>
        <w:rPr>
          <w:rFonts w:ascii="Times New Roman" w:hAnsi="Times New Roman"/>
        </w:rPr>
        <w:t>. De même, la Commission soutient le cadre de Sendai pour la réduction des risques de catastrophe et s’est engagée à atteindre ses objectifs d’ici à 2030.</w:t>
      </w:r>
    </w:p>
    <w:p w14:paraId="7CF582A3" w14:textId="0988429A" w:rsidR="00340D44" w:rsidRPr="00340D44" w:rsidRDefault="00340D44" w:rsidP="00792BE8">
      <w:pPr>
        <w:keepNext/>
        <w:keepLines/>
        <w:spacing w:after="120"/>
        <w:rPr>
          <w:rFonts w:ascii="Times New Roman" w:hAnsi="Times New Roman"/>
          <w:b/>
          <w:bCs/>
          <w:i/>
          <w:szCs w:val="24"/>
        </w:rPr>
      </w:pPr>
      <w:r>
        <w:rPr>
          <w:rFonts w:ascii="Times New Roman" w:hAnsi="Times New Roman"/>
          <w:b/>
          <w:i/>
        </w:rPr>
        <w:lastRenderedPageBreak/>
        <w:t>Financement de la protection civile et des secours en cas de catastrophe</w:t>
      </w:r>
    </w:p>
    <w:p w14:paraId="6AC41785" w14:textId="455F964A" w:rsidR="00210B3D" w:rsidRPr="00340D44" w:rsidRDefault="00210B3D" w:rsidP="00792BE8">
      <w:pPr>
        <w:keepNext/>
        <w:keepLines/>
        <w:spacing w:after="120"/>
        <w:rPr>
          <w:rFonts w:ascii="Times New Roman" w:hAnsi="Times New Roman"/>
          <w:u w:val="single"/>
        </w:rPr>
      </w:pPr>
      <w:r>
        <w:rPr>
          <w:rFonts w:ascii="Times New Roman" w:hAnsi="Times New Roman"/>
          <w:u w:val="single"/>
        </w:rPr>
        <w:t>Paragraphes 5 à 7</w:t>
      </w:r>
    </w:p>
    <w:p w14:paraId="26BDEE53" w14:textId="7F156820" w:rsidR="00210B3D" w:rsidRPr="00340D44" w:rsidRDefault="63E16AC9" w:rsidP="00792BE8">
      <w:pPr>
        <w:keepNext/>
        <w:keepLines/>
        <w:spacing w:after="120"/>
        <w:rPr>
          <w:rFonts w:ascii="Times New Roman" w:hAnsi="Times New Roman"/>
        </w:rPr>
      </w:pPr>
      <w:r>
        <w:rPr>
          <w:rFonts w:ascii="Times New Roman" w:hAnsi="Times New Roman"/>
        </w:rPr>
        <w:t>La Commission souscrit à l’appel lancé par le Parlement européen en faveur de la fourniture d’une aide d’urgence immédiate, dans le cadre du MPCU, aux États membres touchés qui en font la demande. À la suite des graves inondations qui ont frappé l’Europe centrale et orientale, l’UE a mobilisé une aide par l’intermédiaire du MPCU à la demande de la Tchéquie et de la Pologne. En outre, la Pologne, l’Allemagne, la Slovaquie, la Hongrie et la Roumanie ont activé de manière proactive les services de cartographie rapide de Copernicus pour la délimitation des inondations et l’évaluation des dommages. Cela a démontré la valeur ajoutée de la Commission et de son centre de coordination de la réaction d’urgence (ERCC) en tant qu’acteur de coordination dans le domaine de la protection civile.</w:t>
      </w:r>
    </w:p>
    <w:p w14:paraId="5F6CBA98" w14:textId="73488C42" w:rsidR="00210B3D" w:rsidRPr="004509CF" w:rsidRDefault="00210B3D" w:rsidP="007F1653">
      <w:pPr>
        <w:spacing w:after="120"/>
        <w:rPr>
          <w:rFonts w:ascii="Times New Roman" w:hAnsi="Times New Roman"/>
        </w:rPr>
      </w:pPr>
      <w:r>
        <w:rPr>
          <w:rFonts w:ascii="Times New Roman" w:hAnsi="Times New Roman"/>
        </w:rPr>
        <w:t>La Commission salue elle aussi l’engagement du gouvernement ukrainien à soutenir l’Union au moyen de personnel et de matériel des services d’urgence en cas d’inondation. L’Ukraine est devenue un État participant au MPCU en avril 2023.</w:t>
      </w:r>
    </w:p>
    <w:p w14:paraId="3286C0C7" w14:textId="1DD37F6B" w:rsidR="00C9517A" w:rsidRPr="00C9517A" w:rsidRDefault="63E16AC9" w:rsidP="007F1653">
      <w:pPr>
        <w:spacing w:after="120"/>
        <w:rPr>
          <w:rFonts w:ascii="Times New Roman" w:hAnsi="Times New Roman"/>
        </w:rPr>
      </w:pPr>
      <w:r>
        <w:rPr>
          <w:rFonts w:ascii="Times New Roman" w:hAnsi="Times New Roman"/>
        </w:rPr>
        <w:t>La Commission partage l’appréciation du Parlement européen quant à l’importance de la préparation ainsi que de la réduction et de la gestion des risques de catastrophe.</w:t>
      </w:r>
    </w:p>
    <w:p w14:paraId="3CAA092D" w14:textId="55CBFA3F" w:rsidR="00210B3D" w:rsidRPr="00340D44" w:rsidRDefault="63E16AC9" w:rsidP="007F1653">
      <w:pPr>
        <w:spacing w:after="120"/>
        <w:rPr>
          <w:rFonts w:ascii="Times New Roman" w:hAnsi="Times New Roman"/>
        </w:rPr>
      </w:pPr>
      <w:r>
        <w:rPr>
          <w:rFonts w:ascii="Times New Roman" w:hAnsi="Times New Roman"/>
        </w:rPr>
        <w:t>Il existe, dans le cadre du MPCU, plusieurs outils de renforcement des capacités destinés à consolider les systèmes de gestion des risques de catastrophe de manière globale dans l’ensemble de l’UE. Ces outils comprennent des examens par les pairs, des subventions et une assistance technique pour l’élaboration de stratégies et de plans, pour la mise en place de plateformes de coordination informatique, la formation, le développement de projets d’investissement, la réalisation de campagnes de sensibilisation ou le renforcement des systèmes d’alerte précoce. Le réseau européen de connaissances en matière de protection civile est devenu un pôle pour l’échange de connaissances et le partage de données de recherche et d’informations stratégiques.</w:t>
      </w:r>
    </w:p>
    <w:p w14:paraId="46132816" w14:textId="7117B183" w:rsidR="00462FC7" w:rsidRPr="00C9517A" w:rsidRDefault="00210B3D" w:rsidP="007F1653">
      <w:pPr>
        <w:spacing w:after="120"/>
        <w:rPr>
          <w:rFonts w:ascii="Times New Roman" w:hAnsi="Times New Roman"/>
        </w:rPr>
      </w:pPr>
      <w:r>
        <w:rPr>
          <w:rFonts w:ascii="Times New Roman" w:hAnsi="Times New Roman"/>
        </w:rPr>
        <w:t>La Commission prend acte de la demande qui lui est adressée par le Parlement, consistant à donner suite aux recommandations figurant dans sa communication du 29 mai 2024 relative à l’évaluation du MPCU. Le rapport de Sauli Niinistö, ancien président finlandais, intitulé «Safer Together – Strengthening Europe’s Civilian and Military Preparedness and Readiness» (Plus en sécurité ensemble – renforcer la préparation et l’état de préparation civils et militaires de l’Europe) contient des recommandations concrètes visant à renforcer la préparation de l’Europe et des États membres aux crises liées au climat et à la sécurité. Le rapport confirme l’intérêt et l’importance d’amener la préparation aux crises à un échelon européen afin que l’UE prenne des mesures plus ambitieuses grâce à une vision commune et à une évaluation intersectorielle de la nouvelle réalité des risques et des menaces. La liste complète des recommandations figurant dans le rapport fait actuellement l’objet d’une analyse approfondie et constituera une contribution importante à l’élaboration de la stratégie pour une union de la préparation, qui sera présentée à un stade précoce du nouveau mandat de la Commission. Cette stratégie reposera sur trois grands principes: une approche «tous risques» avec un passage à un mode de gestion des crises proactif; une approche pangouvernementale avec une approche plus globale et intégrée de la gestion des crises en Europe dans tous les secteurs et à tous les niveaux de gouvernance; et une approche englobant l’ensemble de la société, comprenant une diffusion plus large d’une culture de préparation et de résilience en Europe.</w:t>
      </w:r>
    </w:p>
    <w:p w14:paraId="08BFDA00" w14:textId="77777777" w:rsidR="00BC3DD3" w:rsidRPr="00AA3F3B" w:rsidRDefault="00BC3DD3" w:rsidP="00207382">
      <w:pPr>
        <w:keepNext/>
        <w:keepLines/>
        <w:spacing w:after="120"/>
        <w:ind w:left="567" w:hanging="567"/>
        <w:rPr>
          <w:rFonts w:ascii="Times New Roman" w:hAnsi="Times New Roman"/>
          <w:b/>
          <w:bCs/>
        </w:rPr>
      </w:pPr>
      <w:r>
        <w:rPr>
          <w:rFonts w:ascii="Times New Roman" w:hAnsi="Times New Roman"/>
          <w:b/>
          <w:i/>
        </w:rPr>
        <w:lastRenderedPageBreak/>
        <w:t>Soutien financier et instruments budgétaires</w:t>
      </w:r>
    </w:p>
    <w:p w14:paraId="5676F349" w14:textId="60F6E98A" w:rsidR="0031041C" w:rsidRPr="0031041C" w:rsidRDefault="0031041C" w:rsidP="00207382">
      <w:pPr>
        <w:keepNext/>
        <w:keepLines/>
        <w:spacing w:after="120"/>
        <w:ind w:left="567" w:hanging="567"/>
        <w:rPr>
          <w:rFonts w:ascii="Times New Roman" w:hAnsi="Times New Roman"/>
          <w:u w:val="single"/>
        </w:rPr>
      </w:pPr>
      <w:r>
        <w:rPr>
          <w:rFonts w:ascii="Times New Roman" w:hAnsi="Times New Roman"/>
          <w:u w:val="single"/>
        </w:rPr>
        <w:t>Paragraphes 8 à 10</w:t>
      </w:r>
    </w:p>
    <w:p w14:paraId="063A2544" w14:textId="317CDA1D" w:rsidR="00930D38" w:rsidRDefault="00AA3F3B" w:rsidP="00207382">
      <w:pPr>
        <w:keepNext/>
        <w:keepLines/>
        <w:spacing w:after="120"/>
        <w:rPr>
          <w:rFonts w:ascii="Times New Roman" w:hAnsi="Times New Roman"/>
        </w:rPr>
      </w:pPr>
      <w:r>
        <w:rPr>
          <w:rFonts w:ascii="Times New Roman" w:hAnsi="Times New Roman"/>
        </w:rPr>
        <w:t>Lorsque la présidente de la Commission s’est rendue dans une zone endommagée par les inondations en Pologne, où elle a rencontré les chefs de gouvernement des pays touchés en septembre 2024, elle a annoncé l’octroi d’un soutien financier immédiat de l’UE pour les réparations les plus urgentes.</w:t>
      </w:r>
    </w:p>
    <w:p w14:paraId="1E0AB3E5" w14:textId="1DC84A4D" w:rsidR="00137C85" w:rsidRDefault="7FA31123" w:rsidP="007F1653">
      <w:pPr>
        <w:spacing w:after="120"/>
        <w:rPr>
          <w:rFonts w:ascii="Times New Roman" w:hAnsi="Times New Roman"/>
        </w:rPr>
      </w:pPr>
      <w:r>
        <w:rPr>
          <w:rFonts w:ascii="Times New Roman" w:hAnsi="Times New Roman"/>
        </w:rPr>
        <w:t>Afin de faciliter une remise en état rapide des zones touchées, la Commission a proposé, le 21 octobre 2024, des modifications législatives ciblées de deux règlements concernant spécifiquement les Fonds de la politique de cohésion. Il s’agit notamment d’apporter des modifications au Fonds européen de développement régional/Fonds de cohésion et au Fonds social européen plus afin de dégager des marges de manœuvre supplémentaires. La Commission a également proposé d’adapter le Fonds européen agricole pour le développement rural. Ces modifications permettront d’affecter des ressources à des réparations et travaux de reconstruction urgents dans les zones touchées.</w:t>
      </w:r>
    </w:p>
    <w:p w14:paraId="26BE2528" w14:textId="062E4A4D" w:rsidR="00D676AB" w:rsidRDefault="36CAB2C1" w:rsidP="007F1653">
      <w:pPr>
        <w:spacing w:after="120"/>
        <w:rPr>
          <w:rFonts w:ascii="Times New Roman" w:hAnsi="Times New Roman"/>
        </w:rPr>
      </w:pPr>
      <w:r>
        <w:rPr>
          <w:rFonts w:ascii="Times New Roman" w:hAnsi="Times New Roman"/>
        </w:rPr>
        <w:t>En ce qui concerne la mobilisation de la réserve agricole de la politique agricole commune (PAC) afin d’atténuer les lourdes pertes subies par le secteur agricole, certains États membres ont déjà communiqué des informations préliminaires sur les dommages à la Commission et ont sollicité des mesures d’aide exceptionnelles pour indemniser les agriculteurs touchés. Une fois que la Commission aura reçu toutes les précisions nécessaires, elle évaluera les dommages subis et analysera les moyens de soutenir les agriculteurs les plus touchés, sachant que le budget de la réserve agricole est limité et ne peut indemniser que partiellement les agriculteurs concernés.</w:t>
      </w:r>
    </w:p>
    <w:p w14:paraId="1B7C79EB" w14:textId="731597BA" w:rsidR="00502421" w:rsidRDefault="2FC6D813" w:rsidP="007F1653">
      <w:pPr>
        <w:spacing w:after="120"/>
        <w:rPr>
          <w:rFonts w:ascii="Times New Roman" w:hAnsi="Times New Roman"/>
        </w:rPr>
      </w:pPr>
      <w:r>
        <w:rPr>
          <w:rFonts w:ascii="Times New Roman" w:hAnsi="Times New Roman"/>
        </w:rPr>
        <w:t>Le Fonds de solidarité de l’UE (FSUE) est un instrument relatif aux secours apportés après une catastrophe, qui peut être déclenché à la demande des États membres touchés. Son fonctionnement a été adapté et amélioré au fil des ans. Avec la dernière modification du règlement FSUE, le seuil applicable aux avances liées aux demandes individuelles a été porté à 25 % au maximum du montant de la contribution financière ou à un montant maximal de 100 millions d’euros d’avance. Cette disposition constitue une amélioration importante pour faciliter le décaissement rapide de l’aide du FSUE.</w:t>
      </w:r>
    </w:p>
    <w:p w14:paraId="1FAFE1BA" w14:textId="67CF9403" w:rsidR="00BC3DD3" w:rsidRPr="00037012" w:rsidRDefault="68FACAB4" w:rsidP="007F1653">
      <w:pPr>
        <w:spacing w:after="120"/>
        <w:rPr>
          <w:rFonts w:ascii="Times New Roman" w:hAnsi="Times New Roman"/>
        </w:rPr>
      </w:pPr>
      <w:r>
        <w:rPr>
          <w:rFonts w:ascii="Times New Roman" w:hAnsi="Times New Roman"/>
        </w:rPr>
        <w:t>Dans le contexte de la révision à mi-parcours du règlement fixant le cadre financier pluriannuel (CFP), la Commission avait proposé, en juin 2023, d’augmenter la réserve de solidarité et d’aide d’urgence (RSAU) de 2,5 milliards d’euros pour la période 2024-2027. Le règlement (UE, Euratom) 2024/765 du Conseil du 29 février 2024 adopté par le Conseil, avec l’approbation du Parlement européen, prévoyait à la fois une affectation claire des fonds consacrés au FSUE dans le cadre de la RSAU et un renforcement significatif des ressources du FSUE pour la période 2024-2027, le montant moyen disponible pour le FSUE ayant été porté à 1,2 milliard d’euros par an.</w:t>
      </w:r>
    </w:p>
    <w:p w14:paraId="271D4DFA" w14:textId="16C0FB15" w:rsidR="00BC3DD3" w:rsidRPr="004C073A" w:rsidRDefault="00BC3DD3" w:rsidP="007F1653">
      <w:pPr>
        <w:spacing w:after="120"/>
        <w:ind w:left="567" w:hanging="567"/>
        <w:rPr>
          <w:rFonts w:ascii="Times New Roman" w:hAnsi="Times New Roman"/>
          <w:b/>
          <w:bCs/>
        </w:rPr>
      </w:pPr>
      <w:r>
        <w:rPr>
          <w:rFonts w:ascii="Times New Roman" w:hAnsi="Times New Roman"/>
          <w:b/>
          <w:i/>
        </w:rPr>
        <w:t>Politique régionale</w:t>
      </w:r>
    </w:p>
    <w:p w14:paraId="43EC2D7A" w14:textId="05AF4E59" w:rsidR="004B7819" w:rsidRPr="004B7819" w:rsidRDefault="004B7819" w:rsidP="007F1653">
      <w:pPr>
        <w:spacing w:after="120"/>
        <w:ind w:left="567" w:hanging="567"/>
        <w:rPr>
          <w:rFonts w:ascii="Times New Roman" w:hAnsi="Times New Roman"/>
          <w:u w:val="single"/>
        </w:rPr>
      </w:pPr>
      <w:r>
        <w:rPr>
          <w:rFonts w:ascii="Times New Roman" w:hAnsi="Times New Roman"/>
          <w:u w:val="single"/>
        </w:rPr>
        <w:t>Paragraphes 11 à 21</w:t>
      </w:r>
    </w:p>
    <w:p w14:paraId="3DE5B88D" w14:textId="35F4DB72" w:rsidR="00BC3DD3" w:rsidRPr="00037012" w:rsidRDefault="004C073A" w:rsidP="007F1653">
      <w:pPr>
        <w:spacing w:after="120"/>
        <w:rPr>
          <w:rFonts w:ascii="Times New Roman" w:hAnsi="Times New Roman"/>
        </w:rPr>
      </w:pPr>
      <w:r>
        <w:rPr>
          <w:rFonts w:ascii="Times New Roman" w:hAnsi="Times New Roman"/>
        </w:rPr>
        <w:t>La Commission fait observer que, pour la période 2021-2027, les États membres ont prévu des investissements à hauteur de 18,8 milliards d’euros – dont 14 milliards d’euros de financement de l’UE – pour mettre en œuvre les mesures nécessaires en matière d’adaptation au changement climatique et de gestion des risques de catastrophe dans le cadre de la politique de cohésion. Ces investissements sont axés sur des mesures de prévention et de préparation, la priorité étant donnée aux solutions fondées sur les écosystèmes.</w:t>
      </w:r>
    </w:p>
    <w:p w14:paraId="30E5D3D0" w14:textId="1826B772" w:rsidR="00BC3DD3" w:rsidRPr="00037012" w:rsidRDefault="1D5CAC3D" w:rsidP="007F1653">
      <w:pPr>
        <w:spacing w:after="120"/>
        <w:rPr>
          <w:rFonts w:ascii="Times New Roman" w:hAnsi="Times New Roman"/>
        </w:rPr>
      </w:pPr>
      <w:r>
        <w:rPr>
          <w:rFonts w:ascii="Times New Roman" w:hAnsi="Times New Roman"/>
        </w:rPr>
        <w:lastRenderedPageBreak/>
        <w:t>Par ailleurs, la Commission a lancé récemment un instrument d’assistance technique, la communauté «Cohesion for Transitions» (C4T) («la cohésion au service des transitions»), qui aide les autorités de gestion à réaliser des investissements consacrés, entre autres, à l’adaptation au changement climatique et à la gestion des risques de catastrophe. Une assistance technique sur mesure a déjà été fournie dans ce domaine, par exemple à Chypre, en Croatie, en Italie, en Espagne et au Portugal. En outre, la Commission offre la communauté de pratique C4T en tant qu’espace d’échange et de discussion sur ces types d’investissements, notamment pour une réflexion sur l’avenir.</w:t>
      </w:r>
    </w:p>
    <w:p w14:paraId="24676494" w14:textId="216E1E6B" w:rsidR="00BC3DD3" w:rsidRPr="00037012" w:rsidRDefault="6562CE40" w:rsidP="007F1653">
      <w:pPr>
        <w:spacing w:after="120"/>
        <w:rPr>
          <w:rFonts w:ascii="Times New Roman" w:hAnsi="Times New Roman"/>
        </w:rPr>
      </w:pPr>
      <w:r>
        <w:rPr>
          <w:rFonts w:ascii="Times New Roman" w:hAnsi="Times New Roman"/>
        </w:rPr>
        <w:t>La Commission fait observer qu’il est prématuré d’anticiper des éléments concernant l’architecture de programmation et les mécanismes de mise en œuvre de la future politique de cohésion dans le contexte du prochain CFP. Elle considère le changement climatique comme l’un des principaux défis auxquels l’UE est confrontée, défi risquant de creuser les inégalités régionales. Une approche globale s’impose pour faire face aux coûts asymétriques du changement climatique et mettre en œuvre la transition climatique et écologique. Comme annoncé par la présidente von der Leyen dans ses orientations politiques, le futur budget devrait être simplifié, ciblé et plus efficace. La flexibilité nécessaire en matière budgétaire devrait permettre de faire face aux circonstances imprévues et aux priorités émergentes.</w:t>
      </w:r>
    </w:p>
    <w:p w14:paraId="2C1D86B2" w14:textId="0699D16A" w:rsidR="00BC3DD3" w:rsidRPr="00037012" w:rsidRDefault="65686293" w:rsidP="007F1653">
      <w:pPr>
        <w:spacing w:after="120"/>
        <w:rPr>
          <w:rFonts w:ascii="Times New Roman" w:hAnsi="Times New Roman"/>
        </w:rPr>
      </w:pPr>
      <w:r>
        <w:rPr>
          <w:rFonts w:ascii="Times New Roman" w:hAnsi="Times New Roman"/>
        </w:rPr>
        <w:t>La Commission souligne que l’assistance technique au titre de la politique de cohésion peut être utilisée pour le renforcement des capacités des groupes cibles mentionnés au paragraphe 19 s’ils sont bénéficiaires de partenaires de soutien ou s’ils exécutent des fonctions/tâches visées dans le cadre législatif de la politique de cohésion, par exemple en tant qu’autorité de gestion, organisme intermédiaire ou autre organisme chargé de tâches spécifiques dans le système de gestion et de contrôle des fonds. De plus, il est possible de soutenir le renforcement des capacités des acteurs sectoriels ou territoriaux menant des activités pertinentes pour la mise en œuvre des investissements au titre du Fonds européen de développement régional et du Fonds de cohésion. Le taux de cofinancement de l’UE sera le même que celui applicable à la catégorie de régions dans laquelle l’aide est accordée, à savoir un maximum de 85 % pour les régions moins développées.</w:t>
      </w:r>
    </w:p>
    <w:p w14:paraId="3B713918" w14:textId="614E8FDC" w:rsidR="00BC3DD3" w:rsidRPr="00037012" w:rsidRDefault="1D5CAC3D" w:rsidP="007F1653">
      <w:pPr>
        <w:spacing w:after="120"/>
        <w:rPr>
          <w:rFonts w:ascii="Times New Roman" w:hAnsi="Times New Roman"/>
        </w:rPr>
      </w:pPr>
      <w:r>
        <w:rPr>
          <w:rFonts w:ascii="Times New Roman" w:hAnsi="Times New Roman"/>
        </w:rPr>
        <w:t>La Commission prend acte de la demande du Parlement européen d’être davantage associé au processus de conception et de mise en œuvre de la prochaine génération d’investissements en matière de préparation aux catastrophes. Elle rappelle qu’en vertu du principe de gestion partagée régissant les fonds de la politique de cohésion, il incombe à l’État membre de décider de l’affectation des ressources disponibles, conformément aux objectifs et priorités définis dans les programmes de la politique de cohésion.</w:t>
      </w:r>
    </w:p>
    <w:p w14:paraId="01A81A86" w14:textId="6E8FAB4F" w:rsidR="00BC3DD3" w:rsidRPr="00037012" w:rsidRDefault="00BC3DD3" w:rsidP="007F1653">
      <w:pPr>
        <w:spacing w:after="120"/>
        <w:rPr>
          <w:rFonts w:ascii="Times New Roman" w:hAnsi="Times New Roman"/>
        </w:rPr>
      </w:pPr>
      <w:r>
        <w:rPr>
          <w:rFonts w:ascii="Times New Roman" w:hAnsi="Times New Roman"/>
        </w:rPr>
        <w:t>Les investissements au titre de la politique de cohésion dans la gestion des risques de catastrophe et l’adaptation au changement climatique sont également axés sur les villes, étant donné qu’une forte concentration de personnes, de biens et d’activités économiques entraîne une plus grande vulnérabilité à des risques tels que les vagues de chaleur et les inondations. La politique de cohésion soutient les villes par des investissements dans des systèmes d’alerte précoce et dans le déploiement d’infrastructures vertes telles que la végétalisation urbaine et la désimperméabilisation des sols.</w:t>
      </w:r>
    </w:p>
    <w:p w14:paraId="3B876F8C" w14:textId="67F08D8E" w:rsidR="001B1015" w:rsidRPr="00E52456" w:rsidRDefault="001B1015" w:rsidP="007F1653">
      <w:pPr>
        <w:spacing w:after="120"/>
        <w:ind w:left="567" w:hanging="567"/>
        <w:rPr>
          <w:rFonts w:ascii="Times New Roman" w:hAnsi="Times New Roman"/>
          <w:b/>
          <w:bCs/>
          <w:i/>
          <w:iCs/>
        </w:rPr>
      </w:pPr>
      <w:r>
        <w:rPr>
          <w:rFonts w:ascii="Times New Roman" w:hAnsi="Times New Roman"/>
          <w:b/>
          <w:i/>
        </w:rPr>
        <w:t>Adaptation au changement climatique</w:t>
      </w:r>
    </w:p>
    <w:p w14:paraId="29D3FEBC" w14:textId="6550D608" w:rsidR="00F43ECE" w:rsidRPr="00A01700" w:rsidRDefault="00F43ECE" w:rsidP="007F1653">
      <w:pPr>
        <w:spacing w:after="120"/>
        <w:ind w:left="567" w:hanging="567"/>
        <w:rPr>
          <w:rFonts w:ascii="Times New Roman" w:hAnsi="Times New Roman"/>
          <w:u w:val="single"/>
        </w:rPr>
      </w:pPr>
      <w:r>
        <w:rPr>
          <w:rFonts w:ascii="Times New Roman" w:hAnsi="Times New Roman"/>
          <w:u w:val="single"/>
        </w:rPr>
        <w:t>Paragraphes 22 à 30</w:t>
      </w:r>
    </w:p>
    <w:p w14:paraId="4B89481C" w14:textId="6FEC0AC6" w:rsidR="001B1015" w:rsidRDefault="00F43ECE" w:rsidP="007F1653">
      <w:pPr>
        <w:widowControl w:val="0"/>
        <w:autoSpaceDE w:val="0"/>
        <w:autoSpaceDN w:val="0"/>
        <w:spacing w:after="120"/>
        <w:jc w:val="left"/>
        <w:rPr>
          <w:rFonts w:ascii="Times New Roman" w:hAnsi="Times New Roman"/>
          <w:szCs w:val="24"/>
        </w:rPr>
      </w:pPr>
      <w:r>
        <w:rPr>
          <w:rFonts w:ascii="Times New Roman" w:hAnsi="Times New Roman"/>
        </w:rPr>
        <w:t>La Commission réaffirme son engagement à présenter le plan européen d’adaptation au changement climatique au cours de son nouveau mandat. Le périmètre exact de ce plan et ses modalités sont en cours de discussion.</w:t>
      </w:r>
    </w:p>
    <w:p w14:paraId="0B4CDD63" w14:textId="64531FB2" w:rsidR="003C152E" w:rsidRPr="00F43ECE" w:rsidRDefault="04C88A0A" w:rsidP="007F1653">
      <w:pPr>
        <w:widowControl w:val="0"/>
        <w:autoSpaceDE w:val="0"/>
        <w:autoSpaceDN w:val="0"/>
        <w:spacing w:after="120"/>
        <w:rPr>
          <w:rFonts w:ascii="Times New Roman" w:hAnsi="Times New Roman"/>
          <w:sz w:val="22"/>
          <w:szCs w:val="22"/>
        </w:rPr>
      </w:pPr>
      <w:r>
        <w:rPr>
          <w:rFonts w:ascii="Times New Roman" w:hAnsi="Times New Roman"/>
        </w:rPr>
        <w:t xml:space="preserve">La Commission souligne également que la politique agricole commune fournit un large </w:t>
      </w:r>
      <w:r>
        <w:rPr>
          <w:rFonts w:ascii="Times New Roman" w:hAnsi="Times New Roman"/>
        </w:rPr>
        <w:lastRenderedPageBreak/>
        <w:t>éventail d’outils, dont des éco-régimes, des interventions agroenvironnementales en faveur du climat, ainsi que des investissements productifs et non productifs, pour soutenir la résilience de l’eau dans l’agriculture et contribuer à atténuer les inondations. Les plans stratégiques des États membres relevant de la PAC prévoient, entre autres, un soutien important aux pratiques agricoles visant à améliorer la santé des sols, avec des effets positifs sur la capacité de stockage de l’eau, l’infiltration et la limitation des risques accrus d’érosion. Au cours de la période 2023-2027, il est prévu de soutenir 47 % de la surface agricole de l’UE en vue d’une meilleure gestion des sols. Les plans favorisent également le boisement, la mise en place et l’entretien de systèmes agroforestiers et de particularités topographiques. Par ailleurs, le soutien de la PAC aux mesures de rétention naturelle de l’eau, telles que la restauration et la gestion des zones humides, des tourbières et des plaines inondables, accroît la fonction d’absorption du paysage rural et contribue à la prévention des inondations.</w:t>
      </w:r>
    </w:p>
    <w:p w14:paraId="315DA8A4" w14:textId="4EAA4465" w:rsidR="001B1015" w:rsidRPr="003A52D1" w:rsidRDefault="504D8791" w:rsidP="007F1653">
      <w:pPr>
        <w:widowControl w:val="0"/>
        <w:spacing w:after="120"/>
        <w:rPr>
          <w:rFonts w:ascii="Times New Roman" w:hAnsi="Times New Roman"/>
        </w:rPr>
      </w:pPr>
      <w:r>
        <w:rPr>
          <w:rFonts w:ascii="Times New Roman" w:hAnsi="Times New Roman"/>
        </w:rPr>
        <w:t>La Commission prend acte de la demande du Parlement européen visant à ce qu’elle évalue la mise en œuvre de la législation existante en matière de prévention des inondations et l’efficacité des projets antérieurs financés par l’Union. Cette évaluation sera publiée en temps utile. La Commission se joint à l’appel adressé aux États membres par le Parlement, les invitant à mettre à jour leurs plans d’action nationaux pour la prévention des inondations et fait observer que la gestion des risques d’inondation peut aller de pair avec la protection et la restauration de la nature et apporter des avantages tant aux personnes qu’à la nature.</w:t>
      </w:r>
    </w:p>
    <w:p w14:paraId="2440D4F8" w14:textId="4F276454" w:rsidR="00CC3963" w:rsidRDefault="003A52D1" w:rsidP="007F1653">
      <w:pPr>
        <w:widowControl w:val="0"/>
        <w:autoSpaceDE w:val="0"/>
        <w:autoSpaceDN w:val="0"/>
        <w:spacing w:after="120"/>
        <w:rPr>
          <w:rFonts w:ascii="Times New Roman" w:hAnsi="Times New Roman"/>
          <w:szCs w:val="24"/>
        </w:rPr>
      </w:pPr>
      <w:r>
        <w:rPr>
          <w:rFonts w:ascii="Times New Roman" w:hAnsi="Times New Roman"/>
        </w:rPr>
        <w:t>La Commission reconnaît que les risques climatiques touchent de manière disproportionnée les personnes les plus vulnérables, qui sont plus exposées à leurs incidences. Il est donc important que les politiques d’adaptation visent également à réduire l’exposition des populations les plus vulnérables aux effets du changement climatique. La Commission souscrit pleinement à la nécessité d’une approche ciblée de l’adaptation au changement climatique ainsi que de la préparation et de la prévention des catastrophes.</w:t>
      </w:r>
    </w:p>
    <w:p w14:paraId="7C4B34F9" w14:textId="750EBB9E" w:rsidR="00D40389" w:rsidRDefault="14B8C796" w:rsidP="007F1653">
      <w:pPr>
        <w:widowControl w:val="0"/>
        <w:autoSpaceDE w:val="0"/>
        <w:autoSpaceDN w:val="0"/>
        <w:spacing w:after="120"/>
        <w:rPr>
          <w:rFonts w:ascii="Times New Roman" w:hAnsi="Times New Roman"/>
        </w:rPr>
      </w:pPr>
      <w:r>
        <w:rPr>
          <w:rFonts w:ascii="Times New Roman" w:hAnsi="Times New Roman"/>
        </w:rPr>
        <w:t>La première évaluation européenne des risques climatiques de mars 2024</w:t>
      </w:r>
      <w:r w:rsidR="00D4784B">
        <w:rPr>
          <w:rStyle w:val="FootnoteReference"/>
          <w:rFonts w:ascii="Times New Roman" w:hAnsi="Times New Roman"/>
        </w:rPr>
        <w:footnoteReference w:id="7"/>
      </w:r>
      <w:r>
        <w:rPr>
          <w:rFonts w:ascii="Times New Roman" w:hAnsi="Times New Roman"/>
        </w:rPr>
        <w:t xml:space="preserve"> a conclu que la santé publique, l’environnement, l’agriculture et l’énergie comptaient parmi les domaines d’action les plus directement touchés par les risques climatiques majeurs en Europe qui nécessitent une action urgente.</w:t>
      </w:r>
    </w:p>
    <w:p w14:paraId="7ED71BEB" w14:textId="18D18393" w:rsidR="002A0283" w:rsidRDefault="472A9654" w:rsidP="007F1653">
      <w:pPr>
        <w:widowControl w:val="0"/>
        <w:autoSpaceDE w:val="0"/>
        <w:autoSpaceDN w:val="0"/>
        <w:spacing w:after="120"/>
        <w:rPr>
          <w:rFonts w:ascii="Times New Roman" w:hAnsi="Times New Roman"/>
        </w:rPr>
      </w:pPr>
      <w:r>
        <w:rPr>
          <w:rFonts w:ascii="Times New Roman" w:hAnsi="Times New Roman"/>
        </w:rPr>
        <w:t>En ce qui concerne le secteur agricole, la Commission souligne que la PAC comporte un ensemble solide d’outils visant à renforcer la résilience économique des exploitations agricoles et à atténuer les incidences des événements. Il s’agit notamment de paiements directs qui stabilisent les revenus des agriculteurs ainsi que de programmes de gestion des risques ou d’investissements contribuant à la restauration du potentiel de production. Outre les outils de gestion des risques et des crises, la PAC soutient des pratiques agricoles et des investissements respectueux de l’environnement et du climat en vue d’accroître la résilience et la préparation structurelle du secteur agricole face aux risques climatiques croissants. La combinaison des mesures d’aide permet aux États membres de mettre en place une stratégie solide de gestion des risques.</w:t>
      </w:r>
    </w:p>
    <w:p w14:paraId="57E4CABE" w14:textId="588DE894" w:rsidR="002A0283" w:rsidRPr="002A0283" w:rsidRDefault="002A0283" w:rsidP="007F1653">
      <w:pPr>
        <w:widowControl w:val="0"/>
        <w:spacing w:after="120"/>
        <w:rPr>
          <w:rFonts w:ascii="Times New Roman" w:hAnsi="Times New Roman"/>
        </w:rPr>
      </w:pPr>
      <w:r>
        <w:rPr>
          <w:rFonts w:ascii="Times New Roman" w:hAnsi="Times New Roman"/>
        </w:rPr>
        <w:t xml:space="preserve">La Commission est déterminée à intensifier les travaux sur la résilience et la préparation au changement climatique dans le cadre d’une approche englobant l’ensemble de la société, comme l’a souligné la présidente von der Leyen dans les orientations politiques pour la prochaine Commission européenne. </w:t>
      </w:r>
    </w:p>
    <w:sectPr w:rsidR="002A0283" w:rsidRPr="002A0283" w:rsidSect="0076366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440" w:right="1440" w:bottom="1440" w:left="1440" w:header="601"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0F22" w14:textId="77777777" w:rsidR="000D2FF4" w:rsidRDefault="000D2FF4">
      <w:r>
        <w:separator/>
      </w:r>
    </w:p>
  </w:endnote>
  <w:endnote w:type="continuationSeparator" w:id="0">
    <w:p w14:paraId="78C48A95" w14:textId="77777777" w:rsidR="000D2FF4" w:rsidRDefault="000D2FF4">
      <w:r>
        <w:continuationSeparator/>
      </w:r>
    </w:p>
  </w:endnote>
  <w:endnote w:type="continuationNotice" w:id="1">
    <w:p w14:paraId="15016A6E" w14:textId="77777777" w:rsidR="000D2FF4" w:rsidRDefault="000D2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050B"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15B4334"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ACB" w14:textId="77777777" w:rsidR="005E6EC2" w:rsidRPr="009468BE" w:rsidRDefault="005E6EC2" w:rsidP="006E5696">
    <w:pPr>
      <w:pStyle w:val="Footer"/>
      <w:framePr w:wrap="around" w:vAnchor="text" w:hAnchor="margin" w:xAlign="center" w:y="1"/>
      <w:rPr>
        <w:rStyle w:val="PageNumber"/>
        <w:rFonts w:ascii="Times New Roman" w:hAnsi="Times New Roman"/>
      </w:rPr>
    </w:pPr>
    <w:r w:rsidRPr="009468BE">
      <w:rPr>
        <w:rStyle w:val="PageNumber"/>
        <w:rFonts w:ascii="Times New Roman" w:hAnsi="Times New Roman"/>
      </w:rPr>
      <w:fldChar w:fldCharType="begin"/>
    </w:r>
    <w:r w:rsidRPr="009468BE">
      <w:rPr>
        <w:rStyle w:val="PageNumber"/>
        <w:rFonts w:ascii="Times New Roman" w:hAnsi="Times New Roman"/>
      </w:rPr>
      <w:instrText xml:space="preserve">PAGE  </w:instrText>
    </w:r>
    <w:r w:rsidRPr="009468BE">
      <w:rPr>
        <w:rStyle w:val="PageNumber"/>
        <w:rFonts w:ascii="Times New Roman" w:hAnsi="Times New Roman"/>
      </w:rPr>
      <w:fldChar w:fldCharType="separate"/>
    </w:r>
    <w:r w:rsidR="005D246D" w:rsidRPr="009468BE">
      <w:rPr>
        <w:rStyle w:val="PageNumber"/>
        <w:rFonts w:ascii="Times New Roman" w:hAnsi="Times New Roman"/>
      </w:rPr>
      <w:t>2</w:t>
    </w:r>
    <w:r w:rsidRPr="009468BE">
      <w:rPr>
        <w:rStyle w:val="PageNumber"/>
        <w:rFonts w:ascii="Times New Roman" w:hAnsi="Times New Roman"/>
      </w:rPr>
      <w:fldChar w:fldCharType="end"/>
    </w:r>
  </w:p>
  <w:p w14:paraId="543DFAF3" w14:textId="77777777" w:rsidR="005E6EC2" w:rsidRPr="009468BE"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7A5F" w14:textId="77777777" w:rsidR="004045BB" w:rsidRDefault="0040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32A0" w14:textId="77777777" w:rsidR="000D2FF4" w:rsidRDefault="000D2FF4">
      <w:r>
        <w:separator/>
      </w:r>
    </w:p>
  </w:footnote>
  <w:footnote w:type="continuationSeparator" w:id="0">
    <w:p w14:paraId="60AF3E17" w14:textId="77777777" w:rsidR="000D2FF4" w:rsidRDefault="000D2FF4">
      <w:r>
        <w:continuationSeparator/>
      </w:r>
    </w:p>
  </w:footnote>
  <w:footnote w:type="continuationNotice" w:id="1">
    <w:p w14:paraId="69E47FF8" w14:textId="77777777" w:rsidR="000D2FF4" w:rsidRDefault="000D2FF4">
      <w:pPr>
        <w:spacing w:after="0"/>
      </w:pPr>
    </w:p>
  </w:footnote>
  <w:footnote w:id="2">
    <w:p w14:paraId="4048A28A" w14:textId="34322DBA" w:rsidR="00242E05" w:rsidRPr="00E0417B" w:rsidRDefault="00242E05" w:rsidP="00242E05">
      <w:pPr>
        <w:pStyle w:val="FootnoteText"/>
        <w:spacing w:after="0"/>
        <w:rPr>
          <w:rFonts w:ascii="Times New Roman" w:hAnsi="Times New Roman"/>
        </w:rPr>
      </w:pPr>
      <w:r>
        <w:rPr>
          <w:rStyle w:val="FootnoteReference"/>
          <w:rFonts w:ascii="Times New Roman" w:hAnsi="Times New Roman"/>
        </w:rPr>
        <w:footnoteRef/>
      </w:r>
      <w:r>
        <w:t xml:space="preserve"> </w:t>
      </w:r>
      <w:r>
        <w:tab/>
      </w:r>
      <w:hyperlink r:id="rId1" w:history="1">
        <w:r>
          <w:rPr>
            <w:rStyle w:val="Hyperlink"/>
            <w:rFonts w:ascii="Times New Roman" w:hAnsi="Times New Roman"/>
          </w:rPr>
          <w:t>https://commission.europa.eu/document/download/5bb2881f-9e29-42f2-8b77-8739b19d047c_en?filename=2024_Niinisto-report_Book_VF.pdf</w:t>
        </w:r>
      </w:hyperlink>
    </w:p>
  </w:footnote>
  <w:footnote w:id="3">
    <w:p w14:paraId="6B1FD221" w14:textId="1BC0118E" w:rsidR="00242E05" w:rsidRPr="00E0417B" w:rsidRDefault="00242E05" w:rsidP="00242E0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COM(2023) 416 final du 5.7.2023.</w:t>
      </w:r>
    </w:p>
  </w:footnote>
  <w:footnote w:id="4">
    <w:p w14:paraId="731C34B9" w14:textId="326E3613" w:rsidR="00242E05" w:rsidRPr="00E0417B" w:rsidRDefault="00242E05" w:rsidP="00242E0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COM(2023) 728 final du 22.11.2023.</w:t>
      </w:r>
    </w:p>
  </w:footnote>
  <w:footnote w:id="5">
    <w:p w14:paraId="74C5EA51" w14:textId="491D474D" w:rsidR="00242E05" w:rsidRPr="00E0417B" w:rsidRDefault="00242E05" w:rsidP="00242E0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Directive 2007/60/CE du Parlement européen et du Conseil du 23 octobre 2007 (JO L 288 du 6.11.2007, p. 27).</w:t>
      </w:r>
    </w:p>
  </w:footnote>
  <w:footnote w:id="6">
    <w:p w14:paraId="627985AA" w14:textId="1C7ACACB" w:rsidR="00242E05" w:rsidRPr="00E0417B" w:rsidRDefault="00242E05" w:rsidP="00242E0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https://data.consilium.europa.eu/doc/document/ST-7443-2023-INIT/en/pdf</w:t>
        </w:r>
      </w:hyperlink>
    </w:p>
  </w:footnote>
  <w:footnote w:id="7">
    <w:p w14:paraId="23FE649D" w14:textId="1229FB37" w:rsidR="00D4784B" w:rsidRPr="00E0417B" w:rsidRDefault="00D4784B" w:rsidP="007F165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https://www.eea.europa.eu/publications/european-climate-risk-assessment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AC52" w14:textId="77777777" w:rsidR="004045BB" w:rsidRDefault="0040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41FC" w14:textId="77777777" w:rsidR="004045BB" w:rsidRDefault="00404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094E" w14:textId="77777777" w:rsidR="004045BB" w:rsidRDefault="00404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637641386">
    <w:abstractNumId w:val="6"/>
  </w:num>
  <w:num w:numId="2" w16cid:durableId="2029333191">
    <w:abstractNumId w:val="1"/>
  </w:num>
  <w:num w:numId="3" w16cid:durableId="1315794323">
    <w:abstractNumId w:val="31"/>
  </w:num>
  <w:num w:numId="4" w16cid:durableId="2051807976">
    <w:abstractNumId w:val="12"/>
  </w:num>
  <w:num w:numId="5" w16cid:durableId="1232042268">
    <w:abstractNumId w:val="24"/>
  </w:num>
  <w:num w:numId="6" w16cid:durableId="1729573704">
    <w:abstractNumId w:val="10"/>
  </w:num>
  <w:num w:numId="7" w16cid:durableId="970792679">
    <w:abstractNumId w:val="5"/>
  </w:num>
  <w:num w:numId="8" w16cid:durableId="281111180">
    <w:abstractNumId w:val="15"/>
  </w:num>
  <w:num w:numId="9" w16cid:durableId="785392079">
    <w:abstractNumId w:val="30"/>
  </w:num>
  <w:num w:numId="10" w16cid:durableId="707493722">
    <w:abstractNumId w:val="20"/>
  </w:num>
  <w:num w:numId="11" w16cid:durableId="431975858">
    <w:abstractNumId w:val="22"/>
  </w:num>
  <w:num w:numId="12" w16cid:durableId="100078547">
    <w:abstractNumId w:val="11"/>
  </w:num>
  <w:num w:numId="13" w16cid:durableId="1518234636">
    <w:abstractNumId w:val="16"/>
  </w:num>
  <w:num w:numId="14" w16cid:durableId="1019506215">
    <w:abstractNumId w:val="26"/>
  </w:num>
  <w:num w:numId="15" w16cid:durableId="1724527369">
    <w:abstractNumId w:val="14"/>
  </w:num>
  <w:num w:numId="16" w16cid:durableId="1576430740">
    <w:abstractNumId w:val="32"/>
  </w:num>
  <w:num w:numId="17" w16cid:durableId="2106222727">
    <w:abstractNumId w:val="29"/>
  </w:num>
  <w:num w:numId="18" w16cid:durableId="1837769559">
    <w:abstractNumId w:val="18"/>
  </w:num>
  <w:num w:numId="19" w16cid:durableId="2065063483">
    <w:abstractNumId w:val="19"/>
  </w:num>
  <w:num w:numId="20" w16cid:durableId="1127965554">
    <w:abstractNumId w:val="23"/>
  </w:num>
  <w:num w:numId="21" w16cid:durableId="484316433">
    <w:abstractNumId w:val="3"/>
  </w:num>
  <w:num w:numId="22" w16cid:durableId="1518037649">
    <w:abstractNumId w:val="4"/>
  </w:num>
  <w:num w:numId="23" w16cid:durableId="111487397">
    <w:abstractNumId w:val="17"/>
  </w:num>
  <w:num w:numId="24" w16cid:durableId="509221988">
    <w:abstractNumId w:val="27"/>
  </w:num>
  <w:num w:numId="25" w16cid:durableId="1462069899">
    <w:abstractNumId w:val="9"/>
  </w:num>
  <w:num w:numId="26" w16cid:durableId="1327634306">
    <w:abstractNumId w:val="28"/>
  </w:num>
  <w:num w:numId="27" w16cid:durableId="876042116">
    <w:abstractNumId w:val="8"/>
  </w:num>
  <w:num w:numId="28" w16cid:durableId="1304695394">
    <w:abstractNumId w:val="2"/>
  </w:num>
  <w:num w:numId="29" w16cid:durableId="2043507376">
    <w:abstractNumId w:val="13"/>
  </w:num>
  <w:num w:numId="30" w16cid:durableId="551622780">
    <w:abstractNumId w:val="21"/>
  </w:num>
  <w:num w:numId="31" w16cid:durableId="269048673">
    <w:abstractNumId w:val="31"/>
  </w:num>
  <w:num w:numId="32" w16cid:durableId="10569713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94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699C"/>
    <w:rsid w:val="00037004"/>
    <w:rsid w:val="00037012"/>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CC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CE4"/>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4FB"/>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2FF4"/>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087"/>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37C85"/>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6601"/>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1F"/>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5D1C"/>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854"/>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1A0"/>
    <w:rsid w:val="001B03A0"/>
    <w:rsid w:val="001B0427"/>
    <w:rsid w:val="001B061B"/>
    <w:rsid w:val="001B079F"/>
    <w:rsid w:val="001B07D6"/>
    <w:rsid w:val="001B0814"/>
    <w:rsid w:val="001B0918"/>
    <w:rsid w:val="001B0ADD"/>
    <w:rsid w:val="001B0FAC"/>
    <w:rsid w:val="001B100D"/>
    <w:rsid w:val="001B1015"/>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C21"/>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0A7C"/>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65"/>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58A"/>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382"/>
    <w:rsid w:val="00207700"/>
    <w:rsid w:val="00207853"/>
    <w:rsid w:val="002079D9"/>
    <w:rsid w:val="00210269"/>
    <w:rsid w:val="002105BF"/>
    <w:rsid w:val="00210B3D"/>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05"/>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998"/>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283"/>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58"/>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1C"/>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AAC"/>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523"/>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D44"/>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4D1"/>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3F59"/>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68C"/>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4D3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2D1"/>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52E"/>
    <w:rsid w:val="003C1658"/>
    <w:rsid w:val="003C1754"/>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5BB"/>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E74"/>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349"/>
    <w:rsid w:val="0044680C"/>
    <w:rsid w:val="00446A40"/>
    <w:rsid w:val="00446CE8"/>
    <w:rsid w:val="004477EF"/>
    <w:rsid w:val="00447895"/>
    <w:rsid w:val="00447A16"/>
    <w:rsid w:val="00447A38"/>
    <w:rsid w:val="00447BCF"/>
    <w:rsid w:val="00450446"/>
    <w:rsid w:val="004504D6"/>
    <w:rsid w:val="004507E5"/>
    <w:rsid w:val="004509CF"/>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132"/>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2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2FC7"/>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2F0A"/>
    <w:rsid w:val="00473214"/>
    <w:rsid w:val="00473405"/>
    <w:rsid w:val="0047349E"/>
    <w:rsid w:val="00473717"/>
    <w:rsid w:val="004738CB"/>
    <w:rsid w:val="004738F7"/>
    <w:rsid w:val="00473935"/>
    <w:rsid w:val="00473A0E"/>
    <w:rsid w:val="00473D60"/>
    <w:rsid w:val="00473EC6"/>
    <w:rsid w:val="00474437"/>
    <w:rsid w:val="0047457D"/>
    <w:rsid w:val="00474582"/>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93B"/>
    <w:rsid w:val="004B6B02"/>
    <w:rsid w:val="004B6C88"/>
    <w:rsid w:val="004B6D63"/>
    <w:rsid w:val="004B71A4"/>
    <w:rsid w:val="004B7819"/>
    <w:rsid w:val="004B7EC1"/>
    <w:rsid w:val="004C0571"/>
    <w:rsid w:val="004C073A"/>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53C"/>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512"/>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421"/>
    <w:rsid w:val="00502D0D"/>
    <w:rsid w:val="00502D67"/>
    <w:rsid w:val="00502F22"/>
    <w:rsid w:val="0050310D"/>
    <w:rsid w:val="0050333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140"/>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3E40"/>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1FA"/>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96"/>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2A8"/>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8F0"/>
    <w:rsid w:val="00583944"/>
    <w:rsid w:val="00583E5F"/>
    <w:rsid w:val="00584205"/>
    <w:rsid w:val="00584307"/>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759"/>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0CD"/>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62"/>
    <w:rsid w:val="005C74DA"/>
    <w:rsid w:val="005C7890"/>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502"/>
    <w:rsid w:val="00600815"/>
    <w:rsid w:val="006009AC"/>
    <w:rsid w:val="006009F3"/>
    <w:rsid w:val="00600E99"/>
    <w:rsid w:val="006011BA"/>
    <w:rsid w:val="00601267"/>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1A0"/>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0A8"/>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05"/>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2E01"/>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5EF5"/>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624"/>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22"/>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4BA"/>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458"/>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64"/>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6D"/>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642"/>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BE8"/>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CE"/>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A8"/>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653"/>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65C"/>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EFB"/>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54B"/>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06"/>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567"/>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2EC5"/>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2CE"/>
    <w:rsid w:val="00883483"/>
    <w:rsid w:val="008839E4"/>
    <w:rsid w:val="00883CA2"/>
    <w:rsid w:val="00883D38"/>
    <w:rsid w:val="00883E17"/>
    <w:rsid w:val="00884163"/>
    <w:rsid w:val="008842DF"/>
    <w:rsid w:val="00884465"/>
    <w:rsid w:val="0088477C"/>
    <w:rsid w:val="0088484D"/>
    <w:rsid w:val="0088488B"/>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1F9"/>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B47"/>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9D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BC5"/>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07"/>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79E"/>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EA9"/>
    <w:rsid w:val="00927F58"/>
    <w:rsid w:val="00930063"/>
    <w:rsid w:val="009305F1"/>
    <w:rsid w:val="0093065A"/>
    <w:rsid w:val="00930D38"/>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8BE"/>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3A"/>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DA6"/>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143"/>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700"/>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2F30"/>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AD"/>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6C5"/>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3F3B"/>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61C"/>
    <w:rsid w:val="00B01D56"/>
    <w:rsid w:val="00B01E3F"/>
    <w:rsid w:val="00B023FD"/>
    <w:rsid w:val="00B0249F"/>
    <w:rsid w:val="00B02584"/>
    <w:rsid w:val="00B02A3A"/>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4EB6"/>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EDF"/>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BFF"/>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756"/>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4BEE"/>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30"/>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C2A"/>
    <w:rsid w:val="00BC3DD3"/>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06"/>
    <w:rsid w:val="00BD4FEC"/>
    <w:rsid w:val="00BD503E"/>
    <w:rsid w:val="00BD5550"/>
    <w:rsid w:val="00BD559C"/>
    <w:rsid w:val="00BD56B8"/>
    <w:rsid w:val="00BD5802"/>
    <w:rsid w:val="00BD5913"/>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692"/>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8EC"/>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278"/>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C42"/>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CF0"/>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17A"/>
    <w:rsid w:val="00C953CB"/>
    <w:rsid w:val="00C95639"/>
    <w:rsid w:val="00C95761"/>
    <w:rsid w:val="00C95ED5"/>
    <w:rsid w:val="00C9653E"/>
    <w:rsid w:val="00C966AC"/>
    <w:rsid w:val="00C969DE"/>
    <w:rsid w:val="00C96B91"/>
    <w:rsid w:val="00C96DBB"/>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A7D36"/>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963"/>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38B"/>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6FF"/>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17"/>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37C3D"/>
    <w:rsid w:val="00D400B0"/>
    <w:rsid w:val="00D40389"/>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84B"/>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5BFE"/>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6A0"/>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6AB"/>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DB4"/>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13D"/>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289"/>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0E"/>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D34"/>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17B"/>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8A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456"/>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7E9"/>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0A4"/>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1BA"/>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A30"/>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0F3"/>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5F"/>
    <w:rsid w:val="00F43ABF"/>
    <w:rsid w:val="00F43C91"/>
    <w:rsid w:val="00F43E2F"/>
    <w:rsid w:val="00F43EB1"/>
    <w:rsid w:val="00F43ECE"/>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A7EF2"/>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D55"/>
    <w:rsid w:val="00FC5FD2"/>
    <w:rsid w:val="00FC608D"/>
    <w:rsid w:val="00FC60A5"/>
    <w:rsid w:val="00FC617F"/>
    <w:rsid w:val="00FC6372"/>
    <w:rsid w:val="00FC63C2"/>
    <w:rsid w:val="00FC64F6"/>
    <w:rsid w:val="00FC656F"/>
    <w:rsid w:val="00FC672F"/>
    <w:rsid w:val="00FC6C6D"/>
    <w:rsid w:val="00FC6C8E"/>
    <w:rsid w:val="00FC6CCF"/>
    <w:rsid w:val="00FC6E74"/>
    <w:rsid w:val="00FC720C"/>
    <w:rsid w:val="00FC73EB"/>
    <w:rsid w:val="00FD0BB7"/>
    <w:rsid w:val="00FD0CD2"/>
    <w:rsid w:val="00FD0E43"/>
    <w:rsid w:val="00FD0F39"/>
    <w:rsid w:val="00FD1555"/>
    <w:rsid w:val="00FD15B5"/>
    <w:rsid w:val="00FD1856"/>
    <w:rsid w:val="00FD1BD1"/>
    <w:rsid w:val="00FD1CEB"/>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2DEED71"/>
    <w:rsid w:val="04B68498"/>
    <w:rsid w:val="04C88A0A"/>
    <w:rsid w:val="06335C2E"/>
    <w:rsid w:val="0707F13C"/>
    <w:rsid w:val="0723074E"/>
    <w:rsid w:val="0A4ECF75"/>
    <w:rsid w:val="0CD55CAB"/>
    <w:rsid w:val="0EAF2749"/>
    <w:rsid w:val="14B8C796"/>
    <w:rsid w:val="14C14A70"/>
    <w:rsid w:val="1506CFFF"/>
    <w:rsid w:val="194DA0B9"/>
    <w:rsid w:val="197A0C2D"/>
    <w:rsid w:val="19D94CFC"/>
    <w:rsid w:val="1A4FE7C0"/>
    <w:rsid w:val="1D5CAC3D"/>
    <w:rsid w:val="1E83A276"/>
    <w:rsid w:val="1F7D179B"/>
    <w:rsid w:val="2031A194"/>
    <w:rsid w:val="240B6B5E"/>
    <w:rsid w:val="2495BEA3"/>
    <w:rsid w:val="24E12D07"/>
    <w:rsid w:val="264D453A"/>
    <w:rsid w:val="276F47B0"/>
    <w:rsid w:val="27A6AD63"/>
    <w:rsid w:val="29D8529C"/>
    <w:rsid w:val="2C0BBB05"/>
    <w:rsid w:val="2D667D3A"/>
    <w:rsid w:val="2FC6D813"/>
    <w:rsid w:val="30EB55CF"/>
    <w:rsid w:val="31BA9140"/>
    <w:rsid w:val="3310FEB9"/>
    <w:rsid w:val="34770B8C"/>
    <w:rsid w:val="353E960C"/>
    <w:rsid w:val="36CAB2C1"/>
    <w:rsid w:val="38C28334"/>
    <w:rsid w:val="3A78DDCD"/>
    <w:rsid w:val="3DD90D11"/>
    <w:rsid w:val="3F54F69F"/>
    <w:rsid w:val="429EDD61"/>
    <w:rsid w:val="458E3271"/>
    <w:rsid w:val="471FD17E"/>
    <w:rsid w:val="472A9654"/>
    <w:rsid w:val="47758449"/>
    <w:rsid w:val="4A85013B"/>
    <w:rsid w:val="4B6912D9"/>
    <w:rsid w:val="4CA525EA"/>
    <w:rsid w:val="4CA83DED"/>
    <w:rsid w:val="4D371CAB"/>
    <w:rsid w:val="4F07E70B"/>
    <w:rsid w:val="504D8791"/>
    <w:rsid w:val="50B05EB6"/>
    <w:rsid w:val="51EBB1E1"/>
    <w:rsid w:val="52FC2603"/>
    <w:rsid w:val="53D1D157"/>
    <w:rsid w:val="589A893A"/>
    <w:rsid w:val="5BB44C0F"/>
    <w:rsid w:val="5DC47C0B"/>
    <w:rsid w:val="5E9054F9"/>
    <w:rsid w:val="60928D1B"/>
    <w:rsid w:val="60B4E849"/>
    <w:rsid w:val="61AA9E19"/>
    <w:rsid w:val="63E16AC9"/>
    <w:rsid w:val="6562CE40"/>
    <w:rsid w:val="65686293"/>
    <w:rsid w:val="6592C897"/>
    <w:rsid w:val="65A90F11"/>
    <w:rsid w:val="66D311D6"/>
    <w:rsid w:val="6779C12A"/>
    <w:rsid w:val="68A1FEF1"/>
    <w:rsid w:val="68B85CEC"/>
    <w:rsid w:val="68DE113B"/>
    <w:rsid w:val="68FACAB4"/>
    <w:rsid w:val="6AF0EFB3"/>
    <w:rsid w:val="6D11D2DE"/>
    <w:rsid w:val="6D8CBA4B"/>
    <w:rsid w:val="70923BD2"/>
    <w:rsid w:val="70AFB30E"/>
    <w:rsid w:val="70EAA734"/>
    <w:rsid w:val="7121F044"/>
    <w:rsid w:val="73C16C6F"/>
    <w:rsid w:val="746E4B02"/>
    <w:rsid w:val="7509D027"/>
    <w:rsid w:val="759DADF0"/>
    <w:rsid w:val="77D8C57E"/>
    <w:rsid w:val="78CFA3CC"/>
    <w:rsid w:val="7C590535"/>
    <w:rsid w:val="7F66C8D4"/>
    <w:rsid w:val="7FA311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D81B4"/>
  <w15:docId w15:val="{1C596B55-2601-4206-BFA7-F1B7C094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fr-FR"/>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fr-F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val="fr-FR"/>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fr-FR"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fr-FR"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val="fr-FR"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fr-FR"/>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DC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onsilium.europa.eu/doc/document/ST-7443-2023-INIT/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ea.europa.eu/publications/european-climate-risk-assessment" TargetMode="External"/><Relationship Id="rId2" Type="http://schemas.openxmlformats.org/officeDocument/2006/relationships/hyperlink" Target="https://data.consilium.europa.eu/doc/document/ST-7443-2023-INIT/en/pdf" TargetMode="External"/><Relationship Id="rId1" Type="http://schemas.openxmlformats.org/officeDocument/2006/relationships/hyperlink" Target="https://commission.europa.eu/document/download/5bb2881f-9e29-42f2-8b77-8739b19d047c_en?filename=2024_Niinisto-report_Book_V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0" ma:contentTypeDescription="Create a new document." ma:contentTypeScope="" ma:versionID="0840c3b318e24520dbf511279194a237">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c658aad04dc0d5db34ec98a782b9a146"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customXml/itemProps2.xml><?xml version="1.0" encoding="utf-8"?>
<ds:datastoreItem xmlns:ds="http://schemas.openxmlformats.org/officeDocument/2006/customXml" ds:itemID="{0E497717-8335-4DB0-8285-39CD3214A590}">
  <ds:schemaRefs>
    <ds:schemaRef ds:uri="http://schemas.microsoft.com/sharepoint/v3/contenttype/forms"/>
  </ds:schemaRefs>
</ds:datastoreItem>
</file>

<file path=customXml/itemProps3.xml><?xml version="1.0" encoding="utf-8"?>
<ds:datastoreItem xmlns:ds="http://schemas.openxmlformats.org/officeDocument/2006/customXml" ds:itemID="{A091CD62-0F64-450B-B65D-DDC7B79971E6}">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5F91AE8A-DBBA-4AF6-8BAE-329A55C5A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6</Pages>
  <Words>3130</Words>
  <Characters>17656</Characters>
  <Application>Microsoft Office Word</Application>
  <DocSecurity>0</DocSecurity>
  <PresentationFormat>Microsoft Word 8.0b</PresentationFormat>
  <Lines>259</Lines>
  <Paragraphs>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5</cp:revision>
  <cp:lastPrinted>2017-11-23T17:32:00Z</cp:lastPrinted>
  <dcterms:created xsi:type="dcterms:W3CDTF">2025-01-14T14:04:00Z</dcterms:created>
  <dcterms:modified xsi:type="dcterms:W3CDTF">2025-01-14T14:08:00Z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2024-05-21T09:16:52Z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12940d3f-4e64-4406-8451-56c6a2b0e2cb</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