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F128" w14:textId="4289B8F5" w:rsidR="00CB0D1A" w:rsidRPr="000C03B2" w:rsidRDefault="009B1FF1" w:rsidP="00CB0D1A">
      <w:pPr>
        <w:spacing w:after="600" w:line="240" w:lineRule="auto"/>
        <w:jc w:val="center"/>
        <w:rPr>
          <w:b/>
          <w:bCs/>
          <w:szCs w:val="24"/>
          <w:lang w:val="en-IE"/>
        </w:rPr>
      </w:pP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000C03B2" w:rsidRPr="000C03B2">
        <w:rPr>
          <w:b/>
          <w:bCs/>
          <w:szCs w:val="24"/>
          <w:lang w:val="en-IE"/>
        </w:rPr>
        <w:t>on the proposal for a Council decision on guidelines for the employment policies of the Member States</w:t>
      </w:r>
    </w:p>
    <w:p w14:paraId="5481E768" w14:textId="1EF3948F" w:rsidR="002B7441" w:rsidRPr="00D6407D" w:rsidRDefault="002B7441" w:rsidP="00070315">
      <w:pPr>
        <w:spacing w:after="240"/>
        <w:ind w:left="567" w:hanging="567"/>
        <w:rPr>
          <w:lang w:val="en-IE"/>
        </w:rPr>
      </w:pPr>
      <w:r w:rsidRPr="00D6407D">
        <w:rPr>
          <w:b/>
          <w:lang w:val="en-IE"/>
        </w:rPr>
        <w:t>1.</w:t>
      </w:r>
      <w:r w:rsidR="00C87882">
        <w:rPr>
          <w:b/>
          <w:lang w:val="en-IE"/>
        </w:rPr>
        <w:tab/>
      </w:r>
      <w:r w:rsidRPr="00D6407D">
        <w:rPr>
          <w:b/>
          <w:lang w:val="en-IE"/>
        </w:rPr>
        <w:t>Rapporteur:</w:t>
      </w:r>
      <w:r w:rsidR="00AC6F72" w:rsidRPr="00D6407D">
        <w:rPr>
          <w:b/>
          <w:lang w:val="en-IE"/>
        </w:rPr>
        <w:t xml:space="preserve"> </w:t>
      </w:r>
      <w:r w:rsidR="00CB0D1A">
        <w:rPr>
          <w:bCs/>
          <w:lang w:val="en-IE"/>
        </w:rPr>
        <w:t>Li ANDERSSON (The Left</w:t>
      </w:r>
      <w:r w:rsidR="000C03B2">
        <w:rPr>
          <w:bCs/>
          <w:lang w:val="en-IE"/>
        </w:rPr>
        <w:t xml:space="preserve"> </w:t>
      </w:r>
      <w:r w:rsidR="00CB0D1A">
        <w:rPr>
          <w:bCs/>
          <w:lang w:val="en-IE"/>
        </w:rPr>
        <w:t>/</w:t>
      </w:r>
      <w:r w:rsidR="000C03B2">
        <w:rPr>
          <w:bCs/>
          <w:lang w:val="en-IE"/>
        </w:rPr>
        <w:t xml:space="preserve"> </w:t>
      </w:r>
      <w:r w:rsidR="005A57B9">
        <w:rPr>
          <w:bCs/>
          <w:lang w:val="en-IE"/>
        </w:rPr>
        <w:t>FI</w:t>
      </w:r>
      <w:r w:rsidR="00CB0D1A">
        <w:rPr>
          <w:bCs/>
          <w:lang w:val="en-IE"/>
        </w:rPr>
        <w:t>)</w:t>
      </w:r>
    </w:p>
    <w:p w14:paraId="16975959" w14:textId="6D1AB576" w:rsidR="002B7441" w:rsidRPr="00D16557" w:rsidRDefault="002B7441" w:rsidP="00070315">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w:t>
      </w:r>
      <w:r w:rsidR="00553DA9">
        <w:rPr>
          <w:lang w:val="en-IE"/>
        </w:rPr>
        <w:t xml:space="preserve">2024/0599 (NLE) / </w:t>
      </w:r>
      <w:r w:rsidR="00CB0D1A" w:rsidRPr="00CB0D1A">
        <w:rPr>
          <w:lang w:val="en-IE"/>
        </w:rPr>
        <w:t>A10-0004/2024</w:t>
      </w:r>
      <w:r w:rsidR="00CB0D1A">
        <w:rPr>
          <w:lang w:val="en-IE"/>
        </w:rPr>
        <w:t xml:space="preserve">/ </w:t>
      </w:r>
      <w:r w:rsidR="00CB0D1A" w:rsidRPr="00CB0D1A">
        <w:rPr>
          <w:lang w:val="en-IE"/>
        </w:rPr>
        <w:t>P10_TA(2024)0027</w:t>
      </w:r>
    </w:p>
    <w:p w14:paraId="474B79A2" w14:textId="2626413D" w:rsidR="002B7441" w:rsidRPr="0019232D" w:rsidRDefault="002B7441" w:rsidP="00070315">
      <w:pPr>
        <w:spacing w:after="240"/>
        <w:ind w:left="567" w:hanging="567"/>
        <w:rPr>
          <w:lang w:val="en-IE"/>
        </w:rPr>
      </w:pPr>
      <w:r w:rsidRPr="002B7441">
        <w:rPr>
          <w:b/>
          <w:lang w:val="en-GB"/>
        </w:rPr>
        <w:t>3.</w:t>
      </w:r>
      <w:r w:rsidRPr="002B7441">
        <w:rPr>
          <w:b/>
          <w:lang w:val="en-GB"/>
        </w:rPr>
        <w:tab/>
        <w:t>Date of adoption of the resolution:</w:t>
      </w:r>
      <w:r w:rsidRPr="003429A3">
        <w:rPr>
          <w:bCs/>
          <w:lang w:val="en-GB"/>
        </w:rPr>
        <w:t xml:space="preserve"> </w:t>
      </w:r>
      <w:r w:rsidR="00CB0D1A">
        <w:rPr>
          <w:i/>
          <w:szCs w:val="24"/>
          <w:lang w:val="en-IE"/>
        </w:rPr>
        <w:t xml:space="preserve"> </w:t>
      </w:r>
      <w:r w:rsidR="00CB0D1A" w:rsidRPr="00CB0D1A">
        <w:rPr>
          <w:iCs/>
          <w:szCs w:val="24"/>
          <w:lang w:val="en-IE"/>
        </w:rPr>
        <w:t>23 October 2024</w:t>
      </w:r>
    </w:p>
    <w:p w14:paraId="35860E93" w14:textId="6C07D686" w:rsidR="002B7441" w:rsidRPr="002B7441" w:rsidRDefault="002B7441" w:rsidP="00070315">
      <w:pPr>
        <w:spacing w:after="240"/>
        <w:ind w:left="567" w:hanging="567"/>
        <w:jc w:val="both"/>
        <w:rPr>
          <w:lang w:val="en-GB"/>
        </w:rPr>
      </w:pPr>
      <w:r w:rsidRPr="002B7441">
        <w:rPr>
          <w:b/>
          <w:lang w:val="en-GB"/>
        </w:rPr>
        <w:t>4.</w:t>
      </w:r>
      <w:r w:rsidRPr="002B7441">
        <w:rPr>
          <w:b/>
          <w:lang w:val="en-GB"/>
        </w:rPr>
        <w:tab/>
        <w:t>Legal basis:</w:t>
      </w:r>
      <w:r w:rsidR="00CB0D1A" w:rsidRPr="00CB0D1A">
        <w:rPr>
          <w:bCs/>
          <w:lang w:val="en-GB"/>
        </w:rPr>
        <w:t xml:space="preserve"> </w:t>
      </w:r>
      <w:r w:rsidR="00CB0D1A">
        <w:rPr>
          <w:bCs/>
          <w:lang w:val="en-GB"/>
        </w:rPr>
        <w:t>Art</w:t>
      </w:r>
      <w:r w:rsidR="00486D96">
        <w:rPr>
          <w:bCs/>
          <w:lang w:val="en-GB"/>
        </w:rPr>
        <w:t>icle</w:t>
      </w:r>
      <w:r w:rsidR="00CB0D1A">
        <w:rPr>
          <w:bCs/>
          <w:lang w:val="en-GB"/>
        </w:rPr>
        <w:t xml:space="preserve"> </w:t>
      </w:r>
      <w:r w:rsidR="00CB0D1A" w:rsidRPr="00CB0D1A">
        <w:rPr>
          <w:bCs/>
          <w:lang w:val="en-GB"/>
        </w:rPr>
        <w:t>148</w:t>
      </w:r>
      <w:r w:rsidR="00CB0D1A">
        <w:rPr>
          <w:bCs/>
          <w:lang w:val="en-GB"/>
        </w:rPr>
        <w:t xml:space="preserve"> (2)</w:t>
      </w:r>
      <w:r w:rsidR="00486D96">
        <w:rPr>
          <w:bCs/>
          <w:lang w:val="en-GB"/>
        </w:rPr>
        <w:t xml:space="preserve"> o</w:t>
      </w:r>
      <w:r w:rsidR="00486D96" w:rsidRPr="00486D96">
        <w:rPr>
          <w:bCs/>
          <w:lang w:val="en-IE"/>
        </w:rPr>
        <w:t>f the Treaty on the Functioning of the European Union</w:t>
      </w:r>
    </w:p>
    <w:p w14:paraId="5DE3F035" w14:textId="42643905" w:rsidR="00DE04F8" w:rsidRPr="0019232D" w:rsidRDefault="002B7441" w:rsidP="00070315">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sidR="0019232D" w:rsidRPr="0019232D">
        <w:rPr>
          <w:szCs w:val="24"/>
          <w:lang w:val="en-IE"/>
        </w:rPr>
        <w:t xml:space="preserve">Committee </w:t>
      </w:r>
      <w:r w:rsidR="0019232D" w:rsidRPr="00CB0D1A">
        <w:rPr>
          <w:bCs/>
          <w:lang w:val="en-GB"/>
        </w:rPr>
        <w:t xml:space="preserve">on </w:t>
      </w:r>
      <w:r w:rsidR="00CB0D1A" w:rsidRPr="00CB0D1A">
        <w:rPr>
          <w:bCs/>
          <w:lang w:val="en-GB"/>
        </w:rPr>
        <w:t>Employment and Social Affairs</w:t>
      </w:r>
    </w:p>
    <w:p w14:paraId="4C23ED87" w14:textId="5815A13A" w:rsidR="001265A9" w:rsidRDefault="002B7441" w:rsidP="00070315">
      <w:pPr>
        <w:tabs>
          <w:tab w:val="left" w:pos="567"/>
        </w:tabs>
        <w:spacing w:after="240" w:line="276" w:lineRule="auto"/>
        <w:ind w:left="567" w:hanging="567"/>
        <w:rPr>
          <w:color w:val="000000"/>
          <w:szCs w:val="24"/>
          <w:lang w:val="en-GB"/>
        </w:rPr>
      </w:pPr>
      <w:r w:rsidRPr="002B7441">
        <w:rPr>
          <w:b/>
          <w:lang w:val="en-GB"/>
        </w:rPr>
        <w:t>6.</w:t>
      </w:r>
      <w:r w:rsidRPr="002B7441">
        <w:rPr>
          <w:b/>
          <w:lang w:val="en-GB"/>
        </w:rPr>
        <w:tab/>
        <w:t xml:space="preserve">Commission's </w:t>
      </w:r>
      <w:r w:rsidRPr="00FA4932">
        <w:rPr>
          <w:b/>
          <w:lang w:val="en-GB"/>
        </w:rPr>
        <w:t>position:</w:t>
      </w:r>
      <w:r w:rsidRPr="00FA4932">
        <w:rPr>
          <w:color w:val="000000"/>
          <w:sz w:val="22"/>
          <w:szCs w:val="22"/>
          <w:lang w:val="en-GB"/>
        </w:rPr>
        <w:t xml:space="preserve"> </w:t>
      </w:r>
      <w:r w:rsidRPr="00FA4932">
        <w:rPr>
          <w:color w:val="000000"/>
          <w:szCs w:val="24"/>
          <w:lang w:val="en-GB"/>
        </w:rPr>
        <w:t xml:space="preserve">accepts </w:t>
      </w:r>
      <w:r w:rsidR="00CB0D1A" w:rsidRPr="00FA4932">
        <w:rPr>
          <w:color w:val="000000"/>
          <w:szCs w:val="24"/>
          <w:lang w:val="en-GB"/>
        </w:rPr>
        <w:t xml:space="preserve">some </w:t>
      </w:r>
      <w:r w:rsidRPr="00FA4932">
        <w:rPr>
          <w:color w:val="000000"/>
          <w:szCs w:val="24"/>
          <w:lang w:val="en-GB"/>
        </w:rPr>
        <w:t>amendments.</w:t>
      </w:r>
    </w:p>
    <w:p w14:paraId="602C0438" w14:textId="11EAF285" w:rsidR="00D600D4" w:rsidRPr="00633CF6" w:rsidRDefault="00D600D4" w:rsidP="00070315">
      <w:pPr>
        <w:tabs>
          <w:tab w:val="left" w:pos="567"/>
        </w:tabs>
        <w:spacing w:after="120" w:line="240" w:lineRule="auto"/>
        <w:jc w:val="both"/>
        <w:rPr>
          <w:color w:val="000000"/>
          <w:szCs w:val="24"/>
          <w:lang w:val="en-GB"/>
        </w:rPr>
      </w:pPr>
      <w:r w:rsidRPr="00633CF6">
        <w:rPr>
          <w:color w:val="000000"/>
          <w:szCs w:val="24"/>
          <w:lang w:val="en-GB"/>
        </w:rPr>
        <w:t>After a thorough review of the amendments/compromises tabled by the European Parliament, the Commission is of the opinion that most of them are (in content and/ or nature) already part of the Employment Guidelines or mentioned in recitals</w:t>
      </w:r>
      <w:r w:rsidR="00970BD4" w:rsidRPr="00633CF6">
        <w:rPr>
          <w:color w:val="000000"/>
          <w:szCs w:val="24"/>
          <w:lang w:val="en-GB"/>
        </w:rPr>
        <w:t xml:space="preserve">, also after the Guidelines were discussed and amended in the </w:t>
      </w:r>
      <w:r w:rsidR="002A55B8" w:rsidRPr="00633CF6">
        <w:rPr>
          <w:color w:val="000000"/>
          <w:szCs w:val="24"/>
          <w:lang w:val="en-GB"/>
        </w:rPr>
        <w:t>Employment Committee (</w:t>
      </w:r>
      <w:r w:rsidR="00970BD4" w:rsidRPr="00633CF6">
        <w:rPr>
          <w:color w:val="000000"/>
          <w:szCs w:val="24"/>
          <w:lang w:val="en-GB"/>
        </w:rPr>
        <w:t>EMCO</w:t>
      </w:r>
      <w:r w:rsidR="002A55B8" w:rsidRPr="00633CF6">
        <w:rPr>
          <w:color w:val="000000"/>
          <w:szCs w:val="24"/>
          <w:lang w:val="en-GB"/>
        </w:rPr>
        <w:t>)</w:t>
      </w:r>
      <w:r w:rsidR="00970BD4" w:rsidRPr="00633CF6">
        <w:rPr>
          <w:color w:val="000000"/>
          <w:szCs w:val="24"/>
          <w:lang w:val="en-GB"/>
        </w:rPr>
        <w:t xml:space="preserve"> </w:t>
      </w:r>
      <w:r w:rsidR="002A55B8" w:rsidRPr="00633CF6">
        <w:rPr>
          <w:color w:val="000000"/>
          <w:szCs w:val="24"/>
          <w:lang w:val="en-GB"/>
        </w:rPr>
        <w:t xml:space="preserve">and the Social Protection Committee </w:t>
      </w:r>
      <w:r w:rsidR="00C41605" w:rsidRPr="00633CF6">
        <w:rPr>
          <w:color w:val="000000"/>
          <w:szCs w:val="24"/>
          <w:lang w:val="en-GB"/>
        </w:rPr>
        <w:t>(</w:t>
      </w:r>
      <w:r w:rsidR="00970BD4" w:rsidRPr="00633CF6">
        <w:rPr>
          <w:color w:val="000000"/>
          <w:szCs w:val="24"/>
          <w:lang w:val="en-GB"/>
        </w:rPr>
        <w:t>SPC</w:t>
      </w:r>
      <w:r w:rsidR="00C41605" w:rsidRPr="00633CF6">
        <w:rPr>
          <w:color w:val="000000"/>
          <w:szCs w:val="24"/>
          <w:lang w:val="en-GB"/>
        </w:rPr>
        <w:t>)</w:t>
      </w:r>
      <w:r w:rsidRPr="00633CF6">
        <w:rPr>
          <w:color w:val="000000"/>
          <w:szCs w:val="24"/>
          <w:lang w:val="en-GB"/>
        </w:rPr>
        <w:t xml:space="preserve">. In some cases, </w:t>
      </w:r>
      <w:r w:rsidR="00070315">
        <w:rPr>
          <w:color w:val="000000"/>
          <w:szCs w:val="24"/>
          <w:lang w:val="en-GB"/>
        </w:rPr>
        <w:t>the Parliament</w:t>
      </w:r>
      <w:r w:rsidRPr="00633CF6">
        <w:rPr>
          <w:color w:val="000000"/>
          <w:szCs w:val="24"/>
          <w:lang w:val="en-GB"/>
        </w:rPr>
        <w:t xml:space="preserve"> </w:t>
      </w:r>
      <w:r w:rsidR="002F2E26">
        <w:rPr>
          <w:color w:val="000000"/>
          <w:szCs w:val="24"/>
          <w:lang w:val="en-GB"/>
        </w:rPr>
        <w:t xml:space="preserve">calls </w:t>
      </w:r>
      <w:r w:rsidRPr="00633CF6">
        <w:rPr>
          <w:color w:val="000000"/>
          <w:szCs w:val="24"/>
          <w:lang w:val="en-GB"/>
        </w:rPr>
        <w:t xml:space="preserve">for the adoption </w:t>
      </w:r>
      <w:r w:rsidR="00F07B43" w:rsidRPr="00633CF6">
        <w:rPr>
          <w:color w:val="000000"/>
          <w:szCs w:val="24"/>
          <w:lang w:val="en-GB"/>
        </w:rPr>
        <w:t xml:space="preserve">or implementation </w:t>
      </w:r>
      <w:r w:rsidRPr="00633CF6">
        <w:rPr>
          <w:color w:val="000000"/>
          <w:szCs w:val="24"/>
          <w:lang w:val="en-GB"/>
        </w:rPr>
        <w:t>of new (legislative) initiatives, which does not seem appropriate</w:t>
      </w:r>
      <w:r w:rsidR="00CB576B" w:rsidRPr="00633CF6">
        <w:rPr>
          <w:color w:val="000000"/>
          <w:szCs w:val="24"/>
          <w:lang w:val="en-GB"/>
        </w:rPr>
        <w:t xml:space="preserve"> to incorporate</w:t>
      </w:r>
      <w:r w:rsidRPr="00633CF6">
        <w:rPr>
          <w:color w:val="000000"/>
          <w:szCs w:val="24"/>
          <w:lang w:val="en-GB"/>
        </w:rPr>
        <w:t xml:space="preserve"> in</w:t>
      </w:r>
      <w:r w:rsidR="00C41605" w:rsidRPr="00633CF6">
        <w:rPr>
          <w:color w:val="000000"/>
          <w:szCs w:val="24"/>
          <w:lang w:val="en-GB"/>
        </w:rPr>
        <w:t xml:space="preserve"> the E</w:t>
      </w:r>
      <w:r w:rsidR="00CB576B" w:rsidRPr="00633CF6">
        <w:rPr>
          <w:color w:val="000000"/>
          <w:szCs w:val="24"/>
          <w:lang w:val="en-GB"/>
        </w:rPr>
        <w:t>mployment Guidelines</w:t>
      </w:r>
      <w:r w:rsidR="00FA4932">
        <w:rPr>
          <w:color w:val="000000"/>
          <w:szCs w:val="24"/>
          <w:lang w:val="en-GB"/>
        </w:rPr>
        <w:t xml:space="preserve"> </w:t>
      </w:r>
      <w:r w:rsidR="002F2E26">
        <w:rPr>
          <w:color w:val="000000"/>
          <w:szCs w:val="24"/>
          <w:lang w:val="en-GB"/>
        </w:rPr>
        <w:t>as the latter</w:t>
      </w:r>
      <w:r w:rsidR="002F2E26" w:rsidRPr="00633CF6">
        <w:rPr>
          <w:color w:val="000000"/>
          <w:szCs w:val="24"/>
          <w:lang w:val="en-GB"/>
        </w:rPr>
        <w:t xml:space="preserve"> </w:t>
      </w:r>
      <w:r w:rsidR="00CB576B" w:rsidRPr="00633CF6">
        <w:rPr>
          <w:color w:val="000000"/>
          <w:szCs w:val="24"/>
          <w:lang w:val="en-GB"/>
        </w:rPr>
        <w:t xml:space="preserve">can only refer to initiatives already </w:t>
      </w:r>
      <w:r w:rsidR="001B1AD2" w:rsidRPr="00633CF6">
        <w:rPr>
          <w:color w:val="000000"/>
          <w:szCs w:val="24"/>
          <w:lang w:val="en-GB"/>
        </w:rPr>
        <w:t>adopted by the Council</w:t>
      </w:r>
      <w:r w:rsidR="00F07B43" w:rsidRPr="00633CF6">
        <w:rPr>
          <w:color w:val="000000"/>
          <w:szCs w:val="24"/>
          <w:lang w:val="en-GB"/>
        </w:rPr>
        <w:t xml:space="preserve">. Also, in amendment 1, the </w:t>
      </w:r>
      <w:r w:rsidR="00A65612" w:rsidRPr="00633CF6">
        <w:rPr>
          <w:color w:val="000000"/>
          <w:szCs w:val="24"/>
          <w:lang w:val="en-GB"/>
        </w:rPr>
        <w:t>P</w:t>
      </w:r>
      <w:r w:rsidR="00347CB0">
        <w:rPr>
          <w:color w:val="000000"/>
          <w:szCs w:val="24"/>
          <w:lang w:val="en-GB"/>
        </w:rPr>
        <w:t>arliament</w:t>
      </w:r>
      <w:r w:rsidR="00F07B43" w:rsidRPr="00633CF6">
        <w:rPr>
          <w:color w:val="000000"/>
          <w:szCs w:val="24"/>
          <w:lang w:val="en-GB"/>
        </w:rPr>
        <w:t xml:space="preserve"> </w:t>
      </w:r>
      <w:r w:rsidRPr="00633CF6">
        <w:rPr>
          <w:color w:val="000000"/>
          <w:szCs w:val="24"/>
          <w:lang w:val="en-GB"/>
        </w:rPr>
        <w:t>ask</w:t>
      </w:r>
      <w:r w:rsidR="00F07B43" w:rsidRPr="00633CF6">
        <w:rPr>
          <w:color w:val="000000"/>
          <w:szCs w:val="24"/>
          <w:lang w:val="en-GB"/>
        </w:rPr>
        <w:t>s</w:t>
      </w:r>
      <w:r w:rsidRPr="00633CF6">
        <w:rPr>
          <w:color w:val="000000"/>
          <w:szCs w:val="24"/>
          <w:lang w:val="en-GB"/>
        </w:rPr>
        <w:t xml:space="preserve"> to</w:t>
      </w:r>
      <w:r w:rsidR="00F07B43" w:rsidRPr="00633CF6">
        <w:rPr>
          <w:color w:val="000000"/>
          <w:szCs w:val="24"/>
          <w:lang w:val="en-GB"/>
        </w:rPr>
        <w:t xml:space="preserve"> be</w:t>
      </w:r>
      <w:r w:rsidRPr="00633CF6">
        <w:rPr>
          <w:color w:val="000000"/>
          <w:szCs w:val="24"/>
          <w:lang w:val="en-GB"/>
        </w:rPr>
        <w:t xml:space="preserve"> put on equal footing with the Council as concerns the </w:t>
      </w:r>
      <w:r w:rsidR="00F07B43" w:rsidRPr="00633CF6">
        <w:rPr>
          <w:color w:val="000000"/>
          <w:szCs w:val="24"/>
          <w:lang w:val="en-GB"/>
        </w:rPr>
        <w:t>setting</w:t>
      </w:r>
      <w:r w:rsidRPr="00633CF6">
        <w:rPr>
          <w:color w:val="000000"/>
          <w:szCs w:val="24"/>
          <w:lang w:val="en-GB"/>
        </w:rPr>
        <w:t xml:space="preserve"> of the Integrated Guidelines </w:t>
      </w:r>
      <w:r w:rsidR="00F07B43" w:rsidRPr="00633CF6">
        <w:rPr>
          <w:color w:val="000000"/>
          <w:szCs w:val="24"/>
          <w:lang w:val="en-GB"/>
        </w:rPr>
        <w:t xml:space="preserve">at Union level. However, </w:t>
      </w:r>
      <w:r w:rsidRPr="00633CF6">
        <w:rPr>
          <w:color w:val="000000"/>
          <w:szCs w:val="24"/>
          <w:lang w:val="en-GB"/>
        </w:rPr>
        <w:t>this would require a Treaty change of Article 148 TFEU that defines the role of the legislator.</w:t>
      </w:r>
    </w:p>
    <w:p w14:paraId="30C5600A" w14:textId="16198FC0" w:rsidR="00FA4932" w:rsidRDefault="001B1AD2" w:rsidP="00070315">
      <w:pPr>
        <w:tabs>
          <w:tab w:val="left" w:pos="567"/>
        </w:tabs>
        <w:spacing w:after="120" w:line="240" w:lineRule="auto"/>
        <w:jc w:val="both"/>
        <w:rPr>
          <w:color w:val="000000"/>
          <w:szCs w:val="24"/>
          <w:lang w:val="en-GB"/>
        </w:rPr>
      </w:pPr>
      <w:r w:rsidRPr="00633CF6">
        <w:rPr>
          <w:color w:val="000000"/>
          <w:szCs w:val="24"/>
          <w:lang w:val="en-GB"/>
        </w:rPr>
        <w:t>T</w:t>
      </w:r>
      <w:r w:rsidR="00F07B43" w:rsidRPr="00633CF6">
        <w:rPr>
          <w:color w:val="000000"/>
          <w:szCs w:val="24"/>
          <w:lang w:val="en-GB"/>
        </w:rPr>
        <w:t xml:space="preserve">he </w:t>
      </w:r>
      <w:r w:rsidR="00347CB0">
        <w:rPr>
          <w:color w:val="000000"/>
          <w:szCs w:val="24"/>
          <w:lang w:val="en-GB"/>
        </w:rPr>
        <w:t>Parliament resolution</w:t>
      </w:r>
      <w:r w:rsidR="00154933" w:rsidRPr="00633CF6">
        <w:rPr>
          <w:color w:val="000000"/>
          <w:szCs w:val="24"/>
          <w:lang w:val="en-GB"/>
        </w:rPr>
        <w:t xml:space="preserve"> focusses on</w:t>
      </w:r>
      <w:r w:rsidR="00F07B43" w:rsidRPr="00633CF6">
        <w:rPr>
          <w:color w:val="000000"/>
          <w:szCs w:val="24"/>
          <w:lang w:val="en-GB"/>
        </w:rPr>
        <w:t xml:space="preserve"> </w:t>
      </w:r>
      <w:r w:rsidR="003E6C3C" w:rsidRPr="00633CF6">
        <w:rPr>
          <w:color w:val="000000"/>
          <w:szCs w:val="24"/>
          <w:lang w:val="en-GB"/>
        </w:rPr>
        <w:t>three</w:t>
      </w:r>
      <w:r w:rsidR="00F07B43" w:rsidRPr="00633CF6">
        <w:rPr>
          <w:color w:val="000000"/>
          <w:szCs w:val="24"/>
          <w:lang w:val="en-GB"/>
        </w:rPr>
        <w:t xml:space="preserve"> main issues: 1) Shortages and brain drain and the need to retain and attract workers through better pay</w:t>
      </w:r>
      <w:r w:rsidR="00507063" w:rsidRPr="00633CF6">
        <w:rPr>
          <w:color w:val="000000"/>
          <w:szCs w:val="24"/>
          <w:lang w:val="en-GB"/>
        </w:rPr>
        <w:t xml:space="preserve"> and</w:t>
      </w:r>
      <w:r w:rsidR="00F07B43" w:rsidRPr="00633CF6">
        <w:rPr>
          <w:color w:val="000000"/>
          <w:szCs w:val="24"/>
          <w:lang w:val="en-GB"/>
        </w:rPr>
        <w:t xml:space="preserve"> working conditions</w:t>
      </w:r>
      <w:r w:rsidR="00507063" w:rsidRPr="00633CF6">
        <w:rPr>
          <w:color w:val="000000"/>
          <w:szCs w:val="24"/>
          <w:lang w:val="en-GB"/>
        </w:rPr>
        <w:t xml:space="preserve"> (including </w:t>
      </w:r>
      <w:r w:rsidR="00507063" w:rsidRPr="00633CF6">
        <w:rPr>
          <w:lang w:val="en-IE"/>
        </w:rPr>
        <w:t>telework and right to disconnect)</w:t>
      </w:r>
      <w:r w:rsidR="00154933" w:rsidRPr="00633CF6">
        <w:rPr>
          <w:lang w:val="en-IE"/>
        </w:rPr>
        <w:t>,</w:t>
      </w:r>
      <w:r w:rsidR="00F07B43" w:rsidRPr="00633CF6">
        <w:rPr>
          <w:color w:val="000000"/>
          <w:szCs w:val="24"/>
          <w:lang w:val="en-GB"/>
        </w:rPr>
        <w:t xml:space="preserve"> and </w:t>
      </w:r>
      <w:r w:rsidR="00507063" w:rsidRPr="00633CF6">
        <w:rPr>
          <w:color w:val="000000"/>
          <w:szCs w:val="24"/>
          <w:lang w:val="en-GB"/>
        </w:rPr>
        <w:t xml:space="preserve">education and </w:t>
      </w:r>
      <w:r w:rsidR="00F07B43" w:rsidRPr="00633CF6">
        <w:rPr>
          <w:color w:val="000000"/>
          <w:szCs w:val="24"/>
          <w:lang w:val="en-GB"/>
        </w:rPr>
        <w:t xml:space="preserve">training; </w:t>
      </w:r>
      <w:r w:rsidR="00507063" w:rsidRPr="00633CF6">
        <w:rPr>
          <w:color w:val="000000"/>
          <w:szCs w:val="24"/>
          <w:lang w:val="en-GB"/>
        </w:rPr>
        <w:t>2) Democracy at work</w:t>
      </w:r>
      <w:r w:rsidR="00F07B43" w:rsidRPr="00633CF6">
        <w:rPr>
          <w:color w:val="000000"/>
          <w:szCs w:val="24"/>
          <w:lang w:val="en-GB"/>
        </w:rPr>
        <w:t xml:space="preserve"> and collective </w:t>
      </w:r>
      <w:r w:rsidR="00154933" w:rsidRPr="00633CF6">
        <w:rPr>
          <w:color w:val="000000"/>
          <w:szCs w:val="24"/>
          <w:lang w:val="en-GB"/>
        </w:rPr>
        <w:t>b</w:t>
      </w:r>
      <w:r w:rsidR="00F07B43" w:rsidRPr="00633CF6">
        <w:rPr>
          <w:color w:val="000000"/>
          <w:szCs w:val="24"/>
          <w:lang w:val="en-GB"/>
        </w:rPr>
        <w:t xml:space="preserve">argaining as important for the transitions, and </w:t>
      </w:r>
      <w:r w:rsidR="003E6C3C" w:rsidRPr="00633CF6">
        <w:rPr>
          <w:color w:val="000000"/>
          <w:szCs w:val="24"/>
          <w:lang w:val="en-GB"/>
        </w:rPr>
        <w:t xml:space="preserve">3) </w:t>
      </w:r>
      <w:r w:rsidR="00507063" w:rsidRPr="00633CF6">
        <w:rPr>
          <w:lang w:val="en-IE"/>
        </w:rPr>
        <w:t xml:space="preserve">affordable </w:t>
      </w:r>
      <w:r w:rsidR="003E6C3C" w:rsidRPr="00633CF6">
        <w:rPr>
          <w:color w:val="000000"/>
          <w:szCs w:val="24"/>
          <w:lang w:val="en-GB"/>
        </w:rPr>
        <w:t>h</w:t>
      </w:r>
      <w:r w:rsidR="00F07B43" w:rsidRPr="00633CF6">
        <w:rPr>
          <w:color w:val="000000"/>
          <w:szCs w:val="24"/>
          <w:lang w:val="en-GB"/>
        </w:rPr>
        <w:t>ousing as a useful tool to resolve social discrepancies</w:t>
      </w:r>
      <w:r w:rsidRPr="00633CF6">
        <w:rPr>
          <w:color w:val="000000"/>
          <w:szCs w:val="24"/>
          <w:lang w:val="en-GB"/>
        </w:rPr>
        <w:t xml:space="preserve">. </w:t>
      </w:r>
    </w:p>
    <w:p w14:paraId="13AAB3FC" w14:textId="1947D43D" w:rsidR="00D600D4" w:rsidRPr="00633CF6" w:rsidRDefault="001B1AD2" w:rsidP="00070315">
      <w:pPr>
        <w:tabs>
          <w:tab w:val="left" w:pos="567"/>
        </w:tabs>
        <w:spacing w:after="120" w:line="240" w:lineRule="auto"/>
        <w:jc w:val="both"/>
        <w:rPr>
          <w:color w:val="000000"/>
          <w:szCs w:val="24"/>
          <w:lang w:val="en-GB"/>
        </w:rPr>
      </w:pPr>
      <w:r w:rsidRPr="00633CF6">
        <w:rPr>
          <w:color w:val="000000"/>
          <w:szCs w:val="24"/>
          <w:lang w:val="en-GB"/>
        </w:rPr>
        <w:t>In this light,</w:t>
      </w:r>
      <w:r w:rsidR="00D600D4" w:rsidRPr="00633CF6">
        <w:rPr>
          <w:color w:val="000000"/>
          <w:szCs w:val="24"/>
          <w:lang w:val="en-GB"/>
        </w:rPr>
        <w:t xml:space="preserve"> the Commission </w:t>
      </w:r>
      <w:r w:rsidR="003E6C3C" w:rsidRPr="00633CF6">
        <w:rPr>
          <w:color w:val="000000"/>
          <w:szCs w:val="24"/>
          <w:lang w:val="en-GB"/>
        </w:rPr>
        <w:t>can</w:t>
      </w:r>
      <w:r w:rsidR="00D600D4" w:rsidRPr="00633CF6">
        <w:rPr>
          <w:color w:val="000000"/>
          <w:szCs w:val="24"/>
          <w:lang w:val="en-GB"/>
        </w:rPr>
        <w:t xml:space="preserve"> accept some wording from the </w:t>
      </w:r>
      <w:r w:rsidR="002F742C">
        <w:rPr>
          <w:color w:val="000000"/>
          <w:szCs w:val="24"/>
          <w:lang w:val="en-GB"/>
        </w:rPr>
        <w:t xml:space="preserve">following </w:t>
      </w:r>
      <w:r w:rsidRPr="00633CF6">
        <w:rPr>
          <w:color w:val="000000"/>
          <w:szCs w:val="24"/>
          <w:lang w:val="en-GB"/>
        </w:rPr>
        <w:t xml:space="preserve">proposed </w:t>
      </w:r>
      <w:r w:rsidR="00D600D4" w:rsidRPr="00633CF6">
        <w:rPr>
          <w:color w:val="000000"/>
          <w:szCs w:val="24"/>
          <w:lang w:val="en-GB"/>
        </w:rPr>
        <w:t>amendments:</w:t>
      </w:r>
    </w:p>
    <w:p w14:paraId="16B76AF6" w14:textId="5864190C" w:rsidR="002913A1" w:rsidRDefault="00FA4932" w:rsidP="00BF26A9">
      <w:pPr>
        <w:pStyle w:val="ListParagraph"/>
        <w:tabs>
          <w:tab w:val="left" w:pos="567"/>
        </w:tabs>
        <w:spacing w:after="120" w:line="240" w:lineRule="auto"/>
        <w:ind w:left="0"/>
        <w:contextualSpacing w:val="0"/>
        <w:jc w:val="both"/>
        <w:rPr>
          <w:color w:val="000000"/>
          <w:szCs w:val="24"/>
          <w:lang w:val="en-GB"/>
        </w:rPr>
      </w:pPr>
      <w:r>
        <w:rPr>
          <w:i/>
          <w:iCs/>
          <w:color w:val="000000"/>
          <w:szCs w:val="24"/>
          <w:lang w:val="en-GB"/>
        </w:rPr>
        <w:t>R</w:t>
      </w:r>
      <w:r w:rsidR="002913A1" w:rsidRPr="002913A1">
        <w:rPr>
          <w:i/>
          <w:iCs/>
          <w:color w:val="000000"/>
          <w:szCs w:val="24"/>
          <w:lang w:val="en-GB"/>
        </w:rPr>
        <w:t>ecital 12</w:t>
      </w:r>
      <w:r w:rsidR="002913A1" w:rsidRPr="002913A1">
        <w:rPr>
          <w:color w:val="000000"/>
          <w:szCs w:val="24"/>
          <w:lang w:val="en-GB"/>
        </w:rPr>
        <w:t xml:space="preserve"> </w:t>
      </w:r>
      <w:r w:rsidR="00D600D4" w:rsidRPr="002913A1">
        <w:rPr>
          <w:color w:val="000000"/>
          <w:szCs w:val="24"/>
          <w:lang w:val="en-GB"/>
        </w:rPr>
        <w:t>(</w:t>
      </w:r>
      <w:r w:rsidR="00D600D4" w:rsidRPr="002913A1">
        <w:rPr>
          <w:b/>
          <w:bCs/>
          <w:color w:val="000000"/>
          <w:szCs w:val="24"/>
          <w:lang w:val="en-GB"/>
        </w:rPr>
        <w:t>in bold</w:t>
      </w:r>
      <w:r w:rsidR="00D600D4" w:rsidRPr="002913A1">
        <w:rPr>
          <w:color w:val="000000"/>
          <w:szCs w:val="24"/>
          <w:lang w:val="en-GB"/>
        </w:rPr>
        <w:t>): “</w:t>
      </w:r>
      <w:r w:rsidR="00B85753" w:rsidRPr="002913A1">
        <w:rPr>
          <w:color w:val="000000"/>
          <w:szCs w:val="24"/>
          <w:lang w:val="en-GB"/>
        </w:rPr>
        <w:t>Reforms to the labour market, including national wage-setting mechanisms, should respect national practices of social dialogue</w:t>
      </w:r>
      <w:r w:rsidR="00B85753" w:rsidRPr="002913A1">
        <w:rPr>
          <w:b/>
          <w:bCs/>
          <w:color w:val="000000"/>
          <w:szCs w:val="24"/>
          <w:lang w:val="en-GB"/>
        </w:rPr>
        <w:t>, collective bargaining</w:t>
      </w:r>
      <w:r w:rsidR="00B85753" w:rsidRPr="002913A1">
        <w:rPr>
          <w:color w:val="000000"/>
          <w:szCs w:val="24"/>
          <w:lang w:val="en-GB"/>
        </w:rPr>
        <w:t xml:space="preserve"> and the autonomy of the social partners, with a view to providing fair wages that enable a decent standard of living, sustainable growth and upward socio-economic convergence. Such reforms should allow for a broad consideration of socio-economic factors, including improvements in sustainability, competitiveness, innovation, the creation of quality jobs, </w:t>
      </w:r>
      <w:r w:rsidR="00BB3FBD">
        <w:rPr>
          <w:b/>
          <w:bCs/>
          <w:color w:val="000000"/>
          <w:szCs w:val="24"/>
          <w:lang w:val="en-GB"/>
        </w:rPr>
        <w:t>fair</w:t>
      </w:r>
      <w:r w:rsidR="00B85753" w:rsidRPr="002913A1">
        <w:rPr>
          <w:color w:val="000000"/>
          <w:szCs w:val="24"/>
          <w:lang w:val="en-GB"/>
        </w:rPr>
        <w:t xml:space="preserve"> working conditions</w:t>
      </w:r>
      <w:r w:rsidR="00B85753" w:rsidRPr="002913A1">
        <w:rPr>
          <w:b/>
          <w:bCs/>
          <w:color w:val="000000"/>
          <w:szCs w:val="24"/>
          <w:lang w:val="en-GB"/>
        </w:rPr>
        <w:t>, democracy at work, gender equality</w:t>
      </w:r>
      <w:r w:rsidR="00B85753" w:rsidRPr="002913A1">
        <w:rPr>
          <w:color w:val="000000"/>
          <w:szCs w:val="24"/>
          <w:lang w:val="en-GB"/>
        </w:rPr>
        <w:t>, in-work poverty, education, training and skills, public health, social protection and inclusion, as well as real incomes. The importance of social dialogue in tackling challenges in the world of work, including labour and skills shortages, was reaffirmed at the 2024 Val Duchesse Summit.</w:t>
      </w:r>
      <w:r w:rsidR="00D600D4" w:rsidRPr="002913A1">
        <w:rPr>
          <w:color w:val="000000"/>
          <w:szCs w:val="24"/>
          <w:lang w:val="en-GB"/>
        </w:rPr>
        <w:t xml:space="preserve">”, as </w:t>
      </w:r>
      <w:r w:rsidR="00B85753" w:rsidRPr="002913A1">
        <w:rPr>
          <w:color w:val="000000"/>
          <w:szCs w:val="24"/>
          <w:lang w:val="en-GB"/>
        </w:rPr>
        <w:t>these are valuable elements to include in the text</w:t>
      </w:r>
      <w:r w:rsidR="00D600D4" w:rsidRPr="002913A1">
        <w:rPr>
          <w:color w:val="000000"/>
          <w:szCs w:val="24"/>
          <w:lang w:val="en-GB"/>
        </w:rPr>
        <w:t>.</w:t>
      </w:r>
    </w:p>
    <w:p w14:paraId="4A287CAC" w14:textId="77FB874C" w:rsidR="002913A1" w:rsidRDefault="00FA4932" w:rsidP="00BF26A9">
      <w:pPr>
        <w:pStyle w:val="ListParagraph"/>
        <w:tabs>
          <w:tab w:val="left" w:pos="567"/>
        </w:tabs>
        <w:spacing w:after="120" w:line="240" w:lineRule="auto"/>
        <w:ind w:left="0"/>
        <w:contextualSpacing w:val="0"/>
        <w:jc w:val="both"/>
        <w:rPr>
          <w:color w:val="000000"/>
          <w:szCs w:val="24"/>
          <w:lang w:val="en-GB"/>
        </w:rPr>
      </w:pPr>
      <w:r>
        <w:rPr>
          <w:i/>
          <w:iCs/>
          <w:color w:val="000000"/>
          <w:szCs w:val="24"/>
          <w:lang w:val="en-GB"/>
        </w:rPr>
        <w:t>R</w:t>
      </w:r>
      <w:r w:rsidR="00D600D4" w:rsidRPr="002913A1">
        <w:rPr>
          <w:i/>
          <w:iCs/>
          <w:color w:val="000000"/>
          <w:szCs w:val="24"/>
          <w:lang w:val="en-GB"/>
        </w:rPr>
        <w:t xml:space="preserve">ecital </w:t>
      </w:r>
      <w:r w:rsidR="00B85753" w:rsidRPr="002913A1">
        <w:rPr>
          <w:i/>
          <w:iCs/>
          <w:color w:val="000000"/>
          <w:szCs w:val="24"/>
          <w:lang w:val="en-GB"/>
        </w:rPr>
        <w:t>13</w:t>
      </w:r>
      <w:r w:rsidR="00D600D4" w:rsidRPr="002913A1">
        <w:rPr>
          <w:color w:val="000000"/>
          <w:szCs w:val="24"/>
          <w:lang w:val="en-GB"/>
        </w:rPr>
        <w:t xml:space="preserve"> (</w:t>
      </w:r>
      <w:r w:rsidR="00D600D4" w:rsidRPr="002913A1">
        <w:rPr>
          <w:b/>
          <w:bCs/>
          <w:color w:val="000000"/>
          <w:szCs w:val="24"/>
          <w:lang w:val="en-GB"/>
        </w:rPr>
        <w:t>in bold</w:t>
      </w:r>
      <w:r w:rsidR="00D600D4" w:rsidRPr="002913A1">
        <w:rPr>
          <w:color w:val="000000"/>
          <w:szCs w:val="24"/>
          <w:lang w:val="en-GB"/>
        </w:rPr>
        <w:t>): “[…]</w:t>
      </w:r>
      <w:r w:rsidR="00B85753" w:rsidRPr="002913A1">
        <w:rPr>
          <w:color w:val="000000"/>
          <w:szCs w:val="24"/>
          <w:lang w:val="en-GB"/>
        </w:rPr>
        <w:t xml:space="preserve"> Access to </w:t>
      </w:r>
      <w:r w:rsidR="00B85753" w:rsidRPr="002913A1">
        <w:rPr>
          <w:b/>
          <w:bCs/>
          <w:color w:val="000000"/>
          <w:szCs w:val="24"/>
          <w:lang w:val="en-GB"/>
        </w:rPr>
        <w:t xml:space="preserve">decent and </w:t>
      </w:r>
      <w:r w:rsidR="00B85753" w:rsidRPr="002913A1">
        <w:rPr>
          <w:color w:val="000000"/>
          <w:szCs w:val="24"/>
          <w:lang w:val="en-GB"/>
        </w:rPr>
        <w:t xml:space="preserve">affordable housing, including through social housing, is a necessary condition for ensuring equal opportunities. </w:t>
      </w:r>
      <w:r w:rsidR="00B85753" w:rsidRPr="002913A1">
        <w:rPr>
          <w:b/>
          <w:bCs/>
          <w:color w:val="000000"/>
          <w:szCs w:val="24"/>
          <w:lang w:val="en-GB"/>
        </w:rPr>
        <w:t>Homelessness is one of the most extreme forms of social exclusion.</w:t>
      </w:r>
      <w:r w:rsidR="00B85753" w:rsidRPr="002913A1">
        <w:rPr>
          <w:color w:val="000000"/>
          <w:szCs w:val="24"/>
          <w:lang w:val="en-GB"/>
        </w:rPr>
        <w:t xml:space="preserve"> Timely and equal access to affordable high-quality long-term care, in line with the Council Recommendation on access to affordable high-quality long-term care, and healthcare services, including prevention and healthcare </w:t>
      </w:r>
      <w:r w:rsidR="00B85753" w:rsidRPr="002913A1">
        <w:rPr>
          <w:color w:val="000000"/>
          <w:szCs w:val="24"/>
          <w:lang w:val="en-GB"/>
        </w:rPr>
        <w:lastRenderedPageBreak/>
        <w:t>promotion, are particularly relevant, in light of potential future health risks and in a context of ageing societies.</w:t>
      </w:r>
      <w:r w:rsidR="00D600D4" w:rsidRPr="002913A1">
        <w:rPr>
          <w:color w:val="000000"/>
          <w:szCs w:val="24"/>
          <w:lang w:val="en-GB"/>
        </w:rPr>
        <w:t xml:space="preserve">”, </w:t>
      </w:r>
      <w:r w:rsidR="00B85753" w:rsidRPr="002913A1">
        <w:rPr>
          <w:color w:val="000000"/>
          <w:szCs w:val="24"/>
          <w:lang w:val="en-GB"/>
        </w:rPr>
        <w:t xml:space="preserve">as these elements can strengthen the text in the current context where access to decent and affordable housing and preventing homelessness is becoming </w:t>
      </w:r>
      <w:r w:rsidR="00A612C9">
        <w:rPr>
          <w:color w:val="000000"/>
          <w:szCs w:val="24"/>
          <w:lang w:val="en-GB"/>
        </w:rPr>
        <w:t>very</w:t>
      </w:r>
      <w:r w:rsidR="00B85753" w:rsidRPr="002913A1">
        <w:rPr>
          <w:color w:val="000000"/>
          <w:szCs w:val="24"/>
          <w:lang w:val="en-GB"/>
        </w:rPr>
        <w:t xml:space="preserve"> topical</w:t>
      </w:r>
      <w:r w:rsidR="00D600D4" w:rsidRPr="002913A1">
        <w:rPr>
          <w:color w:val="000000"/>
          <w:szCs w:val="24"/>
          <w:lang w:val="en-GB"/>
        </w:rPr>
        <w:t>.</w:t>
      </w:r>
    </w:p>
    <w:p w14:paraId="119EDF85" w14:textId="3FBBF66F" w:rsidR="002913A1" w:rsidRDefault="00FA4932" w:rsidP="00BF26A9">
      <w:pPr>
        <w:pStyle w:val="ListParagraph"/>
        <w:tabs>
          <w:tab w:val="left" w:pos="567"/>
        </w:tabs>
        <w:spacing w:after="120" w:line="240" w:lineRule="auto"/>
        <w:ind w:left="0"/>
        <w:contextualSpacing w:val="0"/>
        <w:jc w:val="both"/>
        <w:rPr>
          <w:color w:val="000000"/>
          <w:szCs w:val="24"/>
          <w:lang w:val="en-GB"/>
        </w:rPr>
      </w:pPr>
      <w:bookmarkStart w:id="0" w:name="_Hlk181107002"/>
      <w:r>
        <w:rPr>
          <w:i/>
          <w:iCs/>
          <w:color w:val="000000"/>
          <w:szCs w:val="24"/>
          <w:lang w:val="en-GB"/>
        </w:rPr>
        <w:t>G</w:t>
      </w:r>
      <w:r w:rsidR="002913A1">
        <w:rPr>
          <w:i/>
          <w:iCs/>
          <w:color w:val="000000"/>
          <w:szCs w:val="24"/>
          <w:lang w:val="en-GB"/>
        </w:rPr>
        <w:t>uideline 5, para</w:t>
      </w:r>
      <w:r w:rsidR="001527F9">
        <w:rPr>
          <w:i/>
          <w:iCs/>
          <w:color w:val="000000"/>
          <w:szCs w:val="24"/>
          <w:lang w:val="en-GB"/>
        </w:rPr>
        <w:t>graph</w:t>
      </w:r>
      <w:r w:rsidR="002913A1">
        <w:rPr>
          <w:i/>
          <w:iCs/>
          <w:color w:val="000000"/>
          <w:szCs w:val="24"/>
          <w:lang w:val="en-GB"/>
        </w:rPr>
        <w:t xml:space="preserve"> 1</w:t>
      </w:r>
      <w:r w:rsidR="002913A1" w:rsidRPr="00D600D4">
        <w:rPr>
          <w:color w:val="000000"/>
          <w:szCs w:val="24"/>
          <w:lang w:val="en-GB"/>
        </w:rPr>
        <w:t xml:space="preserve"> (</w:t>
      </w:r>
      <w:r w:rsidR="002913A1" w:rsidRPr="00154933">
        <w:rPr>
          <w:b/>
          <w:bCs/>
          <w:color w:val="000000"/>
          <w:szCs w:val="24"/>
          <w:lang w:val="en-GB"/>
        </w:rPr>
        <w:t>in bold</w:t>
      </w:r>
      <w:r w:rsidR="002913A1" w:rsidRPr="00D600D4">
        <w:rPr>
          <w:color w:val="000000"/>
          <w:szCs w:val="24"/>
          <w:lang w:val="en-GB"/>
        </w:rPr>
        <w:t>):</w:t>
      </w:r>
      <w:r w:rsidR="002913A1">
        <w:rPr>
          <w:color w:val="000000"/>
          <w:szCs w:val="24"/>
          <w:lang w:val="en-GB"/>
        </w:rPr>
        <w:t xml:space="preserve"> </w:t>
      </w:r>
      <w:bookmarkEnd w:id="0"/>
      <w:r w:rsidR="002913A1">
        <w:rPr>
          <w:color w:val="000000"/>
          <w:szCs w:val="24"/>
          <w:lang w:val="en-GB"/>
        </w:rPr>
        <w:t>“</w:t>
      </w:r>
      <w:r w:rsidR="002913A1" w:rsidRPr="002913A1">
        <w:rPr>
          <w:color w:val="000000"/>
          <w:szCs w:val="24"/>
          <w:lang w:val="en-GB"/>
        </w:rPr>
        <w:t xml:space="preserve">Member States should actively promote a sustainable social market economy and facilitate and support investment in the creation of quality jobs, also taking advantage of the potential linked to the digital and green transitions, in light of the Union </w:t>
      </w:r>
      <w:r w:rsidR="00157F8E" w:rsidRPr="002913A1">
        <w:rPr>
          <w:color w:val="000000"/>
          <w:szCs w:val="24"/>
          <w:lang w:val="en-GB"/>
        </w:rPr>
        <w:t xml:space="preserve">and national </w:t>
      </w:r>
      <w:r w:rsidR="002913A1" w:rsidRPr="002913A1">
        <w:rPr>
          <w:color w:val="000000"/>
          <w:szCs w:val="24"/>
          <w:lang w:val="en-GB"/>
        </w:rPr>
        <w:t>headline targets for 2030 on employment. To that end, they should reduce the barriers that businesses face in hiring people, foster responsible entrepreneurship and genuine self-employment and, in particular, support the creation and growth of micro, small and medium-sized enterprises, including through access to finance</w:t>
      </w:r>
      <w:r w:rsidR="002913A1" w:rsidRPr="002913A1">
        <w:rPr>
          <w:b/>
          <w:bCs/>
          <w:color w:val="000000"/>
          <w:szCs w:val="24"/>
          <w:lang w:val="en-GB"/>
        </w:rPr>
        <w:t>, and by exploiting the potential of the renewable and circular economy</w:t>
      </w:r>
      <w:r w:rsidR="002913A1" w:rsidRPr="002913A1">
        <w:rPr>
          <w:color w:val="000000"/>
          <w:szCs w:val="24"/>
          <w:lang w:val="en-GB"/>
        </w:rPr>
        <w:t>.</w:t>
      </w:r>
      <w:r w:rsidR="002913A1">
        <w:rPr>
          <w:color w:val="000000"/>
          <w:szCs w:val="24"/>
          <w:lang w:val="en-GB"/>
        </w:rPr>
        <w:t xml:space="preserve"> […]”</w:t>
      </w:r>
      <w:r w:rsidR="004836C5">
        <w:rPr>
          <w:color w:val="000000"/>
          <w:szCs w:val="24"/>
          <w:lang w:val="en-GB"/>
        </w:rPr>
        <w:t>. Including this text</w:t>
      </w:r>
      <w:r w:rsidR="002913A1">
        <w:rPr>
          <w:color w:val="000000"/>
          <w:szCs w:val="24"/>
          <w:lang w:val="en-GB"/>
        </w:rPr>
        <w:t xml:space="preserve"> at the end of the paragraph will emphasize </w:t>
      </w:r>
      <w:r w:rsidR="002913A1" w:rsidRPr="002913A1">
        <w:rPr>
          <w:color w:val="000000"/>
          <w:szCs w:val="24"/>
          <w:lang w:val="en-GB"/>
        </w:rPr>
        <w:t xml:space="preserve">the potential of the green transition </w:t>
      </w:r>
      <w:r w:rsidR="002913A1">
        <w:rPr>
          <w:color w:val="000000"/>
          <w:szCs w:val="24"/>
          <w:lang w:val="en-GB"/>
        </w:rPr>
        <w:t>(in addition to the</w:t>
      </w:r>
      <w:r w:rsidR="002913A1" w:rsidRPr="002913A1">
        <w:rPr>
          <w:color w:val="000000"/>
          <w:szCs w:val="24"/>
          <w:lang w:val="en-GB"/>
        </w:rPr>
        <w:t xml:space="preserve"> mention</w:t>
      </w:r>
      <w:r w:rsidR="002913A1">
        <w:rPr>
          <w:color w:val="000000"/>
          <w:szCs w:val="24"/>
          <w:lang w:val="en-GB"/>
        </w:rPr>
        <w:t>ing</w:t>
      </w:r>
      <w:r w:rsidR="002913A1" w:rsidRPr="002913A1">
        <w:rPr>
          <w:color w:val="000000"/>
          <w:szCs w:val="24"/>
          <w:lang w:val="en-GB"/>
        </w:rPr>
        <w:t xml:space="preserve"> in general in the first sentence</w:t>
      </w:r>
      <w:r w:rsidR="002913A1">
        <w:rPr>
          <w:color w:val="000000"/>
          <w:szCs w:val="24"/>
          <w:lang w:val="en-GB"/>
        </w:rPr>
        <w:t>).</w:t>
      </w:r>
    </w:p>
    <w:p w14:paraId="18142277" w14:textId="010B670D" w:rsidR="00157F8E" w:rsidRDefault="00FA4932" w:rsidP="00BF26A9">
      <w:pPr>
        <w:pStyle w:val="ListParagraph"/>
        <w:tabs>
          <w:tab w:val="left" w:pos="567"/>
        </w:tabs>
        <w:spacing w:after="120" w:line="240" w:lineRule="auto"/>
        <w:ind w:left="0"/>
        <w:contextualSpacing w:val="0"/>
        <w:jc w:val="both"/>
        <w:rPr>
          <w:color w:val="000000"/>
          <w:szCs w:val="24"/>
          <w:lang w:val="en-GB"/>
        </w:rPr>
      </w:pPr>
      <w:r w:rsidRPr="00FA4932">
        <w:rPr>
          <w:i/>
          <w:iCs/>
          <w:color w:val="000000"/>
          <w:szCs w:val="24"/>
          <w:lang w:val="en-GB"/>
        </w:rPr>
        <w:t>G</w:t>
      </w:r>
      <w:r w:rsidR="00157F8E" w:rsidRPr="00FA4932">
        <w:rPr>
          <w:i/>
          <w:iCs/>
          <w:color w:val="000000"/>
          <w:szCs w:val="24"/>
          <w:lang w:val="en-GB"/>
        </w:rPr>
        <w:t xml:space="preserve">uideline 5, </w:t>
      </w:r>
      <w:r w:rsidR="001527F9">
        <w:rPr>
          <w:i/>
          <w:iCs/>
          <w:color w:val="000000"/>
          <w:szCs w:val="24"/>
          <w:lang w:val="en-GB"/>
        </w:rPr>
        <w:t>paragraph</w:t>
      </w:r>
      <w:r w:rsidR="00157F8E" w:rsidRPr="00FA4932">
        <w:rPr>
          <w:i/>
          <w:iCs/>
          <w:color w:val="000000"/>
          <w:szCs w:val="24"/>
          <w:lang w:val="en-GB"/>
        </w:rPr>
        <w:t xml:space="preserve"> 2</w:t>
      </w:r>
      <w:r w:rsidR="00157F8E" w:rsidRPr="00157F8E">
        <w:rPr>
          <w:color w:val="000000"/>
          <w:szCs w:val="24"/>
          <w:lang w:val="en-GB"/>
        </w:rPr>
        <w:t xml:space="preserve"> (</w:t>
      </w:r>
      <w:r w:rsidR="00157F8E" w:rsidRPr="00157F8E">
        <w:rPr>
          <w:b/>
          <w:bCs/>
          <w:color w:val="000000"/>
          <w:szCs w:val="24"/>
          <w:lang w:val="en-GB"/>
        </w:rPr>
        <w:t>in bold</w:t>
      </w:r>
      <w:r w:rsidR="00157F8E" w:rsidRPr="00157F8E">
        <w:rPr>
          <w:color w:val="000000"/>
          <w:szCs w:val="24"/>
          <w:lang w:val="en-GB"/>
        </w:rPr>
        <w:t>):</w:t>
      </w:r>
      <w:r w:rsidR="00157F8E" w:rsidRPr="00157F8E">
        <w:rPr>
          <w:lang w:val="en-IE"/>
        </w:rPr>
        <w:t xml:space="preserve"> </w:t>
      </w:r>
      <w:r w:rsidR="00157F8E">
        <w:rPr>
          <w:lang w:val="en-IE"/>
        </w:rPr>
        <w:t>“</w:t>
      </w:r>
      <w:r w:rsidR="00157F8E">
        <w:rPr>
          <w:color w:val="000000"/>
          <w:szCs w:val="24"/>
          <w:lang w:val="en-GB"/>
        </w:rPr>
        <w:t>[…]</w:t>
      </w:r>
      <w:r w:rsidR="00157F8E" w:rsidRPr="00157F8E">
        <w:rPr>
          <w:color w:val="000000"/>
          <w:szCs w:val="24"/>
          <w:lang w:val="en-GB"/>
        </w:rPr>
        <w:t>. Well-designed hiring and transition incentives and upskilling and reskilling measures</w:t>
      </w:r>
      <w:r w:rsidR="00157F8E" w:rsidRPr="00157F8E">
        <w:rPr>
          <w:b/>
          <w:bCs/>
          <w:color w:val="000000"/>
          <w:szCs w:val="24"/>
          <w:lang w:val="en-GB"/>
        </w:rPr>
        <w:t>, developed in close cooperation with social partners,</w:t>
      </w:r>
      <w:r w:rsidR="00157F8E" w:rsidRPr="00157F8E">
        <w:rPr>
          <w:color w:val="000000"/>
          <w:szCs w:val="24"/>
          <w:lang w:val="en-GB"/>
        </w:rPr>
        <w:t xml:space="preserve"> should be considered in order to support quality job creation and transitions throughout the working life, and to address labour and skill shortages, also in light of the digital and green transformations, demographic change, as well as of the impact of Russia’s war of aggression against Ukraine.</w:t>
      </w:r>
      <w:r w:rsidR="00157F8E">
        <w:rPr>
          <w:color w:val="000000"/>
          <w:szCs w:val="24"/>
          <w:lang w:val="en-GB"/>
        </w:rPr>
        <w:t>”</w:t>
      </w:r>
      <w:r w:rsidR="004836C5">
        <w:rPr>
          <w:color w:val="000000"/>
          <w:szCs w:val="24"/>
          <w:lang w:val="en-GB"/>
        </w:rPr>
        <w:t>. M</w:t>
      </w:r>
      <w:r w:rsidR="00157F8E" w:rsidRPr="00157F8E">
        <w:rPr>
          <w:color w:val="000000"/>
          <w:szCs w:val="24"/>
          <w:lang w:val="en-GB"/>
        </w:rPr>
        <w:t>entioning the role of the social partners in the context of upskilling and reskilling to support transitions throughout the working life is a valuable addition</w:t>
      </w:r>
      <w:r w:rsidR="00157F8E">
        <w:rPr>
          <w:color w:val="000000"/>
          <w:szCs w:val="24"/>
          <w:lang w:val="en-GB"/>
        </w:rPr>
        <w:t>.</w:t>
      </w:r>
    </w:p>
    <w:p w14:paraId="59C87D9E" w14:textId="2F57C23D" w:rsidR="00157F8E" w:rsidRPr="00157F8E" w:rsidRDefault="00FA4932" w:rsidP="00BF26A9">
      <w:pPr>
        <w:pStyle w:val="ListParagraph"/>
        <w:tabs>
          <w:tab w:val="left" w:pos="567"/>
        </w:tabs>
        <w:spacing w:after="120" w:line="240" w:lineRule="auto"/>
        <w:ind w:left="0"/>
        <w:contextualSpacing w:val="0"/>
        <w:jc w:val="both"/>
        <w:rPr>
          <w:color w:val="000000"/>
          <w:szCs w:val="24"/>
          <w:lang w:val="en-GB"/>
        </w:rPr>
      </w:pPr>
      <w:r w:rsidRPr="00FA4932">
        <w:rPr>
          <w:i/>
          <w:iCs/>
          <w:color w:val="000000"/>
          <w:szCs w:val="24"/>
          <w:lang w:val="en-GB"/>
        </w:rPr>
        <w:t>G</w:t>
      </w:r>
      <w:r w:rsidR="00157F8E" w:rsidRPr="00FA4932">
        <w:rPr>
          <w:i/>
          <w:iCs/>
          <w:color w:val="000000"/>
          <w:szCs w:val="24"/>
          <w:lang w:val="en-GB"/>
        </w:rPr>
        <w:t xml:space="preserve">uideline 6, </w:t>
      </w:r>
      <w:r w:rsidR="001527F9">
        <w:rPr>
          <w:i/>
          <w:iCs/>
          <w:color w:val="000000"/>
          <w:szCs w:val="24"/>
          <w:lang w:val="en-GB"/>
        </w:rPr>
        <w:t>paragraph</w:t>
      </w:r>
      <w:r w:rsidR="00157F8E" w:rsidRPr="00FA4932">
        <w:rPr>
          <w:i/>
          <w:iCs/>
          <w:color w:val="000000"/>
          <w:szCs w:val="24"/>
          <w:lang w:val="en-GB"/>
        </w:rPr>
        <w:t xml:space="preserve"> 1</w:t>
      </w:r>
      <w:r w:rsidR="00157F8E" w:rsidRPr="00157F8E">
        <w:rPr>
          <w:color w:val="000000"/>
          <w:szCs w:val="24"/>
          <w:lang w:val="en-GB"/>
        </w:rPr>
        <w:t xml:space="preserve"> (</w:t>
      </w:r>
      <w:r w:rsidR="00157F8E" w:rsidRPr="00157F8E">
        <w:rPr>
          <w:b/>
          <w:bCs/>
          <w:color w:val="000000"/>
          <w:szCs w:val="24"/>
          <w:lang w:val="en-GB"/>
        </w:rPr>
        <w:t>in bold</w:t>
      </w:r>
      <w:r w:rsidR="00157F8E" w:rsidRPr="00157F8E">
        <w:rPr>
          <w:color w:val="000000"/>
          <w:szCs w:val="24"/>
          <w:lang w:val="en-GB"/>
        </w:rPr>
        <w:t>):</w:t>
      </w:r>
      <w:r w:rsidR="00157F8E" w:rsidRPr="00157F8E">
        <w:rPr>
          <w:lang w:val="en-IE"/>
        </w:rPr>
        <w:t xml:space="preserve"> </w:t>
      </w:r>
      <w:r w:rsidR="00157F8E">
        <w:rPr>
          <w:lang w:val="en-IE"/>
        </w:rPr>
        <w:t>“</w:t>
      </w:r>
      <w:r w:rsidR="00157F8E" w:rsidRPr="00157F8E">
        <w:rPr>
          <w:lang w:val="en-IE"/>
        </w:rPr>
        <w:t>In the context of the digital and green transitions, demographic change and Russia’s war of aggression against Ukraine, Member States should promote sustainability, productivity, competitiveness, employability</w:t>
      </w:r>
      <w:r w:rsidR="00157F8E" w:rsidRPr="00157F8E">
        <w:rPr>
          <w:b/>
          <w:bCs/>
          <w:lang w:val="en-IE"/>
        </w:rPr>
        <w:t>, inclusiveness</w:t>
      </w:r>
      <w:r w:rsidR="00157F8E" w:rsidRPr="00157F8E">
        <w:rPr>
          <w:lang w:val="en-IE"/>
        </w:rPr>
        <w:t xml:space="preserve"> and human capital development, fostering acquisition of skills and competences throughout people’s lives and responding to current and future labour market needs, also in light of the Union and national headline targets for 2030 on skills.</w:t>
      </w:r>
      <w:r w:rsidR="00157F8E">
        <w:rPr>
          <w:lang w:val="en-IE"/>
        </w:rPr>
        <w:t>[…]”</w:t>
      </w:r>
      <w:r w:rsidR="004836C5">
        <w:rPr>
          <w:lang w:val="en-IE"/>
        </w:rPr>
        <w:t>. A</w:t>
      </w:r>
      <w:r w:rsidR="00157F8E">
        <w:rPr>
          <w:lang w:val="en-IE"/>
        </w:rPr>
        <w:t xml:space="preserve"> general reference to inclusiveness in the first sentence</w:t>
      </w:r>
      <w:r w:rsidR="00157F8E" w:rsidRPr="00157F8E">
        <w:rPr>
          <w:lang w:val="en-IE"/>
        </w:rPr>
        <w:t xml:space="preserve"> </w:t>
      </w:r>
      <w:r w:rsidR="00157F8E">
        <w:rPr>
          <w:lang w:val="en-IE"/>
        </w:rPr>
        <w:t>can enrich the text.</w:t>
      </w:r>
    </w:p>
    <w:p w14:paraId="50122262" w14:textId="6FB0DDE6" w:rsidR="00157F8E" w:rsidRPr="00BF7E44" w:rsidRDefault="00FA4932" w:rsidP="00BF26A9">
      <w:pPr>
        <w:pStyle w:val="ListParagraph"/>
        <w:tabs>
          <w:tab w:val="left" w:pos="567"/>
        </w:tabs>
        <w:spacing w:after="120" w:line="240" w:lineRule="auto"/>
        <w:ind w:left="0"/>
        <w:contextualSpacing w:val="0"/>
        <w:jc w:val="both"/>
        <w:rPr>
          <w:color w:val="000000"/>
          <w:szCs w:val="24"/>
          <w:lang w:val="en-GB"/>
        </w:rPr>
      </w:pPr>
      <w:r w:rsidRPr="00FA4932">
        <w:rPr>
          <w:i/>
          <w:iCs/>
          <w:color w:val="000000"/>
          <w:szCs w:val="24"/>
          <w:lang w:val="en-GB"/>
        </w:rPr>
        <w:t>G</w:t>
      </w:r>
      <w:r w:rsidR="00157F8E" w:rsidRPr="00FA4932">
        <w:rPr>
          <w:i/>
          <w:iCs/>
          <w:color w:val="000000"/>
          <w:szCs w:val="24"/>
          <w:lang w:val="en-GB"/>
        </w:rPr>
        <w:t xml:space="preserve">uideline 6, </w:t>
      </w:r>
      <w:r w:rsidR="001527F9">
        <w:rPr>
          <w:i/>
          <w:iCs/>
          <w:color w:val="000000"/>
          <w:szCs w:val="24"/>
          <w:lang w:val="en-GB"/>
        </w:rPr>
        <w:t>paragraph</w:t>
      </w:r>
      <w:r w:rsidR="00157F8E" w:rsidRPr="00FA4932">
        <w:rPr>
          <w:i/>
          <w:iCs/>
          <w:color w:val="000000"/>
          <w:szCs w:val="24"/>
          <w:lang w:val="en-GB"/>
        </w:rPr>
        <w:t xml:space="preserve"> </w:t>
      </w:r>
      <w:r w:rsidR="00BF7E44" w:rsidRPr="00FA4932">
        <w:rPr>
          <w:i/>
          <w:iCs/>
          <w:color w:val="000000"/>
          <w:szCs w:val="24"/>
          <w:lang w:val="en-GB"/>
        </w:rPr>
        <w:t>3</w:t>
      </w:r>
      <w:r w:rsidR="00157F8E" w:rsidRPr="00157F8E">
        <w:rPr>
          <w:color w:val="000000"/>
          <w:szCs w:val="24"/>
          <w:lang w:val="en-GB"/>
        </w:rPr>
        <w:t xml:space="preserve"> (</w:t>
      </w:r>
      <w:r w:rsidR="00157F8E" w:rsidRPr="00157F8E">
        <w:rPr>
          <w:b/>
          <w:bCs/>
          <w:color w:val="000000"/>
          <w:szCs w:val="24"/>
          <w:lang w:val="en-GB"/>
        </w:rPr>
        <w:t>in bold</w:t>
      </w:r>
      <w:r w:rsidR="00157F8E" w:rsidRPr="00157F8E">
        <w:rPr>
          <w:color w:val="000000"/>
          <w:szCs w:val="24"/>
          <w:lang w:val="en-GB"/>
        </w:rPr>
        <w:t>):</w:t>
      </w:r>
      <w:r w:rsidR="00157F8E" w:rsidRPr="00157F8E">
        <w:rPr>
          <w:lang w:val="en-IE"/>
        </w:rPr>
        <w:t xml:space="preserve"> </w:t>
      </w:r>
      <w:r w:rsidR="00157F8E">
        <w:rPr>
          <w:lang w:val="en-IE"/>
        </w:rPr>
        <w:t>“</w:t>
      </w:r>
      <w:r w:rsidR="00BF7E44">
        <w:rPr>
          <w:lang w:val="en-IE"/>
        </w:rPr>
        <w:t>[…]</w:t>
      </w:r>
      <w:r w:rsidR="00F466B6">
        <w:rPr>
          <w:lang w:val="en-IE"/>
        </w:rPr>
        <w:t>.</w:t>
      </w:r>
      <w:r w:rsidR="00BF7E44">
        <w:rPr>
          <w:lang w:val="en-IE"/>
        </w:rPr>
        <w:t xml:space="preserve"> </w:t>
      </w:r>
      <w:r w:rsidR="00BF7E44" w:rsidRPr="00BF7E44">
        <w:rPr>
          <w:lang w:val="en-IE"/>
        </w:rPr>
        <w:t xml:space="preserve">Taking into account the new requirements of digital, green and ageing societies, Member States should upgrade and increase the supply and uptake of flexible initial and continuing VET, strengthen work-based learning in their VET systems, including through accessible, quality and effective apprenticeships, and support low-skilled adults maintain their employability. </w:t>
      </w:r>
      <w:r w:rsidR="00BF7E44" w:rsidRPr="00BF7E44">
        <w:rPr>
          <w:b/>
          <w:bCs/>
          <w:lang w:val="en-IE"/>
        </w:rPr>
        <w:t>Training opportunities should be provided to allow workers to attend training programmes during working hours (and at no cost to the workers).</w:t>
      </w:r>
      <w:r w:rsidR="00BF7E44">
        <w:rPr>
          <w:lang w:val="en-IE"/>
        </w:rPr>
        <w:t>[…]”</w:t>
      </w:r>
      <w:r>
        <w:rPr>
          <w:lang w:val="en-IE"/>
        </w:rPr>
        <w:t>. T</w:t>
      </w:r>
      <w:r w:rsidR="00BF7E44" w:rsidRPr="00BF7E44">
        <w:rPr>
          <w:lang w:val="en-IE"/>
        </w:rPr>
        <w:t>he suggested wording from the E</w:t>
      </w:r>
      <w:r w:rsidR="009E372E">
        <w:rPr>
          <w:lang w:val="en-IE"/>
        </w:rPr>
        <w:t xml:space="preserve">uropean </w:t>
      </w:r>
      <w:r w:rsidR="00BF7E44" w:rsidRPr="00BF7E44">
        <w:rPr>
          <w:lang w:val="en-IE"/>
        </w:rPr>
        <w:t>P</w:t>
      </w:r>
      <w:r w:rsidR="009E372E">
        <w:rPr>
          <w:lang w:val="en-IE"/>
        </w:rPr>
        <w:t>arliament</w:t>
      </w:r>
      <w:r w:rsidR="00BF7E44" w:rsidRPr="00BF7E44">
        <w:rPr>
          <w:lang w:val="en-IE"/>
        </w:rPr>
        <w:t xml:space="preserve"> is aligned with EU labour law and EU policy objectives.</w:t>
      </w:r>
    </w:p>
    <w:p w14:paraId="59B90CC3" w14:textId="50D242DD" w:rsidR="00805188" w:rsidRDefault="004836C5" w:rsidP="00BF26A9">
      <w:pPr>
        <w:pStyle w:val="ListParagraph"/>
        <w:tabs>
          <w:tab w:val="left" w:pos="567"/>
        </w:tabs>
        <w:spacing w:after="120" w:line="240" w:lineRule="auto"/>
        <w:ind w:left="0"/>
        <w:contextualSpacing w:val="0"/>
        <w:jc w:val="both"/>
        <w:rPr>
          <w:color w:val="000000"/>
          <w:szCs w:val="24"/>
          <w:lang w:val="en-GB"/>
        </w:rPr>
      </w:pPr>
      <w:r w:rsidRPr="004836C5">
        <w:rPr>
          <w:i/>
          <w:iCs/>
          <w:color w:val="000000"/>
          <w:szCs w:val="24"/>
          <w:lang w:val="en-GB"/>
        </w:rPr>
        <w:t>G</w:t>
      </w:r>
      <w:r w:rsidR="00735827" w:rsidRPr="004836C5">
        <w:rPr>
          <w:i/>
          <w:iCs/>
          <w:color w:val="000000"/>
          <w:szCs w:val="24"/>
          <w:lang w:val="en-GB"/>
        </w:rPr>
        <w:t xml:space="preserve">uideline 6, </w:t>
      </w:r>
      <w:r w:rsidR="001527F9">
        <w:rPr>
          <w:i/>
          <w:iCs/>
          <w:color w:val="000000"/>
          <w:szCs w:val="24"/>
          <w:lang w:val="en-GB"/>
        </w:rPr>
        <w:t>paragraph</w:t>
      </w:r>
      <w:r w:rsidR="00735827" w:rsidRPr="004836C5">
        <w:rPr>
          <w:i/>
          <w:iCs/>
          <w:color w:val="000000"/>
          <w:szCs w:val="24"/>
          <w:lang w:val="en-GB"/>
        </w:rPr>
        <w:t xml:space="preserve"> 5</w:t>
      </w:r>
      <w:r w:rsidR="00735827" w:rsidRPr="00735827">
        <w:rPr>
          <w:color w:val="000000"/>
          <w:szCs w:val="24"/>
          <w:lang w:val="en-GB"/>
        </w:rPr>
        <w:t xml:space="preserve"> (</w:t>
      </w:r>
      <w:r w:rsidR="00735827" w:rsidRPr="00735827">
        <w:rPr>
          <w:b/>
          <w:bCs/>
          <w:color w:val="000000"/>
          <w:szCs w:val="24"/>
          <w:lang w:val="en-GB"/>
        </w:rPr>
        <w:t>in bold</w:t>
      </w:r>
      <w:r w:rsidR="00735827" w:rsidRPr="00735827">
        <w:rPr>
          <w:color w:val="000000"/>
          <w:szCs w:val="24"/>
          <w:lang w:val="en-GB"/>
        </w:rPr>
        <w:t>): “</w:t>
      </w:r>
      <w:r w:rsidR="00F466B6">
        <w:rPr>
          <w:color w:val="000000"/>
          <w:szCs w:val="24"/>
          <w:lang w:val="en-GB"/>
        </w:rPr>
        <w:t xml:space="preserve">[…]. </w:t>
      </w:r>
      <w:r w:rsidR="00F466B6" w:rsidRPr="00F466B6">
        <w:rPr>
          <w:color w:val="000000"/>
          <w:szCs w:val="24"/>
          <w:lang w:val="en-GB"/>
        </w:rPr>
        <w:t xml:space="preserve">In view of high labour shortages in certain occupations and sectors (notably in STEM sectors, healthcare and long-term care, education, transport and construction), Member States should contribute to fostering labour supply, notably through promoting adequate wages and </w:t>
      </w:r>
      <w:r w:rsidR="00F466B6" w:rsidRPr="00F466B6">
        <w:rPr>
          <w:b/>
          <w:bCs/>
          <w:color w:val="000000"/>
          <w:szCs w:val="24"/>
          <w:lang w:val="en-GB"/>
        </w:rPr>
        <w:t>fair</w:t>
      </w:r>
      <w:r w:rsidR="00F466B6" w:rsidRPr="00F466B6">
        <w:rPr>
          <w:color w:val="000000"/>
          <w:szCs w:val="24"/>
          <w:lang w:val="en-GB"/>
        </w:rPr>
        <w:t xml:space="preserve"> working conditions, ensuring that the design of tax and benefit systems encourages labour market participation, and that active labour market policies are effective and accessible, respecting the role and autonomy of social partners.</w:t>
      </w:r>
      <w:r w:rsidR="00F466B6">
        <w:rPr>
          <w:color w:val="000000"/>
          <w:szCs w:val="24"/>
          <w:lang w:val="en-GB"/>
        </w:rPr>
        <w:t>[…]”.</w:t>
      </w:r>
      <w:r w:rsidR="00C76BD7">
        <w:rPr>
          <w:color w:val="000000"/>
          <w:szCs w:val="24"/>
          <w:lang w:val="en-GB"/>
        </w:rPr>
        <w:t xml:space="preserve"> </w:t>
      </w:r>
      <w:r w:rsidR="00C76BD7" w:rsidRPr="00C76BD7">
        <w:rPr>
          <w:color w:val="000000"/>
          <w:szCs w:val="24"/>
          <w:lang w:val="en-GB"/>
        </w:rPr>
        <w:t>EP amendment 22 proposed “decent” before “working conditions”</w:t>
      </w:r>
      <w:r w:rsidR="00C76BD7">
        <w:rPr>
          <w:color w:val="000000"/>
          <w:szCs w:val="24"/>
          <w:lang w:val="en-GB"/>
        </w:rPr>
        <w:t xml:space="preserve"> as now</w:t>
      </w:r>
      <w:r w:rsidR="00C76BD7" w:rsidRPr="00C76BD7">
        <w:rPr>
          <w:color w:val="000000"/>
          <w:szCs w:val="24"/>
          <w:lang w:val="en-GB"/>
        </w:rPr>
        <w:t xml:space="preserve"> the term “adequate” would also refer to “working conditions”</w:t>
      </w:r>
      <w:r w:rsidR="00C76BD7">
        <w:rPr>
          <w:color w:val="000000"/>
          <w:szCs w:val="24"/>
          <w:lang w:val="en-GB"/>
        </w:rPr>
        <w:t xml:space="preserve">, which could be strengthened. </w:t>
      </w:r>
      <w:r w:rsidR="00C76BD7" w:rsidRPr="00C76BD7">
        <w:rPr>
          <w:color w:val="000000"/>
          <w:szCs w:val="24"/>
          <w:lang w:val="en-GB"/>
        </w:rPr>
        <w:t xml:space="preserve">The </w:t>
      </w:r>
      <w:r w:rsidR="00C76BD7">
        <w:rPr>
          <w:color w:val="000000"/>
          <w:szCs w:val="24"/>
          <w:lang w:val="en-GB"/>
        </w:rPr>
        <w:t xml:space="preserve">Commission would rather use the </w:t>
      </w:r>
      <w:r w:rsidR="00C76BD7" w:rsidRPr="00C76BD7">
        <w:rPr>
          <w:color w:val="000000"/>
          <w:szCs w:val="24"/>
          <w:lang w:val="en-GB"/>
        </w:rPr>
        <w:t xml:space="preserve">term “fair” before working conditions </w:t>
      </w:r>
      <w:r w:rsidR="00C76BD7">
        <w:rPr>
          <w:color w:val="000000"/>
          <w:szCs w:val="24"/>
          <w:lang w:val="en-GB"/>
        </w:rPr>
        <w:t>as this is</w:t>
      </w:r>
      <w:r w:rsidR="00C76BD7" w:rsidRPr="00C76BD7">
        <w:rPr>
          <w:color w:val="000000"/>
          <w:szCs w:val="24"/>
          <w:lang w:val="en-GB"/>
        </w:rPr>
        <w:t xml:space="preserve"> in line with the terminology used in the European Pillar of Social Rights. </w:t>
      </w:r>
    </w:p>
    <w:p w14:paraId="7A022935" w14:textId="37BA54CB" w:rsidR="00114D4F" w:rsidRDefault="004836C5" w:rsidP="00BF26A9">
      <w:pPr>
        <w:pStyle w:val="ListParagraph"/>
        <w:tabs>
          <w:tab w:val="left" w:pos="567"/>
        </w:tabs>
        <w:spacing w:after="120" w:line="240" w:lineRule="auto"/>
        <w:ind w:left="0"/>
        <w:contextualSpacing w:val="0"/>
        <w:jc w:val="both"/>
        <w:rPr>
          <w:color w:val="000000"/>
          <w:szCs w:val="24"/>
          <w:lang w:val="en-GB"/>
        </w:rPr>
      </w:pPr>
      <w:r w:rsidRPr="004836C5">
        <w:rPr>
          <w:i/>
          <w:iCs/>
          <w:color w:val="000000"/>
          <w:szCs w:val="24"/>
          <w:lang w:val="en-GB"/>
        </w:rPr>
        <w:t>G</w:t>
      </w:r>
      <w:r w:rsidR="00BB4DBD" w:rsidRPr="004836C5">
        <w:rPr>
          <w:i/>
          <w:iCs/>
          <w:color w:val="000000"/>
          <w:szCs w:val="24"/>
          <w:lang w:val="en-GB"/>
        </w:rPr>
        <w:t xml:space="preserve">uideline 7, </w:t>
      </w:r>
      <w:r w:rsidR="001527F9">
        <w:rPr>
          <w:i/>
          <w:iCs/>
          <w:color w:val="000000"/>
          <w:szCs w:val="24"/>
          <w:lang w:val="en-GB"/>
        </w:rPr>
        <w:t>paragraph</w:t>
      </w:r>
      <w:r w:rsidR="00BB4DBD" w:rsidRPr="004836C5">
        <w:rPr>
          <w:i/>
          <w:iCs/>
          <w:color w:val="000000"/>
          <w:szCs w:val="24"/>
          <w:lang w:val="en-GB"/>
        </w:rPr>
        <w:t xml:space="preserve"> 1</w:t>
      </w:r>
      <w:r w:rsidR="00BB4DBD" w:rsidRPr="00805188">
        <w:rPr>
          <w:color w:val="000000"/>
          <w:szCs w:val="24"/>
          <w:lang w:val="en-GB"/>
        </w:rPr>
        <w:t xml:space="preserve"> (</w:t>
      </w:r>
      <w:r w:rsidR="00BB4DBD" w:rsidRPr="00805188">
        <w:rPr>
          <w:b/>
          <w:bCs/>
          <w:color w:val="000000"/>
          <w:szCs w:val="24"/>
          <w:lang w:val="en-GB"/>
        </w:rPr>
        <w:t>in bold</w:t>
      </w:r>
      <w:r w:rsidR="00BB4DBD" w:rsidRPr="00805188">
        <w:rPr>
          <w:color w:val="000000"/>
          <w:szCs w:val="24"/>
          <w:lang w:val="en-GB"/>
        </w:rPr>
        <w:t xml:space="preserve">): “[…] In general, and in </w:t>
      </w:r>
      <w:r w:rsidR="00BB4DBD" w:rsidRPr="00805188">
        <w:rPr>
          <w:b/>
          <w:bCs/>
          <w:color w:val="000000"/>
          <w:szCs w:val="24"/>
          <w:lang w:val="en-GB"/>
        </w:rPr>
        <w:t>the context of climate change</w:t>
      </w:r>
      <w:r w:rsidR="00BB4DBD" w:rsidRPr="00805188">
        <w:rPr>
          <w:color w:val="000000"/>
          <w:szCs w:val="24"/>
          <w:lang w:val="en-GB"/>
        </w:rPr>
        <w:t xml:space="preserve"> and digital </w:t>
      </w:r>
      <w:r w:rsidR="00BB4DBD" w:rsidRPr="00805188">
        <w:rPr>
          <w:b/>
          <w:bCs/>
          <w:strike/>
          <w:color w:val="000000"/>
          <w:szCs w:val="24"/>
          <w:lang w:val="en-GB"/>
        </w:rPr>
        <w:t>context</w:t>
      </w:r>
      <w:r w:rsidR="008C2904" w:rsidRPr="00805188">
        <w:rPr>
          <w:b/>
          <w:bCs/>
          <w:color w:val="000000"/>
          <w:szCs w:val="24"/>
          <w:lang w:val="en-GB"/>
        </w:rPr>
        <w:t xml:space="preserve"> </w:t>
      </w:r>
      <w:r w:rsidR="00BB4DBD" w:rsidRPr="00805188">
        <w:rPr>
          <w:b/>
          <w:bCs/>
          <w:color w:val="000000"/>
          <w:szCs w:val="24"/>
          <w:lang w:val="en-GB"/>
        </w:rPr>
        <w:t>transformation</w:t>
      </w:r>
      <w:r w:rsidR="00BB4DBD" w:rsidRPr="00805188">
        <w:rPr>
          <w:color w:val="000000"/>
          <w:szCs w:val="24"/>
          <w:lang w:val="en-GB"/>
        </w:rPr>
        <w:t xml:space="preserve"> in particular, it is important to ensure that the workers’ </w:t>
      </w:r>
      <w:r w:rsidR="00BB4DBD" w:rsidRPr="00805188">
        <w:rPr>
          <w:color w:val="000000"/>
          <w:szCs w:val="24"/>
          <w:lang w:val="en-GB"/>
        </w:rPr>
        <w:lastRenderedPageBreak/>
        <w:t xml:space="preserve">rights in terms of </w:t>
      </w:r>
      <w:r w:rsidR="00BB4DBD" w:rsidRPr="00805188">
        <w:rPr>
          <w:b/>
          <w:bCs/>
          <w:strike/>
          <w:color w:val="000000"/>
          <w:szCs w:val="24"/>
          <w:lang w:val="en-GB"/>
        </w:rPr>
        <w:t xml:space="preserve">working </w:t>
      </w:r>
      <w:r w:rsidR="00BB4DBD" w:rsidRPr="00BB3FBD">
        <w:rPr>
          <w:b/>
          <w:bCs/>
          <w:strike/>
          <w:color w:val="000000"/>
          <w:szCs w:val="24"/>
          <w:lang w:val="en-GB"/>
        </w:rPr>
        <w:t>time</w:t>
      </w:r>
      <w:r w:rsidR="00BB4DBD" w:rsidRPr="00BB3FBD">
        <w:rPr>
          <w:strike/>
          <w:color w:val="000000"/>
          <w:szCs w:val="24"/>
          <w:lang w:val="en-GB"/>
        </w:rPr>
        <w:t>,</w:t>
      </w:r>
      <w:r w:rsidR="00BB4DBD" w:rsidRPr="00805188">
        <w:rPr>
          <w:color w:val="000000"/>
          <w:szCs w:val="24"/>
          <w:lang w:val="en-GB"/>
        </w:rPr>
        <w:t xml:space="preserve"> working conditions </w:t>
      </w:r>
      <w:r w:rsidR="00BB4DBD" w:rsidRPr="00805188">
        <w:rPr>
          <w:b/>
          <w:bCs/>
          <w:color w:val="000000"/>
          <w:szCs w:val="24"/>
          <w:lang w:val="en-GB"/>
        </w:rPr>
        <w:t>(including working time, and working arrangements that factor in heat waves)</w:t>
      </w:r>
      <w:r w:rsidR="00BB4DBD" w:rsidRPr="00805188">
        <w:rPr>
          <w:color w:val="000000"/>
          <w:szCs w:val="24"/>
          <w:lang w:val="en-GB"/>
        </w:rPr>
        <w:t>, mental health at work and work-life balance are respected.</w:t>
      </w:r>
      <w:r w:rsidR="00D21E5C">
        <w:rPr>
          <w:color w:val="000000"/>
          <w:szCs w:val="24"/>
          <w:lang w:val="en-GB"/>
        </w:rPr>
        <w:t xml:space="preserve"> </w:t>
      </w:r>
      <w:r w:rsidR="008C2904" w:rsidRPr="00805188">
        <w:rPr>
          <w:color w:val="000000"/>
          <w:szCs w:val="24"/>
          <w:lang w:val="en-GB"/>
        </w:rPr>
        <w:t>[…]”</w:t>
      </w:r>
      <w:r>
        <w:rPr>
          <w:color w:val="000000"/>
          <w:szCs w:val="24"/>
          <w:lang w:val="en-GB"/>
        </w:rPr>
        <w:t>. T</w:t>
      </w:r>
      <w:r w:rsidR="00805188" w:rsidRPr="00805188">
        <w:rPr>
          <w:color w:val="000000"/>
          <w:szCs w:val="24"/>
          <w:lang w:val="en-GB"/>
        </w:rPr>
        <w:t>his is a useful element to add in a context where climate change is becoming a more and more prominent issue, having an impact on working arrangements (also specifically related to heat waves).</w:t>
      </w:r>
      <w:bookmarkStart w:id="1" w:name="_Hlk181110627"/>
    </w:p>
    <w:p w14:paraId="56376A7C" w14:textId="660B3C48" w:rsidR="00114D4F" w:rsidRPr="00114D4F" w:rsidRDefault="004836C5" w:rsidP="00BF26A9">
      <w:pPr>
        <w:pStyle w:val="ListParagraph"/>
        <w:tabs>
          <w:tab w:val="left" w:pos="567"/>
        </w:tabs>
        <w:spacing w:after="120" w:line="240" w:lineRule="auto"/>
        <w:ind w:left="0"/>
        <w:contextualSpacing w:val="0"/>
        <w:jc w:val="both"/>
        <w:rPr>
          <w:color w:val="000000"/>
          <w:szCs w:val="24"/>
          <w:lang w:val="en-GB"/>
        </w:rPr>
      </w:pPr>
      <w:r w:rsidRPr="004836C5">
        <w:rPr>
          <w:i/>
          <w:iCs/>
          <w:color w:val="000000"/>
          <w:szCs w:val="24"/>
          <w:lang w:val="en-GB"/>
        </w:rPr>
        <w:t>G</w:t>
      </w:r>
      <w:r w:rsidR="00805188" w:rsidRPr="004836C5">
        <w:rPr>
          <w:i/>
          <w:iCs/>
          <w:color w:val="000000"/>
          <w:szCs w:val="24"/>
          <w:lang w:val="en-GB"/>
        </w:rPr>
        <w:t xml:space="preserve">uideline 7, </w:t>
      </w:r>
      <w:r w:rsidR="001527F9">
        <w:rPr>
          <w:i/>
          <w:iCs/>
          <w:color w:val="000000"/>
          <w:szCs w:val="24"/>
          <w:lang w:val="en-GB"/>
        </w:rPr>
        <w:t xml:space="preserve">paragraph </w:t>
      </w:r>
      <w:r w:rsidR="00BC21DF" w:rsidRPr="004836C5">
        <w:rPr>
          <w:i/>
          <w:iCs/>
          <w:color w:val="000000"/>
          <w:szCs w:val="24"/>
          <w:lang w:val="en-GB"/>
        </w:rPr>
        <w:t>4</w:t>
      </w:r>
      <w:r w:rsidR="00805188" w:rsidRPr="00114D4F">
        <w:rPr>
          <w:color w:val="000000"/>
          <w:szCs w:val="24"/>
          <w:lang w:val="en-GB"/>
        </w:rPr>
        <w:t xml:space="preserve"> (</w:t>
      </w:r>
      <w:r w:rsidR="00805188" w:rsidRPr="00114D4F">
        <w:rPr>
          <w:b/>
          <w:bCs/>
          <w:color w:val="000000"/>
          <w:szCs w:val="24"/>
          <w:lang w:val="en-GB"/>
        </w:rPr>
        <w:t>in bold</w:t>
      </w:r>
      <w:r w:rsidR="00805188" w:rsidRPr="00114D4F">
        <w:rPr>
          <w:color w:val="000000"/>
          <w:szCs w:val="24"/>
          <w:lang w:val="en-GB"/>
        </w:rPr>
        <w:t xml:space="preserve">): </w:t>
      </w:r>
      <w:bookmarkEnd w:id="1"/>
      <w:r w:rsidR="00805188" w:rsidRPr="00114D4F">
        <w:rPr>
          <w:color w:val="000000"/>
          <w:szCs w:val="24"/>
          <w:lang w:val="en-GB"/>
        </w:rPr>
        <w:t>“</w:t>
      </w:r>
      <w:r w:rsidR="00BC21DF" w:rsidRPr="00114D4F">
        <w:rPr>
          <w:color w:val="000000"/>
          <w:szCs w:val="24"/>
          <w:lang w:val="en-GB"/>
        </w:rPr>
        <w:t xml:space="preserve">The mobility of learners, apprentices and workers should be increased and adequately supported, especially for learners in vocational education and training with fewer mobility experiences, with the aim of enhancing their skills and employability, exploiting the full potential of the European labour market and contributing to EU-level competitiveness, while tackling possible adverse demographic effects of mobility </w:t>
      </w:r>
      <w:r w:rsidR="00BC21DF" w:rsidRPr="00114D4F">
        <w:rPr>
          <w:b/>
          <w:bCs/>
          <w:color w:val="000000"/>
          <w:szCs w:val="24"/>
          <w:lang w:val="en-GB"/>
        </w:rPr>
        <w:t>(including brain drain)</w:t>
      </w:r>
      <w:r w:rsidR="00BC21DF" w:rsidRPr="00114D4F">
        <w:rPr>
          <w:color w:val="000000"/>
          <w:szCs w:val="24"/>
          <w:lang w:val="en-GB"/>
        </w:rPr>
        <w:t xml:space="preserve">. </w:t>
      </w:r>
      <w:r w:rsidR="00805188" w:rsidRPr="00114D4F">
        <w:rPr>
          <w:color w:val="000000"/>
          <w:szCs w:val="24"/>
          <w:lang w:val="en-GB"/>
        </w:rPr>
        <w:t>[…]</w:t>
      </w:r>
      <w:r w:rsidR="00BC21DF" w:rsidRPr="00114D4F">
        <w:rPr>
          <w:color w:val="000000"/>
          <w:szCs w:val="24"/>
          <w:lang w:val="en-GB"/>
        </w:rPr>
        <w:t xml:space="preserve">”. </w:t>
      </w:r>
      <w:r>
        <w:rPr>
          <w:color w:val="000000"/>
          <w:szCs w:val="24"/>
          <w:lang w:val="en-GB"/>
        </w:rPr>
        <w:t>The Commission notes</w:t>
      </w:r>
      <w:r w:rsidR="00BC21DF" w:rsidRPr="00114D4F">
        <w:rPr>
          <w:color w:val="000000"/>
          <w:szCs w:val="24"/>
          <w:lang w:val="en-GB"/>
        </w:rPr>
        <w:t xml:space="preserve"> that the addition after the comma (“, while tackling […]”) was adopted earlier in EMCO. The notion of brain drain as proposed by the E</w:t>
      </w:r>
      <w:r w:rsidR="008A0662">
        <w:rPr>
          <w:color w:val="000000"/>
          <w:szCs w:val="24"/>
          <w:lang w:val="en-GB"/>
        </w:rPr>
        <w:t xml:space="preserve">uropean </w:t>
      </w:r>
      <w:r w:rsidR="00BC21DF" w:rsidRPr="00114D4F">
        <w:rPr>
          <w:color w:val="000000"/>
          <w:szCs w:val="24"/>
          <w:lang w:val="en-GB"/>
        </w:rPr>
        <w:t>P</w:t>
      </w:r>
      <w:r w:rsidR="008A0662">
        <w:rPr>
          <w:color w:val="000000"/>
          <w:szCs w:val="24"/>
          <w:lang w:val="en-GB"/>
        </w:rPr>
        <w:t>arliament</w:t>
      </w:r>
      <w:r w:rsidR="00BC21DF" w:rsidRPr="00114D4F">
        <w:rPr>
          <w:color w:val="000000"/>
          <w:szCs w:val="24"/>
          <w:lang w:val="en-GB"/>
        </w:rPr>
        <w:t xml:space="preserve"> in amendment 26 could usefully be integrated in this new </w:t>
      </w:r>
      <w:r w:rsidR="00114D4F" w:rsidRPr="00114D4F">
        <w:rPr>
          <w:color w:val="000000"/>
          <w:szCs w:val="24"/>
          <w:lang w:val="en-GB"/>
        </w:rPr>
        <w:t>addition as a specific adverse effect of labour mobility.</w:t>
      </w:r>
    </w:p>
    <w:p w14:paraId="72B82042" w14:textId="35FC7A3B" w:rsidR="00DE38E5" w:rsidRDefault="004836C5" w:rsidP="00BF26A9">
      <w:pPr>
        <w:pStyle w:val="ListParagraph"/>
        <w:tabs>
          <w:tab w:val="left" w:pos="567"/>
        </w:tabs>
        <w:spacing w:after="120" w:line="240" w:lineRule="auto"/>
        <w:ind w:left="0"/>
        <w:contextualSpacing w:val="0"/>
        <w:jc w:val="both"/>
        <w:rPr>
          <w:color w:val="000000"/>
          <w:szCs w:val="24"/>
          <w:lang w:val="en-GB"/>
        </w:rPr>
      </w:pPr>
      <w:r w:rsidRPr="004836C5">
        <w:rPr>
          <w:i/>
          <w:iCs/>
          <w:color w:val="000000"/>
          <w:szCs w:val="24"/>
          <w:lang w:val="en-GB"/>
        </w:rPr>
        <w:t>G</w:t>
      </w:r>
      <w:r w:rsidR="00BC21DF" w:rsidRPr="004836C5">
        <w:rPr>
          <w:i/>
          <w:iCs/>
          <w:color w:val="000000"/>
          <w:szCs w:val="24"/>
          <w:lang w:val="en-GB"/>
        </w:rPr>
        <w:t xml:space="preserve">uideline 7, </w:t>
      </w:r>
      <w:r w:rsidR="001527F9">
        <w:rPr>
          <w:i/>
          <w:iCs/>
          <w:color w:val="000000"/>
          <w:szCs w:val="24"/>
          <w:lang w:val="en-GB"/>
        </w:rPr>
        <w:t xml:space="preserve">paragraph </w:t>
      </w:r>
      <w:r w:rsidR="00BC21DF" w:rsidRPr="004836C5">
        <w:rPr>
          <w:i/>
          <w:iCs/>
          <w:color w:val="000000"/>
          <w:szCs w:val="24"/>
          <w:lang w:val="en-GB"/>
        </w:rPr>
        <w:t>7</w:t>
      </w:r>
      <w:r w:rsidR="00BC21DF" w:rsidRPr="00BC21DF">
        <w:rPr>
          <w:color w:val="000000"/>
          <w:szCs w:val="24"/>
          <w:lang w:val="en-GB"/>
        </w:rPr>
        <w:t xml:space="preserve"> (</w:t>
      </w:r>
      <w:r w:rsidR="00BC21DF" w:rsidRPr="00114D4F">
        <w:rPr>
          <w:b/>
          <w:bCs/>
          <w:color w:val="000000"/>
          <w:szCs w:val="24"/>
          <w:lang w:val="en-GB"/>
        </w:rPr>
        <w:t>in bold</w:t>
      </w:r>
      <w:r w:rsidR="00BC21DF" w:rsidRPr="00BC21DF">
        <w:rPr>
          <w:color w:val="000000"/>
          <w:szCs w:val="24"/>
          <w:lang w:val="en-GB"/>
        </w:rPr>
        <w:t>):</w:t>
      </w:r>
      <w:r w:rsidR="00BC21DF">
        <w:rPr>
          <w:color w:val="000000"/>
          <w:szCs w:val="24"/>
          <w:lang w:val="en-GB"/>
        </w:rPr>
        <w:t xml:space="preserve"> “</w:t>
      </w:r>
      <w:r w:rsidR="00BC21DF" w:rsidRPr="00BC21DF">
        <w:rPr>
          <w:color w:val="000000"/>
          <w:szCs w:val="24"/>
          <w:lang w:val="en-GB"/>
        </w:rPr>
        <w:t xml:space="preserve">Member States should </w:t>
      </w:r>
      <w:r w:rsidR="00BC21DF" w:rsidRPr="00BC21DF">
        <w:rPr>
          <w:b/>
          <w:bCs/>
          <w:color w:val="000000"/>
          <w:szCs w:val="24"/>
          <w:lang w:val="en-GB"/>
        </w:rPr>
        <w:t>foster democracy at work and</w:t>
      </w:r>
      <w:r w:rsidR="00BC21DF" w:rsidRPr="00BC21DF">
        <w:rPr>
          <w:color w:val="000000"/>
          <w:szCs w:val="24"/>
          <w:lang w:val="en-GB"/>
        </w:rPr>
        <w:t xml:space="preserve"> ensure an enabling environment for bipartite and tripartite social dialogue at all levels, including collective bargaining, in the public and private sectors in accordance with national law and/or practice, after consultation and in close cooperation with social partners, while respecting their autonomy.</w:t>
      </w:r>
      <w:r w:rsidR="00114D4F">
        <w:rPr>
          <w:color w:val="000000"/>
          <w:szCs w:val="24"/>
          <w:lang w:val="en-GB"/>
        </w:rPr>
        <w:t>[…]”</w:t>
      </w:r>
      <w:r w:rsidR="00114D4F" w:rsidRPr="00114D4F">
        <w:rPr>
          <w:lang w:val="en-IE"/>
        </w:rPr>
        <w:t xml:space="preserve"> </w:t>
      </w:r>
      <w:r w:rsidR="00114D4F">
        <w:rPr>
          <w:color w:val="000000"/>
          <w:szCs w:val="24"/>
          <w:lang w:val="en-GB"/>
        </w:rPr>
        <w:t>as this wording r</w:t>
      </w:r>
      <w:r w:rsidR="00114D4F" w:rsidRPr="00114D4F">
        <w:rPr>
          <w:color w:val="000000"/>
          <w:szCs w:val="24"/>
          <w:lang w:val="en-GB"/>
        </w:rPr>
        <w:t>efer</w:t>
      </w:r>
      <w:r w:rsidR="00114D4F">
        <w:rPr>
          <w:color w:val="000000"/>
          <w:szCs w:val="24"/>
          <w:lang w:val="en-GB"/>
        </w:rPr>
        <w:t>s</w:t>
      </w:r>
      <w:r w:rsidR="00114D4F" w:rsidRPr="00114D4F">
        <w:rPr>
          <w:color w:val="000000"/>
          <w:szCs w:val="24"/>
          <w:lang w:val="en-GB"/>
        </w:rPr>
        <w:t xml:space="preserve"> to the involvement of workers at company level, such as through works councils</w:t>
      </w:r>
      <w:r w:rsidR="00114D4F">
        <w:rPr>
          <w:color w:val="000000"/>
          <w:szCs w:val="24"/>
          <w:lang w:val="en-GB"/>
        </w:rPr>
        <w:t xml:space="preserve">, which is a useful dimension to add. Also, </w:t>
      </w:r>
      <w:r w:rsidR="00114D4F" w:rsidRPr="00114D4F">
        <w:rPr>
          <w:color w:val="000000"/>
          <w:szCs w:val="24"/>
          <w:lang w:val="en-GB"/>
        </w:rPr>
        <w:t xml:space="preserve">it is in line with Council Conclusions on democracy at work adopted under the </w:t>
      </w:r>
      <w:r w:rsidR="008A0662">
        <w:rPr>
          <w:color w:val="000000"/>
          <w:szCs w:val="24"/>
          <w:lang w:val="en-GB"/>
        </w:rPr>
        <w:t>Spanish</w:t>
      </w:r>
      <w:r w:rsidR="00114D4F" w:rsidRPr="00114D4F">
        <w:rPr>
          <w:color w:val="000000"/>
          <w:szCs w:val="24"/>
          <w:lang w:val="en-GB"/>
        </w:rPr>
        <w:t xml:space="preserve"> Presidency.</w:t>
      </w:r>
    </w:p>
    <w:p w14:paraId="3A2DE561" w14:textId="48EEEBE0" w:rsidR="00A65612" w:rsidRDefault="000C44A5" w:rsidP="00BF26A9">
      <w:pPr>
        <w:pStyle w:val="ListParagraph"/>
        <w:tabs>
          <w:tab w:val="left" w:pos="567"/>
        </w:tabs>
        <w:spacing w:after="120" w:line="240" w:lineRule="auto"/>
        <w:ind w:left="0"/>
        <w:contextualSpacing w:val="0"/>
        <w:jc w:val="both"/>
        <w:rPr>
          <w:color w:val="000000"/>
          <w:szCs w:val="24"/>
          <w:lang w:val="en-GB"/>
        </w:rPr>
      </w:pPr>
      <w:r w:rsidRPr="000C44A5">
        <w:rPr>
          <w:i/>
          <w:iCs/>
          <w:color w:val="000000"/>
          <w:szCs w:val="24"/>
          <w:lang w:val="en-GB"/>
        </w:rPr>
        <w:t>G</w:t>
      </w:r>
      <w:r w:rsidR="00114D4F" w:rsidRPr="000C44A5">
        <w:rPr>
          <w:i/>
          <w:iCs/>
          <w:color w:val="000000"/>
          <w:szCs w:val="24"/>
          <w:lang w:val="en-GB"/>
        </w:rPr>
        <w:t xml:space="preserve">uideline 8, </w:t>
      </w:r>
      <w:r w:rsidR="001527F9">
        <w:rPr>
          <w:i/>
          <w:iCs/>
          <w:color w:val="000000"/>
          <w:szCs w:val="24"/>
          <w:lang w:val="en-GB"/>
        </w:rPr>
        <w:t>paragraph</w:t>
      </w:r>
      <w:r w:rsidR="00114D4F" w:rsidRPr="000C44A5">
        <w:rPr>
          <w:i/>
          <w:iCs/>
          <w:color w:val="000000"/>
          <w:szCs w:val="24"/>
          <w:lang w:val="en-GB"/>
        </w:rPr>
        <w:t xml:space="preserve"> 1</w:t>
      </w:r>
      <w:r w:rsidR="00114D4F" w:rsidRPr="00DE38E5">
        <w:rPr>
          <w:color w:val="000000"/>
          <w:szCs w:val="24"/>
          <w:lang w:val="en-GB"/>
        </w:rPr>
        <w:t xml:space="preserve"> (</w:t>
      </w:r>
      <w:r w:rsidR="00114D4F" w:rsidRPr="00DE38E5">
        <w:rPr>
          <w:b/>
          <w:bCs/>
          <w:color w:val="000000"/>
          <w:szCs w:val="24"/>
          <w:lang w:val="en-GB"/>
        </w:rPr>
        <w:t>in bold</w:t>
      </w:r>
      <w:r w:rsidR="00114D4F" w:rsidRPr="00DE38E5">
        <w:rPr>
          <w:color w:val="000000"/>
          <w:szCs w:val="24"/>
          <w:lang w:val="en-GB"/>
        </w:rPr>
        <w:t>): “</w:t>
      </w:r>
      <w:r w:rsidR="00DE38E5" w:rsidRPr="00DE38E5">
        <w:rPr>
          <w:color w:val="000000"/>
          <w:szCs w:val="24"/>
          <w:lang w:val="en-GB"/>
        </w:rPr>
        <w:t xml:space="preserve">Member States should promote inclusive labour markets, open to all, by putting in place effective measures to </w:t>
      </w:r>
      <w:r w:rsidR="00DE38E5" w:rsidRPr="00DE38E5">
        <w:rPr>
          <w:b/>
          <w:bCs/>
          <w:strike/>
          <w:color w:val="000000"/>
          <w:szCs w:val="24"/>
          <w:lang w:val="en-GB"/>
        </w:rPr>
        <w:t>fight</w:t>
      </w:r>
      <w:r w:rsidR="00DE38E5" w:rsidRPr="00DE38E5">
        <w:rPr>
          <w:b/>
          <w:bCs/>
          <w:color w:val="000000"/>
          <w:szCs w:val="24"/>
          <w:lang w:val="en-GB"/>
        </w:rPr>
        <w:t xml:space="preserve"> eliminate</w:t>
      </w:r>
      <w:r w:rsidR="00DE38E5" w:rsidRPr="00DE38E5">
        <w:rPr>
          <w:color w:val="000000"/>
          <w:szCs w:val="24"/>
          <w:lang w:val="en-GB"/>
        </w:rPr>
        <w:t xml:space="preserve"> all forms of discrimination and </w:t>
      </w:r>
      <w:r w:rsidR="00DE38E5" w:rsidRPr="00DE38E5">
        <w:rPr>
          <w:b/>
          <w:bCs/>
          <w:strike/>
          <w:color w:val="000000"/>
          <w:szCs w:val="24"/>
          <w:lang w:val="en-GB"/>
        </w:rPr>
        <w:t>promote</w:t>
      </w:r>
      <w:r w:rsidR="00DE38E5" w:rsidRPr="00DE38E5">
        <w:rPr>
          <w:b/>
          <w:bCs/>
          <w:color w:val="000000"/>
          <w:szCs w:val="24"/>
          <w:lang w:val="en-GB"/>
        </w:rPr>
        <w:t xml:space="preserve"> ensure</w:t>
      </w:r>
      <w:r w:rsidR="00DE38E5" w:rsidRPr="00DE38E5">
        <w:rPr>
          <w:color w:val="000000"/>
          <w:szCs w:val="24"/>
          <w:lang w:val="en-GB"/>
        </w:rPr>
        <w:t xml:space="preserve"> equal opportunities for all, and in particular for groups that are under-represented in the labour market, also with due attention to the regional and territorial dimension.[…]” since addressing discrimination is a Treaty obligation, making the term ‘eliminate’ more appropriate, and stronger wording on equal opportunities is in line with the European Pillar of Social Rights.</w:t>
      </w:r>
    </w:p>
    <w:p w14:paraId="69374D1D" w14:textId="10160494" w:rsidR="00114D4F" w:rsidRPr="00A65612" w:rsidRDefault="00C0266E" w:rsidP="00BF26A9">
      <w:pPr>
        <w:pStyle w:val="ListParagraph"/>
        <w:tabs>
          <w:tab w:val="left" w:pos="567"/>
        </w:tabs>
        <w:spacing w:after="120" w:line="240" w:lineRule="auto"/>
        <w:ind w:left="0"/>
        <w:contextualSpacing w:val="0"/>
        <w:jc w:val="both"/>
        <w:rPr>
          <w:color w:val="000000"/>
          <w:szCs w:val="24"/>
          <w:lang w:val="en-GB"/>
        </w:rPr>
      </w:pPr>
      <w:r w:rsidRPr="00C0266E">
        <w:rPr>
          <w:i/>
          <w:iCs/>
          <w:color w:val="000000"/>
          <w:szCs w:val="24"/>
          <w:lang w:val="en-GB"/>
        </w:rPr>
        <w:t>G</w:t>
      </w:r>
      <w:r w:rsidR="00A65612" w:rsidRPr="00C0266E">
        <w:rPr>
          <w:i/>
          <w:iCs/>
          <w:color w:val="000000"/>
          <w:szCs w:val="24"/>
          <w:lang w:val="en-GB"/>
        </w:rPr>
        <w:t xml:space="preserve">uideline 8, </w:t>
      </w:r>
      <w:r w:rsidR="001527F9">
        <w:rPr>
          <w:i/>
          <w:iCs/>
          <w:color w:val="000000"/>
          <w:szCs w:val="24"/>
          <w:lang w:val="en-GB"/>
        </w:rPr>
        <w:t>paragraph</w:t>
      </w:r>
      <w:r w:rsidR="00A65612" w:rsidRPr="00C0266E">
        <w:rPr>
          <w:i/>
          <w:iCs/>
          <w:color w:val="000000"/>
          <w:szCs w:val="24"/>
          <w:lang w:val="en-GB"/>
        </w:rPr>
        <w:t xml:space="preserve"> 6</w:t>
      </w:r>
      <w:r w:rsidR="00A65612" w:rsidRPr="00A65612">
        <w:rPr>
          <w:color w:val="000000"/>
          <w:szCs w:val="24"/>
          <w:lang w:val="en-GB"/>
        </w:rPr>
        <w:t xml:space="preserve"> (</w:t>
      </w:r>
      <w:r w:rsidR="00A65612" w:rsidRPr="00A65612">
        <w:rPr>
          <w:b/>
          <w:bCs/>
          <w:color w:val="000000"/>
          <w:szCs w:val="24"/>
          <w:lang w:val="en-GB"/>
        </w:rPr>
        <w:t>in bold</w:t>
      </w:r>
      <w:r w:rsidR="00A65612" w:rsidRPr="00A65612">
        <w:rPr>
          <w:color w:val="000000"/>
          <w:szCs w:val="24"/>
          <w:lang w:val="en-GB"/>
        </w:rPr>
        <w:t xml:space="preserve">): “[…]. Pension reforms should be supported by policies that aim to reduce the gender pension gap, </w:t>
      </w:r>
      <w:r w:rsidR="00A65612" w:rsidRPr="00A65612">
        <w:rPr>
          <w:b/>
          <w:bCs/>
          <w:color w:val="000000"/>
          <w:szCs w:val="24"/>
          <w:lang w:val="en-GB"/>
        </w:rPr>
        <w:t xml:space="preserve">promote active and healthy ageing </w:t>
      </w:r>
      <w:r w:rsidR="00A65612" w:rsidRPr="00A65612">
        <w:rPr>
          <w:color w:val="000000"/>
          <w:szCs w:val="24"/>
          <w:lang w:val="en-GB"/>
        </w:rPr>
        <w:t xml:space="preserve">and </w:t>
      </w:r>
      <w:r w:rsidR="00A65612" w:rsidRPr="00A65612">
        <w:rPr>
          <w:rFonts w:ascii="Times New Roman Bold" w:hAnsi="Times New Roman Bold"/>
          <w:b/>
          <w:bCs/>
          <w:strike/>
          <w:color w:val="000000"/>
          <w:szCs w:val="24"/>
          <w:lang w:val="en-GB"/>
        </w:rPr>
        <w:t>measures that</w:t>
      </w:r>
      <w:r w:rsidR="00A65612" w:rsidRPr="00A65612">
        <w:rPr>
          <w:color w:val="000000"/>
          <w:szCs w:val="24"/>
          <w:lang w:val="en-GB"/>
        </w:rPr>
        <w:t xml:space="preserve"> extend working lives, such as by raising the effective retirement age, notably by facilitating the labour market participation </w:t>
      </w:r>
      <w:r w:rsidR="00A65612" w:rsidRPr="00A65612">
        <w:rPr>
          <w:b/>
          <w:bCs/>
          <w:color w:val="000000"/>
          <w:szCs w:val="24"/>
          <w:lang w:val="en-GB"/>
        </w:rPr>
        <w:t xml:space="preserve">and ensuring working conditions adapted to the needs of older workers </w:t>
      </w:r>
      <w:r w:rsidR="00A65612" w:rsidRPr="00A65612">
        <w:rPr>
          <w:rFonts w:ascii="Times New Roman Bold" w:hAnsi="Times New Roman Bold"/>
          <w:b/>
          <w:bCs/>
          <w:strike/>
          <w:color w:val="000000"/>
          <w:szCs w:val="24"/>
          <w:lang w:val="en-GB"/>
        </w:rPr>
        <w:t>persons, and should be framed within active ageing strategies</w:t>
      </w:r>
      <w:r w:rsidR="00A65612" w:rsidRPr="00A65612">
        <w:rPr>
          <w:color w:val="000000"/>
          <w:szCs w:val="24"/>
          <w:lang w:val="en-GB"/>
        </w:rPr>
        <w:t xml:space="preserve">. Member States should establish a constructive dialogue with social partners and other relevant stakeholders, and allow for an appropriate phasing in of the reforms.” These amendments are based on the amendment 35 </w:t>
      </w:r>
      <w:r w:rsidR="00D21E5C">
        <w:rPr>
          <w:color w:val="000000"/>
          <w:szCs w:val="24"/>
          <w:lang w:val="en-GB"/>
        </w:rPr>
        <w:t xml:space="preserve">of the European Parliament </w:t>
      </w:r>
      <w:r w:rsidR="00A65612" w:rsidRPr="00A65612">
        <w:rPr>
          <w:color w:val="000000"/>
          <w:szCs w:val="24"/>
          <w:lang w:val="en-GB"/>
        </w:rPr>
        <w:t>and improve the text by pointing at elements that are key from a policy perspective in an ageing societ</w:t>
      </w:r>
      <w:r w:rsidR="00A65612">
        <w:rPr>
          <w:color w:val="000000"/>
          <w:szCs w:val="24"/>
          <w:lang w:val="en-GB"/>
        </w:rPr>
        <w:t>y</w:t>
      </w:r>
      <w:r w:rsidR="00A65612" w:rsidRPr="00A65612">
        <w:rPr>
          <w:color w:val="000000"/>
          <w:szCs w:val="24"/>
          <w:lang w:val="en-GB"/>
        </w:rPr>
        <w:t xml:space="preserve">. </w:t>
      </w:r>
    </w:p>
    <w:sectPr w:rsidR="00114D4F" w:rsidRPr="00A65612"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D9CE" w14:textId="77777777" w:rsidR="00EC6C65" w:rsidRDefault="00EC6C65">
      <w:pPr>
        <w:spacing w:line="240" w:lineRule="auto"/>
      </w:pPr>
      <w:r>
        <w:separator/>
      </w:r>
    </w:p>
  </w:endnote>
  <w:endnote w:type="continuationSeparator" w:id="0">
    <w:p w14:paraId="48770E48" w14:textId="77777777" w:rsidR="00EC6C65" w:rsidRDefault="00EC6C65">
      <w:pPr>
        <w:spacing w:line="240" w:lineRule="auto"/>
      </w:pPr>
      <w:r>
        <w:continuationSeparator/>
      </w:r>
    </w:p>
  </w:endnote>
  <w:endnote w:type="continuationNotice" w:id="1">
    <w:p w14:paraId="3135C409" w14:textId="77777777" w:rsidR="00EC6C65" w:rsidRDefault="00EC6C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rsidR="0024208F">
          <w:rPr>
            <w:noProof/>
          </w:rPr>
          <w:t>2</w:t>
        </w:r>
        <w:r>
          <w:rPr>
            <w:noProof/>
          </w:rP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3BE50169" w:rsidR="00EC7926" w:rsidRPr="00070315" w:rsidRDefault="00EC7926" w:rsidP="0007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029E" w14:textId="77777777" w:rsidR="00EC6C65" w:rsidRDefault="00EC6C65">
      <w:pPr>
        <w:spacing w:line="240" w:lineRule="auto"/>
      </w:pPr>
      <w:r>
        <w:separator/>
      </w:r>
    </w:p>
  </w:footnote>
  <w:footnote w:type="continuationSeparator" w:id="0">
    <w:p w14:paraId="71733BB2" w14:textId="77777777" w:rsidR="00EC6C65" w:rsidRDefault="00EC6C65">
      <w:pPr>
        <w:spacing w:line="240" w:lineRule="auto"/>
      </w:pPr>
      <w:r>
        <w:continuationSeparator/>
      </w:r>
    </w:p>
  </w:footnote>
  <w:footnote w:type="continuationNotice" w:id="1">
    <w:p w14:paraId="06C629CC" w14:textId="77777777" w:rsidR="00EC6C65" w:rsidRDefault="00EC6C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1F512B"/>
    <w:multiLevelType w:val="hybridMultilevel"/>
    <w:tmpl w:val="27241A10"/>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4"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0"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6E475773"/>
    <w:multiLevelType w:val="hybridMultilevel"/>
    <w:tmpl w:val="4C42F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3"/>
  </w:num>
  <w:num w:numId="5" w16cid:durableId="971406308">
    <w:abstractNumId w:val="28"/>
  </w:num>
  <w:num w:numId="6" w16cid:durableId="273682649">
    <w:abstractNumId w:val="11"/>
  </w:num>
  <w:num w:numId="7" w16cid:durableId="1764909784">
    <w:abstractNumId w:val="31"/>
  </w:num>
  <w:num w:numId="8" w16cid:durableId="1134712123">
    <w:abstractNumId w:val="23"/>
  </w:num>
  <w:num w:numId="9" w16cid:durableId="844704771">
    <w:abstractNumId w:val="10"/>
  </w:num>
  <w:num w:numId="10" w16cid:durableId="276066907">
    <w:abstractNumId w:val="4"/>
  </w:num>
  <w:num w:numId="11" w16cid:durableId="401220151">
    <w:abstractNumId w:val="32"/>
  </w:num>
  <w:num w:numId="12" w16cid:durableId="1453670525">
    <w:abstractNumId w:val="5"/>
  </w:num>
  <w:num w:numId="13" w16cid:durableId="1062292021">
    <w:abstractNumId w:val="21"/>
  </w:num>
  <w:num w:numId="14" w16cid:durableId="777681743">
    <w:abstractNumId w:val="29"/>
  </w:num>
  <w:num w:numId="15" w16cid:durableId="72243590">
    <w:abstractNumId w:val="15"/>
  </w:num>
  <w:num w:numId="16" w16cid:durableId="734745955">
    <w:abstractNumId w:val="1"/>
  </w:num>
  <w:num w:numId="17" w16cid:durableId="642471095">
    <w:abstractNumId w:val="22"/>
  </w:num>
  <w:num w:numId="18" w16cid:durableId="493230448">
    <w:abstractNumId w:val="20"/>
  </w:num>
  <w:num w:numId="19" w16cid:durableId="641010637">
    <w:abstractNumId w:val="34"/>
  </w:num>
  <w:num w:numId="20" w16cid:durableId="1729450954">
    <w:abstractNumId w:val="2"/>
  </w:num>
  <w:num w:numId="21" w16cid:durableId="510028576">
    <w:abstractNumId w:val="36"/>
  </w:num>
  <w:num w:numId="22" w16cid:durableId="1329090570">
    <w:abstractNumId w:val="7"/>
  </w:num>
  <w:num w:numId="23" w16cid:durableId="1754466986">
    <w:abstractNumId w:val="0"/>
  </w:num>
  <w:num w:numId="24" w16cid:durableId="1147356799">
    <w:abstractNumId w:val="17"/>
  </w:num>
  <w:num w:numId="25" w16cid:durableId="1738091807">
    <w:abstractNumId w:val="8"/>
  </w:num>
  <w:num w:numId="26" w16cid:durableId="4401311">
    <w:abstractNumId w:val="18"/>
  </w:num>
  <w:num w:numId="27" w16cid:durableId="736054970">
    <w:abstractNumId w:val="26"/>
  </w:num>
  <w:num w:numId="28" w16cid:durableId="812521163">
    <w:abstractNumId w:val="39"/>
  </w:num>
  <w:num w:numId="29" w16cid:durableId="316959018">
    <w:abstractNumId w:val="30"/>
  </w:num>
  <w:num w:numId="30" w16cid:durableId="355236493">
    <w:abstractNumId w:val="25"/>
  </w:num>
  <w:num w:numId="31" w16cid:durableId="2031299187">
    <w:abstractNumId w:val="38"/>
  </w:num>
  <w:num w:numId="32" w16cid:durableId="1703703904">
    <w:abstractNumId w:val="19"/>
  </w:num>
  <w:num w:numId="33" w16cid:durableId="675380325">
    <w:abstractNumId w:val="14"/>
  </w:num>
  <w:num w:numId="34" w16cid:durableId="1478065102">
    <w:abstractNumId w:val="16"/>
  </w:num>
  <w:num w:numId="35" w16cid:durableId="493645849">
    <w:abstractNumId w:val="37"/>
  </w:num>
  <w:num w:numId="36" w16cid:durableId="148520944">
    <w:abstractNumId w:val="24"/>
  </w:num>
  <w:num w:numId="37" w16cid:durableId="954294422">
    <w:abstractNumId w:val="9"/>
  </w:num>
  <w:num w:numId="38" w16cid:durableId="493381111">
    <w:abstractNumId w:val="27"/>
  </w:num>
  <w:num w:numId="39" w16cid:durableId="901602826">
    <w:abstractNumId w:val="35"/>
  </w:num>
  <w:num w:numId="40" w16cid:durableId="290063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Kit_DocumentHasBeenSaved" w:val="true"/>
    <w:docVar w:name="LW_DocType" w:val="NORMAL"/>
  </w:docVars>
  <w:rsids>
    <w:rsidRoot w:val="00935ED8"/>
    <w:rsid w:val="00000E45"/>
    <w:rsid w:val="00001C75"/>
    <w:rsid w:val="00002127"/>
    <w:rsid w:val="00002E5D"/>
    <w:rsid w:val="00003414"/>
    <w:rsid w:val="000067A5"/>
    <w:rsid w:val="000067BE"/>
    <w:rsid w:val="0000702D"/>
    <w:rsid w:val="000076B1"/>
    <w:rsid w:val="00010169"/>
    <w:rsid w:val="00011310"/>
    <w:rsid w:val="00011837"/>
    <w:rsid w:val="00014F9E"/>
    <w:rsid w:val="00015F97"/>
    <w:rsid w:val="00016503"/>
    <w:rsid w:val="00016D89"/>
    <w:rsid w:val="000179A8"/>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BF0"/>
    <w:rsid w:val="00046224"/>
    <w:rsid w:val="00052442"/>
    <w:rsid w:val="00052506"/>
    <w:rsid w:val="00053607"/>
    <w:rsid w:val="00055079"/>
    <w:rsid w:val="00055096"/>
    <w:rsid w:val="00055589"/>
    <w:rsid w:val="000557D5"/>
    <w:rsid w:val="000577CD"/>
    <w:rsid w:val="00061954"/>
    <w:rsid w:val="0006264D"/>
    <w:rsid w:val="00065320"/>
    <w:rsid w:val="00065724"/>
    <w:rsid w:val="00067828"/>
    <w:rsid w:val="00070315"/>
    <w:rsid w:val="000712EA"/>
    <w:rsid w:val="000718ED"/>
    <w:rsid w:val="0007573A"/>
    <w:rsid w:val="00076D8B"/>
    <w:rsid w:val="000810C3"/>
    <w:rsid w:val="00081F5A"/>
    <w:rsid w:val="00082886"/>
    <w:rsid w:val="000832AF"/>
    <w:rsid w:val="000840F3"/>
    <w:rsid w:val="00084136"/>
    <w:rsid w:val="00087A63"/>
    <w:rsid w:val="00087AB4"/>
    <w:rsid w:val="0009387E"/>
    <w:rsid w:val="00093F2C"/>
    <w:rsid w:val="000953C9"/>
    <w:rsid w:val="000957C1"/>
    <w:rsid w:val="00096F3B"/>
    <w:rsid w:val="000A0207"/>
    <w:rsid w:val="000A2685"/>
    <w:rsid w:val="000A3724"/>
    <w:rsid w:val="000A4A12"/>
    <w:rsid w:val="000A5B46"/>
    <w:rsid w:val="000A636A"/>
    <w:rsid w:val="000B1035"/>
    <w:rsid w:val="000B14AC"/>
    <w:rsid w:val="000B1691"/>
    <w:rsid w:val="000B3275"/>
    <w:rsid w:val="000B4205"/>
    <w:rsid w:val="000B646D"/>
    <w:rsid w:val="000C03B2"/>
    <w:rsid w:val="000C104C"/>
    <w:rsid w:val="000C2FF5"/>
    <w:rsid w:val="000C44A5"/>
    <w:rsid w:val="000C5636"/>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4D4F"/>
    <w:rsid w:val="00115FB6"/>
    <w:rsid w:val="00116899"/>
    <w:rsid w:val="00116EA1"/>
    <w:rsid w:val="001178D2"/>
    <w:rsid w:val="00120883"/>
    <w:rsid w:val="00121E14"/>
    <w:rsid w:val="00122820"/>
    <w:rsid w:val="00123120"/>
    <w:rsid w:val="00123AF4"/>
    <w:rsid w:val="00124974"/>
    <w:rsid w:val="001256F5"/>
    <w:rsid w:val="00125AF3"/>
    <w:rsid w:val="001265A9"/>
    <w:rsid w:val="00126785"/>
    <w:rsid w:val="001275A0"/>
    <w:rsid w:val="00131053"/>
    <w:rsid w:val="00132F1E"/>
    <w:rsid w:val="00133937"/>
    <w:rsid w:val="00135201"/>
    <w:rsid w:val="00136113"/>
    <w:rsid w:val="0013685B"/>
    <w:rsid w:val="001438BD"/>
    <w:rsid w:val="00147148"/>
    <w:rsid w:val="00147EC4"/>
    <w:rsid w:val="00151884"/>
    <w:rsid w:val="001522AD"/>
    <w:rsid w:val="001527F9"/>
    <w:rsid w:val="00153310"/>
    <w:rsid w:val="00154933"/>
    <w:rsid w:val="00155323"/>
    <w:rsid w:val="00156619"/>
    <w:rsid w:val="00157687"/>
    <w:rsid w:val="00157F8E"/>
    <w:rsid w:val="0016035E"/>
    <w:rsid w:val="0016453B"/>
    <w:rsid w:val="00164E15"/>
    <w:rsid w:val="001653DC"/>
    <w:rsid w:val="00165F24"/>
    <w:rsid w:val="0017144D"/>
    <w:rsid w:val="0017263B"/>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2BFB"/>
    <w:rsid w:val="0019325B"/>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799"/>
    <w:rsid w:val="001B1AD2"/>
    <w:rsid w:val="001B3239"/>
    <w:rsid w:val="001B3562"/>
    <w:rsid w:val="001B3CFA"/>
    <w:rsid w:val="001B477D"/>
    <w:rsid w:val="001B4F99"/>
    <w:rsid w:val="001B50B4"/>
    <w:rsid w:val="001B6C58"/>
    <w:rsid w:val="001B6EB1"/>
    <w:rsid w:val="001C0E24"/>
    <w:rsid w:val="001C7AA8"/>
    <w:rsid w:val="001D04C7"/>
    <w:rsid w:val="001D26B8"/>
    <w:rsid w:val="001D2B20"/>
    <w:rsid w:val="001D6416"/>
    <w:rsid w:val="001D65E0"/>
    <w:rsid w:val="001E067C"/>
    <w:rsid w:val="001E1E30"/>
    <w:rsid w:val="001E216D"/>
    <w:rsid w:val="001E430C"/>
    <w:rsid w:val="001E53FF"/>
    <w:rsid w:val="001E59B8"/>
    <w:rsid w:val="001E60C0"/>
    <w:rsid w:val="001E64A0"/>
    <w:rsid w:val="001E7EED"/>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369"/>
    <w:rsid w:val="0023647E"/>
    <w:rsid w:val="00240048"/>
    <w:rsid w:val="00241DEB"/>
    <w:rsid w:val="0024208F"/>
    <w:rsid w:val="00245DBC"/>
    <w:rsid w:val="0024709A"/>
    <w:rsid w:val="00247145"/>
    <w:rsid w:val="00247E3D"/>
    <w:rsid w:val="00250F89"/>
    <w:rsid w:val="002523DA"/>
    <w:rsid w:val="00255AE0"/>
    <w:rsid w:val="002566EF"/>
    <w:rsid w:val="002576E0"/>
    <w:rsid w:val="00257975"/>
    <w:rsid w:val="00262F21"/>
    <w:rsid w:val="002631A7"/>
    <w:rsid w:val="00263D68"/>
    <w:rsid w:val="0026424D"/>
    <w:rsid w:val="00264BF5"/>
    <w:rsid w:val="002654F8"/>
    <w:rsid w:val="002706B7"/>
    <w:rsid w:val="002711BA"/>
    <w:rsid w:val="00271E2E"/>
    <w:rsid w:val="00271FE1"/>
    <w:rsid w:val="00272613"/>
    <w:rsid w:val="00276F5B"/>
    <w:rsid w:val="00285581"/>
    <w:rsid w:val="00286134"/>
    <w:rsid w:val="00290553"/>
    <w:rsid w:val="0029072A"/>
    <w:rsid w:val="002913A1"/>
    <w:rsid w:val="00291A9B"/>
    <w:rsid w:val="002941B7"/>
    <w:rsid w:val="00297A6F"/>
    <w:rsid w:val="002A02CF"/>
    <w:rsid w:val="002A095B"/>
    <w:rsid w:val="002A1869"/>
    <w:rsid w:val="002A4473"/>
    <w:rsid w:val="002A4D93"/>
    <w:rsid w:val="002A55B8"/>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1F6A"/>
    <w:rsid w:val="002D2B8E"/>
    <w:rsid w:val="002D5EF2"/>
    <w:rsid w:val="002E1418"/>
    <w:rsid w:val="002E190A"/>
    <w:rsid w:val="002E5C8C"/>
    <w:rsid w:val="002E6296"/>
    <w:rsid w:val="002E777F"/>
    <w:rsid w:val="002E7F0A"/>
    <w:rsid w:val="002F2144"/>
    <w:rsid w:val="002F2E26"/>
    <w:rsid w:val="002F35B1"/>
    <w:rsid w:val="002F38E9"/>
    <w:rsid w:val="002F3C4F"/>
    <w:rsid w:val="002F742C"/>
    <w:rsid w:val="002F7976"/>
    <w:rsid w:val="0030280B"/>
    <w:rsid w:val="003030EB"/>
    <w:rsid w:val="00303A72"/>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31238"/>
    <w:rsid w:val="003350A3"/>
    <w:rsid w:val="00335951"/>
    <w:rsid w:val="003362DC"/>
    <w:rsid w:val="00336317"/>
    <w:rsid w:val="00342308"/>
    <w:rsid w:val="003424B9"/>
    <w:rsid w:val="003429A3"/>
    <w:rsid w:val="00343894"/>
    <w:rsid w:val="00346439"/>
    <w:rsid w:val="00347CB0"/>
    <w:rsid w:val="0035007C"/>
    <w:rsid w:val="0035149E"/>
    <w:rsid w:val="00351503"/>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90076"/>
    <w:rsid w:val="00390429"/>
    <w:rsid w:val="003910C8"/>
    <w:rsid w:val="00391983"/>
    <w:rsid w:val="00391BEE"/>
    <w:rsid w:val="003924C5"/>
    <w:rsid w:val="00393E7F"/>
    <w:rsid w:val="00394375"/>
    <w:rsid w:val="00394A88"/>
    <w:rsid w:val="00394BAD"/>
    <w:rsid w:val="00395751"/>
    <w:rsid w:val="003A033C"/>
    <w:rsid w:val="003A1199"/>
    <w:rsid w:val="003A1A82"/>
    <w:rsid w:val="003A27E3"/>
    <w:rsid w:val="003A3D18"/>
    <w:rsid w:val="003A59B1"/>
    <w:rsid w:val="003A616A"/>
    <w:rsid w:val="003A63E7"/>
    <w:rsid w:val="003B184A"/>
    <w:rsid w:val="003B4A69"/>
    <w:rsid w:val="003B552D"/>
    <w:rsid w:val="003B55E4"/>
    <w:rsid w:val="003B6145"/>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886"/>
    <w:rsid w:val="003E4A3C"/>
    <w:rsid w:val="003E6C3C"/>
    <w:rsid w:val="003E6FD7"/>
    <w:rsid w:val="003F01E8"/>
    <w:rsid w:val="003F0700"/>
    <w:rsid w:val="003F0CCF"/>
    <w:rsid w:val="003F14D9"/>
    <w:rsid w:val="003F4225"/>
    <w:rsid w:val="00401406"/>
    <w:rsid w:val="00401AE3"/>
    <w:rsid w:val="00402105"/>
    <w:rsid w:val="004022C6"/>
    <w:rsid w:val="004034C6"/>
    <w:rsid w:val="00403565"/>
    <w:rsid w:val="00403D12"/>
    <w:rsid w:val="0040545B"/>
    <w:rsid w:val="00406310"/>
    <w:rsid w:val="00406359"/>
    <w:rsid w:val="004064AC"/>
    <w:rsid w:val="004068EE"/>
    <w:rsid w:val="00407049"/>
    <w:rsid w:val="0041261E"/>
    <w:rsid w:val="00416E3A"/>
    <w:rsid w:val="00417518"/>
    <w:rsid w:val="004201F6"/>
    <w:rsid w:val="004209B8"/>
    <w:rsid w:val="00422B13"/>
    <w:rsid w:val="004238D3"/>
    <w:rsid w:val="004242B7"/>
    <w:rsid w:val="004247BB"/>
    <w:rsid w:val="00425B42"/>
    <w:rsid w:val="00425F0A"/>
    <w:rsid w:val="004278A3"/>
    <w:rsid w:val="004304B6"/>
    <w:rsid w:val="00430AE0"/>
    <w:rsid w:val="00431DFE"/>
    <w:rsid w:val="00434678"/>
    <w:rsid w:val="00434BEF"/>
    <w:rsid w:val="004353F6"/>
    <w:rsid w:val="0043565D"/>
    <w:rsid w:val="00435B3B"/>
    <w:rsid w:val="00437D6C"/>
    <w:rsid w:val="00440609"/>
    <w:rsid w:val="00442283"/>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54B5"/>
    <w:rsid w:val="00475A2E"/>
    <w:rsid w:val="00477BCB"/>
    <w:rsid w:val="00481615"/>
    <w:rsid w:val="00481986"/>
    <w:rsid w:val="004821C7"/>
    <w:rsid w:val="00482A76"/>
    <w:rsid w:val="00483047"/>
    <w:rsid w:val="004836C5"/>
    <w:rsid w:val="00483F73"/>
    <w:rsid w:val="004844F4"/>
    <w:rsid w:val="0048469B"/>
    <w:rsid w:val="004847D5"/>
    <w:rsid w:val="00485CC3"/>
    <w:rsid w:val="00485E3F"/>
    <w:rsid w:val="00486D96"/>
    <w:rsid w:val="004871C5"/>
    <w:rsid w:val="00487FD4"/>
    <w:rsid w:val="00490853"/>
    <w:rsid w:val="00491E00"/>
    <w:rsid w:val="00492D34"/>
    <w:rsid w:val="00492F73"/>
    <w:rsid w:val="00493A49"/>
    <w:rsid w:val="004945A4"/>
    <w:rsid w:val="00494974"/>
    <w:rsid w:val="00495D97"/>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17E7"/>
    <w:rsid w:val="004F257D"/>
    <w:rsid w:val="004F29D8"/>
    <w:rsid w:val="004F534E"/>
    <w:rsid w:val="004F6866"/>
    <w:rsid w:val="004F68BF"/>
    <w:rsid w:val="004F6C2B"/>
    <w:rsid w:val="00500A06"/>
    <w:rsid w:val="00500DDA"/>
    <w:rsid w:val="00501994"/>
    <w:rsid w:val="00502F56"/>
    <w:rsid w:val="005043DB"/>
    <w:rsid w:val="005068E4"/>
    <w:rsid w:val="00507063"/>
    <w:rsid w:val="0051150A"/>
    <w:rsid w:val="00512582"/>
    <w:rsid w:val="00516755"/>
    <w:rsid w:val="00517385"/>
    <w:rsid w:val="00517B51"/>
    <w:rsid w:val="00517EF1"/>
    <w:rsid w:val="0052009A"/>
    <w:rsid w:val="00520D95"/>
    <w:rsid w:val="00521425"/>
    <w:rsid w:val="0052176E"/>
    <w:rsid w:val="00527444"/>
    <w:rsid w:val="00527E4F"/>
    <w:rsid w:val="005313C6"/>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3DA9"/>
    <w:rsid w:val="00554DBA"/>
    <w:rsid w:val="00556757"/>
    <w:rsid w:val="00557659"/>
    <w:rsid w:val="005602F2"/>
    <w:rsid w:val="005610DA"/>
    <w:rsid w:val="00561876"/>
    <w:rsid w:val="00566ED7"/>
    <w:rsid w:val="005675C4"/>
    <w:rsid w:val="005713F5"/>
    <w:rsid w:val="005714C1"/>
    <w:rsid w:val="005746E1"/>
    <w:rsid w:val="00576FC4"/>
    <w:rsid w:val="00580A32"/>
    <w:rsid w:val="00585C0A"/>
    <w:rsid w:val="00586B68"/>
    <w:rsid w:val="00586C9E"/>
    <w:rsid w:val="00586DAC"/>
    <w:rsid w:val="00586DD9"/>
    <w:rsid w:val="005932F3"/>
    <w:rsid w:val="0059401B"/>
    <w:rsid w:val="005960D2"/>
    <w:rsid w:val="005A0F32"/>
    <w:rsid w:val="005A20A8"/>
    <w:rsid w:val="005A4A90"/>
    <w:rsid w:val="005A514F"/>
    <w:rsid w:val="005A5363"/>
    <w:rsid w:val="005A57B9"/>
    <w:rsid w:val="005A63EC"/>
    <w:rsid w:val="005B0232"/>
    <w:rsid w:val="005B0C34"/>
    <w:rsid w:val="005B1FC7"/>
    <w:rsid w:val="005B67C4"/>
    <w:rsid w:val="005B7165"/>
    <w:rsid w:val="005C1583"/>
    <w:rsid w:val="005C54F0"/>
    <w:rsid w:val="005C6A02"/>
    <w:rsid w:val="005C6D63"/>
    <w:rsid w:val="005D1F63"/>
    <w:rsid w:val="005D6D94"/>
    <w:rsid w:val="005D6FE4"/>
    <w:rsid w:val="005D7411"/>
    <w:rsid w:val="005E0D93"/>
    <w:rsid w:val="005E1960"/>
    <w:rsid w:val="005E1D91"/>
    <w:rsid w:val="005E2C34"/>
    <w:rsid w:val="005E3152"/>
    <w:rsid w:val="005E4581"/>
    <w:rsid w:val="005E534D"/>
    <w:rsid w:val="005E5C09"/>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568"/>
    <w:rsid w:val="00612398"/>
    <w:rsid w:val="006134A0"/>
    <w:rsid w:val="0061417E"/>
    <w:rsid w:val="0061419A"/>
    <w:rsid w:val="00614FB9"/>
    <w:rsid w:val="006150FB"/>
    <w:rsid w:val="00615F94"/>
    <w:rsid w:val="00616618"/>
    <w:rsid w:val="00616C77"/>
    <w:rsid w:val="0062075A"/>
    <w:rsid w:val="00621D5D"/>
    <w:rsid w:val="00623433"/>
    <w:rsid w:val="00623585"/>
    <w:rsid w:val="00626CC3"/>
    <w:rsid w:val="00631825"/>
    <w:rsid w:val="00633527"/>
    <w:rsid w:val="00633CF6"/>
    <w:rsid w:val="006340D7"/>
    <w:rsid w:val="00635902"/>
    <w:rsid w:val="00636ECF"/>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10E2"/>
    <w:rsid w:val="00661505"/>
    <w:rsid w:val="006635DB"/>
    <w:rsid w:val="006640E8"/>
    <w:rsid w:val="00666738"/>
    <w:rsid w:val="006678E0"/>
    <w:rsid w:val="006714F3"/>
    <w:rsid w:val="00671D86"/>
    <w:rsid w:val="0067260F"/>
    <w:rsid w:val="006765A0"/>
    <w:rsid w:val="006809A7"/>
    <w:rsid w:val="00682D50"/>
    <w:rsid w:val="0068396B"/>
    <w:rsid w:val="00683FF3"/>
    <w:rsid w:val="006869DB"/>
    <w:rsid w:val="00686F21"/>
    <w:rsid w:val="00687B56"/>
    <w:rsid w:val="006900ED"/>
    <w:rsid w:val="00690A17"/>
    <w:rsid w:val="00692AD7"/>
    <w:rsid w:val="00694D49"/>
    <w:rsid w:val="006957A3"/>
    <w:rsid w:val="00696C8A"/>
    <w:rsid w:val="0069713F"/>
    <w:rsid w:val="00697455"/>
    <w:rsid w:val="006A0162"/>
    <w:rsid w:val="006A0C11"/>
    <w:rsid w:val="006A1DAC"/>
    <w:rsid w:val="006A328C"/>
    <w:rsid w:val="006A40B6"/>
    <w:rsid w:val="006A50B7"/>
    <w:rsid w:val="006A5DB0"/>
    <w:rsid w:val="006B0AC3"/>
    <w:rsid w:val="006B40C2"/>
    <w:rsid w:val="006B64F3"/>
    <w:rsid w:val="006C05B6"/>
    <w:rsid w:val="006C080F"/>
    <w:rsid w:val="006C0DAC"/>
    <w:rsid w:val="006C5154"/>
    <w:rsid w:val="006C7CE1"/>
    <w:rsid w:val="006D03D1"/>
    <w:rsid w:val="006D0602"/>
    <w:rsid w:val="006D129F"/>
    <w:rsid w:val="006D1FB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7158"/>
    <w:rsid w:val="00703D9F"/>
    <w:rsid w:val="00704311"/>
    <w:rsid w:val="00705FF2"/>
    <w:rsid w:val="007071FE"/>
    <w:rsid w:val="00710815"/>
    <w:rsid w:val="00711C88"/>
    <w:rsid w:val="00712D7C"/>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257B8"/>
    <w:rsid w:val="00730340"/>
    <w:rsid w:val="00731190"/>
    <w:rsid w:val="007317FB"/>
    <w:rsid w:val="007318F0"/>
    <w:rsid w:val="00731F41"/>
    <w:rsid w:val="0073264B"/>
    <w:rsid w:val="007332DB"/>
    <w:rsid w:val="00733BD1"/>
    <w:rsid w:val="00733E5F"/>
    <w:rsid w:val="00735827"/>
    <w:rsid w:val="00735ED1"/>
    <w:rsid w:val="00740147"/>
    <w:rsid w:val="0074022E"/>
    <w:rsid w:val="007403F5"/>
    <w:rsid w:val="00740ECE"/>
    <w:rsid w:val="0074184E"/>
    <w:rsid w:val="00741B72"/>
    <w:rsid w:val="00742B5F"/>
    <w:rsid w:val="00743EA2"/>
    <w:rsid w:val="00744C48"/>
    <w:rsid w:val="00744F34"/>
    <w:rsid w:val="00745020"/>
    <w:rsid w:val="00745618"/>
    <w:rsid w:val="007502E9"/>
    <w:rsid w:val="007514DC"/>
    <w:rsid w:val="007522B9"/>
    <w:rsid w:val="007576C4"/>
    <w:rsid w:val="00757751"/>
    <w:rsid w:val="007604E9"/>
    <w:rsid w:val="00761477"/>
    <w:rsid w:val="00762164"/>
    <w:rsid w:val="00762179"/>
    <w:rsid w:val="00762D3D"/>
    <w:rsid w:val="007641FC"/>
    <w:rsid w:val="00764E42"/>
    <w:rsid w:val="007655B9"/>
    <w:rsid w:val="00765A4A"/>
    <w:rsid w:val="00766A15"/>
    <w:rsid w:val="0076779A"/>
    <w:rsid w:val="0076785A"/>
    <w:rsid w:val="0077286B"/>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1E04"/>
    <w:rsid w:val="007D23AB"/>
    <w:rsid w:val="007D26A4"/>
    <w:rsid w:val="007D33AD"/>
    <w:rsid w:val="007D5A06"/>
    <w:rsid w:val="007D5FC6"/>
    <w:rsid w:val="007D6810"/>
    <w:rsid w:val="007D7538"/>
    <w:rsid w:val="007E1FFC"/>
    <w:rsid w:val="007E36DC"/>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20BC"/>
    <w:rsid w:val="0080286C"/>
    <w:rsid w:val="00803AD5"/>
    <w:rsid w:val="0080430E"/>
    <w:rsid w:val="00805188"/>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309F"/>
    <w:rsid w:val="00853203"/>
    <w:rsid w:val="00853FB1"/>
    <w:rsid w:val="0085402F"/>
    <w:rsid w:val="008549D4"/>
    <w:rsid w:val="0086008F"/>
    <w:rsid w:val="00862E1A"/>
    <w:rsid w:val="008630A9"/>
    <w:rsid w:val="00864F99"/>
    <w:rsid w:val="00865298"/>
    <w:rsid w:val="00866A18"/>
    <w:rsid w:val="00866CE9"/>
    <w:rsid w:val="00867891"/>
    <w:rsid w:val="00870A6E"/>
    <w:rsid w:val="00871701"/>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A065C"/>
    <w:rsid w:val="008A0662"/>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D70"/>
    <w:rsid w:val="008B614F"/>
    <w:rsid w:val="008B7AD8"/>
    <w:rsid w:val="008C0DC5"/>
    <w:rsid w:val="008C1FDD"/>
    <w:rsid w:val="008C2904"/>
    <w:rsid w:val="008C2C5F"/>
    <w:rsid w:val="008C4AA4"/>
    <w:rsid w:val="008C6676"/>
    <w:rsid w:val="008C6CE9"/>
    <w:rsid w:val="008C71BA"/>
    <w:rsid w:val="008D2E03"/>
    <w:rsid w:val="008D35E8"/>
    <w:rsid w:val="008E14C6"/>
    <w:rsid w:val="008E1CEF"/>
    <w:rsid w:val="008E29E4"/>
    <w:rsid w:val="008E4B5B"/>
    <w:rsid w:val="008E75F7"/>
    <w:rsid w:val="008F2389"/>
    <w:rsid w:val="008F503E"/>
    <w:rsid w:val="00900DC1"/>
    <w:rsid w:val="0090155F"/>
    <w:rsid w:val="00901CA8"/>
    <w:rsid w:val="00903EA5"/>
    <w:rsid w:val="0090401E"/>
    <w:rsid w:val="00904C46"/>
    <w:rsid w:val="009053D7"/>
    <w:rsid w:val="00906C9D"/>
    <w:rsid w:val="0090729B"/>
    <w:rsid w:val="0091130F"/>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0BD4"/>
    <w:rsid w:val="009716F8"/>
    <w:rsid w:val="0097463E"/>
    <w:rsid w:val="00974D5C"/>
    <w:rsid w:val="00975B7E"/>
    <w:rsid w:val="0097720A"/>
    <w:rsid w:val="0097799B"/>
    <w:rsid w:val="0098014E"/>
    <w:rsid w:val="00982190"/>
    <w:rsid w:val="009849B0"/>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C5B"/>
    <w:rsid w:val="009B13AE"/>
    <w:rsid w:val="009B1FF1"/>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372E"/>
    <w:rsid w:val="009E7304"/>
    <w:rsid w:val="009E77EB"/>
    <w:rsid w:val="009E7AB9"/>
    <w:rsid w:val="009F27F4"/>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46D5"/>
    <w:rsid w:val="00A24987"/>
    <w:rsid w:val="00A25564"/>
    <w:rsid w:val="00A26785"/>
    <w:rsid w:val="00A31044"/>
    <w:rsid w:val="00A313AD"/>
    <w:rsid w:val="00A320B1"/>
    <w:rsid w:val="00A427C7"/>
    <w:rsid w:val="00A44C06"/>
    <w:rsid w:val="00A454EF"/>
    <w:rsid w:val="00A45962"/>
    <w:rsid w:val="00A45D75"/>
    <w:rsid w:val="00A46C12"/>
    <w:rsid w:val="00A522DE"/>
    <w:rsid w:val="00A5267A"/>
    <w:rsid w:val="00A52C83"/>
    <w:rsid w:val="00A54E6E"/>
    <w:rsid w:val="00A555B6"/>
    <w:rsid w:val="00A55611"/>
    <w:rsid w:val="00A55731"/>
    <w:rsid w:val="00A56D81"/>
    <w:rsid w:val="00A60513"/>
    <w:rsid w:val="00A60655"/>
    <w:rsid w:val="00A612C9"/>
    <w:rsid w:val="00A61FB1"/>
    <w:rsid w:val="00A64E90"/>
    <w:rsid w:val="00A654B2"/>
    <w:rsid w:val="00A65612"/>
    <w:rsid w:val="00A6605B"/>
    <w:rsid w:val="00A67C72"/>
    <w:rsid w:val="00A67E25"/>
    <w:rsid w:val="00A70CE1"/>
    <w:rsid w:val="00A7216C"/>
    <w:rsid w:val="00A76C9B"/>
    <w:rsid w:val="00A77021"/>
    <w:rsid w:val="00A8048D"/>
    <w:rsid w:val="00A86C93"/>
    <w:rsid w:val="00A904DB"/>
    <w:rsid w:val="00A90F77"/>
    <w:rsid w:val="00A93D35"/>
    <w:rsid w:val="00AA5BB7"/>
    <w:rsid w:val="00AA5DF4"/>
    <w:rsid w:val="00AB015D"/>
    <w:rsid w:val="00AB081F"/>
    <w:rsid w:val="00AB0B43"/>
    <w:rsid w:val="00AB0D4C"/>
    <w:rsid w:val="00AB2A2B"/>
    <w:rsid w:val="00AB3592"/>
    <w:rsid w:val="00AB4AC9"/>
    <w:rsid w:val="00AB5DD7"/>
    <w:rsid w:val="00AB67E8"/>
    <w:rsid w:val="00AB7A54"/>
    <w:rsid w:val="00AC06F0"/>
    <w:rsid w:val="00AC338E"/>
    <w:rsid w:val="00AC4DEB"/>
    <w:rsid w:val="00AC5B49"/>
    <w:rsid w:val="00AC5F90"/>
    <w:rsid w:val="00AC67B4"/>
    <w:rsid w:val="00AC6F72"/>
    <w:rsid w:val="00AC7032"/>
    <w:rsid w:val="00AC76AF"/>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5D"/>
    <w:rsid w:val="00B01764"/>
    <w:rsid w:val="00B01C12"/>
    <w:rsid w:val="00B02D79"/>
    <w:rsid w:val="00B02E0C"/>
    <w:rsid w:val="00B060D8"/>
    <w:rsid w:val="00B075A0"/>
    <w:rsid w:val="00B0775A"/>
    <w:rsid w:val="00B10F21"/>
    <w:rsid w:val="00B1361C"/>
    <w:rsid w:val="00B13AB8"/>
    <w:rsid w:val="00B144EF"/>
    <w:rsid w:val="00B15786"/>
    <w:rsid w:val="00B15CA1"/>
    <w:rsid w:val="00B15F5B"/>
    <w:rsid w:val="00B16E4D"/>
    <w:rsid w:val="00B2121A"/>
    <w:rsid w:val="00B2212A"/>
    <w:rsid w:val="00B22470"/>
    <w:rsid w:val="00B242C4"/>
    <w:rsid w:val="00B25073"/>
    <w:rsid w:val="00B2607A"/>
    <w:rsid w:val="00B2670F"/>
    <w:rsid w:val="00B27DB2"/>
    <w:rsid w:val="00B32CF7"/>
    <w:rsid w:val="00B36884"/>
    <w:rsid w:val="00B4008D"/>
    <w:rsid w:val="00B4166B"/>
    <w:rsid w:val="00B42C84"/>
    <w:rsid w:val="00B43EA5"/>
    <w:rsid w:val="00B44FE0"/>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35BD"/>
    <w:rsid w:val="00B745E8"/>
    <w:rsid w:val="00B7552F"/>
    <w:rsid w:val="00B76AF7"/>
    <w:rsid w:val="00B76C33"/>
    <w:rsid w:val="00B80423"/>
    <w:rsid w:val="00B8270E"/>
    <w:rsid w:val="00B82CF0"/>
    <w:rsid w:val="00B82F50"/>
    <w:rsid w:val="00B834E7"/>
    <w:rsid w:val="00B83DCA"/>
    <w:rsid w:val="00B847E1"/>
    <w:rsid w:val="00B85753"/>
    <w:rsid w:val="00B85D72"/>
    <w:rsid w:val="00B866FB"/>
    <w:rsid w:val="00B8682B"/>
    <w:rsid w:val="00B914EC"/>
    <w:rsid w:val="00B92B36"/>
    <w:rsid w:val="00B92E5B"/>
    <w:rsid w:val="00B93968"/>
    <w:rsid w:val="00B9440E"/>
    <w:rsid w:val="00B95826"/>
    <w:rsid w:val="00B958B4"/>
    <w:rsid w:val="00B95ABC"/>
    <w:rsid w:val="00B96997"/>
    <w:rsid w:val="00B96CA6"/>
    <w:rsid w:val="00B96DC1"/>
    <w:rsid w:val="00BA0905"/>
    <w:rsid w:val="00BA0CDB"/>
    <w:rsid w:val="00BA2834"/>
    <w:rsid w:val="00BA5125"/>
    <w:rsid w:val="00BA5218"/>
    <w:rsid w:val="00BA55A7"/>
    <w:rsid w:val="00BB002A"/>
    <w:rsid w:val="00BB01FA"/>
    <w:rsid w:val="00BB035D"/>
    <w:rsid w:val="00BB067D"/>
    <w:rsid w:val="00BB1F55"/>
    <w:rsid w:val="00BB2787"/>
    <w:rsid w:val="00BB2850"/>
    <w:rsid w:val="00BB2B42"/>
    <w:rsid w:val="00BB387D"/>
    <w:rsid w:val="00BB3C09"/>
    <w:rsid w:val="00BB3FBD"/>
    <w:rsid w:val="00BB4DBD"/>
    <w:rsid w:val="00BB696E"/>
    <w:rsid w:val="00BB71EB"/>
    <w:rsid w:val="00BC11B0"/>
    <w:rsid w:val="00BC1C4D"/>
    <w:rsid w:val="00BC21DF"/>
    <w:rsid w:val="00BC33E9"/>
    <w:rsid w:val="00BC4E22"/>
    <w:rsid w:val="00BC6D12"/>
    <w:rsid w:val="00BC7266"/>
    <w:rsid w:val="00BD0ADA"/>
    <w:rsid w:val="00BD134F"/>
    <w:rsid w:val="00BD1AC6"/>
    <w:rsid w:val="00BD1D8A"/>
    <w:rsid w:val="00BD2E67"/>
    <w:rsid w:val="00BD33C0"/>
    <w:rsid w:val="00BD3EEB"/>
    <w:rsid w:val="00BD3F32"/>
    <w:rsid w:val="00BD47A1"/>
    <w:rsid w:val="00BD532C"/>
    <w:rsid w:val="00BD7DC7"/>
    <w:rsid w:val="00BE0CB3"/>
    <w:rsid w:val="00BE0F1E"/>
    <w:rsid w:val="00BE0F46"/>
    <w:rsid w:val="00BE297A"/>
    <w:rsid w:val="00BE46A9"/>
    <w:rsid w:val="00BE5255"/>
    <w:rsid w:val="00BE53A3"/>
    <w:rsid w:val="00BE576E"/>
    <w:rsid w:val="00BE59E1"/>
    <w:rsid w:val="00BF0F90"/>
    <w:rsid w:val="00BF1137"/>
    <w:rsid w:val="00BF200D"/>
    <w:rsid w:val="00BF2364"/>
    <w:rsid w:val="00BF25D3"/>
    <w:rsid w:val="00BF26A9"/>
    <w:rsid w:val="00BF39F0"/>
    <w:rsid w:val="00BF431A"/>
    <w:rsid w:val="00BF4648"/>
    <w:rsid w:val="00BF51E4"/>
    <w:rsid w:val="00BF7E44"/>
    <w:rsid w:val="00C001D6"/>
    <w:rsid w:val="00C00553"/>
    <w:rsid w:val="00C01311"/>
    <w:rsid w:val="00C0266E"/>
    <w:rsid w:val="00C07B70"/>
    <w:rsid w:val="00C10B8E"/>
    <w:rsid w:val="00C1341F"/>
    <w:rsid w:val="00C158E8"/>
    <w:rsid w:val="00C15919"/>
    <w:rsid w:val="00C16175"/>
    <w:rsid w:val="00C16863"/>
    <w:rsid w:val="00C20365"/>
    <w:rsid w:val="00C2099F"/>
    <w:rsid w:val="00C20C27"/>
    <w:rsid w:val="00C22D03"/>
    <w:rsid w:val="00C25C2C"/>
    <w:rsid w:val="00C269B7"/>
    <w:rsid w:val="00C3118E"/>
    <w:rsid w:val="00C34BE1"/>
    <w:rsid w:val="00C35A1E"/>
    <w:rsid w:val="00C36A94"/>
    <w:rsid w:val="00C37478"/>
    <w:rsid w:val="00C4000A"/>
    <w:rsid w:val="00C40971"/>
    <w:rsid w:val="00C41605"/>
    <w:rsid w:val="00C4327A"/>
    <w:rsid w:val="00C44573"/>
    <w:rsid w:val="00C44E52"/>
    <w:rsid w:val="00C45897"/>
    <w:rsid w:val="00C479EC"/>
    <w:rsid w:val="00C47CF4"/>
    <w:rsid w:val="00C507BE"/>
    <w:rsid w:val="00C50E9A"/>
    <w:rsid w:val="00C528CC"/>
    <w:rsid w:val="00C52B92"/>
    <w:rsid w:val="00C55340"/>
    <w:rsid w:val="00C572FF"/>
    <w:rsid w:val="00C60DCB"/>
    <w:rsid w:val="00C61C47"/>
    <w:rsid w:val="00C6361A"/>
    <w:rsid w:val="00C64277"/>
    <w:rsid w:val="00C664BD"/>
    <w:rsid w:val="00C66D57"/>
    <w:rsid w:val="00C71928"/>
    <w:rsid w:val="00C71B1A"/>
    <w:rsid w:val="00C71C35"/>
    <w:rsid w:val="00C71F57"/>
    <w:rsid w:val="00C73D57"/>
    <w:rsid w:val="00C75120"/>
    <w:rsid w:val="00C76640"/>
    <w:rsid w:val="00C76BD7"/>
    <w:rsid w:val="00C76E10"/>
    <w:rsid w:val="00C8228B"/>
    <w:rsid w:val="00C837E7"/>
    <w:rsid w:val="00C83964"/>
    <w:rsid w:val="00C83C52"/>
    <w:rsid w:val="00C84FD2"/>
    <w:rsid w:val="00C851EC"/>
    <w:rsid w:val="00C85353"/>
    <w:rsid w:val="00C85D7E"/>
    <w:rsid w:val="00C862BF"/>
    <w:rsid w:val="00C87882"/>
    <w:rsid w:val="00C908FA"/>
    <w:rsid w:val="00C91F35"/>
    <w:rsid w:val="00C94D87"/>
    <w:rsid w:val="00C95346"/>
    <w:rsid w:val="00C95376"/>
    <w:rsid w:val="00C9636D"/>
    <w:rsid w:val="00C976E1"/>
    <w:rsid w:val="00CA3710"/>
    <w:rsid w:val="00CA4086"/>
    <w:rsid w:val="00CA497B"/>
    <w:rsid w:val="00CA7167"/>
    <w:rsid w:val="00CB0BA7"/>
    <w:rsid w:val="00CB0D1A"/>
    <w:rsid w:val="00CB0DF1"/>
    <w:rsid w:val="00CB1814"/>
    <w:rsid w:val="00CB1D86"/>
    <w:rsid w:val="00CB273A"/>
    <w:rsid w:val="00CB576B"/>
    <w:rsid w:val="00CB58EE"/>
    <w:rsid w:val="00CB5CB8"/>
    <w:rsid w:val="00CB6A82"/>
    <w:rsid w:val="00CB6BD6"/>
    <w:rsid w:val="00CB7537"/>
    <w:rsid w:val="00CC18F6"/>
    <w:rsid w:val="00CC1ED9"/>
    <w:rsid w:val="00CC2F63"/>
    <w:rsid w:val="00CC3095"/>
    <w:rsid w:val="00CC33E8"/>
    <w:rsid w:val="00CC345E"/>
    <w:rsid w:val="00CC396E"/>
    <w:rsid w:val="00CC4EB9"/>
    <w:rsid w:val="00CC5C7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06C90"/>
    <w:rsid w:val="00D107F5"/>
    <w:rsid w:val="00D13DCD"/>
    <w:rsid w:val="00D143EF"/>
    <w:rsid w:val="00D14C62"/>
    <w:rsid w:val="00D16557"/>
    <w:rsid w:val="00D1691C"/>
    <w:rsid w:val="00D171CC"/>
    <w:rsid w:val="00D17888"/>
    <w:rsid w:val="00D17961"/>
    <w:rsid w:val="00D2136E"/>
    <w:rsid w:val="00D21E5C"/>
    <w:rsid w:val="00D22119"/>
    <w:rsid w:val="00D26C4C"/>
    <w:rsid w:val="00D2764B"/>
    <w:rsid w:val="00D27F29"/>
    <w:rsid w:val="00D30F76"/>
    <w:rsid w:val="00D3155B"/>
    <w:rsid w:val="00D35CF1"/>
    <w:rsid w:val="00D36D6C"/>
    <w:rsid w:val="00D4062E"/>
    <w:rsid w:val="00D40815"/>
    <w:rsid w:val="00D412CD"/>
    <w:rsid w:val="00D41357"/>
    <w:rsid w:val="00D42DEF"/>
    <w:rsid w:val="00D44AA8"/>
    <w:rsid w:val="00D452EC"/>
    <w:rsid w:val="00D474D7"/>
    <w:rsid w:val="00D47FCA"/>
    <w:rsid w:val="00D5056B"/>
    <w:rsid w:val="00D514EF"/>
    <w:rsid w:val="00D53BB8"/>
    <w:rsid w:val="00D54CB9"/>
    <w:rsid w:val="00D5564F"/>
    <w:rsid w:val="00D559A7"/>
    <w:rsid w:val="00D55C30"/>
    <w:rsid w:val="00D56A8E"/>
    <w:rsid w:val="00D600D4"/>
    <w:rsid w:val="00D60921"/>
    <w:rsid w:val="00D6407D"/>
    <w:rsid w:val="00D64256"/>
    <w:rsid w:val="00D64E92"/>
    <w:rsid w:val="00D66140"/>
    <w:rsid w:val="00D67094"/>
    <w:rsid w:val="00D710FC"/>
    <w:rsid w:val="00D71146"/>
    <w:rsid w:val="00D725EE"/>
    <w:rsid w:val="00D74FE0"/>
    <w:rsid w:val="00D752D0"/>
    <w:rsid w:val="00D774A4"/>
    <w:rsid w:val="00D824A0"/>
    <w:rsid w:val="00D8452A"/>
    <w:rsid w:val="00D85A01"/>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68A"/>
    <w:rsid w:val="00DC5A4E"/>
    <w:rsid w:val="00DC5EBD"/>
    <w:rsid w:val="00DC5FA1"/>
    <w:rsid w:val="00DC7CCF"/>
    <w:rsid w:val="00DD1725"/>
    <w:rsid w:val="00DD191F"/>
    <w:rsid w:val="00DD1B39"/>
    <w:rsid w:val="00DD2B7C"/>
    <w:rsid w:val="00DD3D8B"/>
    <w:rsid w:val="00DD49D0"/>
    <w:rsid w:val="00DD55F8"/>
    <w:rsid w:val="00DD5AFE"/>
    <w:rsid w:val="00DE04F8"/>
    <w:rsid w:val="00DE38E5"/>
    <w:rsid w:val="00DE696D"/>
    <w:rsid w:val="00DE762C"/>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396C"/>
    <w:rsid w:val="00E15286"/>
    <w:rsid w:val="00E15F76"/>
    <w:rsid w:val="00E17411"/>
    <w:rsid w:val="00E21025"/>
    <w:rsid w:val="00E260B7"/>
    <w:rsid w:val="00E26A29"/>
    <w:rsid w:val="00E3344C"/>
    <w:rsid w:val="00E339A1"/>
    <w:rsid w:val="00E34040"/>
    <w:rsid w:val="00E3635F"/>
    <w:rsid w:val="00E377CD"/>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5FB5"/>
    <w:rsid w:val="00E6673F"/>
    <w:rsid w:val="00E66A76"/>
    <w:rsid w:val="00E66DAB"/>
    <w:rsid w:val="00E67BAA"/>
    <w:rsid w:val="00E72767"/>
    <w:rsid w:val="00E74D19"/>
    <w:rsid w:val="00E75009"/>
    <w:rsid w:val="00E751AF"/>
    <w:rsid w:val="00E752BB"/>
    <w:rsid w:val="00E75C24"/>
    <w:rsid w:val="00E76890"/>
    <w:rsid w:val="00E82CB9"/>
    <w:rsid w:val="00E83411"/>
    <w:rsid w:val="00E86601"/>
    <w:rsid w:val="00E87F48"/>
    <w:rsid w:val="00E87FDC"/>
    <w:rsid w:val="00E906A2"/>
    <w:rsid w:val="00E92759"/>
    <w:rsid w:val="00E93D63"/>
    <w:rsid w:val="00E93FD7"/>
    <w:rsid w:val="00EA022C"/>
    <w:rsid w:val="00EA1BCD"/>
    <w:rsid w:val="00EA3439"/>
    <w:rsid w:val="00EA38F2"/>
    <w:rsid w:val="00EA40FB"/>
    <w:rsid w:val="00EA4E89"/>
    <w:rsid w:val="00EB2178"/>
    <w:rsid w:val="00EB4348"/>
    <w:rsid w:val="00EB6068"/>
    <w:rsid w:val="00EC067C"/>
    <w:rsid w:val="00EC0D39"/>
    <w:rsid w:val="00EC1EB9"/>
    <w:rsid w:val="00EC24E6"/>
    <w:rsid w:val="00EC4A04"/>
    <w:rsid w:val="00EC4D4A"/>
    <w:rsid w:val="00EC6781"/>
    <w:rsid w:val="00EC6C65"/>
    <w:rsid w:val="00EC7926"/>
    <w:rsid w:val="00ED14E9"/>
    <w:rsid w:val="00ED2697"/>
    <w:rsid w:val="00ED31A6"/>
    <w:rsid w:val="00ED4358"/>
    <w:rsid w:val="00ED4536"/>
    <w:rsid w:val="00ED552A"/>
    <w:rsid w:val="00ED59DB"/>
    <w:rsid w:val="00ED59EC"/>
    <w:rsid w:val="00ED67FB"/>
    <w:rsid w:val="00ED7431"/>
    <w:rsid w:val="00EE31CA"/>
    <w:rsid w:val="00EE3656"/>
    <w:rsid w:val="00EE3814"/>
    <w:rsid w:val="00EE3B00"/>
    <w:rsid w:val="00EE4ECA"/>
    <w:rsid w:val="00EE5867"/>
    <w:rsid w:val="00EE5D74"/>
    <w:rsid w:val="00EE5F58"/>
    <w:rsid w:val="00EE64E6"/>
    <w:rsid w:val="00EE6D01"/>
    <w:rsid w:val="00EF3556"/>
    <w:rsid w:val="00EF63C8"/>
    <w:rsid w:val="00F01442"/>
    <w:rsid w:val="00F01881"/>
    <w:rsid w:val="00F018BC"/>
    <w:rsid w:val="00F01E32"/>
    <w:rsid w:val="00F03074"/>
    <w:rsid w:val="00F075D1"/>
    <w:rsid w:val="00F07B43"/>
    <w:rsid w:val="00F10A56"/>
    <w:rsid w:val="00F11F70"/>
    <w:rsid w:val="00F1270E"/>
    <w:rsid w:val="00F1364A"/>
    <w:rsid w:val="00F14F20"/>
    <w:rsid w:val="00F15B4C"/>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66B6"/>
    <w:rsid w:val="00F47287"/>
    <w:rsid w:val="00F47CCF"/>
    <w:rsid w:val="00F5091F"/>
    <w:rsid w:val="00F50BDC"/>
    <w:rsid w:val="00F54266"/>
    <w:rsid w:val="00F554F1"/>
    <w:rsid w:val="00F56643"/>
    <w:rsid w:val="00F5726B"/>
    <w:rsid w:val="00F575BE"/>
    <w:rsid w:val="00F60BA3"/>
    <w:rsid w:val="00F612A3"/>
    <w:rsid w:val="00F63742"/>
    <w:rsid w:val="00F63963"/>
    <w:rsid w:val="00F648DA"/>
    <w:rsid w:val="00F652CB"/>
    <w:rsid w:val="00F655D1"/>
    <w:rsid w:val="00F657E3"/>
    <w:rsid w:val="00F65942"/>
    <w:rsid w:val="00F65A97"/>
    <w:rsid w:val="00F702EE"/>
    <w:rsid w:val="00F7136B"/>
    <w:rsid w:val="00F71515"/>
    <w:rsid w:val="00F71E27"/>
    <w:rsid w:val="00F724A4"/>
    <w:rsid w:val="00F747D2"/>
    <w:rsid w:val="00F74A85"/>
    <w:rsid w:val="00F75563"/>
    <w:rsid w:val="00F818A7"/>
    <w:rsid w:val="00F83070"/>
    <w:rsid w:val="00F83CAE"/>
    <w:rsid w:val="00F83D67"/>
    <w:rsid w:val="00F84E97"/>
    <w:rsid w:val="00F8612A"/>
    <w:rsid w:val="00F861C5"/>
    <w:rsid w:val="00F8699F"/>
    <w:rsid w:val="00F901CE"/>
    <w:rsid w:val="00F912D5"/>
    <w:rsid w:val="00F9243B"/>
    <w:rsid w:val="00F92944"/>
    <w:rsid w:val="00F94691"/>
    <w:rsid w:val="00F947B4"/>
    <w:rsid w:val="00F96E18"/>
    <w:rsid w:val="00FA0F1F"/>
    <w:rsid w:val="00FA291B"/>
    <w:rsid w:val="00FA3007"/>
    <w:rsid w:val="00FA3AF8"/>
    <w:rsid w:val="00FA4932"/>
    <w:rsid w:val="00FA55BA"/>
    <w:rsid w:val="00FA579A"/>
    <w:rsid w:val="00FA7FAD"/>
    <w:rsid w:val="00FB3789"/>
    <w:rsid w:val="00FB38F3"/>
    <w:rsid w:val="00FB74D2"/>
    <w:rsid w:val="00FB7C4A"/>
    <w:rsid w:val="00FB7CCD"/>
    <w:rsid w:val="00FC00EB"/>
    <w:rsid w:val="00FC05A2"/>
    <w:rsid w:val="00FC09A7"/>
    <w:rsid w:val="00FC1E4A"/>
    <w:rsid w:val="00FC2261"/>
    <w:rsid w:val="00FC4F8F"/>
    <w:rsid w:val="00FC5693"/>
    <w:rsid w:val="00FC65DF"/>
    <w:rsid w:val="00FC6B6F"/>
    <w:rsid w:val="00FC6D0E"/>
    <w:rsid w:val="00FD0BBE"/>
    <w:rsid w:val="00FD17FF"/>
    <w:rsid w:val="00FD397A"/>
    <w:rsid w:val="00FD4E79"/>
    <w:rsid w:val="00FD5BA5"/>
    <w:rsid w:val="00FD6485"/>
    <w:rsid w:val="00FD664B"/>
    <w:rsid w:val="00FD7112"/>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3537"/>
    <w:rsid w:val="00FF39C1"/>
    <w:rsid w:val="00FF46C0"/>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D7438-DCCF-4F7D-97C8-E8875FCB446E}">
  <ds:schemaRefs>
    <ds:schemaRef ds:uri="http://schemas.microsoft.com/sharepoint/v3/contenttype/forms"/>
  </ds:schemaRefs>
</ds:datastoreItem>
</file>

<file path=customXml/itemProps2.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customXml/itemProps3.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4.xml><?xml version="1.0" encoding="utf-8"?>
<ds:datastoreItem xmlns:ds="http://schemas.openxmlformats.org/officeDocument/2006/customXml" ds:itemID="{95F6DF05-5CCE-449A-A861-8A1A90B46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1584</Words>
  <Characters>9034</Characters>
  <Application>Microsoft Office Word</Application>
  <DocSecurity>0</DocSecurity>
  <Lines>127</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DELBAER Gerda (SG)</cp:lastModifiedBy>
  <cp:revision>3</cp:revision>
  <cp:lastPrinted>2019-01-09T14:37:00Z</cp:lastPrinted>
  <dcterms:created xsi:type="dcterms:W3CDTF">2024-12-12T13:18:00Z</dcterms:created>
  <dcterms:modified xsi:type="dcterms:W3CDTF">2024-12-12T13:19:00Z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