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22438" w14:textId="1B343F27" w:rsidR="008C42F1" w:rsidRPr="007A5F87" w:rsidRDefault="008C42F1" w:rsidP="008C42F1">
      <w:pPr>
        <w:pStyle w:val="ListParagraph"/>
        <w:spacing w:after="720"/>
        <w:jc w:val="center"/>
        <w:rPr>
          <w:rFonts w:ascii="Times New Roman" w:hAnsi="Times New Roman"/>
          <w:b/>
          <w:bCs/>
          <w:sz w:val="24"/>
          <w:szCs w:val="24"/>
        </w:rPr>
      </w:pPr>
      <w:r>
        <w:rPr>
          <w:rFonts w:ascii="Times New Roman" w:hAnsi="Times New Roman"/>
          <w:b/>
          <w:sz w:val="24"/>
        </w:rPr>
        <w:t xml:space="preserve">Suite donnée à la résolution non législative du Parlement européen sur </w:t>
      </w:r>
      <w:r>
        <w:rPr>
          <w:rFonts w:ascii="Times New Roman" w:hAnsi="Times New Roman"/>
          <w:b/>
          <w:sz w:val="24"/>
        </w:rPr>
        <w:br/>
        <w:t>l’action de l’UE contre la flotte fantôme russe et pour la pleine application des sanctions contre la Russie</w:t>
      </w:r>
    </w:p>
    <w:p w14:paraId="1F5DAD32" w14:textId="68C531B0" w:rsidR="004A6C66" w:rsidRPr="00B4190F" w:rsidRDefault="004A6C66" w:rsidP="00A824B4">
      <w:pPr>
        <w:numPr>
          <w:ilvl w:val="0"/>
          <w:numId w:val="31"/>
        </w:numPr>
        <w:ind w:left="567" w:hanging="567"/>
        <w:rPr>
          <w:rFonts w:ascii="Times New Roman" w:hAnsi="Times New Roman"/>
          <w:b/>
          <w:szCs w:val="24"/>
        </w:rPr>
      </w:pPr>
      <w:r>
        <w:rPr>
          <w:rFonts w:ascii="Times New Roman" w:hAnsi="Times New Roman"/>
          <w:b/>
        </w:rPr>
        <w:t>Résolution présentée conformément à l’article 136, paragraphe 2, du règlement intérieur du Parlement européen</w:t>
      </w:r>
    </w:p>
    <w:p w14:paraId="67CA0FCF" w14:textId="157622B7" w:rsidR="004A6C66" w:rsidRPr="00B4190F" w:rsidRDefault="00535D4D" w:rsidP="00A824B4">
      <w:pPr>
        <w:numPr>
          <w:ilvl w:val="0"/>
          <w:numId w:val="31"/>
        </w:numPr>
        <w:ind w:left="567" w:hanging="567"/>
        <w:rPr>
          <w:rFonts w:ascii="Times New Roman" w:hAnsi="Times New Roman"/>
          <w:i/>
          <w:szCs w:val="24"/>
        </w:rPr>
      </w:pPr>
      <w:r>
        <w:rPr>
          <w:rFonts w:ascii="Times New Roman" w:hAnsi="Times New Roman"/>
          <w:b/>
        </w:rPr>
        <w:t xml:space="preserve">Numéros de référence: </w:t>
      </w:r>
      <w:r>
        <w:rPr>
          <w:rFonts w:ascii="Times New Roman" w:hAnsi="Times New Roman"/>
        </w:rPr>
        <w:t>2024/2885(RSP) / RC10-0161/2024 / P10_TA(2024)0036</w:t>
      </w:r>
    </w:p>
    <w:p w14:paraId="4DCD5E53" w14:textId="4731DFC7" w:rsidR="005A00C3" w:rsidRPr="00B4190F" w:rsidRDefault="004A6C66" w:rsidP="00A824B4">
      <w:pPr>
        <w:numPr>
          <w:ilvl w:val="0"/>
          <w:numId w:val="31"/>
        </w:numPr>
        <w:ind w:left="567" w:hanging="567"/>
        <w:rPr>
          <w:rFonts w:ascii="Times New Roman" w:hAnsi="Times New Roman"/>
          <w:szCs w:val="24"/>
        </w:rPr>
      </w:pPr>
      <w:r>
        <w:rPr>
          <w:rFonts w:ascii="Times New Roman" w:hAnsi="Times New Roman"/>
          <w:b/>
        </w:rPr>
        <w:t xml:space="preserve">Date d’adoption de la résolution: </w:t>
      </w:r>
      <w:r>
        <w:rPr>
          <w:rFonts w:ascii="Times New Roman" w:hAnsi="Times New Roman"/>
        </w:rPr>
        <w:t>14 novembre 2024</w:t>
      </w:r>
    </w:p>
    <w:p w14:paraId="5AA88618" w14:textId="710CFC10" w:rsidR="00EC0A27" w:rsidRPr="00B4190F" w:rsidRDefault="00EC0A27" w:rsidP="00A824B4">
      <w:pPr>
        <w:numPr>
          <w:ilvl w:val="0"/>
          <w:numId w:val="31"/>
        </w:numPr>
        <w:ind w:left="567" w:hanging="567"/>
        <w:rPr>
          <w:rFonts w:ascii="Times New Roman" w:hAnsi="Times New Roman"/>
          <w:i/>
          <w:szCs w:val="24"/>
        </w:rPr>
      </w:pPr>
      <w:r>
        <w:rPr>
          <w:rFonts w:ascii="Times New Roman" w:hAnsi="Times New Roman"/>
          <w:b/>
        </w:rPr>
        <w:t>Commission parlementaire compétente:</w:t>
      </w:r>
      <w:r>
        <w:rPr>
          <w:rFonts w:ascii="Times New Roman" w:hAnsi="Times New Roman"/>
        </w:rPr>
        <w:t xml:space="preserve"> commission des affaires étrangères (AFET)</w:t>
      </w:r>
    </w:p>
    <w:p w14:paraId="0E2D2ECC" w14:textId="64D43010" w:rsidR="004A6C66" w:rsidRPr="00B4190F" w:rsidRDefault="004A6C66" w:rsidP="777563C3">
      <w:pPr>
        <w:widowControl w:val="0"/>
        <w:numPr>
          <w:ilvl w:val="0"/>
          <w:numId w:val="31"/>
        </w:numPr>
        <w:ind w:left="567" w:hanging="567"/>
        <w:rPr>
          <w:rFonts w:ascii="Times New Roman" w:hAnsi="Times New Roman"/>
          <w:szCs w:val="24"/>
        </w:rPr>
      </w:pPr>
      <w:r>
        <w:rPr>
          <w:rFonts w:ascii="Times New Roman" w:hAnsi="Times New Roman"/>
          <w:b/>
        </w:rPr>
        <w:t>Analyse/évaluation succincte de la résolution et des demandes qu’elle contient:</w:t>
      </w:r>
      <w:r>
        <w:rPr>
          <w:rFonts w:ascii="Times New Roman" w:hAnsi="Times New Roman"/>
        </w:rPr>
        <w:t xml:space="preserve"> </w:t>
      </w:r>
    </w:p>
    <w:p w14:paraId="6F21629E" w14:textId="11F7A300" w:rsidR="00710545" w:rsidRPr="00B4190F" w:rsidRDefault="2DB18D1C" w:rsidP="29BD8376">
      <w:pPr>
        <w:widowControl w:val="0"/>
        <w:rPr>
          <w:rFonts w:ascii="Times New Roman" w:hAnsi="Times New Roman"/>
          <w:i/>
          <w:iCs/>
          <w:szCs w:val="24"/>
        </w:rPr>
      </w:pPr>
      <w:r>
        <w:rPr>
          <w:rFonts w:ascii="Times New Roman" w:hAnsi="Times New Roman"/>
          <w:i/>
        </w:rPr>
        <w:t xml:space="preserve">Dans sa résolution, le Parlement européen rappelle son soutien au régime de sanctions de l’Union en réponse à la guerre d’agression menée par la Russie contre l’Ukraine et exprime ses vives inquiétudes quant à la capacité de la Russie à percevoir les recettes provenant de ses exportations d’énergie pour financer la guerre. Il reconnaît que l’UE a adopté des sanctions sans précédent à l’égard de la Russie afin de limiter ses recettes, telles que l’interdiction d’acheter, d’importer et de transférer du pétrole brut et certains produits pétroliers russes, le plafonnement des prix du pétrole avec les partenaires du G7+ et l’interdiction d’accès aux ports aux services visant certains navires. Le Parlement se concentre principalement sur le contournement des sanctions par la Russie, notamment sa dépendance croissante à l’égard d’une «flotte fantôme» composée principalement de vieux pétroliers impropres au service qui facilitent le contournement des sanctions et posent de sérieux risques en matière d’environnement ainsi que de sûreté et de sécurité maritimes. </w:t>
      </w:r>
    </w:p>
    <w:p w14:paraId="4DCCB11E" w14:textId="7F0B3F74" w:rsidR="00634D43" w:rsidRPr="00B4190F" w:rsidRDefault="32FBBA87" w:rsidP="29BD8376">
      <w:pPr>
        <w:widowControl w:val="0"/>
        <w:rPr>
          <w:rFonts w:ascii="Times New Roman" w:hAnsi="Times New Roman"/>
          <w:i/>
          <w:iCs/>
          <w:szCs w:val="24"/>
        </w:rPr>
      </w:pPr>
      <w:r>
        <w:rPr>
          <w:rFonts w:ascii="Times New Roman" w:hAnsi="Times New Roman"/>
          <w:i/>
        </w:rPr>
        <w:t xml:space="preserve">Par l’intermédiaire de sa résolution, le Parlement attire l’attention sur les navires de la «flotte fantôme», qui naviguent souvent sans l’assurance requise dans le secteur, changent de nom et de pavillon d’immatriculation, trafiquent leurs systèmes de localisation, effectuent des transbordements dangereux de navire à navire de pétrole brut et de produits pétroliers russes dans les eaux territoriales de l’Union, et sont soupçonnés de participer à des opérations hybrides. Il souligne également les risques pour les ressources économiques des États membres, car un déversement d’hydrocarbures par des navires de la «flotte fantôme» pourrait entraîner des coûts de nettoyage importants pour les pays côtiers et leurs contribuables. </w:t>
      </w:r>
    </w:p>
    <w:p w14:paraId="1C19A0C9" w14:textId="45E9903C" w:rsidR="00C80BA7" w:rsidRDefault="63EF8CB9" w:rsidP="29BD8376">
      <w:pPr>
        <w:widowControl w:val="0"/>
        <w:rPr>
          <w:rFonts w:ascii="Times New Roman" w:hAnsi="Times New Roman"/>
          <w:i/>
        </w:rPr>
      </w:pPr>
      <w:r>
        <w:rPr>
          <w:rFonts w:ascii="Times New Roman" w:hAnsi="Times New Roman"/>
          <w:i/>
        </w:rPr>
        <w:t xml:space="preserve">Dans sa résolution, le Parlement appelle à davantage d’actions contre la «flotte fantôme», notamment en établissant une liste exhaustive des navires appartenant à la «flotte fantôme», désignant les navires ainsi que leurs propriétaires, exploitants et gestionnaires, comptes, banques et compagnies d’assurance. Il demande d’interdire le transport de pétrole russe par des navires occidentaux et de sanctionner systématiquement les navires qui naviguent dans les eaux de l’UE sans l’assurance requise. Pour limiter cette activité, le Parlement européen propose d’interdire le transbordement de navire à navire de pétrole russe dans les eaux de l’UE, de restreindre les ventes de navires à des pays qui facilitent les échanges commerciaux avec la Russie et de saisir les cargaisons illégales. </w:t>
      </w:r>
    </w:p>
    <w:p w14:paraId="0A50CDA6" w14:textId="77777777" w:rsidR="000478F6" w:rsidRPr="00B4190F" w:rsidRDefault="000478F6" w:rsidP="29BD8376">
      <w:pPr>
        <w:widowControl w:val="0"/>
        <w:rPr>
          <w:rFonts w:ascii="Times New Roman" w:hAnsi="Times New Roman"/>
          <w:i/>
          <w:iCs/>
          <w:szCs w:val="24"/>
        </w:rPr>
      </w:pPr>
    </w:p>
    <w:p w14:paraId="725659F8" w14:textId="392906C6" w:rsidR="001D7D16" w:rsidRPr="00B4190F" w:rsidRDefault="78DFEFCD" w:rsidP="29BD8376">
      <w:pPr>
        <w:widowControl w:val="0"/>
        <w:rPr>
          <w:rFonts w:ascii="Times New Roman" w:hAnsi="Times New Roman"/>
          <w:i/>
          <w:iCs/>
          <w:szCs w:val="24"/>
        </w:rPr>
      </w:pPr>
      <w:r>
        <w:rPr>
          <w:rFonts w:ascii="Times New Roman" w:hAnsi="Times New Roman"/>
          <w:i/>
        </w:rPr>
        <w:lastRenderedPageBreak/>
        <w:t>Pour garantir une application plus stricte des règles de sécurité maritime, il appelle à un renforcement de la surveillance et de l’inspection des navires. Le Parlement souligne que l’UE et ses États membres devraient utiliser les outils dont ils disposent déjà pour lutter contre les risques posés par ces navires, afin d’empêcher les navires non assurés de naviguer dans les eaux de l’UE et d’accoster dans les ports de celle-ci, par exemple en obligeant les navires à signaler tous les transbordements de navire à navire aux États du pavillon, en vérifiant la couverture d’assurance et le respect des normes de l’Organisation maritime internationale, et en inspectant les navires. Il demande également à l’Agence européenne pour la sécurité maritime de renforcer le soutien apporté aux États membres pour la surveillance des navires suspects. Dans sa résolution, il souligne la nécessité pour les États membres de renforcer leurs capacités administratives et de surveillance afin de garantir une application efficace des sanctions.</w:t>
      </w:r>
    </w:p>
    <w:p w14:paraId="07B6B53F" w14:textId="3DB4B900" w:rsidR="004A40FD" w:rsidRPr="00B4190F" w:rsidRDefault="52486200" w:rsidP="29BD8376">
      <w:pPr>
        <w:widowControl w:val="0"/>
        <w:rPr>
          <w:rFonts w:ascii="Times New Roman" w:hAnsi="Times New Roman"/>
          <w:i/>
          <w:iCs/>
          <w:szCs w:val="24"/>
        </w:rPr>
      </w:pPr>
      <w:r>
        <w:rPr>
          <w:rFonts w:ascii="Times New Roman" w:hAnsi="Times New Roman"/>
          <w:i/>
        </w:rPr>
        <w:t xml:space="preserve">Pour réduire les recettes russes, le Parlement demande à l’UE de renforcer les sanctions sur les biens énergétiques russes, notamment en interdisant totalement les importations de combustibles fossiles russes dans l’UE et les produits pétroliers raffinés russes réexportés, ainsi qu’en imposant des restrictions concernant les navires-citernes transportant du pétrole et du gaz naturel liquéfié (GNL) russes. Le Parlement appelle les pays du G7 à appliquer plus efficacement et à abaisser considérablement le plafond des prix du pétrole russe importé par voie maritime . </w:t>
      </w:r>
    </w:p>
    <w:p w14:paraId="6B3F8B70" w14:textId="23135CCE" w:rsidR="00AF3559" w:rsidRPr="00B4190F" w:rsidRDefault="07A45707" w:rsidP="29BD8376">
      <w:pPr>
        <w:widowControl w:val="0"/>
        <w:rPr>
          <w:rFonts w:ascii="Times New Roman" w:hAnsi="Times New Roman"/>
          <w:i/>
          <w:iCs/>
          <w:szCs w:val="24"/>
        </w:rPr>
      </w:pPr>
      <w:r>
        <w:rPr>
          <w:rFonts w:ascii="Times New Roman" w:hAnsi="Times New Roman"/>
          <w:i/>
        </w:rPr>
        <w:t xml:space="preserve">Dans sa résolution, le Parlement appelle à une coordination internationale plus large avec les pays partenaires et reconnaît l’importance de la sensibilisation des États du pavillon. Il invite le Service européen pour l’action extérieure (SEAE) et l’envoyé spécial pour la mise en œuvre des sanctions de l’UE à établir des contacts avec les gouvernements des pays dont les registres du pavillon ou les sociétés de gestion de navires fournissent des services à la «flotte fantôme». Il demande également à l’UE de réévaluer sa coopération bilatérale avec les pays qui continuent d’aider la Russie à contourner ses sanctions. </w:t>
      </w:r>
    </w:p>
    <w:p w14:paraId="6EC628FA" w14:textId="5F1FE8A0" w:rsidR="00AF3559" w:rsidRPr="00B4190F" w:rsidRDefault="6DDB72F2" w:rsidP="29BD8376">
      <w:pPr>
        <w:widowControl w:val="0"/>
        <w:rPr>
          <w:rFonts w:ascii="Times New Roman" w:hAnsi="Times New Roman"/>
          <w:i/>
          <w:iCs/>
          <w:szCs w:val="24"/>
        </w:rPr>
      </w:pPr>
      <w:r>
        <w:rPr>
          <w:rFonts w:ascii="Times New Roman" w:hAnsi="Times New Roman"/>
          <w:i/>
        </w:rPr>
        <w:t>De manière plus générale, dans sa résolution, le Parlement demande à l’UE et à ses États membres de renforcer et de centraliser, au niveau de l’Union, le contrôle de la mise en œuvre des sanctions et du contournement de celles-ci, et d’intensifier les efforts visant à réduire l</w:t>
      </w:r>
      <w:r w:rsidR="000478F6">
        <w:rPr>
          <w:rFonts w:ascii="Times New Roman" w:hAnsi="Times New Roman"/>
          <w:i/>
        </w:rPr>
        <w:t>’</w:t>
      </w:r>
      <w:r>
        <w:rPr>
          <w:rFonts w:ascii="Times New Roman" w:hAnsi="Times New Roman"/>
          <w:i/>
        </w:rPr>
        <w:t xml:space="preserve">évitement et le contournement des sanctions par la Russie et il appelle à soutenir les travaux de l’envoyé spécial pour la mise en œuvre des sanctions de l’UE afin d’empêcher la réexportation systématique vers la Russie de biens de l’Union faisant l’objet de sanctions. Il réitère son appel au Conseil pour qu’il étende les compétences du Parquet européen afin de lutter contre les violations des sanctions de l’UE. </w:t>
      </w:r>
    </w:p>
    <w:p w14:paraId="66AB645C" w14:textId="2944F063" w:rsidR="006673F3" w:rsidRPr="00B4190F" w:rsidRDefault="004A6C66" w:rsidP="29BD8376">
      <w:pPr>
        <w:widowControl w:val="0"/>
        <w:rPr>
          <w:rFonts w:ascii="Times New Roman" w:hAnsi="Times New Roman"/>
          <w:i/>
          <w:iCs/>
          <w:szCs w:val="24"/>
        </w:rPr>
      </w:pPr>
      <w:r>
        <w:br w:type="page"/>
      </w:r>
      <w:r>
        <w:rPr>
          <w:rFonts w:ascii="Times New Roman" w:hAnsi="Times New Roman"/>
          <w:b/>
        </w:rPr>
        <w:lastRenderedPageBreak/>
        <w:t>Réponse à ces demandes et aperçu des mesures que la Commission a prises ou envisage de prendre:</w:t>
      </w:r>
      <w:r>
        <w:rPr>
          <w:rFonts w:ascii="Times New Roman" w:hAnsi="Times New Roman"/>
        </w:rPr>
        <w:t xml:space="preserve"> </w:t>
      </w:r>
    </w:p>
    <w:p w14:paraId="75A8FBD9" w14:textId="3E67886B" w:rsidR="60B682D7" w:rsidRPr="00B4190F" w:rsidRDefault="00DF4246" w:rsidP="58FAD878">
      <w:pPr>
        <w:widowControl w:val="0"/>
        <w:spacing w:line="276" w:lineRule="auto"/>
        <w:rPr>
          <w:rFonts w:ascii="Times New Roman" w:hAnsi="Times New Roman"/>
        </w:rPr>
      </w:pPr>
      <w:r>
        <w:rPr>
          <w:rFonts w:ascii="Times New Roman" w:hAnsi="Times New Roman"/>
        </w:rPr>
        <w:t>En coopération très étroite avec les partenaires du G7, l’UE a adopté à ce jour 16 trains de sanctions en réaction à l’agression militaire non provoquée et injustifiée de la Russie contre l’Ukraine. Ces mesures restrictives individuelles et sectorielles sans précédent, complexes et de grande envergure marquent un tournant dans les sanctions de l’UE du fait de la mobilisation dont elles font l’objet et des ressources qui leur sont consacrées, ainsi que de leur rayon d’action et de leur coordination à l’échelle internationale.</w:t>
      </w:r>
    </w:p>
    <w:p w14:paraId="45079BC4" w14:textId="6F09A7B0" w:rsidR="00FF6C20" w:rsidRPr="00B4190F" w:rsidRDefault="1CE315D0" w:rsidP="29BD8376">
      <w:pPr>
        <w:widowControl w:val="0"/>
        <w:spacing w:before="120" w:after="120" w:line="276" w:lineRule="auto"/>
        <w:rPr>
          <w:rFonts w:ascii="Times New Roman" w:hAnsi="Times New Roman"/>
          <w:szCs w:val="24"/>
        </w:rPr>
      </w:pPr>
      <w:r>
        <w:rPr>
          <w:rFonts w:ascii="Times New Roman" w:hAnsi="Times New Roman"/>
        </w:rPr>
        <w:t xml:space="preserve">Il est essentiel d’appliquer correctement les sanctions. Au cours des deux dernières années, la Commission a organisé six réunions à haut niveau avec les États membres, ainsi que quatre réunions avec les coordinateurs des sanctions des pays tiers partageant les mêmes valeurs, en mettant l’accent sur la lutte contre les pratiques de contournement. La lutte contre les tentatives de contournement, y compris celles qui passent par des pays tiers, fait partie des principales priorités de la Commission. La Commission y consacre des efforts considérables, qu’il s’agisse de modifications législatives visant ceux qui facilitent le contournement des sanctions, de l’érection de la violation et du contournement des sanctions en infractions pénales, de la surveillance étroite des flux commerciaux suspects ou de l’organisation d’actions de sensibilisation spécifiques. </w:t>
      </w:r>
    </w:p>
    <w:p w14:paraId="72326D14" w14:textId="78DCFE48" w:rsidR="00FF6C20" w:rsidRPr="00B4190F" w:rsidRDefault="1308BC5C" w:rsidP="29BD8376">
      <w:pPr>
        <w:widowControl w:val="0"/>
        <w:spacing w:before="120" w:after="120" w:line="276" w:lineRule="auto"/>
        <w:rPr>
          <w:rFonts w:ascii="Times New Roman" w:hAnsi="Times New Roman"/>
          <w:szCs w:val="24"/>
        </w:rPr>
      </w:pPr>
      <w:r>
        <w:rPr>
          <w:rFonts w:ascii="Times New Roman" w:hAnsi="Times New Roman"/>
          <w:b/>
        </w:rPr>
        <w:t>En ce qui concerne les trains de sanctions</w:t>
      </w:r>
      <w:r>
        <w:rPr>
          <w:rFonts w:ascii="Times New Roman" w:hAnsi="Times New Roman"/>
        </w:rPr>
        <w:t>, avec les 12</w:t>
      </w:r>
      <w:r>
        <w:rPr>
          <w:rFonts w:ascii="Times New Roman" w:hAnsi="Times New Roman"/>
          <w:vertAlign w:val="superscript"/>
        </w:rPr>
        <w:t>e</w:t>
      </w:r>
      <w:r>
        <w:rPr>
          <w:rFonts w:ascii="Times New Roman" w:hAnsi="Times New Roman"/>
        </w:rPr>
        <w:t xml:space="preserve"> et 14</w:t>
      </w:r>
      <w:r>
        <w:rPr>
          <w:rFonts w:ascii="Times New Roman" w:hAnsi="Times New Roman"/>
          <w:vertAlign w:val="superscript"/>
        </w:rPr>
        <w:t>e</w:t>
      </w:r>
      <w:r>
        <w:rPr>
          <w:rFonts w:ascii="Times New Roman" w:hAnsi="Times New Roman"/>
        </w:rPr>
        <w:t xml:space="preserve"> trains de mesures, l’UE a renforcé ses exigences relatives au devoir de vigilance pour les opérateurs de l’UE, en introduisant une clause de «non-réexportation vers la Russie» et en exigeant des opérateurs qu’ils identifient et évaluent les risques de réexportation vers ce pays et qu’ils mettent tout en œuvre pour que les sanctions ne soient pas compromises par des entreprises non européennes qu’ils possèdent ou contrôlent. </w:t>
      </w:r>
    </w:p>
    <w:p w14:paraId="5A18BC96" w14:textId="7D78EB10" w:rsidR="00FF6C20" w:rsidRPr="00B4190F" w:rsidRDefault="6EA835B3" w:rsidP="009F4B06">
      <w:pPr>
        <w:widowControl w:val="0"/>
        <w:spacing w:before="120" w:after="120" w:line="276" w:lineRule="auto"/>
        <w:rPr>
          <w:rFonts w:ascii="Times New Roman" w:hAnsi="Times New Roman"/>
          <w:szCs w:val="24"/>
        </w:rPr>
      </w:pPr>
      <w:r>
        <w:rPr>
          <w:rFonts w:ascii="Times New Roman" w:hAnsi="Times New Roman"/>
        </w:rPr>
        <w:t xml:space="preserve">Avec la mise en œuvre du </w:t>
      </w:r>
      <w:hyperlink r:id="rId11" w:tgtFrame="_blank" w:history="1">
        <w:r>
          <w:rPr>
            <w:rFonts w:ascii="Times New Roman" w:hAnsi="Times New Roman"/>
          </w:rPr>
          <w:t>plan REPowerEU</w:t>
        </w:r>
      </w:hyperlink>
      <w:r>
        <w:rPr>
          <w:rFonts w:ascii="Times New Roman" w:hAnsi="Times New Roman"/>
        </w:rPr>
        <w:t>, l’UE a considérablement réduit sa dépendance à l’égard des importations de gaz russe. Pour ce qui est du pétrole russe, l’UE a interdit son importation, avec des exceptions limitées qui s’appliquent à un petit nombre d’États membres qui dépendent encore du pétrole brut russe en raison de leur situation géographique. </w:t>
      </w:r>
    </w:p>
    <w:p w14:paraId="63E7168B" w14:textId="24E95521" w:rsidR="00FF6C20" w:rsidRPr="00B4190F" w:rsidRDefault="50F5310F" w:rsidP="58FAD878">
      <w:pPr>
        <w:widowControl w:val="0"/>
        <w:spacing w:before="120" w:after="120" w:line="276" w:lineRule="auto"/>
        <w:rPr>
          <w:rFonts w:ascii="Times New Roman" w:hAnsi="Times New Roman"/>
        </w:rPr>
      </w:pPr>
      <w:r>
        <w:rPr>
          <w:rFonts w:ascii="Times New Roman" w:hAnsi="Times New Roman"/>
        </w:rPr>
        <w:t>Le 14</w:t>
      </w:r>
      <w:r>
        <w:rPr>
          <w:rFonts w:ascii="Times New Roman" w:hAnsi="Times New Roman"/>
          <w:vertAlign w:val="superscript"/>
        </w:rPr>
        <w:t>e</w:t>
      </w:r>
      <w:r>
        <w:rPr>
          <w:rFonts w:ascii="Times New Roman" w:hAnsi="Times New Roman"/>
        </w:rPr>
        <w:t xml:space="preserve"> train de sanctions a également introduit des restrictions concernant le gaz naturel liquéfié (GNL). Il est désormais interdit d’acheminer du GNL russe par bateau vers les ports de l’UE, ce qui permet d’empêcher la Russie d’utiliser les infrastructures de l’UE pour transporter son GNL vers le reste du monde. Il est également interdit d’exporter des biens, des technologies et des services destinés à des projets liés au GNL en cours de construction en Russie, tels que Arctic LNG 2. Une interdiction d’importer du GNL russe a également été instaurée pour les terminaux de GNL non connectés au système gazier de l’UE. En outre, l’UE a déjà sanctionné deux navires transportant du GNL parce qu’ils ont contribué à générer des recettes énergétiques pour la Russie. D’autres navires du même type pourraient être inscrits sur la liste, sous réserve de l’approbation unanime du Conseil. De nouvelles restrictions concernant le secteur nucléaire, en particulier Rosatom, requièrent l’unanimité au sein du Conseil.</w:t>
      </w:r>
    </w:p>
    <w:p w14:paraId="14B083DA" w14:textId="392E1293" w:rsidR="00FF6C20" w:rsidRPr="00B4190F" w:rsidRDefault="168F01E7" w:rsidP="58FAD878">
      <w:pPr>
        <w:widowControl w:val="0"/>
        <w:spacing w:before="120" w:after="120" w:line="276" w:lineRule="auto"/>
        <w:rPr>
          <w:rFonts w:ascii="Times New Roman" w:hAnsi="Times New Roman"/>
        </w:rPr>
      </w:pPr>
      <w:r>
        <w:rPr>
          <w:rFonts w:ascii="Times New Roman" w:hAnsi="Times New Roman"/>
        </w:rPr>
        <w:t>Dans les trains de sanctions récents, l’UE a également fait usage de ses pouvoirs de sanction pour contenir la «flotte fantôme». Dans son 12</w:t>
      </w:r>
      <w:r>
        <w:rPr>
          <w:rFonts w:ascii="Times New Roman" w:hAnsi="Times New Roman"/>
          <w:vertAlign w:val="superscript"/>
        </w:rPr>
        <w:t>e</w:t>
      </w:r>
      <w:r>
        <w:rPr>
          <w:rFonts w:ascii="Times New Roman" w:hAnsi="Times New Roman"/>
        </w:rPr>
        <w:t xml:space="preserve"> train de sanctions, l’UE a </w:t>
      </w:r>
      <w:r>
        <w:rPr>
          <w:rFonts w:ascii="Times New Roman" w:hAnsi="Times New Roman"/>
        </w:rPr>
        <w:lastRenderedPageBreak/>
        <w:t xml:space="preserve">introduit une règle de notification en cas de vente d’un navire-citerne à un pays tiers afin de rendre le commerce des navires-citernes d’occasion plus transparent. Cela permet à la Commission de surveiller de près les navires-citernes vendus à des pays tiers et susceptibles de rejoindre la «flotte fantôme». Lorsque des navires-citernes sont vendus à une personne ou une entité russe, ou pour être utilisés en Russie, la vente doit être autorisée par les autorités compétentes d’un État membre. La Commission est prête à étudier d’autres mesures relatives aux ventes de navires-citernes. </w:t>
      </w:r>
    </w:p>
    <w:p w14:paraId="2BDAE247" w14:textId="6AEB6F5C" w:rsidR="00FF6C20" w:rsidRPr="00B4190F" w:rsidRDefault="3C2D6E32" w:rsidP="58FAD878">
      <w:pPr>
        <w:widowControl w:val="0"/>
        <w:spacing w:before="120" w:after="120" w:line="276" w:lineRule="auto"/>
        <w:rPr>
          <w:rFonts w:ascii="Times New Roman" w:hAnsi="Times New Roman"/>
        </w:rPr>
      </w:pPr>
      <w:r>
        <w:rPr>
          <w:rFonts w:ascii="Times New Roman" w:hAnsi="Times New Roman"/>
        </w:rPr>
        <w:t>Dans son 14</w:t>
      </w:r>
      <w:r>
        <w:rPr>
          <w:rFonts w:ascii="Times New Roman" w:hAnsi="Times New Roman"/>
          <w:vertAlign w:val="superscript"/>
        </w:rPr>
        <w:t>e</w:t>
      </w:r>
      <w:r>
        <w:rPr>
          <w:rFonts w:ascii="Times New Roman" w:hAnsi="Times New Roman"/>
        </w:rPr>
        <w:t xml:space="preserve"> train de sanctions, adopté en juin 2024, l’UE a pris une mesure visant certains navires qui contribuaient la guerre menée par la Russie contre l’Ukraine; ceux-ci font l’objet d’une interdiction d’accès aux ports et aux services. Ces navires peuvent être ciblés par les sanctions pour diverses raisons telles que le transport d’équipements militaires au profit de la Russie, le transport de céréales ukrainiennes volées et le soutien au développement du secteur énergétique russe, par exemple par le transport de composants GNL ou le transbordement de GNL. Cette mesure vise aussi les navires-citernes faisant partie de la «flotte fantôme» qui contournent les plafonds imposés par l’UE et par la coalition pour le plafonnement des prix, tout en adoptant des pratiques de transport maritime trompeuses au mépris total des normes internationales. Lors de la première série de désignations, dans le cadre du 14</w:t>
      </w:r>
      <w:r>
        <w:rPr>
          <w:rFonts w:ascii="Times New Roman" w:hAnsi="Times New Roman"/>
          <w:vertAlign w:val="superscript"/>
        </w:rPr>
        <w:t>e</w:t>
      </w:r>
      <w:r>
        <w:rPr>
          <w:rFonts w:ascii="Times New Roman" w:hAnsi="Times New Roman"/>
        </w:rPr>
        <w:t xml:space="preserve"> train de sanctions, l’UE a ciblé 27 navires, dont 17 étaient utilisés pour transporter du pétrole russe. Lors de la deuxième série de désignations, dans le cadre du 15</w:t>
      </w:r>
      <w:r>
        <w:rPr>
          <w:rFonts w:ascii="Times New Roman" w:hAnsi="Times New Roman"/>
          <w:vertAlign w:val="superscript"/>
        </w:rPr>
        <w:t>e</w:t>
      </w:r>
      <w:r>
        <w:rPr>
          <w:rFonts w:ascii="Times New Roman" w:hAnsi="Times New Roman"/>
        </w:rPr>
        <w:t xml:space="preserve"> train de sanctions (décembre 2024), l’UE a ciblé 52 navires, dont 42 étaient utilisés pour transporter du pétrole brut et des produits pétroliers russes. Lors de la troisième série de désignations, dans le cadre du 16</w:t>
      </w:r>
      <w:r>
        <w:rPr>
          <w:rFonts w:ascii="Times New Roman" w:hAnsi="Times New Roman"/>
          <w:vertAlign w:val="superscript"/>
        </w:rPr>
        <w:t>e</w:t>
      </w:r>
      <w:r>
        <w:rPr>
          <w:rFonts w:ascii="Times New Roman" w:hAnsi="Times New Roman"/>
        </w:rPr>
        <w:t xml:space="preserve"> train de sanctions (février 2025), l’UE a ciblé 74 navires, dont 72 transportaient soit du pétrole, soit des produits pétroliers, ce qui porte le nombre total de navires désignés à 153. À ce jour, cette mesure a une incidence considérable sur l’activité de la flotte fantôme. Ces navires ont souvent changé de nom, de pavillon et de propriétaire pour brouiller les pistes. Malgré ces tentatives, ces navires sont identifiés et peinent à transporter du pétrole, ce qui augmente également les coûts d’exploitation d’une telle flotte pour la Russie.</w:t>
      </w:r>
    </w:p>
    <w:p w14:paraId="23FE9F76" w14:textId="67277807" w:rsidR="00FF6C20" w:rsidRPr="00B4190F" w:rsidRDefault="1308BC5C" w:rsidP="29BD8376">
      <w:pPr>
        <w:widowControl w:val="0"/>
        <w:spacing w:line="276" w:lineRule="auto"/>
        <w:rPr>
          <w:rFonts w:ascii="Times New Roman" w:hAnsi="Times New Roman"/>
          <w:szCs w:val="24"/>
        </w:rPr>
      </w:pPr>
      <w:r>
        <w:rPr>
          <w:rFonts w:ascii="Times New Roman" w:hAnsi="Times New Roman"/>
        </w:rPr>
        <w:t>La liste des navires désignés sera mise à jour aussi régulièrement que nécessaire pour tenir compte de l’évolution constante de la composition de la «flotte fantôme». Par ailleurs, il convient de noter qu’un ciblage exige une préparation minutieuse pour garantir une base juridique solide. La Commission travaille activement avec les États membres, les partenaires internationaux et le secteur privé pour identifier des navires supplémentaires. Pour ce faire, la Commission s’appuie également sur le soutien de l’Agence européenne pour la sécurité maritime (AESM).</w:t>
      </w:r>
    </w:p>
    <w:p w14:paraId="04AE424E" w14:textId="7AEE7792" w:rsidR="00FF6C20" w:rsidRPr="00B4190F" w:rsidRDefault="1308BC5C" w:rsidP="58FAD878">
      <w:pPr>
        <w:widowControl w:val="0"/>
        <w:spacing w:line="276" w:lineRule="auto"/>
        <w:rPr>
          <w:rFonts w:ascii="Times New Roman" w:hAnsi="Times New Roman"/>
        </w:rPr>
      </w:pPr>
      <w:r>
        <w:rPr>
          <w:rFonts w:ascii="Times New Roman" w:hAnsi="Times New Roman"/>
        </w:rPr>
        <w:t>Outre le ciblage des navires, l’UE a dressé une liste des entités qui soutiennent les exportations d’énergie russe, lesquelles font l’objet d’un gel des avoirs. Il est également interdit de leur fournir des ressources économiques. Parmi elles, Sovcomflot, la plus grande compagnie maritime russe, spécialisée dans le transport de gaz liquéfié, de pétrole brut et de produits pétroliers, ainsi que d’autres entreprises de premier plan dans le secteur de l’énergie. Les 15</w:t>
      </w:r>
      <w:r>
        <w:rPr>
          <w:rFonts w:ascii="Times New Roman" w:hAnsi="Times New Roman"/>
          <w:vertAlign w:val="superscript"/>
        </w:rPr>
        <w:t>e</w:t>
      </w:r>
      <w:r>
        <w:rPr>
          <w:rFonts w:ascii="Times New Roman" w:hAnsi="Times New Roman"/>
        </w:rPr>
        <w:t xml:space="preserve"> et 16</w:t>
      </w:r>
      <w:r>
        <w:rPr>
          <w:rFonts w:ascii="Times New Roman" w:hAnsi="Times New Roman"/>
          <w:vertAlign w:val="superscript"/>
        </w:rPr>
        <w:t>e</w:t>
      </w:r>
      <w:r>
        <w:rPr>
          <w:rFonts w:ascii="Times New Roman" w:hAnsi="Times New Roman"/>
        </w:rPr>
        <w:t xml:space="preserve"> trains de sanctions de l’UE contiennent des listes de compagnies maritimes et de gestionnaires de compagnies maritimes qui facilitent le transport du pétrole russe. Par ailleurs, tout navire détenu ou exploité par ces personnes ou entités est également soumis à des restrictions, comme celles qui concernent l’accès </w:t>
      </w:r>
      <w:r>
        <w:rPr>
          <w:rFonts w:ascii="Times New Roman" w:hAnsi="Times New Roman"/>
        </w:rPr>
        <w:lastRenderedPageBreak/>
        <w:t>aux services de l’UE.</w:t>
      </w:r>
    </w:p>
    <w:p w14:paraId="59695A54" w14:textId="25D894AA" w:rsidR="00FF6C20" w:rsidRPr="00B4190F" w:rsidRDefault="7EECF657" w:rsidP="009F4B06">
      <w:pPr>
        <w:widowControl w:val="0"/>
        <w:spacing w:line="276" w:lineRule="auto"/>
        <w:rPr>
          <w:rFonts w:ascii="Times New Roman" w:hAnsi="Times New Roman"/>
          <w:szCs w:val="24"/>
        </w:rPr>
      </w:pPr>
      <w:r>
        <w:rPr>
          <w:rFonts w:ascii="Times New Roman" w:hAnsi="Times New Roman"/>
          <w:b/>
          <w:bCs/>
        </w:rPr>
        <w:t>En ce qui concerne les pratiques de contournement et l’application de la loi (paragraphe 7)</w:t>
      </w:r>
      <w:r>
        <w:rPr>
          <w:rFonts w:ascii="Times New Roman" w:hAnsi="Times New Roman"/>
        </w:rPr>
        <w:t xml:space="preserve">, la Commission échange régulièrement avec les associations d’entreprises sur le respect des sanctions et a mis en place un groupe de contact pour discuter avec les États membres de la mise en œuvre des sanctions d’un point de vue douanier, notamment des éléments et des données pertinents pour l’évaluation et la gestion des risques. Plus précisément, l’UE suit de près le commerce suspect de biens à double usage et de technologies de pointe, y compris d’articles communs hautement prioritaires, afin d’éviter que ces biens ne tombent entre les mains du complexe militaro-industriel russe. L’analyse minutieuse des données commerciales a permis à la Commission de recenser les pays tiers qui risquent d’être utilisés comme plateformes pour contourner les sanctions. La Commission entretient des dialogues bilatéraux avec tous les États membres afin de discuter des lacunes constatées dans la mise en œuvre. </w:t>
      </w:r>
    </w:p>
    <w:p w14:paraId="08465A5C" w14:textId="4EF49E2E" w:rsidR="00FF6C20" w:rsidRPr="00B4190F" w:rsidRDefault="1D4CFA08" w:rsidP="29BD8376">
      <w:pPr>
        <w:widowControl w:val="0"/>
        <w:spacing w:line="259" w:lineRule="auto"/>
        <w:rPr>
          <w:rFonts w:ascii="Times New Roman" w:hAnsi="Times New Roman"/>
          <w:szCs w:val="24"/>
        </w:rPr>
      </w:pPr>
      <w:r>
        <w:rPr>
          <w:rFonts w:ascii="Times New Roman" w:hAnsi="Times New Roman"/>
        </w:rPr>
        <w:t>Les travaux sur le contournement sont étroitement coordonnés avec les États membres, dont les autorités nationales compétentes sont les principaux organes chargés de la mise en œuvre et de l’application des sanctions. Pour lutter contre le contournement des sanctions et garantir une diligence raisonnable maximale, la Commission a également intensifié ses échanges réguliers avec les opérateurs économiques de l’UE, en leur fournissant des documents d’orientation qu’elle met à jour régulièrement. À ce jour, la Commission a publié sur son site web plus de 600 questions fréquemment posées (FAQ), classées par thème. Elle a également publié des orientations spécifiques portant, entre autres, sur la diligence raisonnable en matière de lutte contre le contournement, sur le plafonnement du prix du pétrole et sur les articles communs hautement prioritaires. Le 24 septembre 2024, la Commission a publié des orientations communes élaborées au sein du sous-groupe de travail du G7 sur la mise en œuvre du contrôle des exportations afin de sensibiliser aux risques et aux indicateurs d’évitement des sanctions et d’aider les opérateurs commerciaux concernés à traiter et à atténuer ces risques.</w:t>
      </w:r>
    </w:p>
    <w:p w14:paraId="7B475DCD" w14:textId="0EF17DA9" w:rsidR="00FF6C20" w:rsidRPr="00B4190F" w:rsidRDefault="415AF8E8" w:rsidP="29BD8376">
      <w:pPr>
        <w:widowControl w:val="0"/>
        <w:spacing w:line="259" w:lineRule="auto"/>
        <w:rPr>
          <w:rFonts w:ascii="Times New Roman" w:hAnsi="Times New Roman"/>
          <w:szCs w:val="24"/>
        </w:rPr>
      </w:pPr>
      <w:r>
        <w:rPr>
          <w:rFonts w:ascii="Times New Roman" w:hAnsi="Times New Roman"/>
        </w:rPr>
        <w:t>Avec ses partenaires du G7+, la Commission étudie en permanence la façon dont elle pourrait améliorer le plafonnement du prix du pétrole. Alors que le plafonnement des prix du pétrole vise à atteindre le double objectif consistant à réduire les recettes que la Russie peut utiliser pour financer la guerre en Ukraine, tout en maintenant le pétrole brut et les produits pétroliers russes sur le marché mondial, son incidence a diminué au fil du temps en raison de la combinaison des prix élevés du pétrole et du recours croissant de la Russie aux navires de la «flotte fantôme». La Commission travaille actuellement avec les partenaires du G7+ pour trouver des moyens de renforcer l’application du plafonnement des prix.</w:t>
      </w:r>
    </w:p>
    <w:p w14:paraId="52638B3B" w14:textId="70F10DCC" w:rsidR="00FF6C20" w:rsidRPr="00B4190F" w:rsidRDefault="415AF8E8" w:rsidP="29BD8376">
      <w:pPr>
        <w:widowControl w:val="0"/>
        <w:rPr>
          <w:rFonts w:ascii="Times New Roman" w:hAnsi="Times New Roman"/>
          <w:szCs w:val="24"/>
        </w:rPr>
      </w:pPr>
      <w:r>
        <w:rPr>
          <w:rFonts w:ascii="Times New Roman" w:hAnsi="Times New Roman"/>
        </w:rPr>
        <w:t>Elle est également en contact avec les acteurs de l’industrie qui sont parties prenantes dans le transport de pétrole russe, notamment les négociants, les propriétaires de navires et les assureurs, afin de mieux comprendre les difficultés de mise en œuvre du plafonnement des prix du pétrole. La Commission analyse soigneusement les informations qu’elle recueille dans ce cadre afin d’apporter des améliorations au mécanisme de plafonnement des prix. Par exemple, elle a précisé, dans les informations fréquemment posées sur l’interdiction d’importation de pétrole, que les transbordements de navire à navire de pétrole russe sont interdits dans les eaux territoriales des États membres (question 17).</w:t>
      </w:r>
    </w:p>
    <w:p w14:paraId="2CB5FAD5" w14:textId="6602C175" w:rsidR="00FF6C20" w:rsidRPr="00B4190F" w:rsidRDefault="32E20435" w:rsidP="29BD8376">
      <w:pPr>
        <w:widowControl w:val="0"/>
        <w:spacing w:before="120" w:after="120"/>
        <w:rPr>
          <w:rFonts w:ascii="Times New Roman" w:hAnsi="Times New Roman"/>
          <w:szCs w:val="24"/>
        </w:rPr>
      </w:pPr>
      <w:r>
        <w:rPr>
          <w:rFonts w:ascii="Times New Roman" w:hAnsi="Times New Roman"/>
        </w:rPr>
        <w:lastRenderedPageBreak/>
        <w:t>En plus de prendre des mesures contre les entités et les individus qui compromettent activement les effets des sanctions, l’UE agit auprès des pays tiers, notamment en coopérant avec eux par l’intermédiaire des actions diplomatiques de l’envoyé spécial pour la mise en œuvre des sanctions de l’UE, David O’Sullivan, ainsi qu’en leur offrant des possibilités de renforcement des capacités.</w:t>
      </w:r>
    </w:p>
    <w:p w14:paraId="139A76E4" w14:textId="12C485F1" w:rsidR="00FF6C20" w:rsidRPr="00B4190F" w:rsidRDefault="002A20B9" w:rsidP="29BD8376">
      <w:pPr>
        <w:widowControl w:val="0"/>
        <w:spacing w:before="120" w:after="120"/>
        <w:rPr>
          <w:rFonts w:ascii="Times New Roman" w:hAnsi="Times New Roman"/>
          <w:szCs w:val="24"/>
        </w:rPr>
      </w:pPr>
      <w:r>
        <w:rPr>
          <w:rFonts w:ascii="Times New Roman" w:hAnsi="Times New Roman"/>
        </w:rPr>
        <w:t>La prévention du contournement des sanctions de l’UE est l’élément essentiel du mandat de l’envoyé spécial pour la mise en œuvre des sanctions de l’UE, qui a pris ses fonctions en janvier 2023. Il s’est rendu dans des pays reconnus pour être des plaques tournantes à partir desquelles des marchandises sensibles originaires de l’UE sont réexportées vers la Russie, tels que le Kazakhstan, le Kirghizstan et l’Ouzbékistan en Asie centrale, la Serbie, l’Arménie et la Géorgie. Dernièrement, il a également concentré son action sur l’Asie du Sud-Est (Singapour, Malaisie, Thaïlande et Viêt Nam) et il se rend également dans des pays tels que l’Inde, la Turquie et les Émirats arabes unis pour discuter des exportations d’énergie russe et de la «flotte fantôme».</w:t>
      </w:r>
    </w:p>
    <w:p w14:paraId="64E10062" w14:textId="46FCE759" w:rsidR="00FF6C20" w:rsidRPr="00B4190F" w:rsidRDefault="7729876F" w:rsidP="29BD8376">
      <w:pPr>
        <w:spacing w:before="120" w:after="120" w:line="259" w:lineRule="auto"/>
        <w:rPr>
          <w:rFonts w:ascii="Times New Roman" w:hAnsi="Times New Roman"/>
          <w:szCs w:val="24"/>
        </w:rPr>
      </w:pPr>
      <w:r>
        <w:rPr>
          <w:rFonts w:ascii="Times New Roman" w:hAnsi="Times New Roman"/>
        </w:rPr>
        <w:t xml:space="preserve">En ce qui concerne la sensibilisation des États du pavillon, la Commission et le Service européen pour l’action extérieure ont pris contact avec les autorités des principaux pays et territoires. Les États du pavillon ont pour principale responsabilité de veiller à ce que leurs navires soient sûrs et respectent les exigences en matière de sécurité et de prévention de la pollution. Les délégations de l’UE interviennent au niveau local pour décourager l’enregistrement des navires ciblés par l’UE et mettre en évidence les effets négatifs des pratiques de transport maritime à haut risque et les responsabilités qui incombent aux pays qui fournissent des services à ces navires. On peut d’ores et déjà constater certains effets positifs liés aux actions de sensibilisation menées par la Commission. Par exemple, le Panama a émis un décret pour la radiation des navires ciblés par l’UE. </w:t>
      </w:r>
    </w:p>
    <w:p w14:paraId="4711F8F5" w14:textId="4744CCDD" w:rsidR="29BD8376" w:rsidRPr="00B4190F" w:rsidRDefault="5A4A42A8">
      <w:pPr>
        <w:spacing w:before="120" w:after="120" w:line="259" w:lineRule="auto"/>
        <w:rPr>
          <w:rFonts w:ascii="Times New Roman" w:hAnsi="Times New Roman"/>
          <w:szCs w:val="24"/>
        </w:rPr>
      </w:pPr>
      <w:r>
        <w:rPr>
          <w:rFonts w:ascii="Times New Roman" w:hAnsi="Times New Roman"/>
          <w:b/>
          <w:bCs/>
        </w:rPr>
        <w:t>En ce qui concerne les appels à l’action liés à la sécurité maritime et à la prévention de la pollution (paragraphe 3)</w:t>
      </w:r>
      <w:r>
        <w:rPr>
          <w:rFonts w:ascii="Times New Roman" w:hAnsi="Times New Roman"/>
        </w:rPr>
        <w:t xml:space="preserve">, la Commission entretient un dialogue constant avec les autorités compétentes des États membres pour renforcer les capacités et les outils de surveillance maritime dont dispose l’Agence européenne pour la sécurité maritime (AESM), afin de leur apporter un soutien ciblé en matière de surveillance et d’application de la réglementation. Il s’agit notamment de surveiller le comportement des navires et de suivre leurs déplacements afin de détecter toute pratique suspecte, telle que le non-respect des règles et des orientations des instruments internationaux concernant le transbordement de navire à navire et/ou la désactivation illégale du transpondeur du système automatique d’identification (AIS). Sur ce point, la Commission a créé un groupe d’experts techniques ad hoc chargé d’étudier les manières de repérer les manipulations (usurpations) des systèmes de localisation et d’identification (AIS ou les signaux d’identification et de suivi à distance </w:t>
      </w:r>
      <w:r w:rsidR="000478F6">
        <w:rPr>
          <w:rFonts w:ascii="Times New Roman" w:hAnsi="Times New Roman"/>
        </w:rPr>
        <w:t>—</w:t>
      </w:r>
      <w:r>
        <w:rPr>
          <w:rFonts w:ascii="Times New Roman" w:hAnsi="Times New Roman"/>
        </w:rPr>
        <w:t xml:space="preserve"> LRIT</w:t>
      </w:r>
      <w:r w:rsidR="00AA6736" w:rsidRPr="00B4190F">
        <w:rPr>
          <w:rStyle w:val="FootnoteReference"/>
          <w:rFonts w:ascii="Times New Roman" w:hAnsi="Times New Roman"/>
          <w:szCs w:val="24"/>
        </w:rPr>
        <w:footnoteReference w:id="2"/>
      </w:r>
      <w:r>
        <w:rPr>
          <w:rFonts w:ascii="Times New Roman" w:hAnsi="Times New Roman"/>
        </w:rPr>
        <w:t xml:space="preserve">). </w:t>
      </w:r>
    </w:p>
    <w:p w14:paraId="3748BB29" w14:textId="43936FB0" w:rsidR="00A83463" w:rsidRPr="00B4190F" w:rsidRDefault="5B027532" w:rsidP="009F4B06">
      <w:pPr>
        <w:spacing w:before="120" w:after="120" w:line="259" w:lineRule="auto"/>
        <w:rPr>
          <w:rFonts w:ascii="Times New Roman" w:hAnsi="Times New Roman"/>
          <w:szCs w:val="24"/>
        </w:rPr>
      </w:pPr>
      <w:r>
        <w:rPr>
          <w:rFonts w:ascii="Times New Roman" w:hAnsi="Times New Roman"/>
        </w:rPr>
        <w:t>Dès lors qu’un tel navire se rend dans un port d’un État membre de l’UE, ce soutien et ces informations en matière de surveillance maritime aident l’État membre à effectuer une inspection, normalement dans le cadre du régime de contrôle par l’État du port applicable en vertu du droit de l’Union.</w:t>
      </w:r>
    </w:p>
    <w:p w14:paraId="0FC0BD2C" w14:textId="43B8C454" w:rsidR="00E658CF" w:rsidRPr="00B4190F" w:rsidRDefault="00405081" w:rsidP="58FAD878">
      <w:pPr>
        <w:spacing w:before="120" w:after="120" w:line="259" w:lineRule="auto"/>
        <w:rPr>
          <w:rFonts w:ascii="Times New Roman" w:hAnsi="Times New Roman"/>
        </w:rPr>
      </w:pPr>
      <w:r>
        <w:rPr>
          <w:rFonts w:ascii="Times New Roman" w:hAnsi="Times New Roman"/>
          <w:b/>
          <w:bCs/>
        </w:rPr>
        <w:lastRenderedPageBreak/>
        <w:t>En ce qui concerne l’assurance maritime (paragraphe 9)</w:t>
      </w:r>
      <w:r>
        <w:rPr>
          <w:rFonts w:ascii="Times New Roman" w:hAnsi="Times New Roman"/>
        </w:rPr>
        <w:t xml:space="preserve">, la Commission travaille actuellement avec les États membres, non seulement pour faire appliquer la directive 2009/20/CE relative à l’assurance des propriétaires de navires pour les créances maritimes, laquelle prévoit déjà la possibilité, pour un État membre, d’expulser un navire en infraction (lorsqu’un tel navire est expulsé, il ne peut ensuite faire escale dans aucun port d’un autre État membre) qui navigue dans ses ports, mais aussi pour étudier les moyens d’exiger la notification des mêmes informations relatives à l’assurance lorsqu’un navire navigue le long des côtes des États membres de l’UE (dans le cadre des systèmes dits de comptes rendus des navires, particulièrement applicables par exemple dans les eaux à fort trafic, comme les détroits), mais n’entre jamais dans un port. Cela permettrait d’identifier les navires qui ne communiquent pas d’informations et dont on peut supposer qu’ils ne satisfont pas aux exigences internationales en matière d’assurance maritime à cet égard. Cela permettrait à l’État membre, en tant qu’État côtier, de vérifier l’existence d’une assurance ainsi que sa couverture et, en cas de doute, de prendre les mesures qui s’imposent dans le cadre du droit international (convention des Nations unies sur le droit de la mer </w:t>
      </w:r>
      <w:r w:rsidR="000478F6">
        <w:rPr>
          <w:rFonts w:ascii="Times New Roman" w:hAnsi="Times New Roman"/>
        </w:rPr>
        <w:t>—</w:t>
      </w:r>
      <w:r>
        <w:rPr>
          <w:rFonts w:ascii="Times New Roman" w:hAnsi="Times New Roman"/>
        </w:rPr>
        <w:t xml:space="preserve"> CNDUM). En outre, cela pourrait devenir une indication pour les navires susceptibles de faire l’objet d’une éventuelle enquête plus approfondie auprès de l’État du pavillon concerné, ainsi qu’à une future inscription sur la liste au titre du règlement relatif aux sanctions (comme expliqué ci-dessus).</w:t>
      </w:r>
    </w:p>
    <w:p w14:paraId="556258F5" w14:textId="5A68E960" w:rsidR="00405081" w:rsidRPr="00B4190F" w:rsidRDefault="00FE3A61" w:rsidP="009F4B06">
      <w:pPr>
        <w:spacing w:before="120" w:after="120" w:line="259" w:lineRule="auto"/>
        <w:rPr>
          <w:rFonts w:ascii="Times New Roman" w:hAnsi="Times New Roman"/>
          <w:szCs w:val="24"/>
        </w:rPr>
      </w:pPr>
      <w:r>
        <w:rPr>
          <w:rFonts w:ascii="Times New Roman" w:hAnsi="Times New Roman"/>
        </w:rPr>
        <w:t xml:space="preserve">L’approche retenue pour cette action consisterait à partager les informations communiquées, comme c’est le cas aujourd’hui pour les informations requises avant une escale, par l’intermédiaire du système d’échange d’informations maritimes de l’Union (SafeSeaNet), afin que toutes les administrations concernées, dans tous les États membres et dans tous les secteurs, soient informées le plus tôt possible de tout navire suspect et potentiellement non conforme aux normes transportant une cargaison dangereuse et polluante, et puissent exercer une surveillance plus attentive. Dans cette optique, avec l’AESM et les États membres, la Commission a commencé à réfléchir aux capacités et aux moyens complémentaires actuels, tels que le réseau de navires de réserve, afin de garantir un soutien optimal en matière de préparation à la pollution, en particulier en cas de marée noire de grande ampleur. </w:t>
      </w:r>
    </w:p>
    <w:p w14:paraId="3234B9CB" w14:textId="06CE003B" w:rsidR="005A4B46" w:rsidRPr="00B4190F" w:rsidRDefault="005A4B46" w:rsidP="29BD8376">
      <w:pPr>
        <w:spacing w:before="120" w:after="120"/>
        <w:rPr>
          <w:rFonts w:ascii="Times New Roman" w:hAnsi="Times New Roman"/>
          <w:szCs w:val="24"/>
        </w:rPr>
      </w:pPr>
      <w:r>
        <w:rPr>
          <w:rFonts w:ascii="Times New Roman" w:hAnsi="Times New Roman"/>
        </w:rPr>
        <w:t>Il convient de préciser que le trafic de transit des pétroliers a augmenté, mais, depuis que l’UE a instauré un embargo sur le pétrole d’origine russe, ce pétrole ne peut être déchargé dans aucun port d’un État membre de l’UE. Il convient également de rappeler qu’il existe une interdiction générale pour tous les navires battant pavillon russe, ainsi que pour les navires certifiés par le «Russian Maritime Register of Shipping», de faire escale dans les ports des États membres de l’UE, décrétée peu de temps après le début de la guerre d’agression.</w:t>
      </w:r>
    </w:p>
    <w:p w14:paraId="66A4E97B" w14:textId="769C7525" w:rsidR="00A80726" w:rsidRPr="00B4190F" w:rsidRDefault="2A6F1522" w:rsidP="00B9526C">
      <w:pPr>
        <w:spacing w:before="120" w:after="120"/>
        <w:rPr>
          <w:rFonts w:ascii="Times New Roman" w:hAnsi="Times New Roman"/>
          <w:szCs w:val="24"/>
        </w:rPr>
      </w:pPr>
      <w:r>
        <w:rPr>
          <w:rFonts w:ascii="Times New Roman" w:hAnsi="Times New Roman"/>
        </w:rPr>
        <w:t xml:space="preserve">Parallèlement aux actions concertées au sein de l’UE, il existe des actions coordonnées entre l’UE et les États membres au sein d’enceintes internationales telles que l’Organisation maritime internationale (OMI), l’Organisation internationale de télécommunications mobiles par satellites (IMSO) et le Fonds international d’indemnisation pour les dommages dus à la pollution par les hydrocarbures (FIPOL) découlant de la résolution A.1192(33) de l’OMI visant à prévenir les opérations illégales dans le secteur maritime par la «flotte fantôme». Ces actions mettent l’accent sur la responsabilité des États en tant qu’États du pavillon et sur la nécessité absolue pour tout État du pavillon de veiller à avoir la capacité, l’aptitude et le contrôle nécessaires pour faire respecter toutes les obligations qui lui incombent en vertu du droit international. Les actions proposées vont de la réalisation d’une étude exploratoire en matière réglementaire portant sur les règles et règlements pertinents dont disposent les États membres, en vue </w:t>
      </w:r>
      <w:r>
        <w:rPr>
          <w:rFonts w:ascii="Times New Roman" w:hAnsi="Times New Roman"/>
        </w:rPr>
        <w:lastRenderedPageBreak/>
        <w:t xml:space="preserve">de prévenir les activités illégales de la «flotte fantôme» dans le secteur maritime, y compris des mesures visant à empêcher l’utilisation abusive des systèmes d’identification et de suivi des navires AIS ou LRIT, à mettre en évidence les obligations des États du pavillon en ce qui concerne l’acceptation de l’assurance maritime et à fournir des orientations sur la manière de vérifier les assureurs, ainsi qu’à détecter les pratiques illégales liées à l’enregistrement frauduleux et aux registres frauduleux des navires. </w:t>
      </w:r>
    </w:p>
    <w:p w14:paraId="20527872" w14:textId="6D3F63D1" w:rsidR="00D02231" w:rsidRPr="00B4190F" w:rsidRDefault="715DE95F" w:rsidP="00B9526C">
      <w:pPr>
        <w:spacing w:before="120" w:after="120"/>
        <w:rPr>
          <w:rFonts w:ascii="Times New Roman" w:hAnsi="Times New Roman"/>
          <w:szCs w:val="24"/>
        </w:rPr>
      </w:pPr>
      <w:r>
        <w:rPr>
          <w:rFonts w:ascii="Times New Roman" w:hAnsi="Times New Roman"/>
        </w:rPr>
        <w:t>La Commission et les États membres de l’UE travaillent activement avec des partenaires qui partagent son optique dans ces enceintes internationales et continuent de le faire. L’un des thèmes centraux de ces travaux est la transparence et la mise en «lumière» des opérateurs et des activités de la «flotte fantôme». Cet aspect est également inclus dans les actions de sensibilisation expliquées ci-dessus, dans le cadre de l’approche dissuasive fondée sur des sanctions et des pratiques restrictives.</w:t>
      </w:r>
    </w:p>
    <w:p w14:paraId="66BDA573" w14:textId="77777777" w:rsidR="00FC6AD4" w:rsidRPr="00B4190F" w:rsidRDefault="00FC6AD4" w:rsidP="29BD8376">
      <w:pPr>
        <w:widowControl w:val="0"/>
        <w:rPr>
          <w:rFonts w:ascii="Times New Roman" w:hAnsi="Times New Roman"/>
          <w:szCs w:val="24"/>
        </w:rPr>
      </w:pPr>
    </w:p>
    <w:sectPr w:rsidR="00FC6AD4" w:rsidRPr="00B4190F" w:rsidSect="000A07D2">
      <w:footerReference w:type="even" r:id="rId12"/>
      <w:footerReference w:type="default" r:id="rId13"/>
      <w:footerReference w:type="first" r:id="rId14"/>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24445" w14:textId="77777777" w:rsidR="00C94C6D" w:rsidRDefault="00C94C6D">
      <w:r>
        <w:separator/>
      </w:r>
    </w:p>
  </w:endnote>
  <w:endnote w:type="continuationSeparator" w:id="0">
    <w:p w14:paraId="34198D21" w14:textId="77777777" w:rsidR="00C94C6D" w:rsidRDefault="00C94C6D">
      <w:r>
        <w:continuationSeparator/>
      </w:r>
    </w:p>
  </w:endnote>
  <w:endnote w:type="continuationNotice" w:id="1">
    <w:p w14:paraId="0E1EBCFB" w14:textId="77777777" w:rsidR="00C94C6D" w:rsidRDefault="00C94C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050B"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15B4334"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BACB"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246D">
      <w:rPr>
        <w:rStyle w:val="PageNumber"/>
      </w:rPr>
      <w:t>2</w:t>
    </w:r>
    <w:r>
      <w:rPr>
        <w:rStyle w:val="PageNumber"/>
      </w:rPr>
      <w:fldChar w:fldCharType="end"/>
    </w:r>
  </w:p>
  <w:p w14:paraId="543DFAF3"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ABE9" w14:textId="77777777" w:rsidR="005E6EC2" w:rsidRDefault="005E6EC2" w:rsidP="00442B2E">
    <w:pPr>
      <w:pStyle w:val="Footer"/>
    </w:pPr>
    <w:r>
      <w:t>Commission européenne, 1049 Bruxelles — BELGIQUE Tél. +32 22991111.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8EBF0" w14:textId="77777777" w:rsidR="00C94C6D" w:rsidRDefault="00C94C6D">
      <w:r>
        <w:separator/>
      </w:r>
    </w:p>
  </w:footnote>
  <w:footnote w:type="continuationSeparator" w:id="0">
    <w:p w14:paraId="10F922A7" w14:textId="77777777" w:rsidR="00C94C6D" w:rsidRDefault="00C94C6D">
      <w:r>
        <w:continuationSeparator/>
      </w:r>
    </w:p>
  </w:footnote>
  <w:footnote w:type="continuationNotice" w:id="1">
    <w:p w14:paraId="30DF23B3" w14:textId="77777777" w:rsidR="00C94C6D" w:rsidRDefault="00C94C6D">
      <w:pPr>
        <w:spacing w:after="0"/>
      </w:pPr>
    </w:p>
  </w:footnote>
  <w:footnote w:id="2">
    <w:p w14:paraId="740D7533" w14:textId="7AA131F1" w:rsidR="00AA6736" w:rsidRPr="00AA6736" w:rsidRDefault="00AA6736">
      <w:pPr>
        <w:pStyle w:val="FootnoteText"/>
      </w:pPr>
      <w:r>
        <w:rPr>
          <w:rStyle w:val="FootnoteReference"/>
        </w:rPr>
        <w:footnoteRef/>
      </w:r>
      <w:r>
        <w:t xml:space="preserve"> </w:t>
      </w:r>
      <w:r>
        <w:rPr>
          <w:rFonts w:ascii="Times New Roman" w:hAnsi="Times New Roman"/>
        </w:rPr>
        <w:t>Le système automatique d’identification (IAS) transmet la position d’un navire afin que les autres navires soient informés de sa position. Le système d’identification et de suivi à distance (LRIT) permet l’identification et le suivi des navires à l’échelle mondiale afin d’améliorer la sûreté des transports maritimes ainsi que la sécurité maritime et la protection de l’environnement marin.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5197AD9"/>
    <w:multiLevelType w:val="multilevel"/>
    <w:tmpl w:val="328C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986BEE"/>
    <w:multiLevelType w:val="hybridMultilevel"/>
    <w:tmpl w:val="910AAE0A"/>
    <w:lvl w:ilvl="0" w:tplc="29D2CACC">
      <w:start w:val="1"/>
      <w:numFmt w:val="decimal"/>
      <w:lvlText w:val="(%1)"/>
      <w:lvlJc w:val="left"/>
      <w:pPr>
        <w:ind w:left="720" w:hanging="360"/>
      </w:pPr>
    </w:lvl>
    <w:lvl w:ilvl="1" w:tplc="9434F29C">
      <w:start w:val="1"/>
      <w:numFmt w:val="lowerLetter"/>
      <w:lvlText w:val="%2."/>
      <w:lvlJc w:val="left"/>
      <w:pPr>
        <w:ind w:left="1440" w:hanging="360"/>
      </w:pPr>
    </w:lvl>
    <w:lvl w:ilvl="2" w:tplc="E14A6858">
      <w:start w:val="1"/>
      <w:numFmt w:val="lowerRoman"/>
      <w:lvlText w:val="%3."/>
      <w:lvlJc w:val="right"/>
      <w:pPr>
        <w:ind w:left="2160" w:hanging="180"/>
      </w:pPr>
    </w:lvl>
    <w:lvl w:ilvl="3" w:tplc="57D4C452">
      <w:start w:val="1"/>
      <w:numFmt w:val="decimal"/>
      <w:lvlText w:val="%4."/>
      <w:lvlJc w:val="left"/>
      <w:pPr>
        <w:ind w:left="2880" w:hanging="360"/>
      </w:pPr>
    </w:lvl>
    <w:lvl w:ilvl="4" w:tplc="0A76C0D0">
      <w:start w:val="1"/>
      <w:numFmt w:val="lowerLetter"/>
      <w:lvlText w:val="%5."/>
      <w:lvlJc w:val="left"/>
      <w:pPr>
        <w:ind w:left="3600" w:hanging="360"/>
      </w:pPr>
    </w:lvl>
    <w:lvl w:ilvl="5" w:tplc="85F6D4A4">
      <w:start w:val="1"/>
      <w:numFmt w:val="lowerRoman"/>
      <w:lvlText w:val="%6."/>
      <w:lvlJc w:val="right"/>
      <w:pPr>
        <w:ind w:left="4320" w:hanging="180"/>
      </w:pPr>
    </w:lvl>
    <w:lvl w:ilvl="6" w:tplc="2E76D232">
      <w:start w:val="1"/>
      <w:numFmt w:val="decimal"/>
      <w:lvlText w:val="%7."/>
      <w:lvlJc w:val="left"/>
      <w:pPr>
        <w:ind w:left="5040" w:hanging="360"/>
      </w:pPr>
    </w:lvl>
    <w:lvl w:ilvl="7" w:tplc="4A40E666">
      <w:start w:val="1"/>
      <w:numFmt w:val="lowerLetter"/>
      <w:lvlText w:val="%8."/>
      <w:lvlJc w:val="left"/>
      <w:pPr>
        <w:ind w:left="5760" w:hanging="360"/>
      </w:pPr>
    </w:lvl>
    <w:lvl w:ilvl="8" w:tplc="7444B568">
      <w:start w:val="1"/>
      <w:numFmt w:val="lowerRoman"/>
      <w:lvlText w:val="%9."/>
      <w:lvlJc w:val="right"/>
      <w:pPr>
        <w:ind w:left="6480" w:hanging="180"/>
      </w:pPr>
    </w:lvl>
  </w:abstractNum>
  <w:abstractNum w:abstractNumId="14" w15:restartNumberingAfterBreak="0">
    <w:nsid w:val="2AED0AFC"/>
    <w:multiLevelType w:val="hybridMultilevel"/>
    <w:tmpl w:val="D9E4A718"/>
    <w:lvl w:ilvl="0" w:tplc="476A4364">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6"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5E790B"/>
    <w:multiLevelType w:val="hybridMultilevel"/>
    <w:tmpl w:val="49EA2C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FD9EB14"/>
    <w:multiLevelType w:val="hybridMultilevel"/>
    <w:tmpl w:val="0016A998"/>
    <w:lvl w:ilvl="0" w:tplc="AF1EC4E2">
      <w:numFmt w:val="bullet"/>
      <w:lvlText w:val="-"/>
      <w:lvlJc w:val="left"/>
      <w:pPr>
        <w:ind w:left="720" w:hanging="360"/>
      </w:pPr>
      <w:rPr>
        <w:rFonts w:ascii="Times New Roman" w:hAnsi="Times New Roman" w:hint="default"/>
      </w:rPr>
    </w:lvl>
    <w:lvl w:ilvl="1" w:tplc="8754007C">
      <w:start w:val="1"/>
      <w:numFmt w:val="bullet"/>
      <w:lvlText w:val="o"/>
      <w:lvlJc w:val="left"/>
      <w:pPr>
        <w:ind w:left="1440" w:hanging="360"/>
      </w:pPr>
      <w:rPr>
        <w:rFonts w:ascii="Courier New" w:hAnsi="Courier New" w:hint="default"/>
      </w:rPr>
    </w:lvl>
    <w:lvl w:ilvl="2" w:tplc="D6C04394">
      <w:start w:val="1"/>
      <w:numFmt w:val="bullet"/>
      <w:lvlText w:val=""/>
      <w:lvlJc w:val="left"/>
      <w:pPr>
        <w:ind w:left="2160" w:hanging="360"/>
      </w:pPr>
      <w:rPr>
        <w:rFonts w:ascii="Wingdings" w:hAnsi="Wingdings" w:hint="default"/>
      </w:rPr>
    </w:lvl>
    <w:lvl w:ilvl="3" w:tplc="ED9C3C3E">
      <w:start w:val="1"/>
      <w:numFmt w:val="bullet"/>
      <w:lvlText w:val=""/>
      <w:lvlJc w:val="left"/>
      <w:pPr>
        <w:ind w:left="2880" w:hanging="360"/>
      </w:pPr>
      <w:rPr>
        <w:rFonts w:ascii="Symbol" w:hAnsi="Symbol" w:hint="default"/>
      </w:rPr>
    </w:lvl>
    <w:lvl w:ilvl="4" w:tplc="A20889B0">
      <w:start w:val="1"/>
      <w:numFmt w:val="bullet"/>
      <w:lvlText w:val="o"/>
      <w:lvlJc w:val="left"/>
      <w:pPr>
        <w:ind w:left="3600" w:hanging="360"/>
      </w:pPr>
      <w:rPr>
        <w:rFonts w:ascii="Courier New" w:hAnsi="Courier New" w:hint="default"/>
      </w:rPr>
    </w:lvl>
    <w:lvl w:ilvl="5" w:tplc="A34E6CA6">
      <w:start w:val="1"/>
      <w:numFmt w:val="bullet"/>
      <w:lvlText w:val=""/>
      <w:lvlJc w:val="left"/>
      <w:pPr>
        <w:ind w:left="4320" w:hanging="360"/>
      </w:pPr>
      <w:rPr>
        <w:rFonts w:ascii="Wingdings" w:hAnsi="Wingdings" w:hint="default"/>
      </w:rPr>
    </w:lvl>
    <w:lvl w:ilvl="6" w:tplc="824CFD70">
      <w:start w:val="1"/>
      <w:numFmt w:val="bullet"/>
      <w:lvlText w:val=""/>
      <w:lvlJc w:val="left"/>
      <w:pPr>
        <w:ind w:left="5040" w:hanging="360"/>
      </w:pPr>
      <w:rPr>
        <w:rFonts w:ascii="Symbol" w:hAnsi="Symbol" w:hint="default"/>
      </w:rPr>
    </w:lvl>
    <w:lvl w:ilvl="7" w:tplc="4D46CC48">
      <w:start w:val="1"/>
      <w:numFmt w:val="bullet"/>
      <w:lvlText w:val="o"/>
      <w:lvlJc w:val="left"/>
      <w:pPr>
        <w:ind w:left="5760" w:hanging="360"/>
      </w:pPr>
      <w:rPr>
        <w:rFonts w:ascii="Courier New" w:hAnsi="Courier New" w:hint="default"/>
      </w:rPr>
    </w:lvl>
    <w:lvl w:ilvl="8" w:tplc="66A65D82">
      <w:start w:val="1"/>
      <w:numFmt w:val="bullet"/>
      <w:lvlText w:val=""/>
      <w:lvlJc w:val="left"/>
      <w:pPr>
        <w:ind w:left="6480" w:hanging="360"/>
      </w:pPr>
      <w:rPr>
        <w:rFonts w:ascii="Wingdings" w:hAnsi="Wingdings" w:hint="default"/>
      </w:rPr>
    </w:lvl>
  </w:abstractNum>
  <w:abstractNum w:abstractNumId="19" w15:restartNumberingAfterBreak="0">
    <w:nsid w:val="3142772C"/>
    <w:multiLevelType w:val="hybridMultilevel"/>
    <w:tmpl w:val="3B6298DA"/>
    <w:lvl w:ilvl="0" w:tplc="FFFFFFFF">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2"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188C6AA"/>
    <w:multiLevelType w:val="hybridMultilevel"/>
    <w:tmpl w:val="79342F46"/>
    <w:lvl w:ilvl="0" w:tplc="E14484C0">
      <w:start w:val="1"/>
      <w:numFmt w:val="decimal"/>
      <w:lvlText w:val="(%1)"/>
      <w:lvlJc w:val="left"/>
      <w:pPr>
        <w:ind w:left="720" w:hanging="360"/>
      </w:pPr>
    </w:lvl>
    <w:lvl w:ilvl="1" w:tplc="38CEC106">
      <w:start w:val="1"/>
      <w:numFmt w:val="lowerLetter"/>
      <w:lvlText w:val="%2."/>
      <w:lvlJc w:val="left"/>
      <w:pPr>
        <w:ind w:left="1440" w:hanging="360"/>
      </w:pPr>
    </w:lvl>
    <w:lvl w:ilvl="2" w:tplc="7C8EF03E">
      <w:start w:val="1"/>
      <w:numFmt w:val="lowerRoman"/>
      <w:lvlText w:val="%3."/>
      <w:lvlJc w:val="right"/>
      <w:pPr>
        <w:ind w:left="2160" w:hanging="180"/>
      </w:pPr>
    </w:lvl>
    <w:lvl w:ilvl="3" w:tplc="FE1C2958">
      <w:start w:val="1"/>
      <w:numFmt w:val="decimal"/>
      <w:lvlText w:val="%4."/>
      <w:lvlJc w:val="left"/>
      <w:pPr>
        <w:ind w:left="2880" w:hanging="360"/>
      </w:pPr>
    </w:lvl>
    <w:lvl w:ilvl="4" w:tplc="6B866588">
      <w:start w:val="1"/>
      <w:numFmt w:val="lowerLetter"/>
      <w:lvlText w:val="%5."/>
      <w:lvlJc w:val="left"/>
      <w:pPr>
        <w:ind w:left="3600" w:hanging="360"/>
      </w:pPr>
    </w:lvl>
    <w:lvl w:ilvl="5" w:tplc="6DA6FB5C">
      <w:start w:val="1"/>
      <w:numFmt w:val="lowerRoman"/>
      <w:lvlText w:val="%6."/>
      <w:lvlJc w:val="right"/>
      <w:pPr>
        <w:ind w:left="4320" w:hanging="180"/>
      </w:pPr>
    </w:lvl>
    <w:lvl w:ilvl="6" w:tplc="90241E3A">
      <w:start w:val="1"/>
      <w:numFmt w:val="decimal"/>
      <w:lvlText w:val="%7."/>
      <w:lvlJc w:val="left"/>
      <w:pPr>
        <w:ind w:left="5040" w:hanging="360"/>
      </w:pPr>
    </w:lvl>
    <w:lvl w:ilvl="7" w:tplc="FF482FD0">
      <w:start w:val="1"/>
      <w:numFmt w:val="lowerLetter"/>
      <w:lvlText w:val="%8."/>
      <w:lvlJc w:val="left"/>
      <w:pPr>
        <w:ind w:left="5760" w:hanging="360"/>
      </w:pPr>
    </w:lvl>
    <w:lvl w:ilvl="8" w:tplc="9E3E36E0">
      <w:start w:val="1"/>
      <w:numFmt w:val="lowerRoman"/>
      <w:lvlText w:val="%9."/>
      <w:lvlJc w:val="right"/>
      <w:pPr>
        <w:ind w:left="6480" w:hanging="180"/>
      </w:pPr>
    </w:lvl>
  </w:abstractNum>
  <w:abstractNum w:abstractNumId="24" w15:restartNumberingAfterBreak="0">
    <w:nsid w:val="513042EB"/>
    <w:multiLevelType w:val="hybridMultilevel"/>
    <w:tmpl w:val="5ACA8672"/>
    <w:lvl w:ilvl="0" w:tplc="669E553E">
      <w:start w:val="1"/>
      <w:numFmt w:val="decimal"/>
      <w:lvlText w:val="(%1)"/>
      <w:lvlJc w:val="left"/>
      <w:pPr>
        <w:ind w:left="720" w:hanging="360"/>
      </w:pPr>
    </w:lvl>
    <w:lvl w:ilvl="1" w:tplc="A80A308C">
      <w:start w:val="1"/>
      <w:numFmt w:val="lowerLetter"/>
      <w:lvlText w:val="%2."/>
      <w:lvlJc w:val="left"/>
      <w:pPr>
        <w:ind w:left="1440" w:hanging="360"/>
      </w:pPr>
    </w:lvl>
    <w:lvl w:ilvl="2" w:tplc="C80637E2">
      <w:start w:val="1"/>
      <w:numFmt w:val="lowerRoman"/>
      <w:lvlText w:val="%3."/>
      <w:lvlJc w:val="right"/>
      <w:pPr>
        <w:ind w:left="2160" w:hanging="180"/>
      </w:pPr>
    </w:lvl>
    <w:lvl w:ilvl="3" w:tplc="41E43152">
      <w:start w:val="1"/>
      <w:numFmt w:val="decimal"/>
      <w:lvlText w:val="%4."/>
      <w:lvlJc w:val="left"/>
      <w:pPr>
        <w:ind w:left="2880" w:hanging="360"/>
      </w:pPr>
    </w:lvl>
    <w:lvl w:ilvl="4" w:tplc="78F0ED8A">
      <w:start w:val="1"/>
      <w:numFmt w:val="lowerLetter"/>
      <w:lvlText w:val="%5."/>
      <w:lvlJc w:val="left"/>
      <w:pPr>
        <w:ind w:left="3600" w:hanging="360"/>
      </w:pPr>
    </w:lvl>
    <w:lvl w:ilvl="5" w:tplc="7D6866E0">
      <w:start w:val="1"/>
      <w:numFmt w:val="lowerRoman"/>
      <w:lvlText w:val="%6."/>
      <w:lvlJc w:val="right"/>
      <w:pPr>
        <w:ind w:left="4320" w:hanging="180"/>
      </w:pPr>
    </w:lvl>
    <w:lvl w:ilvl="6" w:tplc="09F44838">
      <w:start w:val="1"/>
      <w:numFmt w:val="decimal"/>
      <w:lvlText w:val="%7."/>
      <w:lvlJc w:val="left"/>
      <w:pPr>
        <w:ind w:left="5040" w:hanging="360"/>
      </w:pPr>
    </w:lvl>
    <w:lvl w:ilvl="7" w:tplc="DE9493F6">
      <w:start w:val="1"/>
      <w:numFmt w:val="lowerLetter"/>
      <w:lvlText w:val="%8."/>
      <w:lvlJc w:val="left"/>
      <w:pPr>
        <w:ind w:left="5760" w:hanging="360"/>
      </w:pPr>
    </w:lvl>
    <w:lvl w:ilvl="8" w:tplc="F312B294">
      <w:start w:val="1"/>
      <w:numFmt w:val="lowerRoman"/>
      <w:lvlText w:val="%9."/>
      <w:lvlJc w:val="right"/>
      <w:pPr>
        <w:ind w:left="6480" w:hanging="180"/>
      </w:pPr>
    </w:lvl>
  </w:abstractNum>
  <w:abstractNum w:abstractNumId="25"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6"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9"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E0220E"/>
    <w:multiLevelType w:val="multilevel"/>
    <w:tmpl w:val="6BD0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4" w15:restartNumberingAfterBreak="0">
    <w:nsid w:val="746C1691"/>
    <w:multiLevelType w:val="hybridMultilevel"/>
    <w:tmpl w:val="014C1D4E"/>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5EC2E02"/>
    <w:multiLevelType w:val="multilevel"/>
    <w:tmpl w:val="64DC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1"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2"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84439670">
    <w:abstractNumId w:val="18"/>
  </w:num>
  <w:num w:numId="2" w16cid:durableId="48963578">
    <w:abstractNumId w:val="23"/>
  </w:num>
  <w:num w:numId="3" w16cid:durableId="774330322">
    <w:abstractNumId w:val="13"/>
  </w:num>
  <w:num w:numId="4" w16cid:durableId="701975590">
    <w:abstractNumId w:val="24"/>
  </w:num>
  <w:num w:numId="5" w16cid:durableId="1637641386">
    <w:abstractNumId w:val="6"/>
  </w:num>
  <w:num w:numId="6" w16cid:durableId="2029333191">
    <w:abstractNumId w:val="1"/>
  </w:num>
  <w:num w:numId="7" w16cid:durableId="1315794323">
    <w:abstractNumId w:val="41"/>
  </w:num>
  <w:num w:numId="8" w16cid:durableId="2051807976">
    <w:abstractNumId w:val="15"/>
  </w:num>
  <w:num w:numId="9" w16cid:durableId="1232042268">
    <w:abstractNumId w:val="33"/>
  </w:num>
  <w:num w:numId="10" w16cid:durableId="1729573704">
    <w:abstractNumId w:val="10"/>
  </w:num>
  <w:num w:numId="11" w16cid:durableId="970792679">
    <w:abstractNumId w:val="5"/>
  </w:num>
  <w:num w:numId="12" w16cid:durableId="281111180">
    <w:abstractNumId w:val="21"/>
  </w:num>
  <w:num w:numId="13" w16cid:durableId="785392079">
    <w:abstractNumId w:val="40"/>
  </w:num>
  <w:num w:numId="14" w16cid:durableId="707493722">
    <w:abstractNumId w:val="28"/>
  </w:num>
  <w:num w:numId="15" w16cid:durableId="431975858">
    <w:abstractNumId w:val="31"/>
  </w:num>
  <w:num w:numId="16" w16cid:durableId="100078547">
    <w:abstractNumId w:val="11"/>
  </w:num>
  <w:num w:numId="17" w16cid:durableId="1518234636">
    <w:abstractNumId w:val="22"/>
  </w:num>
  <w:num w:numId="18" w16cid:durableId="1019506215">
    <w:abstractNumId w:val="35"/>
  </w:num>
  <w:num w:numId="19" w16cid:durableId="1724527369">
    <w:abstractNumId w:val="20"/>
  </w:num>
  <w:num w:numId="20" w16cid:durableId="1576430740">
    <w:abstractNumId w:val="42"/>
  </w:num>
  <w:num w:numId="21" w16cid:durableId="2106222727">
    <w:abstractNumId w:val="39"/>
  </w:num>
  <w:num w:numId="22" w16cid:durableId="1837769559">
    <w:abstractNumId w:val="26"/>
  </w:num>
  <w:num w:numId="23" w16cid:durableId="2065063483">
    <w:abstractNumId w:val="27"/>
  </w:num>
  <w:num w:numId="24" w16cid:durableId="1127965554">
    <w:abstractNumId w:val="32"/>
  </w:num>
  <w:num w:numId="25" w16cid:durableId="484316433">
    <w:abstractNumId w:val="3"/>
  </w:num>
  <w:num w:numId="26" w16cid:durableId="1518037649">
    <w:abstractNumId w:val="4"/>
  </w:num>
  <w:num w:numId="27" w16cid:durableId="111487397">
    <w:abstractNumId w:val="25"/>
  </w:num>
  <w:num w:numId="28" w16cid:durableId="509221988">
    <w:abstractNumId w:val="36"/>
  </w:num>
  <w:num w:numId="29" w16cid:durableId="1462069899">
    <w:abstractNumId w:val="9"/>
  </w:num>
  <w:num w:numId="30" w16cid:durableId="1327634306">
    <w:abstractNumId w:val="38"/>
  </w:num>
  <w:num w:numId="31" w16cid:durableId="876042116">
    <w:abstractNumId w:val="8"/>
  </w:num>
  <w:num w:numId="32" w16cid:durableId="1304695394">
    <w:abstractNumId w:val="2"/>
  </w:num>
  <w:num w:numId="33" w16cid:durableId="2043507376">
    <w:abstractNumId w:val="16"/>
  </w:num>
  <w:num w:numId="34" w16cid:durableId="551622780">
    <w:abstractNumId w:val="29"/>
  </w:num>
  <w:num w:numId="35" w16cid:durableId="269048673">
    <w:abstractNumId w:val="41"/>
  </w:num>
  <w:num w:numId="36" w16cid:durableId="1056971315">
    <w:abstractNumId w:val="34"/>
  </w:num>
  <w:num w:numId="37" w16cid:durableId="662011740">
    <w:abstractNumId w:val="19"/>
  </w:num>
  <w:num w:numId="38" w16cid:durableId="1788353037">
    <w:abstractNumId w:val="17"/>
  </w:num>
  <w:num w:numId="39" w16cid:durableId="1334452937">
    <w:abstractNumId w:val="14"/>
  </w:num>
  <w:num w:numId="40" w16cid:durableId="595014519">
    <w:abstractNumId w:val="7"/>
  </w:num>
  <w:num w:numId="41" w16cid:durableId="770441326">
    <w:abstractNumId w:val="37"/>
  </w:num>
  <w:num w:numId="42" w16cid:durableId="1036152494">
    <w:abstractNumId w:val="12"/>
  </w:num>
  <w:num w:numId="43" w16cid:durableId="1394742982">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numRestart w:val="eachSect"/>
    <w:footnote w:id="-1"/>
    <w:footnote w:id="0"/>
    <w:footnote w:id="1"/>
  </w:footnotePr>
  <w:endnotePr>
    <w:endnote w:id="-1"/>
    <w:endnote w:id="0"/>
    <w:endnote w:id="1"/>
  </w:endnotePr>
  <w:compat>
    <w:allowSpaceOfSameStyleInTable/>
    <w:compatSetting w:name="compatibilityMode" w:uri="http://schemas.microsoft.com/office/word" w:val="12"/>
    <w:compatSetting w:name="useWord2013TrackBottomHyphenation" w:uri="http://schemas.microsoft.com/office/word" w:val="1"/>
  </w:compat>
  <w:docVars>
    <w:docVar w:name="LW_DocType" w:val="TEL"/>
  </w:docVars>
  <w:rsids>
    <w:rsidRoot w:val="009A3DA0"/>
    <w:rsid w:val="00000080"/>
    <w:rsid w:val="00000142"/>
    <w:rsid w:val="000001DC"/>
    <w:rsid w:val="0000032F"/>
    <w:rsid w:val="00000397"/>
    <w:rsid w:val="00000486"/>
    <w:rsid w:val="0000050D"/>
    <w:rsid w:val="000005E9"/>
    <w:rsid w:val="000006FD"/>
    <w:rsid w:val="0000071A"/>
    <w:rsid w:val="00000795"/>
    <w:rsid w:val="000009FA"/>
    <w:rsid w:val="00000AD1"/>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D09"/>
    <w:rsid w:val="00006F0E"/>
    <w:rsid w:val="00007284"/>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CC7"/>
    <w:rsid w:val="00011D79"/>
    <w:rsid w:val="0001228B"/>
    <w:rsid w:val="000122B5"/>
    <w:rsid w:val="0001250D"/>
    <w:rsid w:val="0001297D"/>
    <w:rsid w:val="00012EFD"/>
    <w:rsid w:val="000130BE"/>
    <w:rsid w:val="00013716"/>
    <w:rsid w:val="00013997"/>
    <w:rsid w:val="000139D8"/>
    <w:rsid w:val="00013D92"/>
    <w:rsid w:val="00013EE5"/>
    <w:rsid w:val="0001448B"/>
    <w:rsid w:val="000145A2"/>
    <w:rsid w:val="000146F4"/>
    <w:rsid w:val="0001485B"/>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AAB"/>
    <w:rsid w:val="00020E26"/>
    <w:rsid w:val="00020F16"/>
    <w:rsid w:val="000218F1"/>
    <w:rsid w:val="00021AEC"/>
    <w:rsid w:val="00021B43"/>
    <w:rsid w:val="00021BCD"/>
    <w:rsid w:val="00021EF0"/>
    <w:rsid w:val="00021FA4"/>
    <w:rsid w:val="00021FF7"/>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4F0"/>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99E"/>
    <w:rsid w:val="00033EA1"/>
    <w:rsid w:val="00033F57"/>
    <w:rsid w:val="000340CA"/>
    <w:rsid w:val="000346D4"/>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5F3"/>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55F"/>
    <w:rsid w:val="00044806"/>
    <w:rsid w:val="00044891"/>
    <w:rsid w:val="00044A42"/>
    <w:rsid w:val="00044AB8"/>
    <w:rsid w:val="0004546C"/>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8F6"/>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15"/>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58C"/>
    <w:rsid w:val="0006474E"/>
    <w:rsid w:val="000647C3"/>
    <w:rsid w:val="00064C35"/>
    <w:rsid w:val="00064D3D"/>
    <w:rsid w:val="00064DAB"/>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6ECA"/>
    <w:rsid w:val="00066F4F"/>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05E"/>
    <w:rsid w:val="00073100"/>
    <w:rsid w:val="00073283"/>
    <w:rsid w:val="000732A8"/>
    <w:rsid w:val="00073445"/>
    <w:rsid w:val="0007349A"/>
    <w:rsid w:val="000735B6"/>
    <w:rsid w:val="000736A0"/>
    <w:rsid w:val="00073D03"/>
    <w:rsid w:val="0007403A"/>
    <w:rsid w:val="000744AE"/>
    <w:rsid w:val="000744BA"/>
    <w:rsid w:val="00074A10"/>
    <w:rsid w:val="00074B17"/>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AA5"/>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47"/>
    <w:rsid w:val="00085BE8"/>
    <w:rsid w:val="00085E04"/>
    <w:rsid w:val="0008608A"/>
    <w:rsid w:val="000863ED"/>
    <w:rsid w:val="00086911"/>
    <w:rsid w:val="000869EC"/>
    <w:rsid w:val="00086C30"/>
    <w:rsid w:val="00086D5D"/>
    <w:rsid w:val="00086DA6"/>
    <w:rsid w:val="000875DD"/>
    <w:rsid w:val="00087C2A"/>
    <w:rsid w:val="00087E0A"/>
    <w:rsid w:val="00090055"/>
    <w:rsid w:val="000901F1"/>
    <w:rsid w:val="0009096A"/>
    <w:rsid w:val="00090B6B"/>
    <w:rsid w:val="00090D4B"/>
    <w:rsid w:val="00090EA4"/>
    <w:rsid w:val="000910D7"/>
    <w:rsid w:val="00091534"/>
    <w:rsid w:val="0009166A"/>
    <w:rsid w:val="000918B2"/>
    <w:rsid w:val="00091CE2"/>
    <w:rsid w:val="0009205D"/>
    <w:rsid w:val="00092442"/>
    <w:rsid w:val="0009257A"/>
    <w:rsid w:val="00092B44"/>
    <w:rsid w:val="00092C2D"/>
    <w:rsid w:val="00092EB9"/>
    <w:rsid w:val="0009343D"/>
    <w:rsid w:val="00093617"/>
    <w:rsid w:val="00093E98"/>
    <w:rsid w:val="00093FDF"/>
    <w:rsid w:val="00093FEB"/>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78"/>
    <w:rsid w:val="00097A89"/>
    <w:rsid w:val="00097E80"/>
    <w:rsid w:val="00097F2B"/>
    <w:rsid w:val="000A0424"/>
    <w:rsid w:val="000A05BC"/>
    <w:rsid w:val="000A06AB"/>
    <w:rsid w:val="000A07D2"/>
    <w:rsid w:val="000A07F3"/>
    <w:rsid w:val="000A0849"/>
    <w:rsid w:val="000A09F3"/>
    <w:rsid w:val="000A0BAF"/>
    <w:rsid w:val="000A0FF1"/>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A74"/>
    <w:rsid w:val="000A3E2D"/>
    <w:rsid w:val="000A44D4"/>
    <w:rsid w:val="000A4524"/>
    <w:rsid w:val="000A4554"/>
    <w:rsid w:val="000A45E7"/>
    <w:rsid w:val="000A46A5"/>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19"/>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275"/>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33F"/>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147"/>
    <w:rsid w:val="000C27FF"/>
    <w:rsid w:val="000C2A98"/>
    <w:rsid w:val="000C2CC9"/>
    <w:rsid w:val="000C2E3A"/>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CC"/>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EFA"/>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2AA"/>
    <w:rsid w:val="000E68CA"/>
    <w:rsid w:val="000E690A"/>
    <w:rsid w:val="000E695D"/>
    <w:rsid w:val="000E699A"/>
    <w:rsid w:val="000E6D06"/>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4AC"/>
    <w:rsid w:val="000F2713"/>
    <w:rsid w:val="000F2742"/>
    <w:rsid w:val="000F2C78"/>
    <w:rsid w:val="000F2E1A"/>
    <w:rsid w:val="000F343E"/>
    <w:rsid w:val="000F34A9"/>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73"/>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DA4"/>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95C"/>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604"/>
    <w:rsid w:val="00112A1C"/>
    <w:rsid w:val="00112ED5"/>
    <w:rsid w:val="00113072"/>
    <w:rsid w:val="0011325C"/>
    <w:rsid w:val="0011381F"/>
    <w:rsid w:val="00113B42"/>
    <w:rsid w:val="00113D91"/>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3C6"/>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548"/>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A9D"/>
    <w:rsid w:val="00140B17"/>
    <w:rsid w:val="00140B5B"/>
    <w:rsid w:val="00140B81"/>
    <w:rsid w:val="00140C28"/>
    <w:rsid w:val="00141418"/>
    <w:rsid w:val="001415E6"/>
    <w:rsid w:val="001416BD"/>
    <w:rsid w:val="0014174F"/>
    <w:rsid w:val="00141A02"/>
    <w:rsid w:val="00141C08"/>
    <w:rsid w:val="00141CA1"/>
    <w:rsid w:val="0014201B"/>
    <w:rsid w:val="00142062"/>
    <w:rsid w:val="0014210A"/>
    <w:rsid w:val="00142485"/>
    <w:rsid w:val="0014296A"/>
    <w:rsid w:val="00143061"/>
    <w:rsid w:val="00143335"/>
    <w:rsid w:val="00143391"/>
    <w:rsid w:val="001438FC"/>
    <w:rsid w:val="00143DDE"/>
    <w:rsid w:val="00143DF4"/>
    <w:rsid w:val="00143F3D"/>
    <w:rsid w:val="0014413D"/>
    <w:rsid w:val="00145AB8"/>
    <w:rsid w:val="00145BBD"/>
    <w:rsid w:val="00145D7D"/>
    <w:rsid w:val="001461FB"/>
    <w:rsid w:val="00146294"/>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24F"/>
    <w:rsid w:val="00152B3C"/>
    <w:rsid w:val="00152D6E"/>
    <w:rsid w:val="00152E1C"/>
    <w:rsid w:val="00153005"/>
    <w:rsid w:val="001538A6"/>
    <w:rsid w:val="00153952"/>
    <w:rsid w:val="00153A7C"/>
    <w:rsid w:val="00153AD9"/>
    <w:rsid w:val="00153C3E"/>
    <w:rsid w:val="00153F3C"/>
    <w:rsid w:val="001540D4"/>
    <w:rsid w:val="00154153"/>
    <w:rsid w:val="00154223"/>
    <w:rsid w:val="00154492"/>
    <w:rsid w:val="001545E0"/>
    <w:rsid w:val="00154908"/>
    <w:rsid w:val="00154E3C"/>
    <w:rsid w:val="00155050"/>
    <w:rsid w:val="00155265"/>
    <w:rsid w:val="0015582C"/>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B71"/>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71B"/>
    <w:rsid w:val="00175895"/>
    <w:rsid w:val="00175935"/>
    <w:rsid w:val="00175A18"/>
    <w:rsid w:val="00175C34"/>
    <w:rsid w:val="00175D55"/>
    <w:rsid w:val="0017633D"/>
    <w:rsid w:val="001763B3"/>
    <w:rsid w:val="0017648C"/>
    <w:rsid w:val="001764A5"/>
    <w:rsid w:val="00176697"/>
    <w:rsid w:val="001766DB"/>
    <w:rsid w:val="00176734"/>
    <w:rsid w:val="00176748"/>
    <w:rsid w:val="00176AFC"/>
    <w:rsid w:val="00176E31"/>
    <w:rsid w:val="00177098"/>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BE1"/>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9BE"/>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5512"/>
    <w:rsid w:val="00195B9C"/>
    <w:rsid w:val="00196088"/>
    <w:rsid w:val="001960EC"/>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14"/>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0EE"/>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855"/>
    <w:rsid w:val="001B1A64"/>
    <w:rsid w:val="001B1B45"/>
    <w:rsid w:val="001B1BC5"/>
    <w:rsid w:val="001B1C3B"/>
    <w:rsid w:val="001B1C41"/>
    <w:rsid w:val="001B1CD7"/>
    <w:rsid w:val="001B296B"/>
    <w:rsid w:val="001B2A14"/>
    <w:rsid w:val="001B31D0"/>
    <w:rsid w:val="001B31FB"/>
    <w:rsid w:val="001B35F9"/>
    <w:rsid w:val="001B3705"/>
    <w:rsid w:val="001B3734"/>
    <w:rsid w:val="001B3770"/>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844"/>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B1"/>
    <w:rsid w:val="001C18FB"/>
    <w:rsid w:val="001C19DF"/>
    <w:rsid w:val="001C1B45"/>
    <w:rsid w:val="001C1C7C"/>
    <w:rsid w:val="001C1FB2"/>
    <w:rsid w:val="001C1FCF"/>
    <w:rsid w:val="001C2232"/>
    <w:rsid w:val="001C25DA"/>
    <w:rsid w:val="001C2668"/>
    <w:rsid w:val="001C2895"/>
    <w:rsid w:val="001C2D6D"/>
    <w:rsid w:val="001C2EEF"/>
    <w:rsid w:val="001C31B9"/>
    <w:rsid w:val="001C3321"/>
    <w:rsid w:val="001C394A"/>
    <w:rsid w:val="001C3D04"/>
    <w:rsid w:val="001C3EC5"/>
    <w:rsid w:val="001C4737"/>
    <w:rsid w:val="001C4833"/>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E11"/>
    <w:rsid w:val="001D0FE7"/>
    <w:rsid w:val="001D112C"/>
    <w:rsid w:val="001D11F0"/>
    <w:rsid w:val="001D27B6"/>
    <w:rsid w:val="001D2A4E"/>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D7D16"/>
    <w:rsid w:val="001E0259"/>
    <w:rsid w:val="001E035B"/>
    <w:rsid w:val="001E03CE"/>
    <w:rsid w:val="001E0514"/>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4C1E"/>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A7"/>
    <w:rsid w:val="001F00BC"/>
    <w:rsid w:val="001F04D8"/>
    <w:rsid w:val="001F058A"/>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15D"/>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77E"/>
    <w:rsid w:val="0020687E"/>
    <w:rsid w:val="00206A05"/>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4F15"/>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CE5"/>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7A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40D"/>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3AE"/>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6D61"/>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0EA9"/>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05A"/>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7C9"/>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69"/>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5137"/>
    <w:rsid w:val="0025526A"/>
    <w:rsid w:val="00255578"/>
    <w:rsid w:val="002556B3"/>
    <w:rsid w:val="002556E1"/>
    <w:rsid w:val="00255906"/>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3F5"/>
    <w:rsid w:val="00260441"/>
    <w:rsid w:val="002607BC"/>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26A"/>
    <w:rsid w:val="002624BB"/>
    <w:rsid w:val="002625B1"/>
    <w:rsid w:val="002625CD"/>
    <w:rsid w:val="0026269C"/>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762"/>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295"/>
    <w:rsid w:val="00275370"/>
    <w:rsid w:val="002756D4"/>
    <w:rsid w:val="00275BAA"/>
    <w:rsid w:val="00275E50"/>
    <w:rsid w:val="00276574"/>
    <w:rsid w:val="00276944"/>
    <w:rsid w:val="00276AF9"/>
    <w:rsid w:val="00276CAD"/>
    <w:rsid w:val="0027701F"/>
    <w:rsid w:val="00277198"/>
    <w:rsid w:val="002772F2"/>
    <w:rsid w:val="00277399"/>
    <w:rsid w:val="002777A7"/>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B39"/>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0B0"/>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4FEE"/>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12F"/>
    <w:rsid w:val="002972E1"/>
    <w:rsid w:val="00297386"/>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BA6"/>
    <w:rsid w:val="002A1C16"/>
    <w:rsid w:val="002A20B9"/>
    <w:rsid w:val="002A237B"/>
    <w:rsid w:val="002A2787"/>
    <w:rsid w:val="002A28A8"/>
    <w:rsid w:val="002A2B61"/>
    <w:rsid w:val="002A2E6D"/>
    <w:rsid w:val="002A313A"/>
    <w:rsid w:val="002A3179"/>
    <w:rsid w:val="002A3257"/>
    <w:rsid w:val="002A3292"/>
    <w:rsid w:val="002A37B2"/>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6A1"/>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1CD"/>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540"/>
    <w:rsid w:val="002C7582"/>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D7C06"/>
    <w:rsid w:val="002E090F"/>
    <w:rsid w:val="002E0967"/>
    <w:rsid w:val="002E0F16"/>
    <w:rsid w:val="002E0FA2"/>
    <w:rsid w:val="002E13A0"/>
    <w:rsid w:val="002E185A"/>
    <w:rsid w:val="002E1C42"/>
    <w:rsid w:val="002E1E26"/>
    <w:rsid w:val="002E2748"/>
    <w:rsid w:val="002E2A70"/>
    <w:rsid w:val="002E2B77"/>
    <w:rsid w:val="002E33BF"/>
    <w:rsid w:val="002E351F"/>
    <w:rsid w:val="002E37B5"/>
    <w:rsid w:val="002E380E"/>
    <w:rsid w:val="002E3B41"/>
    <w:rsid w:val="002E3DF0"/>
    <w:rsid w:val="002E4487"/>
    <w:rsid w:val="002E4608"/>
    <w:rsid w:val="002E4671"/>
    <w:rsid w:val="002E4E82"/>
    <w:rsid w:val="002E4EE2"/>
    <w:rsid w:val="002E52A8"/>
    <w:rsid w:val="002E5335"/>
    <w:rsid w:val="002E5734"/>
    <w:rsid w:val="002E5811"/>
    <w:rsid w:val="002E5AF7"/>
    <w:rsid w:val="002E5CF2"/>
    <w:rsid w:val="002E5F3B"/>
    <w:rsid w:val="002E660A"/>
    <w:rsid w:val="002E6799"/>
    <w:rsid w:val="002E6C40"/>
    <w:rsid w:val="002E6CCF"/>
    <w:rsid w:val="002E6E72"/>
    <w:rsid w:val="002E6F90"/>
    <w:rsid w:val="002E706B"/>
    <w:rsid w:val="002E7185"/>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A16"/>
    <w:rsid w:val="002F1B67"/>
    <w:rsid w:val="002F2568"/>
    <w:rsid w:val="002F2624"/>
    <w:rsid w:val="002F29CB"/>
    <w:rsid w:val="002F2B44"/>
    <w:rsid w:val="002F2B8F"/>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93"/>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AB2"/>
    <w:rsid w:val="00302B76"/>
    <w:rsid w:val="00302C8D"/>
    <w:rsid w:val="00302D6C"/>
    <w:rsid w:val="00302E3D"/>
    <w:rsid w:val="00302F34"/>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39F"/>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0DEF"/>
    <w:rsid w:val="0031100E"/>
    <w:rsid w:val="00311194"/>
    <w:rsid w:val="003111A0"/>
    <w:rsid w:val="0031125F"/>
    <w:rsid w:val="0031136C"/>
    <w:rsid w:val="0031177F"/>
    <w:rsid w:val="00311B7B"/>
    <w:rsid w:val="00311F51"/>
    <w:rsid w:val="003122E8"/>
    <w:rsid w:val="00312635"/>
    <w:rsid w:val="00312B96"/>
    <w:rsid w:val="00312BA3"/>
    <w:rsid w:val="00313B7C"/>
    <w:rsid w:val="00313C32"/>
    <w:rsid w:val="00313F17"/>
    <w:rsid w:val="00314017"/>
    <w:rsid w:val="00314034"/>
    <w:rsid w:val="00314397"/>
    <w:rsid w:val="003144BA"/>
    <w:rsid w:val="00314523"/>
    <w:rsid w:val="00314645"/>
    <w:rsid w:val="003149A3"/>
    <w:rsid w:val="00314B2A"/>
    <w:rsid w:val="00314F35"/>
    <w:rsid w:val="00315000"/>
    <w:rsid w:val="003153D9"/>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084"/>
    <w:rsid w:val="00324673"/>
    <w:rsid w:val="00324B9B"/>
    <w:rsid w:val="00324D46"/>
    <w:rsid w:val="00324DE1"/>
    <w:rsid w:val="003250DD"/>
    <w:rsid w:val="003257CD"/>
    <w:rsid w:val="00325B0D"/>
    <w:rsid w:val="00325B56"/>
    <w:rsid w:val="00325BC5"/>
    <w:rsid w:val="00325DF1"/>
    <w:rsid w:val="0032655A"/>
    <w:rsid w:val="003268E8"/>
    <w:rsid w:val="00326A50"/>
    <w:rsid w:val="00326C01"/>
    <w:rsid w:val="00326D93"/>
    <w:rsid w:val="00326E24"/>
    <w:rsid w:val="003273F4"/>
    <w:rsid w:val="0032744B"/>
    <w:rsid w:val="00327607"/>
    <w:rsid w:val="00327618"/>
    <w:rsid w:val="00327719"/>
    <w:rsid w:val="00327764"/>
    <w:rsid w:val="003279D2"/>
    <w:rsid w:val="00327C5F"/>
    <w:rsid w:val="00327FFA"/>
    <w:rsid w:val="00330315"/>
    <w:rsid w:val="003308CB"/>
    <w:rsid w:val="00330F5F"/>
    <w:rsid w:val="003313FF"/>
    <w:rsid w:val="0033175C"/>
    <w:rsid w:val="00331867"/>
    <w:rsid w:val="00331871"/>
    <w:rsid w:val="003319F5"/>
    <w:rsid w:val="00331A1B"/>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003"/>
    <w:rsid w:val="00336146"/>
    <w:rsid w:val="003364E2"/>
    <w:rsid w:val="00336662"/>
    <w:rsid w:val="003366AE"/>
    <w:rsid w:val="003369EE"/>
    <w:rsid w:val="00336A2E"/>
    <w:rsid w:val="00336A91"/>
    <w:rsid w:val="00336DB6"/>
    <w:rsid w:val="00336DFB"/>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5F47"/>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EDF"/>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8F6"/>
    <w:rsid w:val="00353907"/>
    <w:rsid w:val="00353C8B"/>
    <w:rsid w:val="00353DCC"/>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379"/>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1C6"/>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6CB"/>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70F"/>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8C9"/>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335"/>
    <w:rsid w:val="00392A69"/>
    <w:rsid w:val="00392E4E"/>
    <w:rsid w:val="003930EB"/>
    <w:rsid w:val="003931D8"/>
    <w:rsid w:val="00393229"/>
    <w:rsid w:val="00393509"/>
    <w:rsid w:val="00393569"/>
    <w:rsid w:val="00393C42"/>
    <w:rsid w:val="00393EFB"/>
    <w:rsid w:val="003942F1"/>
    <w:rsid w:val="00394705"/>
    <w:rsid w:val="00394720"/>
    <w:rsid w:val="0039480F"/>
    <w:rsid w:val="00394B28"/>
    <w:rsid w:val="00394B89"/>
    <w:rsid w:val="00395151"/>
    <w:rsid w:val="0039525E"/>
    <w:rsid w:val="00395514"/>
    <w:rsid w:val="0039554E"/>
    <w:rsid w:val="003957BB"/>
    <w:rsid w:val="00395C25"/>
    <w:rsid w:val="00395C2B"/>
    <w:rsid w:val="00395C4B"/>
    <w:rsid w:val="00395C7A"/>
    <w:rsid w:val="00395CC6"/>
    <w:rsid w:val="00395D85"/>
    <w:rsid w:val="00395E22"/>
    <w:rsid w:val="00395FEF"/>
    <w:rsid w:val="003961B5"/>
    <w:rsid w:val="003962D6"/>
    <w:rsid w:val="0039638D"/>
    <w:rsid w:val="00396828"/>
    <w:rsid w:val="00396E02"/>
    <w:rsid w:val="00397119"/>
    <w:rsid w:val="0039723A"/>
    <w:rsid w:val="003975C0"/>
    <w:rsid w:val="00397D6F"/>
    <w:rsid w:val="003A0146"/>
    <w:rsid w:val="003A03F0"/>
    <w:rsid w:val="003A0637"/>
    <w:rsid w:val="003A0743"/>
    <w:rsid w:val="003A0C86"/>
    <w:rsid w:val="003A0EBC"/>
    <w:rsid w:val="003A193D"/>
    <w:rsid w:val="003A21D7"/>
    <w:rsid w:val="003A24F9"/>
    <w:rsid w:val="003A25B0"/>
    <w:rsid w:val="003A270F"/>
    <w:rsid w:val="003A2BE5"/>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97A"/>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761"/>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2"/>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BB62F"/>
    <w:rsid w:val="003C00AB"/>
    <w:rsid w:val="003C041C"/>
    <w:rsid w:val="003C0F40"/>
    <w:rsid w:val="003C0F54"/>
    <w:rsid w:val="003C0FEF"/>
    <w:rsid w:val="003C121D"/>
    <w:rsid w:val="003C1271"/>
    <w:rsid w:val="003C1658"/>
    <w:rsid w:val="003C1867"/>
    <w:rsid w:val="003C188E"/>
    <w:rsid w:val="003C1937"/>
    <w:rsid w:val="003C206A"/>
    <w:rsid w:val="003C24CB"/>
    <w:rsid w:val="003C260C"/>
    <w:rsid w:val="003C277F"/>
    <w:rsid w:val="003C281D"/>
    <w:rsid w:val="003C2897"/>
    <w:rsid w:val="003C29EE"/>
    <w:rsid w:val="003C2C8D"/>
    <w:rsid w:val="003C2E50"/>
    <w:rsid w:val="003C3016"/>
    <w:rsid w:val="003C319E"/>
    <w:rsid w:val="003C33A3"/>
    <w:rsid w:val="003C3659"/>
    <w:rsid w:val="003C387E"/>
    <w:rsid w:val="003C3ACE"/>
    <w:rsid w:val="003C3CCD"/>
    <w:rsid w:val="003C3D25"/>
    <w:rsid w:val="003C3F26"/>
    <w:rsid w:val="003C40A4"/>
    <w:rsid w:val="003C44E3"/>
    <w:rsid w:val="003C45A6"/>
    <w:rsid w:val="003C486D"/>
    <w:rsid w:val="003C4DC1"/>
    <w:rsid w:val="003C4ED1"/>
    <w:rsid w:val="003C4EEA"/>
    <w:rsid w:val="003C511B"/>
    <w:rsid w:val="003C53A9"/>
    <w:rsid w:val="003C53B5"/>
    <w:rsid w:val="003C587F"/>
    <w:rsid w:val="003C5A7A"/>
    <w:rsid w:val="003C5EC4"/>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1CE1"/>
    <w:rsid w:val="003D1DA9"/>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6140"/>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0A"/>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22"/>
    <w:rsid w:val="003F0C9B"/>
    <w:rsid w:val="003F110B"/>
    <w:rsid w:val="003F1299"/>
    <w:rsid w:val="003F1C0F"/>
    <w:rsid w:val="003F1F1D"/>
    <w:rsid w:val="003F2A8C"/>
    <w:rsid w:val="003F2CEF"/>
    <w:rsid w:val="003F2DEE"/>
    <w:rsid w:val="003F307C"/>
    <w:rsid w:val="003F31AE"/>
    <w:rsid w:val="003F325F"/>
    <w:rsid w:val="003F3282"/>
    <w:rsid w:val="003F3495"/>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3F7E56"/>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B30"/>
    <w:rsid w:val="00402C56"/>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81"/>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243"/>
    <w:rsid w:val="00415BC5"/>
    <w:rsid w:val="00415DB8"/>
    <w:rsid w:val="00415EE3"/>
    <w:rsid w:val="00415F40"/>
    <w:rsid w:val="0041604E"/>
    <w:rsid w:val="004161DD"/>
    <w:rsid w:val="00416341"/>
    <w:rsid w:val="00416584"/>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351"/>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190B"/>
    <w:rsid w:val="004322D4"/>
    <w:rsid w:val="00432570"/>
    <w:rsid w:val="0043269D"/>
    <w:rsid w:val="00432A76"/>
    <w:rsid w:val="00432F05"/>
    <w:rsid w:val="004330BC"/>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0BB"/>
    <w:rsid w:val="004362BB"/>
    <w:rsid w:val="004368AE"/>
    <w:rsid w:val="004369C6"/>
    <w:rsid w:val="00436CDF"/>
    <w:rsid w:val="00437130"/>
    <w:rsid w:val="00437330"/>
    <w:rsid w:val="004378EC"/>
    <w:rsid w:val="004379D0"/>
    <w:rsid w:val="00437C26"/>
    <w:rsid w:val="00440018"/>
    <w:rsid w:val="0044040B"/>
    <w:rsid w:val="00440604"/>
    <w:rsid w:val="00440DFC"/>
    <w:rsid w:val="00440E5B"/>
    <w:rsid w:val="00440FD7"/>
    <w:rsid w:val="0044122D"/>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3AEE"/>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927"/>
    <w:rsid w:val="00446A40"/>
    <w:rsid w:val="00446CE8"/>
    <w:rsid w:val="004477EF"/>
    <w:rsid w:val="00447895"/>
    <w:rsid w:val="00447A16"/>
    <w:rsid w:val="00447A38"/>
    <w:rsid w:val="00447BCF"/>
    <w:rsid w:val="004500E6"/>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D64"/>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B14"/>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3F2"/>
    <w:rsid w:val="0047041D"/>
    <w:rsid w:val="004707D6"/>
    <w:rsid w:val="00470B1D"/>
    <w:rsid w:val="00470D18"/>
    <w:rsid w:val="00470F57"/>
    <w:rsid w:val="0047102C"/>
    <w:rsid w:val="00471161"/>
    <w:rsid w:val="004711CD"/>
    <w:rsid w:val="0047151E"/>
    <w:rsid w:val="00471868"/>
    <w:rsid w:val="00471A5E"/>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8B3"/>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6E05"/>
    <w:rsid w:val="00477631"/>
    <w:rsid w:val="00477975"/>
    <w:rsid w:val="00477BC0"/>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7C4"/>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6D2F"/>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77A"/>
    <w:rsid w:val="004A2805"/>
    <w:rsid w:val="004A2F7C"/>
    <w:rsid w:val="004A3254"/>
    <w:rsid w:val="004A3261"/>
    <w:rsid w:val="004A34F8"/>
    <w:rsid w:val="004A3878"/>
    <w:rsid w:val="004A3E7B"/>
    <w:rsid w:val="004A3FB2"/>
    <w:rsid w:val="004A40FD"/>
    <w:rsid w:val="004A4356"/>
    <w:rsid w:val="004A4627"/>
    <w:rsid w:val="004A4629"/>
    <w:rsid w:val="004A4774"/>
    <w:rsid w:val="004A4B32"/>
    <w:rsid w:val="004A4CFD"/>
    <w:rsid w:val="004A537E"/>
    <w:rsid w:val="004A545D"/>
    <w:rsid w:val="004A5541"/>
    <w:rsid w:val="004A5623"/>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A7CB6"/>
    <w:rsid w:val="004B00F3"/>
    <w:rsid w:val="004B028E"/>
    <w:rsid w:val="004B038D"/>
    <w:rsid w:val="004B06B6"/>
    <w:rsid w:val="004B08AF"/>
    <w:rsid w:val="004B0A61"/>
    <w:rsid w:val="004B0AEA"/>
    <w:rsid w:val="004B0BD9"/>
    <w:rsid w:val="004B0E7C"/>
    <w:rsid w:val="004B105B"/>
    <w:rsid w:val="004B14A4"/>
    <w:rsid w:val="004B14E1"/>
    <w:rsid w:val="004B15AD"/>
    <w:rsid w:val="004B15F1"/>
    <w:rsid w:val="004B1611"/>
    <w:rsid w:val="004B17CB"/>
    <w:rsid w:val="004B1891"/>
    <w:rsid w:val="004B18BE"/>
    <w:rsid w:val="004B203E"/>
    <w:rsid w:val="004B20F7"/>
    <w:rsid w:val="004B277F"/>
    <w:rsid w:val="004B28A2"/>
    <w:rsid w:val="004B2BFD"/>
    <w:rsid w:val="004B33B9"/>
    <w:rsid w:val="004B340E"/>
    <w:rsid w:val="004B3420"/>
    <w:rsid w:val="004B3554"/>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75B"/>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0F9"/>
    <w:rsid w:val="004C5230"/>
    <w:rsid w:val="004C53F2"/>
    <w:rsid w:val="004C55A3"/>
    <w:rsid w:val="004C5831"/>
    <w:rsid w:val="004C5D9F"/>
    <w:rsid w:val="004C5E4F"/>
    <w:rsid w:val="004C5E76"/>
    <w:rsid w:val="004C602B"/>
    <w:rsid w:val="004C61E2"/>
    <w:rsid w:val="004C648E"/>
    <w:rsid w:val="004C66F5"/>
    <w:rsid w:val="004C67F9"/>
    <w:rsid w:val="004C6804"/>
    <w:rsid w:val="004C6988"/>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482"/>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346"/>
    <w:rsid w:val="004E1447"/>
    <w:rsid w:val="004E14EA"/>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4BC"/>
    <w:rsid w:val="004F0776"/>
    <w:rsid w:val="004F0C08"/>
    <w:rsid w:val="004F0D65"/>
    <w:rsid w:val="004F0D81"/>
    <w:rsid w:val="004F10BF"/>
    <w:rsid w:val="004F181B"/>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73"/>
    <w:rsid w:val="004F41DE"/>
    <w:rsid w:val="004F4638"/>
    <w:rsid w:val="004F4655"/>
    <w:rsid w:val="004F481D"/>
    <w:rsid w:val="004F498B"/>
    <w:rsid w:val="004F4C1A"/>
    <w:rsid w:val="004F514F"/>
    <w:rsid w:val="004F52BF"/>
    <w:rsid w:val="004F58C9"/>
    <w:rsid w:val="004F5A1A"/>
    <w:rsid w:val="004F5AA1"/>
    <w:rsid w:val="004F5AE3"/>
    <w:rsid w:val="004F5B97"/>
    <w:rsid w:val="004F6187"/>
    <w:rsid w:val="004F68F7"/>
    <w:rsid w:val="004F6C03"/>
    <w:rsid w:val="004F6E44"/>
    <w:rsid w:val="004F7584"/>
    <w:rsid w:val="004F7A0A"/>
    <w:rsid w:val="004F7A2C"/>
    <w:rsid w:val="004F7FEF"/>
    <w:rsid w:val="005001A9"/>
    <w:rsid w:val="005001D7"/>
    <w:rsid w:val="00500369"/>
    <w:rsid w:val="00500412"/>
    <w:rsid w:val="00500480"/>
    <w:rsid w:val="005008E5"/>
    <w:rsid w:val="00500B0C"/>
    <w:rsid w:val="00500DB5"/>
    <w:rsid w:val="00500DDC"/>
    <w:rsid w:val="005010B9"/>
    <w:rsid w:val="00501282"/>
    <w:rsid w:val="005013AF"/>
    <w:rsid w:val="0050144E"/>
    <w:rsid w:val="005015B1"/>
    <w:rsid w:val="005016F1"/>
    <w:rsid w:val="00501B32"/>
    <w:rsid w:val="00501CE9"/>
    <w:rsid w:val="00501E42"/>
    <w:rsid w:val="00501E71"/>
    <w:rsid w:val="0050214A"/>
    <w:rsid w:val="00502387"/>
    <w:rsid w:val="00502B58"/>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411"/>
    <w:rsid w:val="005145C5"/>
    <w:rsid w:val="00514730"/>
    <w:rsid w:val="005147BB"/>
    <w:rsid w:val="005147F4"/>
    <w:rsid w:val="00514A3A"/>
    <w:rsid w:val="00514E17"/>
    <w:rsid w:val="00514F9A"/>
    <w:rsid w:val="00514F9C"/>
    <w:rsid w:val="005152C9"/>
    <w:rsid w:val="0051551E"/>
    <w:rsid w:val="0051560D"/>
    <w:rsid w:val="00515737"/>
    <w:rsid w:val="0051587A"/>
    <w:rsid w:val="00516066"/>
    <w:rsid w:val="00516265"/>
    <w:rsid w:val="00516D9F"/>
    <w:rsid w:val="00516DBA"/>
    <w:rsid w:val="00516E9F"/>
    <w:rsid w:val="00516F49"/>
    <w:rsid w:val="00516F9F"/>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377"/>
    <w:rsid w:val="00531595"/>
    <w:rsid w:val="00531B26"/>
    <w:rsid w:val="0053232E"/>
    <w:rsid w:val="005323F1"/>
    <w:rsid w:val="00532763"/>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DF1"/>
    <w:rsid w:val="00540F30"/>
    <w:rsid w:val="00540F4B"/>
    <w:rsid w:val="0054144C"/>
    <w:rsid w:val="00541B3F"/>
    <w:rsid w:val="00541B6E"/>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475"/>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850"/>
    <w:rsid w:val="00547A50"/>
    <w:rsid w:val="00547DF0"/>
    <w:rsid w:val="00547F6E"/>
    <w:rsid w:val="005501E1"/>
    <w:rsid w:val="0055043E"/>
    <w:rsid w:val="0055050E"/>
    <w:rsid w:val="005508DC"/>
    <w:rsid w:val="00550B1B"/>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2BC"/>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2C"/>
    <w:rsid w:val="00557359"/>
    <w:rsid w:val="005577F9"/>
    <w:rsid w:val="00557827"/>
    <w:rsid w:val="00557B9E"/>
    <w:rsid w:val="00557DE4"/>
    <w:rsid w:val="00557DF1"/>
    <w:rsid w:val="00557F82"/>
    <w:rsid w:val="00560102"/>
    <w:rsid w:val="005601A5"/>
    <w:rsid w:val="005606DA"/>
    <w:rsid w:val="005609D2"/>
    <w:rsid w:val="00560A3D"/>
    <w:rsid w:val="00560F0F"/>
    <w:rsid w:val="00560FEB"/>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B2D"/>
    <w:rsid w:val="00574D66"/>
    <w:rsid w:val="00574E2E"/>
    <w:rsid w:val="00574F6E"/>
    <w:rsid w:val="00575284"/>
    <w:rsid w:val="0057544C"/>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63F"/>
    <w:rsid w:val="0058172C"/>
    <w:rsid w:val="00581958"/>
    <w:rsid w:val="00581A42"/>
    <w:rsid w:val="00581C03"/>
    <w:rsid w:val="00581D7D"/>
    <w:rsid w:val="005821CC"/>
    <w:rsid w:val="00582D68"/>
    <w:rsid w:val="00582E7D"/>
    <w:rsid w:val="00582E8D"/>
    <w:rsid w:val="0058324B"/>
    <w:rsid w:val="005833D3"/>
    <w:rsid w:val="00583454"/>
    <w:rsid w:val="00583944"/>
    <w:rsid w:val="00583E5F"/>
    <w:rsid w:val="00584205"/>
    <w:rsid w:val="00584757"/>
    <w:rsid w:val="00584838"/>
    <w:rsid w:val="00584BFE"/>
    <w:rsid w:val="00584D23"/>
    <w:rsid w:val="00584D98"/>
    <w:rsid w:val="00584EC4"/>
    <w:rsid w:val="00585172"/>
    <w:rsid w:val="0058548F"/>
    <w:rsid w:val="00585537"/>
    <w:rsid w:val="005855E7"/>
    <w:rsid w:val="00585692"/>
    <w:rsid w:val="005856D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706"/>
    <w:rsid w:val="005918AF"/>
    <w:rsid w:val="00591940"/>
    <w:rsid w:val="00591C6E"/>
    <w:rsid w:val="00591CC1"/>
    <w:rsid w:val="00591D18"/>
    <w:rsid w:val="00591EF0"/>
    <w:rsid w:val="005926E2"/>
    <w:rsid w:val="00592AA8"/>
    <w:rsid w:val="005931F5"/>
    <w:rsid w:val="00593202"/>
    <w:rsid w:val="0059340C"/>
    <w:rsid w:val="00593546"/>
    <w:rsid w:val="005940A3"/>
    <w:rsid w:val="00594376"/>
    <w:rsid w:val="00594451"/>
    <w:rsid w:val="00594485"/>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39E"/>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B46"/>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9C6"/>
    <w:rsid w:val="005B1AB3"/>
    <w:rsid w:val="005B1F12"/>
    <w:rsid w:val="005B20C7"/>
    <w:rsid w:val="005B215A"/>
    <w:rsid w:val="005B25EC"/>
    <w:rsid w:val="005B2820"/>
    <w:rsid w:val="005B2CBF"/>
    <w:rsid w:val="005B31C8"/>
    <w:rsid w:val="005B3204"/>
    <w:rsid w:val="005B363A"/>
    <w:rsid w:val="005B3FD5"/>
    <w:rsid w:val="005B466D"/>
    <w:rsid w:val="005B4BB9"/>
    <w:rsid w:val="005B4EE9"/>
    <w:rsid w:val="005B4F48"/>
    <w:rsid w:val="005B5615"/>
    <w:rsid w:val="005B56F3"/>
    <w:rsid w:val="005B5751"/>
    <w:rsid w:val="005B57A5"/>
    <w:rsid w:val="005B5A1B"/>
    <w:rsid w:val="005B5CB2"/>
    <w:rsid w:val="005B60C7"/>
    <w:rsid w:val="005B60D6"/>
    <w:rsid w:val="005B636A"/>
    <w:rsid w:val="005B640F"/>
    <w:rsid w:val="005B66D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6F0B"/>
    <w:rsid w:val="005C71A6"/>
    <w:rsid w:val="005C71EA"/>
    <w:rsid w:val="005C7279"/>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6D"/>
    <w:rsid w:val="005D24AF"/>
    <w:rsid w:val="005D289E"/>
    <w:rsid w:val="005D297B"/>
    <w:rsid w:val="005D2A4F"/>
    <w:rsid w:val="005D2A97"/>
    <w:rsid w:val="005D2F3A"/>
    <w:rsid w:val="005D3430"/>
    <w:rsid w:val="005D360C"/>
    <w:rsid w:val="005D36CE"/>
    <w:rsid w:val="005D39EF"/>
    <w:rsid w:val="005D3B50"/>
    <w:rsid w:val="005D3E72"/>
    <w:rsid w:val="005D4028"/>
    <w:rsid w:val="005D468A"/>
    <w:rsid w:val="005D4997"/>
    <w:rsid w:val="005D51F0"/>
    <w:rsid w:val="005D5298"/>
    <w:rsid w:val="005D52A1"/>
    <w:rsid w:val="005D532B"/>
    <w:rsid w:val="005D5392"/>
    <w:rsid w:val="005D54EF"/>
    <w:rsid w:val="005D5533"/>
    <w:rsid w:val="005D55A7"/>
    <w:rsid w:val="005D55D2"/>
    <w:rsid w:val="005D56BC"/>
    <w:rsid w:val="005D5C1F"/>
    <w:rsid w:val="005D603E"/>
    <w:rsid w:val="005D60C6"/>
    <w:rsid w:val="005D60C9"/>
    <w:rsid w:val="005D6198"/>
    <w:rsid w:val="005D660C"/>
    <w:rsid w:val="005D678B"/>
    <w:rsid w:val="005D6C8E"/>
    <w:rsid w:val="005D73A6"/>
    <w:rsid w:val="005D7574"/>
    <w:rsid w:val="005D75A9"/>
    <w:rsid w:val="005D77C7"/>
    <w:rsid w:val="005D790D"/>
    <w:rsid w:val="005D7951"/>
    <w:rsid w:val="005D7B6F"/>
    <w:rsid w:val="005E018B"/>
    <w:rsid w:val="005E0660"/>
    <w:rsid w:val="005E07EA"/>
    <w:rsid w:val="005E0815"/>
    <w:rsid w:val="005E0A1F"/>
    <w:rsid w:val="005E0D4F"/>
    <w:rsid w:val="005E0E6C"/>
    <w:rsid w:val="005E1480"/>
    <w:rsid w:val="005E1512"/>
    <w:rsid w:val="005E15E3"/>
    <w:rsid w:val="005E1A55"/>
    <w:rsid w:val="005E1E55"/>
    <w:rsid w:val="005E1EEA"/>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EF6"/>
    <w:rsid w:val="005F30BF"/>
    <w:rsid w:val="005F372C"/>
    <w:rsid w:val="005F3739"/>
    <w:rsid w:val="005F3895"/>
    <w:rsid w:val="005F3977"/>
    <w:rsid w:val="005F3E71"/>
    <w:rsid w:val="005F3FB8"/>
    <w:rsid w:val="005F4312"/>
    <w:rsid w:val="005F43D6"/>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844"/>
    <w:rsid w:val="00611990"/>
    <w:rsid w:val="00611B42"/>
    <w:rsid w:val="00611BAB"/>
    <w:rsid w:val="00611CF8"/>
    <w:rsid w:val="00611E6A"/>
    <w:rsid w:val="00611EAE"/>
    <w:rsid w:val="00612031"/>
    <w:rsid w:val="006120DC"/>
    <w:rsid w:val="0061213B"/>
    <w:rsid w:val="006121B5"/>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60C4"/>
    <w:rsid w:val="00616265"/>
    <w:rsid w:val="006163CF"/>
    <w:rsid w:val="0061668C"/>
    <w:rsid w:val="00616B95"/>
    <w:rsid w:val="00617344"/>
    <w:rsid w:val="00617401"/>
    <w:rsid w:val="006175DC"/>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8B3"/>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04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D43"/>
    <w:rsid w:val="00634ECD"/>
    <w:rsid w:val="00634F72"/>
    <w:rsid w:val="00635127"/>
    <w:rsid w:val="00635301"/>
    <w:rsid w:val="00635317"/>
    <w:rsid w:val="00635457"/>
    <w:rsid w:val="00635485"/>
    <w:rsid w:val="0063561D"/>
    <w:rsid w:val="0063563F"/>
    <w:rsid w:val="00635663"/>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774"/>
    <w:rsid w:val="00640967"/>
    <w:rsid w:val="006409F4"/>
    <w:rsid w:val="00640AA9"/>
    <w:rsid w:val="00640AEF"/>
    <w:rsid w:val="00640D07"/>
    <w:rsid w:val="00640FB1"/>
    <w:rsid w:val="00641144"/>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8F2"/>
    <w:rsid w:val="00651A4F"/>
    <w:rsid w:val="00651C93"/>
    <w:rsid w:val="00651CD7"/>
    <w:rsid w:val="00651E14"/>
    <w:rsid w:val="00651FF6"/>
    <w:rsid w:val="006520E3"/>
    <w:rsid w:val="006522EC"/>
    <w:rsid w:val="006524BC"/>
    <w:rsid w:val="006527D6"/>
    <w:rsid w:val="00652939"/>
    <w:rsid w:val="0065299B"/>
    <w:rsid w:val="00652AA8"/>
    <w:rsid w:val="00652CC1"/>
    <w:rsid w:val="0065326D"/>
    <w:rsid w:val="0065343C"/>
    <w:rsid w:val="0065343E"/>
    <w:rsid w:val="006536AD"/>
    <w:rsid w:val="0065373D"/>
    <w:rsid w:val="006537B3"/>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21A6"/>
    <w:rsid w:val="0066224E"/>
    <w:rsid w:val="006626D9"/>
    <w:rsid w:val="00662883"/>
    <w:rsid w:val="00662A08"/>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3F3"/>
    <w:rsid w:val="006675B0"/>
    <w:rsid w:val="00667961"/>
    <w:rsid w:val="00667D30"/>
    <w:rsid w:val="0067002B"/>
    <w:rsid w:val="00670147"/>
    <w:rsid w:val="0067029D"/>
    <w:rsid w:val="00670403"/>
    <w:rsid w:val="006704C3"/>
    <w:rsid w:val="00670904"/>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242"/>
    <w:rsid w:val="00676467"/>
    <w:rsid w:val="006766AA"/>
    <w:rsid w:val="006767BC"/>
    <w:rsid w:val="00676904"/>
    <w:rsid w:val="0067695B"/>
    <w:rsid w:val="00676DBF"/>
    <w:rsid w:val="00677604"/>
    <w:rsid w:val="00677861"/>
    <w:rsid w:val="0067798F"/>
    <w:rsid w:val="00677A35"/>
    <w:rsid w:val="00677AD6"/>
    <w:rsid w:val="006800E7"/>
    <w:rsid w:val="00680197"/>
    <w:rsid w:val="006804C4"/>
    <w:rsid w:val="00680500"/>
    <w:rsid w:val="006806CA"/>
    <w:rsid w:val="00680E72"/>
    <w:rsid w:val="00680ED3"/>
    <w:rsid w:val="00680F0D"/>
    <w:rsid w:val="00680F69"/>
    <w:rsid w:val="00681293"/>
    <w:rsid w:val="006816AC"/>
    <w:rsid w:val="00681873"/>
    <w:rsid w:val="00681933"/>
    <w:rsid w:val="0068194A"/>
    <w:rsid w:val="00681A7A"/>
    <w:rsid w:val="00681C42"/>
    <w:rsid w:val="00681EF1"/>
    <w:rsid w:val="0068203A"/>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10"/>
    <w:rsid w:val="00690823"/>
    <w:rsid w:val="00690A1B"/>
    <w:rsid w:val="00690BDE"/>
    <w:rsid w:val="00690C39"/>
    <w:rsid w:val="00690C67"/>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24A"/>
    <w:rsid w:val="006A44FD"/>
    <w:rsid w:val="006A4694"/>
    <w:rsid w:val="006A4C45"/>
    <w:rsid w:val="006A4E6A"/>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0E84"/>
    <w:rsid w:val="006B130E"/>
    <w:rsid w:val="006B1587"/>
    <w:rsid w:val="006B1766"/>
    <w:rsid w:val="006B1AD0"/>
    <w:rsid w:val="006B1ED2"/>
    <w:rsid w:val="006B21BB"/>
    <w:rsid w:val="006B2235"/>
    <w:rsid w:val="006B2449"/>
    <w:rsid w:val="006B2734"/>
    <w:rsid w:val="006B2D56"/>
    <w:rsid w:val="006B2EA4"/>
    <w:rsid w:val="006B2F96"/>
    <w:rsid w:val="006B3151"/>
    <w:rsid w:val="006B31C4"/>
    <w:rsid w:val="006B320C"/>
    <w:rsid w:val="006B3462"/>
    <w:rsid w:val="006B3470"/>
    <w:rsid w:val="006B36B3"/>
    <w:rsid w:val="006B3832"/>
    <w:rsid w:val="006B3891"/>
    <w:rsid w:val="006B3A2C"/>
    <w:rsid w:val="006B3AB6"/>
    <w:rsid w:val="006B3ADC"/>
    <w:rsid w:val="006B3CAB"/>
    <w:rsid w:val="006B3DBF"/>
    <w:rsid w:val="006B3FAE"/>
    <w:rsid w:val="006B42AA"/>
    <w:rsid w:val="006B44CB"/>
    <w:rsid w:val="006B46BC"/>
    <w:rsid w:val="006B49B3"/>
    <w:rsid w:val="006B49D2"/>
    <w:rsid w:val="006B4CE5"/>
    <w:rsid w:val="006B570A"/>
    <w:rsid w:val="006B5715"/>
    <w:rsid w:val="006B582C"/>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51A"/>
    <w:rsid w:val="006C0632"/>
    <w:rsid w:val="006C067E"/>
    <w:rsid w:val="006C071F"/>
    <w:rsid w:val="006C0A54"/>
    <w:rsid w:val="006C0C90"/>
    <w:rsid w:val="006C0EE9"/>
    <w:rsid w:val="006C0FCD"/>
    <w:rsid w:val="006C1729"/>
    <w:rsid w:val="006C192D"/>
    <w:rsid w:val="006C1C38"/>
    <w:rsid w:val="006C1CD1"/>
    <w:rsid w:val="006C2550"/>
    <w:rsid w:val="006C2678"/>
    <w:rsid w:val="006C28D9"/>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1EF1"/>
    <w:rsid w:val="006D2145"/>
    <w:rsid w:val="006D2ED4"/>
    <w:rsid w:val="006D2FF8"/>
    <w:rsid w:val="006D302A"/>
    <w:rsid w:val="006D30B2"/>
    <w:rsid w:val="006D31A4"/>
    <w:rsid w:val="006D35FD"/>
    <w:rsid w:val="006D3811"/>
    <w:rsid w:val="006D3872"/>
    <w:rsid w:val="006D3F34"/>
    <w:rsid w:val="006D40E7"/>
    <w:rsid w:val="006D447B"/>
    <w:rsid w:val="006D47CF"/>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D7E2A"/>
    <w:rsid w:val="006E0258"/>
    <w:rsid w:val="006E06B3"/>
    <w:rsid w:val="006E09ED"/>
    <w:rsid w:val="006E0BB8"/>
    <w:rsid w:val="006E0D37"/>
    <w:rsid w:val="006E0FB9"/>
    <w:rsid w:val="006E14B3"/>
    <w:rsid w:val="006E175D"/>
    <w:rsid w:val="006E191C"/>
    <w:rsid w:val="006E1963"/>
    <w:rsid w:val="006E1EAC"/>
    <w:rsid w:val="006E1F52"/>
    <w:rsid w:val="006E22E1"/>
    <w:rsid w:val="006E2653"/>
    <w:rsid w:val="006E27DA"/>
    <w:rsid w:val="006E2875"/>
    <w:rsid w:val="006E2D3E"/>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696"/>
    <w:rsid w:val="006E5791"/>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1D9"/>
    <w:rsid w:val="006F5608"/>
    <w:rsid w:val="006F560B"/>
    <w:rsid w:val="006F604B"/>
    <w:rsid w:val="006F6337"/>
    <w:rsid w:val="006F6502"/>
    <w:rsid w:val="006F6847"/>
    <w:rsid w:val="006F6A32"/>
    <w:rsid w:val="006F70FC"/>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2E83"/>
    <w:rsid w:val="007030C7"/>
    <w:rsid w:val="0070343A"/>
    <w:rsid w:val="007035D6"/>
    <w:rsid w:val="007035E8"/>
    <w:rsid w:val="0070382E"/>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545"/>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1E9"/>
    <w:rsid w:val="00713515"/>
    <w:rsid w:val="00713587"/>
    <w:rsid w:val="007136F7"/>
    <w:rsid w:val="0071385C"/>
    <w:rsid w:val="007138DE"/>
    <w:rsid w:val="00713970"/>
    <w:rsid w:val="00714A31"/>
    <w:rsid w:val="00714A43"/>
    <w:rsid w:val="00714E5D"/>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B28"/>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E24"/>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178"/>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069"/>
    <w:rsid w:val="007371C1"/>
    <w:rsid w:val="007371F5"/>
    <w:rsid w:val="007373D9"/>
    <w:rsid w:val="00737595"/>
    <w:rsid w:val="00737925"/>
    <w:rsid w:val="00737C55"/>
    <w:rsid w:val="00737D5E"/>
    <w:rsid w:val="00737E90"/>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97C"/>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2D0"/>
    <w:rsid w:val="007604D5"/>
    <w:rsid w:val="007604FB"/>
    <w:rsid w:val="007606EE"/>
    <w:rsid w:val="00760711"/>
    <w:rsid w:val="00760715"/>
    <w:rsid w:val="007609C1"/>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4A"/>
    <w:rsid w:val="007629C0"/>
    <w:rsid w:val="00762A95"/>
    <w:rsid w:val="00762B54"/>
    <w:rsid w:val="00762D6F"/>
    <w:rsid w:val="00763648"/>
    <w:rsid w:val="007636BD"/>
    <w:rsid w:val="00763CB7"/>
    <w:rsid w:val="00763F2D"/>
    <w:rsid w:val="00764135"/>
    <w:rsid w:val="00764172"/>
    <w:rsid w:val="00764194"/>
    <w:rsid w:val="0076445A"/>
    <w:rsid w:val="0076446C"/>
    <w:rsid w:val="00764490"/>
    <w:rsid w:val="007646AC"/>
    <w:rsid w:val="00764A6D"/>
    <w:rsid w:val="00764C3D"/>
    <w:rsid w:val="00765A1B"/>
    <w:rsid w:val="00765A2E"/>
    <w:rsid w:val="00765C5D"/>
    <w:rsid w:val="00765D61"/>
    <w:rsid w:val="00765ECF"/>
    <w:rsid w:val="00765FE6"/>
    <w:rsid w:val="0076612F"/>
    <w:rsid w:val="0076642C"/>
    <w:rsid w:val="0076647C"/>
    <w:rsid w:val="00766491"/>
    <w:rsid w:val="007664B8"/>
    <w:rsid w:val="00766609"/>
    <w:rsid w:val="0076685D"/>
    <w:rsid w:val="0076687C"/>
    <w:rsid w:val="007668CD"/>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DC6"/>
    <w:rsid w:val="00771E2B"/>
    <w:rsid w:val="007721A7"/>
    <w:rsid w:val="007721DC"/>
    <w:rsid w:val="00772257"/>
    <w:rsid w:val="00772356"/>
    <w:rsid w:val="007725AF"/>
    <w:rsid w:val="007726A9"/>
    <w:rsid w:val="007726F6"/>
    <w:rsid w:val="00772723"/>
    <w:rsid w:val="00772BB8"/>
    <w:rsid w:val="00772E41"/>
    <w:rsid w:val="00772FCF"/>
    <w:rsid w:val="0077313D"/>
    <w:rsid w:val="007735A3"/>
    <w:rsid w:val="007735FD"/>
    <w:rsid w:val="0077367E"/>
    <w:rsid w:val="007736A6"/>
    <w:rsid w:val="00773830"/>
    <w:rsid w:val="007738D3"/>
    <w:rsid w:val="007739BE"/>
    <w:rsid w:val="00773FF9"/>
    <w:rsid w:val="007743E7"/>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5E6"/>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3F0E"/>
    <w:rsid w:val="00784389"/>
    <w:rsid w:val="0078465F"/>
    <w:rsid w:val="0078476D"/>
    <w:rsid w:val="007847CD"/>
    <w:rsid w:val="00784840"/>
    <w:rsid w:val="007848E2"/>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755"/>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97F"/>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5F87"/>
    <w:rsid w:val="007A60E5"/>
    <w:rsid w:val="007A64CF"/>
    <w:rsid w:val="007A65CE"/>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BDD25"/>
    <w:rsid w:val="007C056D"/>
    <w:rsid w:val="007C05EB"/>
    <w:rsid w:val="007C0F4F"/>
    <w:rsid w:val="007C1743"/>
    <w:rsid w:val="007C1AA2"/>
    <w:rsid w:val="007C1D3A"/>
    <w:rsid w:val="007C1F3A"/>
    <w:rsid w:val="007C2114"/>
    <w:rsid w:val="007C231D"/>
    <w:rsid w:val="007C23AE"/>
    <w:rsid w:val="007C261E"/>
    <w:rsid w:val="007C2806"/>
    <w:rsid w:val="007C2AEF"/>
    <w:rsid w:val="007C2DEB"/>
    <w:rsid w:val="007C2E41"/>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5CF"/>
    <w:rsid w:val="007D0846"/>
    <w:rsid w:val="007D0C47"/>
    <w:rsid w:val="007D0D50"/>
    <w:rsid w:val="007D0DD4"/>
    <w:rsid w:val="007D0EF7"/>
    <w:rsid w:val="007D11EF"/>
    <w:rsid w:val="007D16FF"/>
    <w:rsid w:val="007D1A42"/>
    <w:rsid w:val="007D1A5A"/>
    <w:rsid w:val="007D1AFC"/>
    <w:rsid w:val="007D1DE9"/>
    <w:rsid w:val="007D221D"/>
    <w:rsid w:val="007D269C"/>
    <w:rsid w:val="007D26D0"/>
    <w:rsid w:val="007D2B58"/>
    <w:rsid w:val="007D2B94"/>
    <w:rsid w:val="007D2BC0"/>
    <w:rsid w:val="007D2CAF"/>
    <w:rsid w:val="007D3088"/>
    <w:rsid w:val="007D31A0"/>
    <w:rsid w:val="007D34B9"/>
    <w:rsid w:val="007D35B2"/>
    <w:rsid w:val="007D3AEC"/>
    <w:rsid w:val="007D3FD8"/>
    <w:rsid w:val="007D4A43"/>
    <w:rsid w:val="007D4DC3"/>
    <w:rsid w:val="007D50FE"/>
    <w:rsid w:val="007D5181"/>
    <w:rsid w:val="007D5317"/>
    <w:rsid w:val="007D5450"/>
    <w:rsid w:val="007D573B"/>
    <w:rsid w:val="007D57F6"/>
    <w:rsid w:val="007D5967"/>
    <w:rsid w:val="007D5AC3"/>
    <w:rsid w:val="007D5E26"/>
    <w:rsid w:val="007D5F56"/>
    <w:rsid w:val="007D602B"/>
    <w:rsid w:val="007D61E4"/>
    <w:rsid w:val="007D628A"/>
    <w:rsid w:val="007D62B4"/>
    <w:rsid w:val="007D64D8"/>
    <w:rsid w:val="007D67A4"/>
    <w:rsid w:val="007D69BC"/>
    <w:rsid w:val="007D6A48"/>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A"/>
    <w:rsid w:val="007E7D0D"/>
    <w:rsid w:val="007E7E1C"/>
    <w:rsid w:val="007F0776"/>
    <w:rsid w:val="007F07F4"/>
    <w:rsid w:val="007F07FD"/>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3E"/>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5E3"/>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6E8E"/>
    <w:rsid w:val="00807252"/>
    <w:rsid w:val="00807383"/>
    <w:rsid w:val="00807419"/>
    <w:rsid w:val="008076A5"/>
    <w:rsid w:val="008077B2"/>
    <w:rsid w:val="0080780B"/>
    <w:rsid w:val="008078B7"/>
    <w:rsid w:val="00807970"/>
    <w:rsid w:val="00807CE2"/>
    <w:rsid w:val="00807CE5"/>
    <w:rsid w:val="008111F2"/>
    <w:rsid w:val="0081147E"/>
    <w:rsid w:val="00812128"/>
    <w:rsid w:val="00812176"/>
    <w:rsid w:val="0081240E"/>
    <w:rsid w:val="00812AF2"/>
    <w:rsid w:val="00812D5C"/>
    <w:rsid w:val="00812E06"/>
    <w:rsid w:val="00813274"/>
    <w:rsid w:val="00813288"/>
    <w:rsid w:val="00813315"/>
    <w:rsid w:val="008133B2"/>
    <w:rsid w:val="008136B2"/>
    <w:rsid w:val="00813804"/>
    <w:rsid w:val="00813855"/>
    <w:rsid w:val="00813888"/>
    <w:rsid w:val="00813CD8"/>
    <w:rsid w:val="00814014"/>
    <w:rsid w:val="008141D2"/>
    <w:rsid w:val="0081445E"/>
    <w:rsid w:val="0081457A"/>
    <w:rsid w:val="008145BC"/>
    <w:rsid w:val="00814855"/>
    <w:rsid w:val="00814AC5"/>
    <w:rsid w:val="00814AF0"/>
    <w:rsid w:val="00814D42"/>
    <w:rsid w:val="00814F0E"/>
    <w:rsid w:val="00815556"/>
    <w:rsid w:val="00815765"/>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1D1C"/>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5D"/>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B9C"/>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8A"/>
    <w:rsid w:val="0083219B"/>
    <w:rsid w:val="0083247A"/>
    <w:rsid w:val="008328AF"/>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3BA"/>
    <w:rsid w:val="0084458D"/>
    <w:rsid w:val="0084459A"/>
    <w:rsid w:val="00844606"/>
    <w:rsid w:val="008446F6"/>
    <w:rsid w:val="00844AA5"/>
    <w:rsid w:val="008450BB"/>
    <w:rsid w:val="008458D1"/>
    <w:rsid w:val="00845939"/>
    <w:rsid w:val="00845AEA"/>
    <w:rsid w:val="00845BF7"/>
    <w:rsid w:val="00845C2E"/>
    <w:rsid w:val="00845D3D"/>
    <w:rsid w:val="00846069"/>
    <w:rsid w:val="008460AE"/>
    <w:rsid w:val="00846285"/>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2D"/>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B42"/>
    <w:rsid w:val="00851C82"/>
    <w:rsid w:val="00851D01"/>
    <w:rsid w:val="00851ED1"/>
    <w:rsid w:val="00851F36"/>
    <w:rsid w:val="00852052"/>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78B"/>
    <w:rsid w:val="00854AC2"/>
    <w:rsid w:val="00854BC0"/>
    <w:rsid w:val="00854C05"/>
    <w:rsid w:val="008558EF"/>
    <w:rsid w:val="008559A4"/>
    <w:rsid w:val="008559FD"/>
    <w:rsid w:val="00855C66"/>
    <w:rsid w:val="00855D46"/>
    <w:rsid w:val="008560CE"/>
    <w:rsid w:val="008561F9"/>
    <w:rsid w:val="00856992"/>
    <w:rsid w:val="00856A09"/>
    <w:rsid w:val="00856AA3"/>
    <w:rsid w:val="00857162"/>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B5"/>
    <w:rsid w:val="00866EEF"/>
    <w:rsid w:val="00867014"/>
    <w:rsid w:val="00867290"/>
    <w:rsid w:val="008672FE"/>
    <w:rsid w:val="00867459"/>
    <w:rsid w:val="00867703"/>
    <w:rsid w:val="00867833"/>
    <w:rsid w:val="00867B6F"/>
    <w:rsid w:val="00867CE1"/>
    <w:rsid w:val="00867D05"/>
    <w:rsid w:val="00867DA2"/>
    <w:rsid w:val="00867E4D"/>
    <w:rsid w:val="00867F26"/>
    <w:rsid w:val="00867F43"/>
    <w:rsid w:val="0087007B"/>
    <w:rsid w:val="0087008C"/>
    <w:rsid w:val="008700CA"/>
    <w:rsid w:val="008701E7"/>
    <w:rsid w:val="00870324"/>
    <w:rsid w:val="008703C3"/>
    <w:rsid w:val="00870508"/>
    <w:rsid w:val="00870722"/>
    <w:rsid w:val="008709A1"/>
    <w:rsid w:val="00870B54"/>
    <w:rsid w:val="00870C6F"/>
    <w:rsid w:val="00870C8B"/>
    <w:rsid w:val="00870C99"/>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6E4"/>
    <w:rsid w:val="00875B1F"/>
    <w:rsid w:val="00875D8A"/>
    <w:rsid w:val="00875FD1"/>
    <w:rsid w:val="00875FFE"/>
    <w:rsid w:val="00876321"/>
    <w:rsid w:val="0087659D"/>
    <w:rsid w:val="00876731"/>
    <w:rsid w:val="00876797"/>
    <w:rsid w:val="008769B5"/>
    <w:rsid w:val="00876B80"/>
    <w:rsid w:val="00876E8B"/>
    <w:rsid w:val="008774C0"/>
    <w:rsid w:val="00877AFA"/>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1B1"/>
    <w:rsid w:val="0089021A"/>
    <w:rsid w:val="008902C1"/>
    <w:rsid w:val="00890481"/>
    <w:rsid w:val="00890AE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6DC"/>
    <w:rsid w:val="008A5771"/>
    <w:rsid w:val="008A599F"/>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8AC"/>
    <w:rsid w:val="008B6E48"/>
    <w:rsid w:val="008B6FC0"/>
    <w:rsid w:val="008B7102"/>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2F1"/>
    <w:rsid w:val="008C4352"/>
    <w:rsid w:val="008C4456"/>
    <w:rsid w:val="008C47FA"/>
    <w:rsid w:val="008C497B"/>
    <w:rsid w:val="008C4C86"/>
    <w:rsid w:val="008C4CC1"/>
    <w:rsid w:val="008C4D55"/>
    <w:rsid w:val="008C4DF2"/>
    <w:rsid w:val="008C4F20"/>
    <w:rsid w:val="008C4F23"/>
    <w:rsid w:val="008C5008"/>
    <w:rsid w:val="008C525B"/>
    <w:rsid w:val="008C5B5B"/>
    <w:rsid w:val="008C5E64"/>
    <w:rsid w:val="008C64B1"/>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2BB"/>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20C"/>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36"/>
    <w:rsid w:val="008D754B"/>
    <w:rsid w:val="008D7579"/>
    <w:rsid w:val="008D7731"/>
    <w:rsid w:val="008D77CB"/>
    <w:rsid w:val="008D7979"/>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559"/>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DFF"/>
    <w:rsid w:val="008E6E8C"/>
    <w:rsid w:val="008E6F38"/>
    <w:rsid w:val="008E7006"/>
    <w:rsid w:val="008E706E"/>
    <w:rsid w:val="008E7163"/>
    <w:rsid w:val="008E72F9"/>
    <w:rsid w:val="008E7A1D"/>
    <w:rsid w:val="008E7B49"/>
    <w:rsid w:val="008E7B51"/>
    <w:rsid w:val="008E7CC6"/>
    <w:rsid w:val="008F0202"/>
    <w:rsid w:val="008F02D7"/>
    <w:rsid w:val="008F03B6"/>
    <w:rsid w:val="008F054C"/>
    <w:rsid w:val="008F0CE6"/>
    <w:rsid w:val="008F0D78"/>
    <w:rsid w:val="008F0FAA"/>
    <w:rsid w:val="008F122E"/>
    <w:rsid w:val="008F1286"/>
    <w:rsid w:val="008F1311"/>
    <w:rsid w:val="008F1393"/>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742"/>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5DEA"/>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E4F"/>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782"/>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9D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483"/>
    <w:rsid w:val="0093463D"/>
    <w:rsid w:val="00934709"/>
    <w:rsid w:val="00934800"/>
    <w:rsid w:val="0093481E"/>
    <w:rsid w:val="0093485C"/>
    <w:rsid w:val="00934C2A"/>
    <w:rsid w:val="00934E49"/>
    <w:rsid w:val="00934F9A"/>
    <w:rsid w:val="00935132"/>
    <w:rsid w:val="009351BA"/>
    <w:rsid w:val="009353B9"/>
    <w:rsid w:val="00935410"/>
    <w:rsid w:val="009355EC"/>
    <w:rsid w:val="009355F5"/>
    <w:rsid w:val="00935B2B"/>
    <w:rsid w:val="00935B74"/>
    <w:rsid w:val="00935F85"/>
    <w:rsid w:val="00936658"/>
    <w:rsid w:val="009368CE"/>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2BE"/>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AD"/>
    <w:rsid w:val="009519DA"/>
    <w:rsid w:val="00951B64"/>
    <w:rsid w:val="00951CE5"/>
    <w:rsid w:val="0095208F"/>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02"/>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31"/>
    <w:rsid w:val="00964F50"/>
    <w:rsid w:val="009653A7"/>
    <w:rsid w:val="009658C4"/>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4AD"/>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9C3"/>
    <w:rsid w:val="00970CD4"/>
    <w:rsid w:val="00970F19"/>
    <w:rsid w:val="00971146"/>
    <w:rsid w:val="009711A9"/>
    <w:rsid w:val="009711CD"/>
    <w:rsid w:val="00971209"/>
    <w:rsid w:val="0097195B"/>
    <w:rsid w:val="00971E6E"/>
    <w:rsid w:val="00971FDE"/>
    <w:rsid w:val="00972316"/>
    <w:rsid w:val="0097242F"/>
    <w:rsid w:val="00972E0C"/>
    <w:rsid w:val="00972F5B"/>
    <w:rsid w:val="009733B4"/>
    <w:rsid w:val="009733D4"/>
    <w:rsid w:val="009734B2"/>
    <w:rsid w:val="009735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77EAE"/>
    <w:rsid w:val="00980064"/>
    <w:rsid w:val="0098013A"/>
    <w:rsid w:val="00980301"/>
    <w:rsid w:val="009804B5"/>
    <w:rsid w:val="0098050D"/>
    <w:rsid w:val="009806AB"/>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43"/>
    <w:rsid w:val="0098325C"/>
    <w:rsid w:val="00983580"/>
    <w:rsid w:val="00983632"/>
    <w:rsid w:val="00983B10"/>
    <w:rsid w:val="00983C88"/>
    <w:rsid w:val="00983DC3"/>
    <w:rsid w:val="0098408A"/>
    <w:rsid w:val="00984240"/>
    <w:rsid w:val="00984369"/>
    <w:rsid w:val="0098449E"/>
    <w:rsid w:val="0098464F"/>
    <w:rsid w:val="0098480B"/>
    <w:rsid w:val="00985149"/>
    <w:rsid w:val="00985488"/>
    <w:rsid w:val="009854FA"/>
    <w:rsid w:val="00985C21"/>
    <w:rsid w:val="00985C48"/>
    <w:rsid w:val="00985E24"/>
    <w:rsid w:val="0098633C"/>
    <w:rsid w:val="0098673A"/>
    <w:rsid w:val="00986DA8"/>
    <w:rsid w:val="00986E12"/>
    <w:rsid w:val="009875AA"/>
    <w:rsid w:val="009877AD"/>
    <w:rsid w:val="009877BF"/>
    <w:rsid w:val="00987B14"/>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BD9"/>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34"/>
    <w:rsid w:val="009A11FA"/>
    <w:rsid w:val="009A1201"/>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36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A7D8E"/>
    <w:rsid w:val="009A7F55"/>
    <w:rsid w:val="009A9AD1"/>
    <w:rsid w:val="009B000F"/>
    <w:rsid w:val="009B0099"/>
    <w:rsid w:val="009B010F"/>
    <w:rsid w:val="009B018C"/>
    <w:rsid w:val="009B094D"/>
    <w:rsid w:val="009B09D9"/>
    <w:rsid w:val="009B0A3C"/>
    <w:rsid w:val="009B0CA1"/>
    <w:rsid w:val="009B0F4B"/>
    <w:rsid w:val="009B106D"/>
    <w:rsid w:val="009B10B2"/>
    <w:rsid w:val="009B150A"/>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5"/>
    <w:rsid w:val="009B61B8"/>
    <w:rsid w:val="009B639E"/>
    <w:rsid w:val="009B6596"/>
    <w:rsid w:val="009B65AD"/>
    <w:rsid w:val="009B6752"/>
    <w:rsid w:val="009B6B3D"/>
    <w:rsid w:val="009B6DA1"/>
    <w:rsid w:val="009B6F81"/>
    <w:rsid w:val="009B7003"/>
    <w:rsid w:val="009B730E"/>
    <w:rsid w:val="009B7581"/>
    <w:rsid w:val="009B782C"/>
    <w:rsid w:val="009B7E37"/>
    <w:rsid w:val="009B7E72"/>
    <w:rsid w:val="009B7EC9"/>
    <w:rsid w:val="009C056C"/>
    <w:rsid w:val="009C0732"/>
    <w:rsid w:val="009C0A90"/>
    <w:rsid w:val="009C0BE8"/>
    <w:rsid w:val="009C0CAD"/>
    <w:rsid w:val="009C11F9"/>
    <w:rsid w:val="009C1250"/>
    <w:rsid w:val="009C1251"/>
    <w:rsid w:val="009C1551"/>
    <w:rsid w:val="009C1694"/>
    <w:rsid w:val="009C181E"/>
    <w:rsid w:val="009C18C4"/>
    <w:rsid w:val="009C1A28"/>
    <w:rsid w:val="009C1CDC"/>
    <w:rsid w:val="009C1D89"/>
    <w:rsid w:val="009C1E4E"/>
    <w:rsid w:val="009C1EA1"/>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151"/>
    <w:rsid w:val="009C55B8"/>
    <w:rsid w:val="009C5634"/>
    <w:rsid w:val="009C565D"/>
    <w:rsid w:val="009C56E0"/>
    <w:rsid w:val="009C57B3"/>
    <w:rsid w:val="009C5864"/>
    <w:rsid w:val="009C5D3E"/>
    <w:rsid w:val="009C5F69"/>
    <w:rsid w:val="009C5FD2"/>
    <w:rsid w:val="009C6193"/>
    <w:rsid w:val="009C6265"/>
    <w:rsid w:val="009C626B"/>
    <w:rsid w:val="009C653D"/>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117"/>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B06"/>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3D0"/>
    <w:rsid w:val="00A0080B"/>
    <w:rsid w:val="00A010DC"/>
    <w:rsid w:val="00A012C7"/>
    <w:rsid w:val="00A01677"/>
    <w:rsid w:val="00A01B12"/>
    <w:rsid w:val="00A01E2A"/>
    <w:rsid w:val="00A01E81"/>
    <w:rsid w:val="00A022D4"/>
    <w:rsid w:val="00A023B0"/>
    <w:rsid w:val="00A029F2"/>
    <w:rsid w:val="00A02A02"/>
    <w:rsid w:val="00A02A05"/>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1A1"/>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053"/>
    <w:rsid w:val="00A141BA"/>
    <w:rsid w:val="00A14210"/>
    <w:rsid w:val="00A142AE"/>
    <w:rsid w:val="00A148BF"/>
    <w:rsid w:val="00A14A24"/>
    <w:rsid w:val="00A150FE"/>
    <w:rsid w:val="00A15108"/>
    <w:rsid w:val="00A1521B"/>
    <w:rsid w:val="00A15C50"/>
    <w:rsid w:val="00A15CF5"/>
    <w:rsid w:val="00A15F89"/>
    <w:rsid w:val="00A161FB"/>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900"/>
    <w:rsid w:val="00A21AE9"/>
    <w:rsid w:val="00A21B58"/>
    <w:rsid w:val="00A2222A"/>
    <w:rsid w:val="00A224EB"/>
    <w:rsid w:val="00A225CB"/>
    <w:rsid w:val="00A2280F"/>
    <w:rsid w:val="00A22951"/>
    <w:rsid w:val="00A22B7E"/>
    <w:rsid w:val="00A23113"/>
    <w:rsid w:val="00A231F2"/>
    <w:rsid w:val="00A236CB"/>
    <w:rsid w:val="00A237E3"/>
    <w:rsid w:val="00A237EF"/>
    <w:rsid w:val="00A23968"/>
    <w:rsid w:val="00A23B78"/>
    <w:rsid w:val="00A23C2D"/>
    <w:rsid w:val="00A23D71"/>
    <w:rsid w:val="00A23D7F"/>
    <w:rsid w:val="00A243EF"/>
    <w:rsid w:val="00A24401"/>
    <w:rsid w:val="00A244A8"/>
    <w:rsid w:val="00A24CB3"/>
    <w:rsid w:val="00A24FB9"/>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26"/>
    <w:rsid w:val="00A34CED"/>
    <w:rsid w:val="00A34DD6"/>
    <w:rsid w:val="00A34E0D"/>
    <w:rsid w:val="00A34E1F"/>
    <w:rsid w:val="00A34EAA"/>
    <w:rsid w:val="00A3517E"/>
    <w:rsid w:val="00A35286"/>
    <w:rsid w:val="00A352E1"/>
    <w:rsid w:val="00A35378"/>
    <w:rsid w:val="00A354DC"/>
    <w:rsid w:val="00A35576"/>
    <w:rsid w:val="00A35843"/>
    <w:rsid w:val="00A35CB2"/>
    <w:rsid w:val="00A36075"/>
    <w:rsid w:val="00A360CA"/>
    <w:rsid w:val="00A36298"/>
    <w:rsid w:val="00A36720"/>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75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D1C"/>
    <w:rsid w:val="00A46F08"/>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5DE"/>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25A"/>
    <w:rsid w:val="00A552BB"/>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30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767"/>
    <w:rsid w:val="00A64892"/>
    <w:rsid w:val="00A648EF"/>
    <w:rsid w:val="00A64A2F"/>
    <w:rsid w:val="00A64A63"/>
    <w:rsid w:val="00A64D7C"/>
    <w:rsid w:val="00A64FEF"/>
    <w:rsid w:val="00A65018"/>
    <w:rsid w:val="00A65120"/>
    <w:rsid w:val="00A6514D"/>
    <w:rsid w:val="00A65683"/>
    <w:rsid w:val="00A65BE7"/>
    <w:rsid w:val="00A65D68"/>
    <w:rsid w:val="00A65D9E"/>
    <w:rsid w:val="00A66005"/>
    <w:rsid w:val="00A6607F"/>
    <w:rsid w:val="00A6632C"/>
    <w:rsid w:val="00A6636C"/>
    <w:rsid w:val="00A66431"/>
    <w:rsid w:val="00A664E3"/>
    <w:rsid w:val="00A6659E"/>
    <w:rsid w:val="00A668DD"/>
    <w:rsid w:val="00A66C3D"/>
    <w:rsid w:val="00A66C8C"/>
    <w:rsid w:val="00A671FA"/>
    <w:rsid w:val="00A67383"/>
    <w:rsid w:val="00A67710"/>
    <w:rsid w:val="00A67D9D"/>
    <w:rsid w:val="00A70023"/>
    <w:rsid w:val="00A70248"/>
    <w:rsid w:val="00A70394"/>
    <w:rsid w:val="00A703A0"/>
    <w:rsid w:val="00A704B9"/>
    <w:rsid w:val="00A7054C"/>
    <w:rsid w:val="00A7057A"/>
    <w:rsid w:val="00A7097F"/>
    <w:rsid w:val="00A70A7D"/>
    <w:rsid w:val="00A70C6A"/>
    <w:rsid w:val="00A70C81"/>
    <w:rsid w:val="00A71042"/>
    <w:rsid w:val="00A710EA"/>
    <w:rsid w:val="00A71249"/>
    <w:rsid w:val="00A71343"/>
    <w:rsid w:val="00A714A4"/>
    <w:rsid w:val="00A71875"/>
    <w:rsid w:val="00A71AFA"/>
    <w:rsid w:val="00A71C84"/>
    <w:rsid w:val="00A71DB5"/>
    <w:rsid w:val="00A71E21"/>
    <w:rsid w:val="00A71E6D"/>
    <w:rsid w:val="00A71FE7"/>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910"/>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726"/>
    <w:rsid w:val="00A8094A"/>
    <w:rsid w:val="00A80A31"/>
    <w:rsid w:val="00A80C47"/>
    <w:rsid w:val="00A80E1E"/>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26F"/>
    <w:rsid w:val="00A83369"/>
    <w:rsid w:val="00A83463"/>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70E"/>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ADE"/>
    <w:rsid w:val="00A87CC9"/>
    <w:rsid w:val="00A90272"/>
    <w:rsid w:val="00A90657"/>
    <w:rsid w:val="00A906FA"/>
    <w:rsid w:val="00A90944"/>
    <w:rsid w:val="00A90A7F"/>
    <w:rsid w:val="00A90AAD"/>
    <w:rsid w:val="00A90B82"/>
    <w:rsid w:val="00A90E7F"/>
    <w:rsid w:val="00A91051"/>
    <w:rsid w:val="00A91215"/>
    <w:rsid w:val="00A9132A"/>
    <w:rsid w:val="00A9134F"/>
    <w:rsid w:val="00A91BCE"/>
    <w:rsid w:val="00A91E60"/>
    <w:rsid w:val="00A9216C"/>
    <w:rsid w:val="00A92480"/>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53A"/>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736"/>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AF8"/>
    <w:rsid w:val="00AB1D8F"/>
    <w:rsid w:val="00AB1DC2"/>
    <w:rsid w:val="00AB1EF6"/>
    <w:rsid w:val="00AB221A"/>
    <w:rsid w:val="00AB2456"/>
    <w:rsid w:val="00AB2569"/>
    <w:rsid w:val="00AB261F"/>
    <w:rsid w:val="00AB289F"/>
    <w:rsid w:val="00AB2DC1"/>
    <w:rsid w:val="00AB2E41"/>
    <w:rsid w:val="00AB2EC2"/>
    <w:rsid w:val="00AB2EEB"/>
    <w:rsid w:val="00AB2F7D"/>
    <w:rsid w:val="00AB3292"/>
    <w:rsid w:val="00AB33E3"/>
    <w:rsid w:val="00AB361A"/>
    <w:rsid w:val="00AB3657"/>
    <w:rsid w:val="00AB38C6"/>
    <w:rsid w:val="00AB39B3"/>
    <w:rsid w:val="00AB3A69"/>
    <w:rsid w:val="00AB3B56"/>
    <w:rsid w:val="00AB3E86"/>
    <w:rsid w:val="00AB4299"/>
    <w:rsid w:val="00AB442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0B1C"/>
    <w:rsid w:val="00AC0F2F"/>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09C"/>
    <w:rsid w:val="00AC410C"/>
    <w:rsid w:val="00AC429F"/>
    <w:rsid w:val="00AC4321"/>
    <w:rsid w:val="00AC4557"/>
    <w:rsid w:val="00AC49CF"/>
    <w:rsid w:val="00AC4B2B"/>
    <w:rsid w:val="00AC527B"/>
    <w:rsid w:val="00AC53F6"/>
    <w:rsid w:val="00AC542C"/>
    <w:rsid w:val="00AC59A7"/>
    <w:rsid w:val="00AC59A8"/>
    <w:rsid w:val="00AC5B6C"/>
    <w:rsid w:val="00AC5BE8"/>
    <w:rsid w:val="00AC5C06"/>
    <w:rsid w:val="00AC5EFE"/>
    <w:rsid w:val="00AC66E5"/>
    <w:rsid w:val="00AC68C8"/>
    <w:rsid w:val="00AC6955"/>
    <w:rsid w:val="00AC6AFA"/>
    <w:rsid w:val="00AC6F35"/>
    <w:rsid w:val="00AC717A"/>
    <w:rsid w:val="00AC77CB"/>
    <w:rsid w:val="00AC782D"/>
    <w:rsid w:val="00AC79A0"/>
    <w:rsid w:val="00AC7A16"/>
    <w:rsid w:val="00AC7B50"/>
    <w:rsid w:val="00AC7C5A"/>
    <w:rsid w:val="00AC7D0B"/>
    <w:rsid w:val="00AC7E54"/>
    <w:rsid w:val="00AD0009"/>
    <w:rsid w:val="00AD012E"/>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7EA"/>
    <w:rsid w:val="00AD7895"/>
    <w:rsid w:val="00AD79F1"/>
    <w:rsid w:val="00AD79F4"/>
    <w:rsid w:val="00AD7B8E"/>
    <w:rsid w:val="00AE00E2"/>
    <w:rsid w:val="00AE01CF"/>
    <w:rsid w:val="00AE01E4"/>
    <w:rsid w:val="00AE04E6"/>
    <w:rsid w:val="00AE0677"/>
    <w:rsid w:val="00AE0A3A"/>
    <w:rsid w:val="00AE0C87"/>
    <w:rsid w:val="00AE0DCC"/>
    <w:rsid w:val="00AE1315"/>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403"/>
    <w:rsid w:val="00AE6AAA"/>
    <w:rsid w:val="00AE6BE3"/>
    <w:rsid w:val="00AE6F13"/>
    <w:rsid w:val="00AE7068"/>
    <w:rsid w:val="00AE7321"/>
    <w:rsid w:val="00AE73D7"/>
    <w:rsid w:val="00AE75C1"/>
    <w:rsid w:val="00AE76FD"/>
    <w:rsid w:val="00AE7841"/>
    <w:rsid w:val="00AE79B8"/>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5EC"/>
    <w:rsid w:val="00AF263B"/>
    <w:rsid w:val="00AF29F6"/>
    <w:rsid w:val="00AF2A7B"/>
    <w:rsid w:val="00AF2C75"/>
    <w:rsid w:val="00AF2CCD"/>
    <w:rsid w:val="00AF34A0"/>
    <w:rsid w:val="00AF3559"/>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66E"/>
    <w:rsid w:val="00B01D56"/>
    <w:rsid w:val="00B01E3F"/>
    <w:rsid w:val="00B023FD"/>
    <w:rsid w:val="00B0249F"/>
    <w:rsid w:val="00B02584"/>
    <w:rsid w:val="00B02C47"/>
    <w:rsid w:val="00B0305D"/>
    <w:rsid w:val="00B035D9"/>
    <w:rsid w:val="00B037FA"/>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A41"/>
    <w:rsid w:val="00B11B5F"/>
    <w:rsid w:val="00B11BD3"/>
    <w:rsid w:val="00B11F81"/>
    <w:rsid w:val="00B11F9E"/>
    <w:rsid w:val="00B1214D"/>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1F699"/>
    <w:rsid w:val="00B20090"/>
    <w:rsid w:val="00B202D4"/>
    <w:rsid w:val="00B2034E"/>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7F6"/>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AD6"/>
    <w:rsid w:val="00B35BF4"/>
    <w:rsid w:val="00B35D68"/>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0F"/>
    <w:rsid w:val="00B4197F"/>
    <w:rsid w:val="00B41AD3"/>
    <w:rsid w:val="00B42146"/>
    <w:rsid w:val="00B42270"/>
    <w:rsid w:val="00B426F8"/>
    <w:rsid w:val="00B42D23"/>
    <w:rsid w:val="00B42FC1"/>
    <w:rsid w:val="00B4324A"/>
    <w:rsid w:val="00B432AA"/>
    <w:rsid w:val="00B433C9"/>
    <w:rsid w:val="00B4361C"/>
    <w:rsid w:val="00B4387A"/>
    <w:rsid w:val="00B43A66"/>
    <w:rsid w:val="00B43B10"/>
    <w:rsid w:val="00B43D20"/>
    <w:rsid w:val="00B43D9C"/>
    <w:rsid w:val="00B441DB"/>
    <w:rsid w:val="00B443C1"/>
    <w:rsid w:val="00B44422"/>
    <w:rsid w:val="00B44674"/>
    <w:rsid w:val="00B4477B"/>
    <w:rsid w:val="00B44915"/>
    <w:rsid w:val="00B44C24"/>
    <w:rsid w:val="00B45079"/>
    <w:rsid w:val="00B4556A"/>
    <w:rsid w:val="00B45626"/>
    <w:rsid w:val="00B45845"/>
    <w:rsid w:val="00B45AF9"/>
    <w:rsid w:val="00B45B79"/>
    <w:rsid w:val="00B45B7A"/>
    <w:rsid w:val="00B46B64"/>
    <w:rsid w:val="00B46BDD"/>
    <w:rsid w:val="00B46CC1"/>
    <w:rsid w:val="00B46DBE"/>
    <w:rsid w:val="00B470EA"/>
    <w:rsid w:val="00B47394"/>
    <w:rsid w:val="00B475A9"/>
    <w:rsid w:val="00B4799D"/>
    <w:rsid w:val="00B47A89"/>
    <w:rsid w:val="00B47D66"/>
    <w:rsid w:val="00B47E4F"/>
    <w:rsid w:val="00B47F0C"/>
    <w:rsid w:val="00B50196"/>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2E9"/>
    <w:rsid w:val="00B52323"/>
    <w:rsid w:val="00B5274E"/>
    <w:rsid w:val="00B52B30"/>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57F6C"/>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5E"/>
    <w:rsid w:val="00B667B3"/>
    <w:rsid w:val="00B669AF"/>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0DD"/>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454"/>
    <w:rsid w:val="00B84689"/>
    <w:rsid w:val="00B849C9"/>
    <w:rsid w:val="00B84A62"/>
    <w:rsid w:val="00B84ED3"/>
    <w:rsid w:val="00B84F34"/>
    <w:rsid w:val="00B84F7F"/>
    <w:rsid w:val="00B853C7"/>
    <w:rsid w:val="00B85414"/>
    <w:rsid w:val="00B85465"/>
    <w:rsid w:val="00B85747"/>
    <w:rsid w:val="00B858E4"/>
    <w:rsid w:val="00B85D09"/>
    <w:rsid w:val="00B8645C"/>
    <w:rsid w:val="00B864D6"/>
    <w:rsid w:val="00B86801"/>
    <w:rsid w:val="00B86933"/>
    <w:rsid w:val="00B86BB1"/>
    <w:rsid w:val="00B86C48"/>
    <w:rsid w:val="00B86F56"/>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65F"/>
    <w:rsid w:val="00B93D0B"/>
    <w:rsid w:val="00B93D3B"/>
    <w:rsid w:val="00B93E98"/>
    <w:rsid w:val="00B943FB"/>
    <w:rsid w:val="00B94914"/>
    <w:rsid w:val="00B94A79"/>
    <w:rsid w:val="00B94ADD"/>
    <w:rsid w:val="00B94C87"/>
    <w:rsid w:val="00B94D17"/>
    <w:rsid w:val="00B94F70"/>
    <w:rsid w:val="00B950CA"/>
    <w:rsid w:val="00B95112"/>
    <w:rsid w:val="00B9526C"/>
    <w:rsid w:val="00B952F6"/>
    <w:rsid w:val="00B953B9"/>
    <w:rsid w:val="00B95491"/>
    <w:rsid w:val="00B95568"/>
    <w:rsid w:val="00B9557F"/>
    <w:rsid w:val="00B95AB2"/>
    <w:rsid w:val="00B95D4B"/>
    <w:rsid w:val="00B95D73"/>
    <w:rsid w:val="00B961D9"/>
    <w:rsid w:val="00B96316"/>
    <w:rsid w:val="00B963DB"/>
    <w:rsid w:val="00B96452"/>
    <w:rsid w:val="00B964E1"/>
    <w:rsid w:val="00B9652D"/>
    <w:rsid w:val="00B965FD"/>
    <w:rsid w:val="00B96766"/>
    <w:rsid w:val="00B96C7F"/>
    <w:rsid w:val="00B96E51"/>
    <w:rsid w:val="00B970A0"/>
    <w:rsid w:val="00B97189"/>
    <w:rsid w:val="00B972E1"/>
    <w:rsid w:val="00B972F6"/>
    <w:rsid w:val="00B973EA"/>
    <w:rsid w:val="00B97429"/>
    <w:rsid w:val="00B9774F"/>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48D"/>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8BF"/>
    <w:rsid w:val="00BA7A42"/>
    <w:rsid w:val="00BA7AAD"/>
    <w:rsid w:val="00BA7AB6"/>
    <w:rsid w:val="00BA7B74"/>
    <w:rsid w:val="00BA7CFC"/>
    <w:rsid w:val="00BA7D3A"/>
    <w:rsid w:val="00BB0E11"/>
    <w:rsid w:val="00BB0F25"/>
    <w:rsid w:val="00BB0F4D"/>
    <w:rsid w:val="00BB1291"/>
    <w:rsid w:val="00BB1628"/>
    <w:rsid w:val="00BB1803"/>
    <w:rsid w:val="00BB1837"/>
    <w:rsid w:val="00BB1857"/>
    <w:rsid w:val="00BB18C4"/>
    <w:rsid w:val="00BB19BE"/>
    <w:rsid w:val="00BB1C14"/>
    <w:rsid w:val="00BB1CBA"/>
    <w:rsid w:val="00BB25A9"/>
    <w:rsid w:val="00BB2604"/>
    <w:rsid w:val="00BB27DE"/>
    <w:rsid w:val="00BB28D4"/>
    <w:rsid w:val="00BB298C"/>
    <w:rsid w:val="00BB29AF"/>
    <w:rsid w:val="00BB2ABC"/>
    <w:rsid w:val="00BB2D92"/>
    <w:rsid w:val="00BB31DF"/>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0A"/>
    <w:rsid w:val="00BB68FD"/>
    <w:rsid w:val="00BB69E0"/>
    <w:rsid w:val="00BB6A92"/>
    <w:rsid w:val="00BB6C69"/>
    <w:rsid w:val="00BB70C8"/>
    <w:rsid w:val="00BB7218"/>
    <w:rsid w:val="00BB7227"/>
    <w:rsid w:val="00BB7410"/>
    <w:rsid w:val="00BB761A"/>
    <w:rsid w:val="00BB788E"/>
    <w:rsid w:val="00BB78D1"/>
    <w:rsid w:val="00BC0455"/>
    <w:rsid w:val="00BC07B1"/>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15F"/>
    <w:rsid w:val="00BC33CF"/>
    <w:rsid w:val="00BC35A6"/>
    <w:rsid w:val="00BC38CE"/>
    <w:rsid w:val="00BC3991"/>
    <w:rsid w:val="00BC3FD0"/>
    <w:rsid w:val="00BC4034"/>
    <w:rsid w:val="00BC4609"/>
    <w:rsid w:val="00BC473C"/>
    <w:rsid w:val="00BC4A64"/>
    <w:rsid w:val="00BC4B45"/>
    <w:rsid w:val="00BC4B70"/>
    <w:rsid w:val="00BC555E"/>
    <w:rsid w:val="00BC575C"/>
    <w:rsid w:val="00BC5923"/>
    <w:rsid w:val="00BC5A95"/>
    <w:rsid w:val="00BC5AD6"/>
    <w:rsid w:val="00BC61C4"/>
    <w:rsid w:val="00BC624B"/>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5EB2"/>
    <w:rsid w:val="00BD618C"/>
    <w:rsid w:val="00BD6441"/>
    <w:rsid w:val="00BD64BE"/>
    <w:rsid w:val="00BD6593"/>
    <w:rsid w:val="00BD6630"/>
    <w:rsid w:val="00BD6C37"/>
    <w:rsid w:val="00BD6C5F"/>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85"/>
    <w:rsid w:val="00BF16CF"/>
    <w:rsid w:val="00BF198A"/>
    <w:rsid w:val="00BF19BB"/>
    <w:rsid w:val="00BF1AF8"/>
    <w:rsid w:val="00BF24D5"/>
    <w:rsid w:val="00BF2509"/>
    <w:rsid w:val="00BF260B"/>
    <w:rsid w:val="00BF2632"/>
    <w:rsid w:val="00BF27F2"/>
    <w:rsid w:val="00BF2B0D"/>
    <w:rsid w:val="00BF2C55"/>
    <w:rsid w:val="00BF3073"/>
    <w:rsid w:val="00BF322D"/>
    <w:rsid w:val="00BF3246"/>
    <w:rsid w:val="00BF325C"/>
    <w:rsid w:val="00BF3283"/>
    <w:rsid w:val="00BF32B7"/>
    <w:rsid w:val="00BF330A"/>
    <w:rsid w:val="00BF3715"/>
    <w:rsid w:val="00BF38CD"/>
    <w:rsid w:val="00BF38DF"/>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B38"/>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104"/>
    <w:rsid w:val="00C1249E"/>
    <w:rsid w:val="00C124C9"/>
    <w:rsid w:val="00C12554"/>
    <w:rsid w:val="00C1256A"/>
    <w:rsid w:val="00C127B6"/>
    <w:rsid w:val="00C12A64"/>
    <w:rsid w:val="00C12DD6"/>
    <w:rsid w:val="00C12FE0"/>
    <w:rsid w:val="00C138AF"/>
    <w:rsid w:val="00C13C42"/>
    <w:rsid w:val="00C14125"/>
    <w:rsid w:val="00C14C63"/>
    <w:rsid w:val="00C14F48"/>
    <w:rsid w:val="00C151E3"/>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20113"/>
    <w:rsid w:val="00C208D5"/>
    <w:rsid w:val="00C20B43"/>
    <w:rsid w:val="00C20CAB"/>
    <w:rsid w:val="00C20F7A"/>
    <w:rsid w:val="00C21163"/>
    <w:rsid w:val="00C2128A"/>
    <w:rsid w:val="00C214C5"/>
    <w:rsid w:val="00C214E6"/>
    <w:rsid w:val="00C2151A"/>
    <w:rsid w:val="00C21840"/>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79D"/>
    <w:rsid w:val="00C247BF"/>
    <w:rsid w:val="00C24BE2"/>
    <w:rsid w:val="00C24ED1"/>
    <w:rsid w:val="00C24F1D"/>
    <w:rsid w:val="00C24F6C"/>
    <w:rsid w:val="00C25159"/>
    <w:rsid w:val="00C253BF"/>
    <w:rsid w:val="00C253E2"/>
    <w:rsid w:val="00C25C23"/>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199"/>
    <w:rsid w:val="00C348C9"/>
    <w:rsid w:val="00C34A49"/>
    <w:rsid w:val="00C34BAA"/>
    <w:rsid w:val="00C34F1C"/>
    <w:rsid w:val="00C3514F"/>
    <w:rsid w:val="00C35415"/>
    <w:rsid w:val="00C354E3"/>
    <w:rsid w:val="00C35505"/>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B04"/>
    <w:rsid w:val="00C41D69"/>
    <w:rsid w:val="00C41EAF"/>
    <w:rsid w:val="00C41F7A"/>
    <w:rsid w:val="00C42042"/>
    <w:rsid w:val="00C423DB"/>
    <w:rsid w:val="00C4265D"/>
    <w:rsid w:val="00C42674"/>
    <w:rsid w:val="00C427D0"/>
    <w:rsid w:val="00C428A6"/>
    <w:rsid w:val="00C42D3F"/>
    <w:rsid w:val="00C43908"/>
    <w:rsid w:val="00C43B4A"/>
    <w:rsid w:val="00C43C91"/>
    <w:rsid w:val="00C43FEC"/>
    <w:rsid w:val="00C44069"/>
    <w:rsid w:val="00C443DF"/>
    <w:rsid w:val="00C44476"/>
    <w:rsid w:val="00C44A15"/>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33E"/>
    <w:rsid w:val="00C4751E"/>
    <w:rsid w:val="00C4751F"/>
    <w:rsid w:val="00C47594"/>
    <w:rsid w:val="00C47A2C"/>
    <w:rsid w:val="00C47AA1"/>
    <w:rsid w:val="00C47C2D"/>
    <w:rsid w:val="00C50304"/>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C44"/>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44A"/>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E49"/>
    <w:rsid w:val="00C62F90"/>
    <w:rsid w:val="00C63051"/>
    <w:rsid w:val="00C630A4"/>
    <w:rsid w:val="00C632C3"/>
    <w:rsid w:val="00C636CC"/>
    <w:rsid w:val="00C6371E"/>
    <w:rsid w:val="00C6376F"/>
    <w:rsid w:val="00C6386F"/>
    <w:rsid w:val="00C6390B"/>
    <w:rsid w:val="00C63C45"/>
    <w:rsid w:val="00C63F0A"/>
    <w:rsid w:val="00C641E9"/>
    <w:rsid w:val="00C646E0"/>
    <w:rsid w:val="00C646F0"/>
    <w:rsid w:val="00C647CC"/>
    <w:rsid w:val="00C647F1"/>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67DE2"/>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09B"/>
    <w:rsid w:val="00C75517"/>
    <w:rsid w:val="00C75619"/>
    <w:rsid w:val="00C75861"/>
    <w:rsid w:val="00C75A74"/>
    <w:rsid w:val="00C75C38"/>
    <w:rsid w:val="00C75FB2"/>
    <w:rsid w:val="00C76077"/>
    <w:rsid w:val="00C76228"/>
    <w:rsid w:val="00C764E4"/>
    <w:rsid w:val="00C768CC"/>
    <w:rsid w:val="00C76BB9"/>
    <w:rsid w:val="00C76C31"/>
    <w:rsid w:val="00C76E57"/>
    <w:rsid w:val="00C76FE9"/>
    <w:rsid w:val="00C770CE"/>
    <w:rsid w:val="00C7724F"/>
    <w:rsid w:val="00C77281"/>
    <w:rsid w:val="00C777A7"/>
    <w:rsid w:val="00C777E9"/>
    <w:rsid w:val="00C77804"/>
    <w:rsid w:val="00C805D9"/>
    <w:rsid w:val="00C80A72"/>
    <w:rsid w:val="00C80AF3"/>
    <w:rsid w:val="00C80BA7"/>
    <w:rsid w:val="00C8110D"/>
    <w:rsid w:val="00C81286"/>
    <w:rsid w:val="00C81331"/>
    <w:rsid w:val="00C81975"/>
    <w:rsid w:val="00C81B6C"/>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2"/>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B0"/>
    <w:rsid w:val="00C941E2"/>
    <w:rsid w:val="00C942CD"/>
    <w:rsid w:val="00C945E1"/>
    <w:rsid w:val="00C94C6D"/>
    <w:rsid w:val="00C95083"/>
    <w:rsid w:val="00C953CB"/>
    <w:rsid w:val="00C95639"/>
    <w:rsid w:val="00C95761"/>
    <w:rsid w:val="00C95ED5"/>
    <w:rsid w:val="00C9653E"/>
    <w:rsid w:val="00C966AC"/>
    <w:rsid w:val="00C967F9"/>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E59"/>
    <w:rsid w:val="00CA0FA1"/>
    <w:rsid w:val="00CA114E"/>
    <w:rsid w:val="00CA19B2"/>
    <w:rsid w:val="00CA1B6B"/>
    <w:rsid w:val="00CA1C6C"/>
    <w:rsid w:val="00CA1C94"/>
    <w:rsid w:val="00CA21BC"/>
    <w:rsid w:val="00CA23ED"/>
    <w:rsid w:val="00CA24D9"/>
    <w:rsid w:val="00CA28D8"/>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5FD7"/>
    <w:rsid w:val="00CA633D"/>
    <w:rsid w:val="00CA63D9"/>
    <w:rsid w:val="00CA6759"/>
    <w:rsid w:val="00CA6898"/>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3FD"/>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149"/>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22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573"/>
    <w:rsid w:val="00CC5C70"/>
    <w:rsid w:val="00CC5DBC"/>
    <w:rsid w:val="00CC6139"/>
    <w:rsid w:val="00CC6282"/>
    <w:rsid w:val="00CC67AF"/>
    <w:rsid w:val="00CC6897"/>
    <w:rsid w:val="00CC68DC"/>
    <w:rsid w:val="00CC6A7E"/>
    <w:rsid w:val="00CC6F8F"/>
    <w:rsid w:val="00CC745A"/>
    <w:rsid w:val="00CC77DE"/>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8AD"/>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613"/>
    <w:rsid w:val="00CE3B51"/>
    <w:rsid w:val="00CE3C8A"/>
    <w:rsid w:val="00CE3D2A"/>
    <w:rsid w:val="00CE436D"/>
    <w:rsid w:val="00CE44A8"/>
    <w:rsid w:val="00CE48FA"/>
    <w:rsid w:val="00CE495C"/>
    <w:rsid w:val="00CE5216"/>
    <w:rsid w:val="00CE52E3"/>
    <w:rsid w:val="00CE53F9"/>
    <w:rsid w:val="00CE5986"/>
    <w:rsid w:val="00CE5DD1"/>
    <w:rsid w:val="00CE5E30"/>
    <w:rsid w:val="00CE5E85"/>
    <w:rsid w:val="00CE5FAA"/>
    <w:rsid w:val="00CE63FA"/>
    <w:rsid w:val="00CE6EC3"/>
    <w:rsid w:val="00CE6EEE"/>
    <w:rsid w:val="00CE740B"/>
    <w:rsid w:val="00CE7412"/>
    <w:rsid w:val="00CE7572"/>
    <w:rsid w:val="00CE76EE"/>
    <w:rsid w:val="00CE7B52"/>
    <w:rsid w:val="00CE7E70"/>
    <w:rsid w:val="00CF0243"/>
    <w:rsid w:val="00CF02A7"/>
    <w:rsid w:val="00CF02FB"/>
    <w:rsid w:val="00CF0607"/>
    <w:rsid w:val="00CF0ACA"/>
    <w:rsid w:val="00CF0E85"/>
    <w:rsid w:val="00CF0FAC"/>
    <w:rsid w:val="00CF0FFE"/>
    <w:rsid w:val="00CF101F"/>
    <w:rsid w:val="00CF132F"/>
    <w:rsid w:val="00CF1390"/>
    <w:rsid w:val="00CF1558"/>
    <w:rsid w:val="00CF1565"/>
    <w:rsid w:val="00CF162A"/>
    <w:rsid w:val="00CF177B"/>
    <w:rsid w:val="00CF192F"/>
    <w:rsid w:val="00CF1A06"/>
    <w:rsid w:val="00CF1B11"/>
    <w:rsid w:val="00CF1D76"/>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415E"/>
    <w:rsid w:val="00CF5003"/>
    <w:rsid w:val="00CF547E"/>
    <w:rsid w:val="00CF5895"/>
    <w:rsid w:val="00CF5952"/>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231"/>
    <w:rsid w:val="00D0238E"/>
    <w:rsid w:val="00D0239F"/>
    <w:rsid w:val="00D0325B"/>
    <w:rsid w:val="00D03A4E"/>
    <w:rsid w:val="00D03C56"/>
    <w:rsid w:val="00D03E40"/>
    <w:rsid w:val="00D04064"/>
    <w:rsid w:val="00D04154"/>
    <w:rsid w:val="00D04509"/>
    <w:rsid w:val="00D04ABA"/>
    <w:rsid w:val="00D04AEC"/>
    <w:rsid w:val="00D04DB1"/>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8AD"/>
    <w:rsid w:val="00D12B64"/>
    <w:rsid w:val="00D12B78"/>
    <w:rsid w:val="00D13416"/>
    <w:rsid w:val="00D1366E"/>
    <w:rsid w:val="00D13839"/>
    <w:rsid w:val="00D13B8E"/>
    <w:rsid w:val="00D13CA8"/>
    <w:rsid w:val="00D13D19"/>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1FA"/>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884"/>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925"/>
    <w:rsid w:val="00D23A25"/>
    <w:rsid w:val="00D241EF"/>
    <w:rsid w:val="00D24287"/>
    <w:rsid w:val="00D2434F"/>
    <w:rsid w:val="00D24364"/>
    <w:rsid w:val="00D244FC"/>
    <w:rsid w:val="00D24586"/>
    <w:rsid w:val="00D2475A"/>
    <w:rsid w:val="00D24874"/>
    <w:rsid w:val="00D24920"/>
    <w:rsid w:val="00D249D2"/>
    <w:rsid w:val="00D24D69"/>
    <w:rsid w:val="00D24F74"/>
    <w:rsid w:val="00D25094"/>
    <w:rsid w:val="00D250D2"/>
    <w:rsid w:val="00D250E9"/>
    <w:rsid w:val="00D250EF"/>
    <w:rsid w:val="00D2511B"/>
    <w:rsid w:val="00D25168"/>
    <w:rsid w:val="00D251BF"/>
    <w:rsid w:val="00D256E6"/>
    <w:rsid w:val="00D25773"/>
    <w:rsid w:val="00D257D5"/>
    <w:rsid w:val="00D25BF9"/>
    <w:rsid w:val="00D25CBB"/>
    <w:rsid w:val="00D25CCA"/>
    <w:rsid w:val="00D26150"/>
    <w:rsid w:val="00D265C6"/>
    <w:rsid w:val="00D268BE"/>
    <w:rsid w:val="00D2691A"/>
    <w:rsid w:val="00D26C51"/>
    <w:rsid w:val="00D271AC"/>
    <w:rsid w:val="00D27609"/>
    <w:rsid w:val="00D276DC"/>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44"/>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03"/>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C6B"/>
    <w:rsid w:val="00D51D3E"/>
    <w:rsid w:val="00D51D9F"/>
    <w:rsid w:val="00D51E01"/>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20C"/>
    <w:rsid w:val="00D57446"/>
    <w:rsid w:val="00D574D4"/>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1E5E"/>
    <w:rsid w:val="00D62208"/>
    <w:rsid w:val="00D625F2"/>
    <w:rsid w:val="00D62AAF"/>
    <w:rsid w:val="00D62B8A"/>
    <w:rsid w:val="00D634A7"/>
    <w:rsid w:val="00D634E9"/>
    <w:rsid w:val="00D636AA"/>
    <w:rsid w:val="00D63CDA"/>
    <w:rsid w:val="00D643C5"/>
    <w:rsid w:val="00D6440D"/>
    <w:rsid w:val="00D64791"/>
    <w:rsid w:val="00D64A46"/>
    <w:rsid w:val="00D64B5A"/>
    <w:rsid w:val="00D64CE8"/>
    <w:rsid w:val="00D64F53"/>
    <w:rsid w:val="00D65064"/>
    <w:rsid w:val="00D6563A"/>
    <w:rsid w:val="00D656B9"/>
    <w:rsid w:val="00D65BA6"/>
    <w:rsid w:val="00D65E4D"/>
    <w:rsid w:val="00D66132"/>
    <w:rsid w:val="00D66287"/>
    <w:rsid w:val="00D662C9"/>
    <w:rsid w:val="00D665A3"/>
    <w:rsid w:val="00D665F5"/>
    <w:rsid w:val="00D66C87"/>
    <w:rsid w:val="00D66CDA"/>
    <w:rsid w:val="00D66CDB"/>
    <w:rsid w:val="00D66EFF"/>
    <w:rsid w:val="00D66F39"/>
    <w:rsid w:val="00D67209"/>
    <w:rsid w:val="00D676CB"/>
    <w:rsid w:val="00D67710"/>
    <w:rsid w:val="00D677CA"/>
    <w:rsid w:val="00D67C18"/>
    <w:rsid w:val="00D70039"/>
    <w:rsid w:val="00D70174"/>
    <w:rsid w:val="00D70318"/>
    <w:rsid w:val="00D70604"/>
    <w:rsid w:val="00D70631"/>
    <w:rsid w:val="00D708BC"/>
    <w:rsid w:val="00D70979"/>
    <w:rsid w:val="00D709D6"/>
    <w:rsid w:val="00D70B9C"/>
    <w:rsid w:val="00D70C68"/>
    <w:rsid w:val="00D70C6E"/>
    <w:rsid w:val="00D70E18"/>
    <w:rsid w:val="00D70E1F"/>
    <w:rsid w:val="00D70EFA"/>
    <w:rsid w:val="00D711FF"/>
    <w:rsid w:val="00D714AE"/>
    <w:rsid w:val="00D7165F"/>
    <w:rsid w:val="00D717C5"/>
    <w:rsid w:val="00D720C6"/>
    <w:rsid w:val="00D72349"/>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D30"/>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3D36"/>
    <w:rsid w:val="00D84175"/>
    <w:rsid w:val="00D84463"/>
    <w:rsid w:val="00D8455B"/>
    <w:rsid w:val="00D845B3"/>
    <w:rsid w:val="00D849DC"/>
    <w:rsid w:val="00D84A7E"/>
    <w:rsid w:val="00D84C1F"/>
    <w:rsid w:val="00D84E7E"/>
    <w:rsid w:val="00D850FE"/>
    <w:rsid w:val="00D85357"/>
    <w:rsid w:val="00D85500"/>
    <w:rsid w:val="00D8562E"/>
    <w:rsid w:val="00D85B61"/>
    <w:rsid w:val="00D85FDD"/>
    <w:rsid w:val="00D862D7"/>
    <w:rsid w:val="00D866CC"/>
    <w:rsid w:val="00D86929"/>
    <w:rsid w:val="00D869CB"/>
    <w:rsid w:val="00D86AF6"/>
    <w:rsid w:val="00D86CDC"/>
    <w:rsid w:val="00D86D0A"/>
    <w:rsid w:val="00D870FF"/>
    <w:rsid w:val="00D874B1"/>
    <w:rsid w:val="00D874B9"/>
    <w:rsid w:val="00D879F1"/>
    <w:rsid w:val="00D87A6E"/>
    <w:rsid w:val="00D87EAA"/>
    <w:rsid w:val="00D900EF"/>
    <w:rsid w:val="00D90555"/>
    <w:rsid w:val="00D906E6"/>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CB4"/>
    <w:rsid w:val="00D92DE5"/>
    <w:rsid w:val="00D92F09"/>
    <w:rsid w:val="00D930B9"/>
    <w:rsid w:val="00D93630"/>
    <w:rsid w:val="00D937F1"/>
    <w:rsid w:val="00D93FD0"/>
    <w:rsid w:val="00D940D6"/>
    <w:rsid w:val="00D941A4"/>
    <w:rsid w:val="00D942BE"/>
    <w:rsid w:val="00D942C7"/>
    <w:rsid w:val="00D944F1"/>
    <w:rsid w:val="00D9471D"/>
    <w:rsid w:val="00D94A2A"/>
    <w:rsid w:val="00D94A4A"/>
    <w:rsid w:val="00D94A8C"/>
    <w:rsid w:val="00D94BA6"/>
    <w:rsid w:val="00D94C8A"/>
    <w:rsid w:val="00D94E8F"/>
    <w:rsid w:val="00D94F9F"/>
    <w:rsid w:val="00D95051"/>
    <w:rsid w:val="00D9508E"/>
    <w:rsid w:val="00D95460"/>
    <w:rsid w:val="00D95902"/>
    <w:rsid w:val="00D95963"/>
    <w:rsid w:val="00D95B84"/>
    <w:rsid w:val="00D95CB4"/>
    <w:rsid w:val="00D95E94"/>
    <w:rsid w:val="00D95F9E"/>
    <w:rsid w:val="00D96231"/>
    <w:rsid w:val="00D96714"/>
    <w:rsid w:val="00D969F4"/>
    <w:rsid w:val="00D96AFE"/>
    <w:rsid w:val="00D96EA9"/>
    <w:rsid w:val="00D97320"/>
    <w:rsid w:val="00D975DD"/>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49B"/>
    <w:rsid w:val="00DA3767"/>
    <w:rsid w:val="00DA385D"/>
    <w:rsid w:val="00DA39FF"/>
    <w:rsid w:val="00DA3A17"/>
    <w:rsid w:val="00DA3D62"/>
    <w:rsid w:val="00DA3D7D"/>
    <w:rsid w:val="00DA3DE7"/>
    <w:rsid w:val="00DA4049"/>
    <w:rsid w:val="00DA43F1"/>
    <w:rsid w:val="00DA4549"/>
    <w:rsid w:val="00DA455E"/>
    <w:rsid w:val="00DA48EF"/>
    <w:rsid w:val="00DA49CA"/>
    <w:rsid w:val="00DA49CF"/>
    <w:rsid w:val="00DA4A0D"/>
    <w:rsid w:val="00DA5446"/>
    <w:rsid w:val="00DA5E4B"/>
    <w:rsid w:val="00DA6189"/>
    <w:rsid w:val="00DA6A3D"/>
    <w:rsid w:val="00DA6F3A"/>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2AA6"/>
    <w:rsid w:val="00DB3507"/>
    <w:rsid w:val="00DB37CD"/>
    <w:rsid w:val="00DB39D1"/>
    <w:rsid w:val="00DB3F0A"/>
    <w:rsid w:val="00DB41CC"/>
    <w:rsid w:val="00DB4665"/>
    <w:rsid w:val="00DB46B9"/>
    <w:rsid w:val="00DB49E5"/>
    <w:rsid w:val="00DB4AFF"/>
    <w:rsid w:val="00DB4B12"/>
    <w:rsid w:val="00DB4B7C"/>
    <w:rsid w:val="00DB4C97"/>
    <w:rsid w:val="00DB4DC5"/>
    <w:rsid w:val="00DB52BA"/>
    <w:rsid w:val="00DB53FD"/>
    <w:rsid w:val="00DB54EB"/>
    <w:rsid w:val="00DB5A4C"/>
    <w:rsid w:val="00DB5AA2"/>
    <w:rsid w:val="00DB5B85"/>
    <w:rsid w:val="00DB5E56"/>
    <w:rsid w:val="00DB6066"/>
    <w:rsid w:val="00DB6115"/>
    <w:rsid w:val="00DB61F1"/>
    <w:rsid w:val="00DB6707"/>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0BCA"/>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7C"/>
    <w:rsid w:val="00DD478F"/>
    <w:rsid w:val="00DD4901"/>
    <w:rsid w:val="00DD49C0"/>
    <w:rsid w:val="00DD49E2"/>
    <w:rsid w:val="00DD4BE6"/>
    <w:rsid w:val="00DD4BF9"/>
    <w:rsid w:val="00DD513E"/>
    <w:rsid w:val="00DD5458"/>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9D1"/>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933"/>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246"/>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5A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868"/>
    <w:rsid w:val="00E019FC"/>
    <w:rsid w:val="00E01A90"/>
    <w:rsid w:val="00E0209A"/>
    <w:rsid w:val="00E02147"/>
    <w:rsid w:val="00E02795"/>
    <w:rsid w:val="00E02815"/>
    <w:rsid w:val="00E0316F"/>
    <w:rsid w:val="00E03549"/>
    <w:rsid w:val="00E03709"/>
    <w:rsid w:val="00E0370A"/>
    <w:rsid w:val="00E03898"/>
    <w:rsid w:val="00E038F6"/>
    <w:rsid w:val="00E03AC2"/>
    <w:rsid w:val="00E03AD8"/>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E6A"/>
    <w:rsid w:val="00E05F66"/>
    <w:rsid w:val="00E063E2"/>
    <w:rsid w:val="00E06454"/>
    <w:rsid w:val="00E06E26"/>
    <w:rsid w:val="00E06ECC"/>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2DD"/>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17AA2"/>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069"/>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741"/>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03"/>
    <w:rsid w:val="00E35871"/>
    <w:rsid w:val="00E35AA6"/>
    <w:rsid w:val="00E35AC5"/>
    <w:rsid w:val="00E36196"/>
    <w:rsid w:val="00E36483"/>
    <w:rsid w:val="00E364E8"/>
    <w:rsid w:val="00E36D4D"/>
    <w:rsid w:val="00E36EE5"/>
    <w:rsid w:val="00E36FD9"/>
    <w:rsid w:val="00E3736E"/>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2FF1"/>
    <w:rsid w:val="00E431E9"/>
    <w:rsid w:val="00E43322"/>
    <w:rsid w:val="00E43453"/>
    <w:rsid w:val="00E43501"/>
    <w:rsid w:val="00E4361F"/>
    <w:rsid w:val="00E4374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4A"/>
    <w:rsid w:val="00E45E50"/>
    <w:rsid w:val="00E460D5"/>
    <w:rsid w:val="00E46116"/>
    <w:rsid w:val="00E46235"/>
    <w:rsid w:val="00E4656D"/>
    <w:rsid w:val="00E46676"/>
    <w:rsid w:val="00E46989"/>
    <w:rsid w:val="00E46CB0"/>
    <w:rsid w:val="00E46D65"/>
    <w:rsid w:val="00E4702F"/>
    <w:rsid w:val="00E47530"/>
    <w:rsid w:val="00E47550"/>
    <w:rsid w:val="00E47756"/>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0C6"/>
    <w:rsid w:val="00E5199E"/>
    <w:rsid w:val="00E51B67"/>
    <w:rsid w:val="00E51E55"/>
    <w:rsid w:val="00E52544"/>
    <w:rsid w:val="00E52569"/>
    <w:rsid w:val="00E53101"/>
    <w:rsid w:val="00E53182"/>
    <w:rsid w:val="00E533B0"/>
    <w:rsid w:val="00E53404"/>
    <w:rsid w:val="00E5341A"/>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9D1"/>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27A"/>
    <w:rsid w:val="00E6462F"/>
    <w:rsid w:val="00E64C05"/>
    <w:rsid w:val="00E64EF3"/>
    <w:rsid w:val="00E64F2A"/>
    <w:rsid w:val="00E65083"/>
    <w:rsid w:val="00E653A1"/>
    <w:rsid w:val="00E65564"/>
    <w:rsid w:val="00E658CF"/>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02D"/>
    <w:rsid w:val="00E701EB"/>
    <w:rsid w:val="00E7034D"/>
    <w:rsid w:val="00E706C4"/>
    <w:rsid w:val="00E70797"/>
    <w:rsid w:val="00E70895"/>
    <w:rsid w:val="00E709A0"/>
    <w:rsid w:val="00E70A49"/>
    <w:rsid w:val="00E70CDE"/>
    <w:rsid w:val="00E70CEB"/>
    <w:rsid w:val="00E70F38"/>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DCB"/>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AE4"/>
    <w:rsid w:val="00E86D66"/>
    <w:rsid w:val="00E87307"/>
    <w:rsid w:val="00E87313"/>
    <w:rsid w:val="00E87333"/>
    <w:rsid w:val="00E87362"/>
    <w:rsid w:val="00E8748C"/>
    <w:rsid w:val="00E87722"/>
    <w:rsid w:val="00E87744"/>
    <w:rsid w:val="00E87A47"/>
    <w:rsid w:val="00E87D94"/>
    <w:rsid w:val="00E87F55"/>
    <w:rsid w:val="00E87FC4"/>
    <w:rsid w:val="00E9007F"/>
    <w:rsid w:val="00E90A1C"/>
    <w:rsid w:val="00E91109"/>
    <w:rsid w:val="00E9155C"/>
    <w:rsid w:val="00E9161A"/>
    <w:rsid w:val="00E918A6"/>
    <w:rsid w:val="00E91BB1"/>
    <w:rsid w:val="00E91BB4"/>
    <w:rsid w:val="00E91C63"/>
    <w:rsid w:val="00E91CD1"/>
    <w:rsid w:val="00E91CD8"/>
    <w:rsid w:val="00E91D1D"/>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2A6"/>
    <w:rsid w:val="00EA2441"/>
    <w:rsid w:val="00EA2903"/>
    <w:rsid w:val="00EA298F"/>
    <w:rsid w:val="00EA2B7A"/>
    <w:rsid w:val="00EA2F75"/>
    <w:rsid w:val="00EA3018"/>
    <w:rsid w:val="00EA3324"/>
    <w:rsid w:val="00EA33A6"/>
    <w:rsid w:val="00EA3E2B"/>
    <w:rsid w:val="00EA4240"/>
    <w:rsid w:val="00EA42F1"/>
    <w:rsid w:val="00EA45EC"/>
    <w:rsid w:val="00EA4682"/>
    <w:rsid w:val="00EA4794"/>
    <w:rsid w:val="00EA487F"/>
    <w:rsid w:val="00EA49CD"/>
    <w:rsid w:val="00EA4A6D"/>
    <w:rsid w:val="00EA4EA4"/>
    <w:rsid w:val="00EA4EA8"/>
    <w:rsid w:val="00EA50D8"/>
    <w:rsid w:val="00EA522B"/>
    <w:rsid w:val="00EA5A22"/>
    <w:rsid w:val="00EA5A4F"/>
    <w:rsid w:val="00EA5AFA"/>
    <w:rsid w:val="00EA5B6F"/>
    <w:rsid w:val="00EA5C04"/>
    <w:rsid w:val="00EA6602"/>
    <w:rsid w:val="00EA6ECA"/>
    <w:rsid w:val="00EA7007"/>
    <w:rsid w:val="00EA73A2"/>
    <w:rsid w:val="00EA75DC"/>
    <w:rsid w:val="00EA7828"/>
    <w:rsid w:val="00EA7A0F"/>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061"/>
    <w:rsid w:val="00EB68EF"/>
    <w:rsid w:val="00EB6B54"/>
    <w:rsid w:val="00EB6BB7"/>
    <w:rsid w:val="00EB6BF9"/>
    <w:rsid w:val="00EB7333"/>
    <w:rsid w:val="00EB749E"/>
    <w:rsid w:val="00EB74A6"/>
    <w:rsid w:val="00EB754A"/>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16C"/>
    <w:rsid w:val="00EC269B"/>
    <w:rsid w:val="00EC26D3"/>
    <w:rsid w:val="00EC2C0C"/>
    <w:rsid w:val="00EC2CA9"/>
    <w:rsid w:val="00EC3557"/>
    <w:rsid w:val="00EC37A8"/>
    <w:rsid w:val="00EC38B5"/>
    <w:rsid w:val="00EC39C6"/>
    <w:rsid w:val="00EC3A6B"/>
    <w:rsid w:val="00EC3D09"/>
    <w:rsid w:val="00EC3F3C"/>
    <w:rsid w:val="00EC4287"/>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BD9"/>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BC7"/>
    <w:rsid w:val="00EF3D6D"/>
    <w:rsid w:val="00EF3DFF"/>
    <w:rsid w:val="00EF42D1"/>
    <w:rsid w:val="00EF4699"/>
    <w:rsid w:val="00EF46A9"/>
    <w:rsid w:val="00EF46CC"/>
    <w:rsid w:val="00EF4C3A"/>
    <w:rsid w:val="00EF4C8D"/>
    <w:rsid w:val="00EF4DCA"/>
    <w:rsid w:val="00EF526B"/>
    <w:rsid w:val="00EF564D"/>
    <w:rsid w:val="00EF5748"/>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8C"/>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143"/>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487"/>
    <w:rsid w:val="00F2357D"/>
    <w:rsid w:val="00F23605"/>
    <w:rsid w:val="00F23DB4"/>
    <w:rsid w:val="00F23DC8"/>
    <w:rsid w:val="00F23F9F"/>
    <w:rsid w:val="00F24186"/>
    <w:rsid w:val="00F2424F"/>
    <w:rsid w:val="00F2443F"/>
    <w:rsid w:val="00F24580"/>
    <w:rsid w:val="00F24607"/>
    <w:rsid w:val="00F247D4"/>
    <w:rsid w:val="00F24A48"/>
    <w:rsid w:val="00F24A59"/>
    <w:rsid w:val="00F24BCB"/>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3FEE"/>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3B3"/>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B54"/>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57FE5"/>
    <w:rsid w:val="00F60108"/>
    <w:rsid w:val="00F60127"/>
    <w:rsid w:val="00F603BA"/>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5A8"/>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0B0"/>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016"/>
    <w:rsid w:val="00F73277"/>
    <w:rsid w:val="00F73330"/>
    <w:rsid w:val="00F7381F"/>
    <w:rsid w:val="00F742FE"/>
    <w:rsid w:val="00F74427"/>
    <w:rsid w:val="00F7480D"/>
    <w:rsid w:val="00F74B21"/>
    <w:rsid w:val="00F74BC8"/>
    <w:rsid w:val="00F7520F"/>
    <w:rsid w:val="00F756D4"/>
    <w:rsid w:val="00F75F2B"/>
    <w:rsid w:val="00F7615F"/>
    <w:rsid w:val="00F762ED"/>
    <w:rsid w:val="00F76562"/>
    <w:rsid w:val="00F765D2"/>
    <w:rsid w:val="00F76BDA"/>
    <w:rsid w:val="00F76D01"/>
    <w:rsid w:val="00F770BE"/>
    <w:rsid w:val="00F773E1"/>
    <w:rsid w:val="00F7755E"/>
    <w:rsid w:val="00F776DF"/>
    <w:rsid w:val="00F77EAA"/>
    <w:rsid w:val="00F806AC"/>
    <w:rsid w:val="00F807CA"/>
    <w:rsid w:val="00F808E9"/>
    <w:rsid w:val="00F80D68"/>
    <w:rsid w:val="00F80D79"/>
    <w:rsid w:val="00F8102E"/>
    <w:rsid w:val="00F81434"/>
    <w:rsid w:val="00F81509"/>
    <w:rsid w:val="00F815A4"/>
    <w:rsid w:val="00F81671"/>
    <w:rsid w:val="00F816EA"/>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5EE7"/>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3DD"/>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1EA"/>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2F9"/>
    <w:rsid w:val="00FA2708"/>
    <w:rsid w:val="00FA2727"/>
    <w:rsid w:val="00FA2771"/>
    <w:rsid w:val="00FA28AA"/>
    <w:rsid w:val="00FA2A3D"/>
    <w:rsid w:val="00FA2B96"/>
    <w:rsid w:val="00FA2E23"/>
    <w:rsid w:val="00FA31E3"/>
    <w:rsid w:val="00FA35E8"/>
    <w:rsid w:val="00FA3A0A"/>
    <w:rsid w:val="00FA4329"/>
    <w:rsid w:val="00FA47DA"/>
    <w:rsid w:val="00FA4906"/>
    <w:rsid w:val="00FA4C39"/>
    <w:rsid w:val="00FA4F7A"/>
    <w:rsid w:val="00FA4FA6"/>
    <w:rsid w:val="00FA5078"/>
    <w:rsid w:val="00FA5244"/>
    <w:rsid w:val="00FA55DB"/>
    <w:rsid w:val="00FA583B"/>
    <w:rsid w:val="00FA5E21"/>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1FF4"/>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B40"/>
    <w:rsid w:val="00FB5CA4"/>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D2A"/>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AD4"/>
    <w:rsid w:val="00FC6C6D"/>
    <w:rsid w:val="00FC6C8E"/>
    <w:rsid w:val="00FC6CCF"/>
    <w:rsid w:val="00FC720C"/>
    <w:rsid w:val="00FC73EB"/>
    <w:rsid w:val="00FD0BB7"/>
    <w:rsid w:val="00FD0CD2"/>
    <w:rsid w:val="00FD0E43"/>
    <w:rsid w:val="00FD0F39"/>
    <w:rsid w:val="00FD12AB"/>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835"/>
    <w:rsid w:val="00FD4954"/>
    <w:rsid w:val="00FD4C92"/>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DBB"/>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C6"/>
    <w:rsid w:val="00FE1AEA"/>
    <w:rsid w:val="00FE1F1C"/>
    <w:rsid w:val="00FE21BD"/>
    <w:rsid w:val="00FE2839"/>
    <w:rsid w:val="00FE2AD3"/>
    <w:rsid w:val="00FE2BDA"/>
    <w:rsid w:val="00FE313D"/>
    <w:rsid w:val="00FE315A"/>
    <w:rsid w:val="00FE32E0"/>
    <w:rsid w:val="00FE35A4"/>
    <w:rsid w:val="00FE39B7"/>
    <w:rsid w:val="00FE3A18"/>
    <w:rsid w:val="00FE3A61"/>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5E7"/>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6F0"/>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2F2D"/>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C20"/>
    <w:rsid w:val="00FF6F78"/>
    <w:rsid w:val="00FF6FBA"/>
    <w:rsid w:val="00FF7211"/>
    <w:rsid w:val="00FF7E98"/>
    <w:rsid w:val="0174A59B"/>
    <w:rsid w:val="019303C9"/>
    <w:rsid w:val="02FFC1DB"/>
    <w:rsid w:val="030E215C"/>
    <w:rsid w:val="03F63DB6"/>
    <w:rsid w:val="0405EB79"/>
    <w:rsid w:val="040F37B2"/>
    <w:rsid w:val="043B131A"/>
    <w:rsid w:val="04E2D19B"/>
    <w:rsid w:val="04F8D1D1"/>
    <w:rsid w:val="0562869E"/>
    <w:rsid w:val="0648C3AC"/>
    <w:rsid w:val="06949919"/>
    <w:rsid w:val="06C283AE"/>
    <w:rsid w:val="06DC3B1B"/>
    <w:rsid w:val="075336D3"/>
    <w:rsid w:val="0759D2F0"/>
    <w:rsid w:val="07A45707"/>
    <w:rsid w:val="07B26E9C"/>
    <w:rsid w:val="07C075CB"/>
    <w:rsid w:val="07D723DE"/>
    <w:rsid w:val="08003CCC"/>
    <w:rsid w:val="083CCC97"/>
    <w:rsid w:val="085B1803"/>
    <w:rsid w:val="0908FF54"/>
    <w:rsid w:val="0940403A"/>
    <w:rsid w:val="09E81FBB"/>
    <w:rsid w:val="0AD20DBC"/>
    <w:rsid w:val="0B612BB7"/>
    <w:rsid w:val="0B735C52"/>
    <w:rsid w:val="0BA065EB"/>
    <w:rsid w:val="0BFAE456"/>
    <w:rsid w:val="0C018CC1"/>
    <w:rsid w:val="0CFCE5E0"/>
    <w:rsid w:val="0D08F637"/>
    <w:rsid w:val="0D0FFB1F"/>
    <w:rsid w:val="0D5A9A9A"/>
    <w:rsid w:val="0DA945D1"/>
    <w:rsid w:val="0E163808"/>
    <w:rsid w:val="0E951DE8"/>
    <w:rsid w:val="0EC189FB"/>
    <w:rsid w:val="0ED9DDBF"/>
    <w:rsid w:val="0EE384D4"/>
    <w:rsid w:val="0EFF85E3"/>
    <w:rsid w:val="0F07FC76"/>
    <w:rsid w:val="0F9E9AFD"/>
    <w:rsid w:val="102D10D3"/>
    <w:rsid w:val="10925578"/>
    <w:rsid w:val="10D005B3"/>
    <w:rsid w:val="10E8783D"/>
    <w:rsid w:val="10FF3A86"/>
    <w:rsid w:val="11A70877"/>
    <w:rsid w:val="11A72EE8"/>
    <w:rsid w:val="11EACCD7"/>
    <w:rsid w:val="125F5DE9"/>
    <w:rsid w:val="126869EC"/>
    <w:rsid w:val="12C95BA5"/>
    <w:rsid w:val="1308BC5C"/>
    <w:rsid w:val="13F2B126"/>
    <w:rsid w:val="14D8DBD8"/>
    <w:rsid w:val="14FBB069"/>
    <w:rsid w:val="150061E5"/>
    <w:rsid w:val="152C222B"/>
    <w:rsid w:val="153408EA"/>
    <w:rsid w:val="15A0236F"/>
    <w:rsid w:val="162B7AA8"/>
    <w:rsid w:val="1630116F"/>
    <w:rsid w:val="168F01E7"/>
    <w:rsid w:val="16BA9E78"/>
    <w:rsid w:val="16CA956D"/>
    <w:rsid w:val="16CC4A40"/>
    <w:rsid w:val="16EE3BEB"/>
    <w:rsid w:val="1796BD55"/>
    <w:rsid w:val="181F034D"/>
    <w:rsid w:val="18291B5C"/>
    <w:rsid w:val="18CA5E23"/>
    <w:rsid w:val="19100C3A"/>
    <w:rsid w:val="1927D808"/>
    <w:rsid w:val="19370516"/>
    <w:rsid w:val="196D562B"/>
    <w:rsid w:val="19B33782"/>
    <w:rsid w:val="19E8BB98"/>
    <w:rsid w:val="1A946A73"/>
    <w:rsid w:val="1B4D0282"/>
    <w:rsid w:val="1B754639"/>
    <w:rsid w:val="1BE8F63F"/>
    <w:rsid w:val="1BF65C9D"/>
    <w:rsid w:val="1C11CA35"/>
    <w:rsid w:val="1C1C9916"/>
    <w:rsid w:val="1C78CEAB"/>
    <w:rsid w:val="1CC71566"/>
    <w:rsid w:val="1CE315D0"/>
    <w:rsid w:val="1D4CFA08"/>
    <w:rsid w:val="1D91F0D3"/>
    <w:rsid w:val="1E5732C5"/>
    <w:rsid w:val="1EB07D36"/>
    <w:rsid w:val="1F5D4BB8"/>
    <w:rsid w:val="1F6D202D"/>
    <w:rsid w:val="1F796320"/>
    <w:rsid w:val="20012137"/>
    <w:rsid w:val="211188B8"/>
    <w:rsid w:val="218EE3AD"/>
    <w:rsid w:val="219309BF"/>
    <w:rsid w:val="21A77D62"/>
    <w:rsid w:val="21CB873A"/>
    <w:rsid w:val="220F2CAF"/>
    <w:rsid w:val="223AE718"/>
    <w:rsid w:val="223D3DFD"/>
    <w:rsid w:val="2269AA47"/>
    <w:rsid w:val="22754512"/>
    <w:rsid w:val="22BBA727"/>
    <w:rsid w:val="23B304AE"/>
    <w:rsid w:val="23D32230"/>
    <w:rsid w:val="249B9E19"/>
    <w:rsid w:val="2531A0F1"/>
    <w:rsid w:val="253ED40B"/>
    <w:rsid w:val="25ADB005"/>
    <w:rsid w:val="25EF316E"/>
    <w:rsid w:val="260DE82A"/>
    <w:rsid w:val="2695D353"/>
    <w:rsid w:val="26D636F5"/>
    <w:rsid w:val="279BFF3D"/>
    <w:rsid w:val="2835F142"/>
    <w:rsid w:val="28638221"/>
    <w:rsid w:val="28AD9F7A"/>
    <w:rsid w:val="28B7C60C"/>
    <w:rsid w:val="2949BC87"/>
    <w:rsid w:val="295F1DB8"/>
    <w:rsid w:val="2965F241"/>
    <w:rsid w:val="299D70F4"/>
    <w:rsid w:val="29BD8376"/>
    <w:rsid w:val="29E60906"/>
    <w:rsid w:val="29E80E48"/>
    <w:rsid w:val="2A09E06D"/>
    <w:rsid w:val="2A1B147F"/>
    <w:rsid w:val="2A6F1522"/>
    <w:rsid w:val="2A98C30D"/>
    <w:rsid w:val="2AF429C3"/>
    <w:rsid w:val="2AF5EBA6"/>
    <w:rsid w:val="2B155E59"/>
    <w:rsid w:val="2BA21F62"/>
    <w:rsid w:val="2C22694E"/>
    <w:rsid w:val="2C23847F"/>
    <w:rsid w:val="2CB08C87"/>
    <w:rsid w:val="2CDF4786"/>
    <w:rsid w:val="2D568C9E"/>
    <w:rsid w:val="2DB18D1C"/>
    <w:rsid w:val="2E240337"/>
    <w:rsid w:val="2E3A3E76"/>
    <w:rsid w:val="2E4C2BFD"/>
    <w:rsid w:val="2E76BFFA"/>
    <w:rsid w:val="2EF970DA"/>
    <w:rsid w:val="2FC374E0"/>
    <w:rsid w:val="2FD6FDAD"/>
    <w:rsid w:val="2FF6A886"/>
    <w:rsid w:val="30E4B1CC"/>
    <w:rsid w:val="30E4B5BF"/>
    <w:rsid w:val="31052B89"/>
    <w:rsid w:val="3135CA45"/>
    <w:rsid w:val="315AB15B"/>
    <w:rsid w:val="31C4472F"/>
    <w:rsid w:val="31C8643B"/>
    <w:rsid w:val="326238E5"/>
    <w:rsid w:val="32A4E1CF"/>
    <w:rsid w:val="32D167AA"/>
    <w:rsid w:val="32D5DF97"/>
    <w:rsid w:val="32E20435"/>
    <w:rsid w:val="32E46DD9"/>
    <w:rsid w:val="32FBBA87"/>
    <w:rsid w:val="32FEA9E5"/>
    <w:rsid w:val="3328608F"/>
    <w:rsid w:val="33AD2081"/>
    <w:rsid w:val="33D4971F"/>
    <w:rsid w:val="3479ECD1"/>
    <w:rsid w:val="35189A05"/>
    <w:rsid w:val="35574ACF"/>
    <w:rsid w:val="36798433"/>
    <w:rsid w:val="367ED1CB"/>
    <w:rsid w:val="36AF27B3"/>
    <w:rsid w:val="36AF6763"/>
    <w:rsid w:val="37044E61"/>
    <w:rsid w:val="37248431"/>
    <w:rsid w:val="374E963E"/>
    <w:rsid w:val="377B924F"/>
    <w:rsid w:val="37B0C3D8"/>
    <w:rsid w:val="3859D5F9"/>
    <w:rsid w:val="3941608C"/>
    <w:rsid w:val="3954BDF7"/>
    <w:rsid w:val="397C0272"/>
    <w:rsid w:val="39C737BF"/>
    <w:rsid w:val="3AA3A11A"/>
    <w:rsid w:val="3AD26E4E"/>
    <w:rsid w:val="3AD942A0"/>
    <w:rsid w:val="3AFD4AE2"/>
    <w:rsid w:val="3B5AD1F8"/>
    <w:rsid w:val="3B78D435"/>
    <w:rsid w:val="3B9C3DF8"/>
    <w:rsid w:val="3BDF46ED"/>
    <w:rsid w:val="3C2D6E32"/>
    <w:rsid w:val="3CDF4A70"/>
    <w:rsid w:val="3CFFCEBB"/>
    <w:rsid w:val="3D557BD2"/>
    <w:rsid w:val="3DA76D32"/>
    <w:rsid w:val="3DE63CBB"/>
    <w:rsid w:val="3E0F5E65"/>
    <w:rsid w:val="3E152213"/>
    <w:rsid w:val="3E5B7A84"/>
    <w:rsid w:val="3E5D02C0"/>
    <w:rsid w:val="3E8A63CE"/>
    <w:rsid w:val="3EB65394"/>
    <w:rsid w:val="3ED3461F"/>
    <w:rsid w:val="3F11E614"/>
    <w:rsid w:val="3F706AAC"/>
    <w:rsid w:val="3F80C9A6"/>
    <w:rsid w:val="3FBF09E9"/>
    <w:rsid w:val="3FCAA865"/>
    <w:rsid w:val="403F2B90"/>
    <w:rsid w:val="415AF8E8"/>
    <w:rsid w:val="41700C4D"/>
    <w:rsid w:val="41D90FEC"/>
    <w:rsid w:val="42954261"/>
    <w:rsid w:val="42A71FC2"/>
    <w:rsid w:val="42F27EA2"/>
    <w:rsid w:val="43A15014"/>
    <w:rsid w:val="43AE15E3"/>
    <w:rsid w:val="43E50ACB"/>
    <w:rsid w:val="44042925"/>
    <w:rsid w:val="44BE38DB"/>
    <w:rsid w:val="44DFA3FD"/>
    <w:rsid w:val="4535DE5E"/>
    <w:rsid w:val="45A6D23A"/>
    <w:rsid w:val="477979CE"/>
    <w:rsid w:val="47ADEB9B"/>
    <w:rsid w:val="4823AA91"/>
    <w:rsid w:val="4839D430"/>
    <w:rsid w:val="485EE2E4"/>
    <w:rsid w:val="48A98B3C"/>
    <w:rsid w:val="499027BB"/>
    <w:rsid w:val="49D0C867"/>
    <w:rsid w:val="49FE482E"/>
    <w:rsid w:val="4A178D0C"/>
    <w:rsid w:val="4A2D7107"/>
    <w:rsid w:val="4A4D5E9C"/>
    <w:rsid w:val="4A8BB9F6"/>
    <w:rsid w:val="4A8C19C3"/>
    <w:rsid w:val="4AAA1B09"/>
    <w:rsid w:val="4AD16791"/>
    <w:rsid w:val="4ADE74F3"/>
    <w:rsid w:val="4AE53290"/>
    <w:rsid w:val="4C393223"/>
    <w:rsid w:val="4D16320F"/>
    <w:rsid w:val="4D608821"/>
    <w:rsid w:val="4D83E133"/>
    <w:rsid w:val="4DBC6891"/>
    <w:rsid w:val="4E86EE11"/>
    <w:rsid w:val="4EDAA8C3"/>
    <w:rsid w:val="4F066F8B"/>
    <w:rsid w:val="4F1723BB"/>
    <w:rsid w:val="4FAB52F4"/>
    <w:rsid w:val="4FDEE7B4"/>
    <w:rsid w:val="502C8BDB"/>
    <w:rsid w:val="50840015"/>
    <w:rsid w:val="50B87F34"/>
    <w:rsid w:val="50C1E39F"/>
    <w:rsid w:val="50D25AAD"/>
    <w:rsid w:val="50F5310F"/>
    <w:rsid w:val="515A9390"/>
    <w:rsid w:val="515FE27F"/>
    <w:rsid w:val="52486200"/>
    <w:rsid w:val="52C088BB"/>
    <w:rsid w:val="52E2C605"/>
    <w:rsid w:val="5356BC70"/>
    <w:rsid w:val="5403B0C0"/>
    <w:rsid w:val="54E1E6BD"/>
    <w:rsid w:val="5547CF78"/>
    <w:rsid w:val="558F8FDE"/>
    <w:rsid w:val="55C22EFA"/>
    <w:rsid w:val="56A9A132"/>
    <w:rsid w:val="574BDD17"/>
    <w:rsid w:val="5758B446"/>
    <w:rsid w:val="57C89623"/>
    <w:rsid w:val="58149E04"/>
    <w:rsid w:val="583319FF"/>
    <w:rsid w:val="583D8959"/>
    <w:rsid w:val="587961D9"/>
    <w:rsid w:val="5897C1A4"/>
    <w:rsid w:val="58AF67DE"/>
    <w:rsid w:val="58FAD878"/>
    <w:rsid w:val="594890DB"/>
    <w:rsid w:val="5963F81E"/>
    <w:rsid w:val="59D63A5B"/>
    <w:rsid w:val="59E2BA27"/>
    <w:rsid w:val="5A01B457"/>
    <w:rsid w:val="5A4A42A8"/>
    <w:rsid w:val="5AC066D9"/>
    <w:rsid w:val="5B027532"/>
    <w:rsid w:val="5B07B96C"/>
    <w:rsid w:val="5B7DA602"/>
    <w:rsid w:val="5C57F6B5"/>
    <w:rsid w:val="5C5CC9A7"/>
    <w:rsid w:val="5C73464A"/>
    <w:rsid w:val="5CD2CE9D"/>
    <w:rsid w:val="5D68BB53"/>
    <w:rsid w:val="5DA3FA60"/>
    <w:rsid w:val="5DB2B35A"/>
    <w:rsid w:val="5DCB6628"/>
    <w:rsid w:val="5E98DF9E"/>
    <w:rsid w:val="5EA69B51"/>
    <w:rsid w:val="5F5A1740"/>
    <w:rsid w:val="5F6B7B24"/>
    <w:rsid w:val="601ED2B8"/>
    <w:rsid w:val="60686F62"/>
    <w:rsid w:val="60866512"/>
    <w:rsid w:val="60B682D7"/>
    <w:rsid w:val="6190D2B4"/>
    <w:rsid w:val="6197DDE2"/>
    <w:rsid w:val="6243C6FC"/>
    <w:rsid w:val="628F7779"/>
    <w:rsid w:val="62CBEE89"/>
    <w:rsid w:val="62E52423"/>
    <w:rsid w:val="6328FFCE"/>
    <w:rsid w:val="633C6F07"/>
    <w:rsid w:val="63ACEC63"/>
    <w:rsid w:val="63EF8CB9"/>
    <w:rsid w:val="6573AAAB"/>
    <w:rsid w:val="65A6BBEB"/>
    <w:rsid w:val="65C9ECE9"/>
    <w:rsid w:val="66059530"/>
    <w:rsid w:val="66089B17"/>
    <w:rsid w:val="6655E279"/>
    <w:rsid w:val="665BACFB"/>
    <w:rsid w:val="667EB5E4"/>
    <w:rsid w:val="66DBD2F2"/>
    <w:rsid w:val="67A32D56"/>
    <w:rsid w:val="67BFDB89"/>
    <w:rsid w:val="68BA52C4"/>
    <w:rsid w:val="6922E79C"/>
    <w:rsid w:val="69709632"/>
    <w:rsid w:val="699358D9"/>
    <w:rsid w:val="6A574962"/>
    <w:rsid w:val="6A6CBDE3"/>
    <w:rsid w:val="6A71F265"/>
    <w:rsid w:val="6B431746"/>
    <w:rsid w:val="6BFB8949"/>
    <w:rsid w:val="6C3EE68D"/>
    <w:rsid w:val="6C65171B"/>
    <w:rsid w:val="6C939824"/>
    <w:rsid w:val="6C9F25F8"/>
    <w:rsid w:val="6DCB3AED"/>
    <w:rsid w:val="6DDB72F2"/>
    <w:rsid w:val="6EA835B3"/>
    <w:rsid w:val="6EE7CD7F"/>
    <w:rsid w:val="6F6C3086"/>
    <w:rsid w:val="6FA694DA"/>
    <w:rsid w:val="6FF4E9FA"/>
    <w:rsid w:val="70578CF5"/>
    <w:rsid w:val="705E66C9"/>
    <w:rsid w:val="70CA1BAF"/>
    <w:rsid w:val="715B4656"/>
    <w:rsid w:val="715DE95F"/>
    <w:rsid w:val="7188357B"/>
    <w:rsid w:val="72154D8E"/>
    <w:rsid w:val="725B2468"/>
    <w:rsid w:val="72648CD6"/>
    <w:rsid w:val="727A6120"/>
    <w:rsid w:val="7364B071"/>
    <w:rsid w:val="73FA54F6"/>
    <w:rsid w:val="743DBCE9"/>
    <w:rsid w:val="7476EFF8"/>
    <w:rsid w:val="748B388D"/>
    <w:rsid w:val="74EBCD1D"/>
    <w:rsid w:val="755BCE55"/>
    <w:rsid w:val="755D3344"/>
    <w:rsid w:val="75675911"/>
    <w:rsid w:val="7584BA3D"/>
    <w:rsid w:val="759133E6"/>
    <w:rsid w:val="765B35FE"/>
    <w:rsid w:val="768736E0"/>
    <w:rsid w:val="7698B49A"/>
    <w:rsid w:val="76C3AA13"/>
    <w:rsid w:val="76EDD6C2"/>
    <w:rsid w:val="76FD873C"/>
    <w:rsid w:val="77003AF9"/>
    <w:rsid w:val="7729876F"/>
    <w:rsid w:val="777563C3"/>
    <w:rsid w:val="786D76F0"/>
    <w:rsid w:val="78DFEFCD"/>
    <w:rsid w:val="7958BC5C"/>
    <w:rsid w:val="796288B0"/>
    <w:rsid w:val="796D8A6F"/>
    <w:rsid w:val="799C6ADB"/>
    <w:rsid w:val="79A4C6F2"/>
    <w:rsid w:val="7B3A23CA"/>
    <w:rsid w:val="7B5D4FB5"/>
    <w:rsid w:val="7B60724D"/>
    <w:rsid w:val="7C2654AF"/>
    <w:rsid w:val="7CD6F85D"/>
    <w:rsid w:val="7D06E4B4"/>
    <w:rsid w:val="7DADA328"/>
    <w:rsid w:val="7DDD51AF"/>
    <w:rsid w:val="7E23B9DF"/>
    <w:rsid w:val="7E2D1708"/>
    <w:rsid w:val="7E8DB201"/>
    <w:rsid w:val="7EC2C06E"/>
    <w:rsid w:val="7EC59D6A"/>
    <w:rsid w:val="7EECF657"/>
    <w:rsid w:val="7F0281EB"/>
    <w:rsid w:val="7F3B4E42"/>
    <w:rsid w:val="7F99FC67"/>
    <w:rsid w:val="7FD3691B"/>
    <w:rsid w:val="7FD9EF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D81B4"/>
  <w15:docId w15:val="{3025CE4D-31EB-4471-9F00-0E0DF659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748"/>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5"/>
      </w:numPr>
      <w:spacing w:before="240"/>
      <w:outlineLvl w:val="0"/>
    </w:pPr>
    <w:rPr>
      <w:b/>
      <w:smallCaps/>
    </w:rPr>
  </w:style>
  <w:style w:type="paragraph" w:styleId="Heading2">
    <w:name w:val="heading 2"/>
    <w:basedOn w:val="Normal"/>
    <w:next w:val="Text2"/>
    <w:qFormat/>
    <w:pPr>
      <w:keepNext/>
      <w:numPr>
        <w:ilvl w:val="1"/>
        <w:numId w:val="5"/>
      </w:numPr>
      <w:outlineLvl w:val="1"/>
    </w:pPr>
    <w:rPr>
      <w:b/>
    </w:rPr>
  </w:style>
  <w:style w:type="paragraph" w:styleId="Heading3">
    <w:name w:val="heading 3"/>
    <w:basedOn w:val="Normal"/>
    <w:next w:val="Text3"/>
    <w:link w:val="Heading3Char"/>
    <w:qFormat/>
    <w:pPr>
      <w:keepNext/>
      <w:numPr>
        <w:ilvl w:val="2"/>
        <w:numId w:val="5"/>
      </w:numPr>
      <w:outlineLvl w:val="2"/>
    </w:pPr>
    <w:rPr>
      <w:i/>
    </w:rPr>
  </w:style>
  <w:style w:type="paragraph" w:styleId="Heading4">
    <w:name w:val="heading 4"/>
    <w:basedOn w:val="Normal"/>
    <w:next w:val="Text4"/>
    <w:qFormat/>
    <w:pPr>
      <w:keepNext/>
      <w:numPr>
        <w:ilvl w:val="3"/>
        <w:numId w:val="5"/>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6"/>
      </w:numPr>
    </w:pPr>
  </w:style>
  <w:style w:type="paragraph" w:styleId="ListBullet2">
    <w:name w:val="List Bullet 2"/>
    <w:basedOn w:val="Text2"/>
    <w:uiPriority w:val="99"/>
    <w:pPr>
      <w:numPr>
        <w:numId w:val="8"/>
      </w:numPr>
      <w:tabs>
        <w:tab w:val="clear" w:pos="2160"/>
      </w:tabs>
    </w:pPr>
  </w:style>
  <w:style w:type="paragraph" w:styleId="ListBullet3">
    <w:name w:val="List Bullet 3"/>
    <w:basedOn w:val="Text3"/>
    <w:pPr>
      <w:numPr>
        <w:numId w:val="9"/>
      </w:numPr>
      <w:tabs>
        <w:tab w:val="clear" w:pos="2302"/>
      </w:tabs>
    </w:pPr>
  </w:style>
  <w:style w:type="paragraph" w:styleId="ListBullet4">
    <w:name w:val="List Bullet 4"/>
    <w:basedOn w:val="Text4"/>
    <w:pPr>
      <w:numPr>
        <w:numId w:val="10"/>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5"/>
      </w:numPr>
    </w:pPr>
    <w:rPr>
      <w:rFonts w:ascii="Times New Roman" w:hAnsi="Times New Roman"/>
    </w:rPr>
  </w:style>
  <w:style w:type="paragraph" w:styleId="ListNumber2">
    <w:name w:val="List Number 2"/>
    <w:basedOn w:val="Text2"/>
    <w:pPr>
      <w:numPr>
        <w:numId w:val="17"/>
      </w:numPr>
      <w:tabs>
        <w:tab w:val="clear" w:pos="2160"/>
      </w:tabs>
    </w:pPr>
  </w:style>
  <w:style w:type="paragraph" w:styleId="ListNumber3">
    <w:name w:val="List Number 3"/>
    <w:basedOn w:val="Text3"/>
    <w:pPr>
      <w:numPr>
        <w:numId w:val="18"/>
      </w:numPr>
      <w:tabs>
        <w:tab w:val="clear" w:pos="2302"/>
      </w:tabs>
    </w:pPr>
  </w:style>
  <w:style w:type="paragraph" w:styleId="ListNumber4">
    <w:name w:val="List Number 4"/>
    <w:basedOn w:val="Text4"/>
    <w:pPr>
      <w:numPr>
        <w:numId w:val="19"/>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7"/>
      </w:numPr>
    </w:pPr>
  </w:style>
  <w:style w:type="paragraph" w:customStyle="1" w:styleId="ListDash">
    <w:name w:val="List Dash"/>
    <w:basedOn w:val="Normal"/>
    <w:link w:val="ListDashChar"/>
    <w:pPr>
      <w:numPr>
        <w:numId w:val="22"/>
      </w:numPr>
    </w:pPr>
  </w:style>
  <w:style w:type="paragraph" w:customStyle="1" w:styleId="ListDash1">
    <w:name w:val="List Dash 1"/>
    <w:basedOn w:val="Text1"/>
    <w:pPr>
      <w:numPr>
        <w:numId w:val="11"/>
      </w:numPr>
    </w:pPr>
  </w:style>
  <w:style w:type="paragraph" w:customStyle="1" w:styleId="ListDash2">
    <w:name w:val="List Dash 2"/>
    <w:basedOn w:val="Text2"/>
    <w:pPr>
      <w:numPr>
        <w:numId w:val="12"/>
      </w:numPr>
      <w:tabs>
        <w:tab w:val="clear" w:pos="2160"/>
      </w:tabs>
    </w:pPr>
  </w:style>
  <w:style w:type="paragraph" w:customStyle="1" w:styleId="ListDash3">
    <w:name w:val="List Dash 3"/>
    <w:basedOn w:val="Text3"/>
    <w:pPr>
      <w:numPr>
        <w:numId w:val="13"/>
      </w:numPr>
      <w:tabs>
        <w:tab w:val="clear" w:pos="2302"/>
      </w:tabs>
    </w:pPr>
  </w:style>
  <w:style w:type="paragraph" w:customStyle="1" w:styleId="ListDash4">
    <w:name w:val="List Dash 4"/>
    <w:basedOn w:val="Text4"/>
    <w:pPr>
      <w:numPr>
        <w:numId w:val="14"/>
      </w:numPr>
    </w:pPr>
  </w:style>
  <w:style w:type="paragraph" w:customStyle="1" w:styleId="ListNumberLevel2">
    <w:name w:val="List Number (Level 2)"/>
    <w:basedOn w:val="Normal"/>
    <w:pPr>
      <w:numPr>
        <w:ilvl w:val="1"/>
        <w:numId w:val="15"/>
      </w:numPr>
    </w:pPr>
  </w:style>
  <w:style w:type="paragraph" w:customStyle="1" w:styleId="ListNumberLevel3">
    <w:name w:val="List Number (Level 3)"/>
    <w:basedOn w:val="Normal"/>
    <w:pPr>
      <w:numPr>
        <w:ilvl w:val="2"/>
        <w:numId w:val="15"/>
      </w:numPr>
    </w:pPr>
  </w:style>
  <w:style w:type="paragraph" w:customStyle="1" w:styleId="ListNumberLevel4">
    <w:name w:val="List Number (Level 4)"/>
    <w:basedOn w:val="Normal"/>
    <w:pPr>
      <w:numPr>
        <w:ilvl w:val="3"/>
        <w:numId w:val="15"/>
      </w:numPr>
    </w:pPr>
  </w:style>
  <w:style w:type="paragraph" w:customStyle="1" w:styleId="ListNumber1">
    <w:name w:val="List Number 1"/>
    <w:basedOn w:val="Text1"/>
    <w:pPr>
      <w:numPr>
        <w:numId w:val="16"/>
      </w:numPr>
    </w:pPr>
  </w:style>
  <w:style w:type="paragraph" w:customStyle="1" w:styleId="ListNumber1Level2">
    <w:name w:val="List Number 1 (Level 2)"/>
    <w:basedOn w:val="Text1"/>
    <w:pPr>
      <w:numPr>
        <w:ilvl w:val="1"/>
        <w:numId w:val="16"/>
      </w:numPr>
    </w:pPr>
  </w:style>
  <w:style w:type="paragraph" w:customStyle="1" w:styleId="ListNumber1Level3">
    <w:name w:val="List Number 1 (Level 3)"/>
    <w:basedOn w:val="Text1"/>
    <w:pPr>
      <w:numPr>
        <w:ilvl w:val="2"/>
        <w:numId w:val="16"/>
      </w:numPr>
    </w:pPr>
  </w:style>
  <w:style w:type="paragraph" w:customStyle="1" w:styleId="ListNumber1Level4">
    <w:name w:val="List Number 1 (Level 4)"/>
    <w:basedOn w:val="Text1"/>
    <w:pPr>
      <w:numPr>
        <w:ilvl w:val="3"/>
        <w:numId w:val="16"/>
      </w:numPr>
    </w:pPr>
  </w:style>
  <w:style w:type="paragraph" w:customStyle="1" w:styleId="ListNumber2Level2">
    <w:name w:val="List Number 2 (Level 2)"/>
    <w:basedOn w:val="Text2"/>
    <w:pPr>
      <w:numPr>
        <w:ilvl w:val="1"/>
        <w:numId w:val="17"/>
      </w:numPr>
      <w:tabs>
        <w:tab w:val="clear" w:pos="2160"/>
      </w:tabs>
    </w:pPr>
  </w:style>
  <w:style w:type="paragraph" w:customStyle="1" w:styleId="ListNumber2Level3">
    <w:name w:val="List Number 2 (Level 3)"/>
    <w:basedOn w:val="Text2"/>
    <w:pPr>
      <w:numPr>
        <w:ilvl w:val="2"/>
        <w:numId w:val="17"/>
      </w:numPr>
      <w:tabs>
        <w:tab w:val="clear" w:pos="2160"/>
      </w:tabs>
    </w:pPr>
  </w:style>
  <w:style w:type="paragraph" w:customStyle="1" w:styleId="ListNumber2Level4">
    <w:name w:val="List Number 2 (Level 4)"/>
    <w:basedOn w:val="Text2"/>
    <w:pPr>
      <w:numPr>
        <w:ilvl w:val="3"/>
        <w:numId w:val="17"/>
      </w:numPr>
      <w:tabs>
        <w:tab w:val="clear" w:pos="2160"/>
      </w:tabs>
    </w:pPr>
  </w:style>
  <w:style w:type="paragraph" w:customStyle="1" w:styleId="ListNumber3Level2">
    <w:name w:val="List Number 3 (Level 2)"/>
    <w:basedOn w:val="Text3"/>
    <w:pPr>
      <w:numPr>
        <w:ilvl w:val="1"/>
        <w:numId w:val="18"/>
      </w:numPr>
      <w:tabs>
        <w:tab w:val="clear" w:pos="2302"/>
      </w:tabs>
    </w:pPr>
  </w:style>
  <w:style w:type="paragraph" w:customStyle="1" w:styleId="ListNumber3Level3">
    <w:name w:val="List Number 3 (Level 3)"/>
    <w:basedOn w:val="Text3"/>
    <w:pPr>
      <w:numPr>
        <w:ilvl w:val="2"/>
        <w:numId w:val="18"/>
      </w:numPr>
      <w:tabs>
        <w:tab w:val="clear" w:pos="2302"/>
      </w:tabs>
    </w:pPr>
  </w:style>
  <w:style w:type="paragraph" w:customStyle="1" w:styleId="ListNumber3Level4">
    <w:name w:val="List Number 3 (Level 4)"/>
    <w:basedOn w:val="Text3"/>
    <w:pPr>
      <w:numPr>
        <w:ilvl w:val="3"/>
        <w:numId w:val="18"/>
      </w:numPr>
      <w:tabs>
        <w:tab w:val="clear" w:pos="2302"/>
      </w:tabs>
    </w:pPr>
  </w:style>
  <w:style w:type="paragraph" w:customStyle="1" w:styleId="ListNumber4Level2">
    <w:name w:val="List Number 4 (Level 2)"/>
    <w:basedOn w:val="Text4"/>
    <w:pPr>
      <w:numPr>
        <w:ilvl w:val="1"/>
        <w:numId w:val="19"/>
      </w:numPr>
    </w:pPr>
  </w:style>
  <w:style w:type="paragraph" w:customStyle="1" w:styleId="ListNumber4Level3">
    <w:name w:val="List Number 4 (Level 3)"/>
    <w:basedOn w:val="Text4"/>
    <w:pPr>
      <w:numPr>
        <w:ilvl w:val="2"/>
        <w:numId w:val="19"/>
      </w:numPr>
    </w:pPr>
  </w:style>
  <w:style w:type="paragraph" w:customStyle="1" w:styleId="ListNumber4Level4">
    <w:name w:val="List Number 4 (Level 4)"/>
    <w:basedOn w:val="Text4"/>
    <w:pPr>
      <w:numPr>
        <w:ilvl w:val="3"/>
        <w:numId w:val="19"/>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20"/>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21"/>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1">
    <w:name w:val="Char Char Char1"/>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1">
    <w:name w:val="Char1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23"/>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4"/>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5"/>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6"/>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1">
    <w:name w:val="Znak Znak1"/>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styleId="UnresolvedMention">
    <w:name w:val="Unresolved Mention"/>
    <w:basedOn w:val="DefaultParagraphFont"/>
    <w:uiPriority w:val="99"/>
    <w:semiHidden/>
    <w:unhideWhenUsed/>
    <w:rsid w:val="00A15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803632">
      <w:bodyDiv w:val="1"/>
      <w:marLeft w:val="0"/>
      <w:marRight w:val="0"/>
      <w:marTop w:val="0"/>
      <w:marBottom w:val="0"/>
      <w:divBdr>
        <w:top w:val="none" w:sz="0" w:space="0" w:color="auto"/>
        <w:left w:val="none" w:sz="0" w:space="0" w:color="auto"/>
        <w:bottom w:val="none" w:sz="0" w:space="0" w:color="auto"/>
        <w:right w:val="none" w:sz="0" w:space="0" w:color="auto"/>
      </w:divBdr>
    </w:div>
    <w:div w:id="1892619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strategy-and-policy/priorities-2019-2024/european-green-deal/repowereu-affordable-secure-and-sustainable-energy-europe_en?prefLang=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f9dd6c6-cf8f-4aa4-be49-f1cc0da589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59425-B64B-438E-BF7F-B63175A47CAA}">
  <ds:schemaRefs>
    <ds:schemaRef ds:uri="http://schemas.openxmlformats.org/officeDocument/2006/bibliography"/>
  </ds:schemaRefs>
</ds:datastoreItem>
</file>

<file path=customXml/itemProps2.xml><?xml version="1.0" encoding="utf-8"?>
<ds:datastoreItem xmlns:ds="http://schemas.openxmlformats.org/officeDocument/2006/customXml" ds:itemID="{A091CD62-0F64-450B-B65D-DDC7B79971E6}">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62A4A506-873C-449C-B2FB-7CF5DC600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497717-8335-4DB0-8285-39CD3214A5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8</Pages>
  <Words>3955</Words>
  <Characters>21876</Characters>
  <Application>Microsoft Office Word</Application>
  <DocSecurity>0</DocSecurity>
  <PresentationFormat>Microsoft Word 8.0b</PresentationFormat>
  <Lines>321</Lines>
  <Paragraphs>44</Paragraphs>
  <ScaleCrop>false</ScaleCrop>
  <Company>European Commission</Company>
  <LinksUpToDate>false</LinksUpToDate>
  <CharactersWithSpaces>25787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MONFORT Isabelle</dc:creator>
  <cp:keywords>EL4</cp:keywords>
  <dc:description/>
  <cp:lastModifiedBy>DELBAER Gerda (SG)</cp:lastModifiedBy>
  <cp:revision>2</cp:revision>
  <cp:lastPrinted>2025-02-28T14:19:00Z</cp:lastPrinted>
  <dcterms:created xsi:type="dcterms:W3CDTF">2025-04-22T13:16:00Z</dcterms:created>
  <dcterms:modified xsi:type="dcterms:W3CDTF">2025-04-22T13:16:00Z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2024-05-21T09:16:52Z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12940d3f-4e64-4406-8451-56c6a2b0e2cb</vt:lpwstr>
  </property>
  <property fmtid="{D5CDD505-2E9C-101B-9397-08002B2CF9AE}" pid="19" name="MSIP_Label_6bd9ddd1-4d20-43f6-abfa-fc3c07406f94_ContentBits">
    <vt:lpwstr>0</vt:lpwstr>
  </property>
  <property fmtid="{D5CDD505-2E9C-101B-9397-08002B2CF9AE}" pid="20" name="MediaServiceImageTags">
    <vt:lpwstr/>
  </property>
  <property fmtid="{D5CDD505-2E9C-101B-9397-08002B2CF9AE}" pid="21" name="EC_TX_Corporate_x0020_Body">
    <vt:lpwstr/>
  </property>
  <property fmtid="{D5CDD505-2E9C-101B-9397-08002B2CF9AE}" pid="22" name="EC_TX_All_World_Countries">
    <vt:lpwstr/>
  </property>
  <property fmtid="{D5CDD505-2E9C-101B-9397-08002B2CF9AE}" pid="23" name="i8c8ab8b63424c5d9f8c4a8434abf670">
    <vt:lpwstr/>
  </property>
  <property fmtid="{D5CDD505-2E9C-101B-9397-08002B2CF9AE}" pid="24" name="EC_TX_Resource_Type">
    <vt:lpwstr/>
  </property>
  <property fmtid="{D5CDD505-2E9C-101B-9397-08002B2CF9AE}" pid="25" name="EC_TX_Policy_Area">
    <vt:lpwstr/>
  </property>
  <property fmtid="{D5CDD505-2E9C-101B-9397-08002B2CF9AE}" pid="26" name="EC_TX_EU_Member_State">
    <vt:lpwstr/>
  </property>
  <property fmtid="{D5CDD505-2E9C-101B-9397-08002B2CF9AE}" pid="27" name="j8309f8bc3e645d1a2f07391f8e5795a">
    <vt:lpwstr/>
  </property>
  <property fmtid="{D5CDD505-2E9C-101B-9397-08002B2CF9AE}" pid="28" name="g81cb4d17be94922847ce418ea81f55a">
    <vt:lpwstr/>
  </property>
  <property fmtid="{D5CDD505-2E9C-101B-9397-08002B2CF9AE}" pid="29" name="TaxCatchAll">
    <vt:lpwstr/>
  </property>
  <property fmtid="{D5CDD505-2E9C-101B-9397-08002B2CF9AE}" pid="30" name="EC_TX_Strategic_Priority">
    <vt:lpwstr/>
  </property>
  <property fmtid="{D5CDD505-2E9C-101B-9397-08002B2CF9AE}" pid="31" name="k2c54712f93b47eb83e1835ba301b6c6">
    <vt:lpwstr/>
  </property>
  <property fmtid="{D5CDD505-2E9C-101B-9397-08002B2CF9AE}" pid="32" name="EC_TX_EU_Political_Leader">
    <vt:lpwstr/>
  </property>
  <property fmtid="{D5CDD505-2E9C-101B-9397-08002B2CF9AE}" pid="33" name="p6ffe5294acd41c38db3fcc8ababb05f">
    <vt:lpwstr/>
  </property>
  <property fmtid="{D5CDD505-2E9C-101B-9397-08002B2CF9AE}" pid="34" name="p26229aee9004b9f888149fd0449ec68">
    <vt:lpwstr/>
  </property>
  <property fmtid="{D5CDD505-2E9C-101B-9397-08002B2CF9AE}" pid="35" name="eff2cf69f10b4279bbb27215ca009b37">
    <vt:lpwstr/>
  </property>
  <property fmtid="{D5CDD505-2E9C-101B-9397-08002B2CF9AE}" pid="36" name="EC_TX_Corporate Body">
    <vt:lpwstr/>
  </property>
  <property fmtid="{D5CDD505-2E9C-101B-9397-08002B2CF9AE}" pid="37" name="ContentTypeId">
    <vt:lpwstr>0x010100271BB73A879EDE41AFDC9232B9EB1EA9</vt:lpwstr>
  </property>
</Properties>
</file>