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C8E6" w14:textId="477F57A6" w:rsidR="00F42613" w:rsidRPr="00F305B6" w:rsidRDefault="00F42613" w:rsidP="00743D19">
      <w:pPr>
        <w:spacing w:after="600"/>
        <w:jc w:val="center"/>
        <w:rPr>
          <w:rFonts w:ascii="Times New Roman" w:hAnsi="Times New Roman"/>
          <w:b/>
          <w:bCs/>
          <w:szCs w:val="24"/>
        </w:rPr>
      </w:pPr>
      <w:bookmarkStart w:id="0" w:name="SME"/>
      <w:r w:rsidRPr="00F305B6">
        <w:rPr>
          <w:rFonts w:ascii="Times New Roman" w:hAnsi="Times New Roman"/>
          <w:b/>
          <w:bCs/>
          <w:szCs w:val="24"/>
        </w:rPr>
        <w:t xml:space="preserve">Follow up to the European Parliament </w:t>
      </w:r>
      <w:r w:rsidR="008A0DD0">
        <w:rPr>
          <w:rFonts w:ascii="Times New Roman" w:hAnsi="Times New Roman"/>
          <w:b/>
          <w:bCs/>
          <w:szCs w:val="24"/>
        </w:rPr>
        <w:t xml:space="preserve">on </w:t>
      </w:r>
      <w:r w:rsidR="00783ED3">
        <w:rPr>
          <w:rFonts w:ascii="Times New Roman" w:hAnsi="Times New Roman"/>
          <w:b/>
          <w:bCs/>
          <w:szCs w:val="24"/>
        </w:rPr>
        <w:t xml:space="preserve">the </w:t>
      </w:r>
      <w:r w:rsidR="008A0DD0" w:rsidRPr="008A0DD0">
        <w:rPr>
          <w:rFonts w:ascii="Times New Roman" w:hAnsi="Times New Roman"/>
          <w:b/>
          <w:bCs/>
          <w:szCs w:val="24"/>
        </w:rPr>
        <w:t>Recommendation to the Council on the EU priorities for the 69th session of the UN Commission on the Status of Women</w:t>
      </w:r>
    </w:p>
    <w:bookmarkEnd w:id="0"/>
    <w:p w14:paraId="1298E41E" w14:textId="3901C1EE" w:rsidR="00F42613" w:rsidRPr="00F305B6" w:rsidRDefault="00F92D52" w:rsidP="00743D19">
      <w:pPr>
        <w:numPr>
          <w:ilvl w:val="0"/>
          <w:numId w:val="5"/>
        </w:numPr>
        <w:ind w:left="567" w:hanging="567"/>
        <w:rPr>
          <w:rFonts w:ascii="Times New Roman" w:hAnsi="Times New Roman"/>
          <w:b/>
          <w:szCs w:val="24"/>
          <w:lang w:val="fr-BE"/>
        </w:rPr>
      </w:pPr>
      <w:r w:rsidRPr="00F305B6">
        <w:rPr>
          <w:rFonts w:ascii="Times New Roman" w:hAnsi="Times New Roman"/>
          <w:b/>
          <w:szCs w:val="24"/>
          <w:lang w:val="fr-BE"/>
        </w:rPr>
        <w:t xml:space="preserve">Rapporteur: </w:t>
      </w:r>
      <w:r w:rsidR="008A0DD0" w:rsidRPr="00783ED3">
        <w:rPr>
          <w:rFonts w:ascii="Times New Roman" w:hAnsi="Times New Roman"/>
          <w:lang w:val="fr-BE"/>
        </w:rPr>
        <w:t>Lina</w:t>
      </w:r>
      <w:r w:rsidR="00783ED3" w:rsidRPr="00783ED3">
        <w:rPr>
          <w:rFonts w:ascii="Times New Roman" w:hAnsi="Times New Roman"/>
          <w:lang w:val="fr-BE"/>
        </w:rPr>
        <w:t xml:space="preserve"> GÁLVEZ (S&amp;D</w:t>
      </w:r>
      <w:r w:rsidR="00783ED3">
        <w:rPr>
          <w:rFonts w:ascii="Times New Roman" w:hAnsi="Times New Roman"/>
          <w:lang w:val="fr-BE"/>
        </w:rPr>
        <w:t>/ES)</w:t>
      </w:r>
    </w:p>
    <w:p w14:paraId="0E740E18" w14:textId="440C1AAB" w:rsidR="00F42613" w:rsidRPr="00F305B6" w:rsidRDefault="00F42613" w:rsidP="00743D19">
      <w:pPr>
        <w:numPr>
          <w:ilvl w:val="0"/>
          <w:numId w:val="5"/>
        </w:numPr>
        <w:ind w:left="567" w:hanging="567"/>
        <w:rPr>
          <w:rFonts w:ascii="Times New Roman" w:hAnsi="Times New Roman"/>
          <w:i/>
          <w:iCs/>
          <w:szCs w:val="24"/>
        </w:rPr>
      </w:pPr>
      <w:r w:rsidRPr="00F305B6">
        <w:rPr>
          <w:rFonts w:ascii="Times New Roman" w:hAnsi="Times New Roman"/>
          <w:b/>
          <w:bCs/>
          <w:szCs w:val="24"/>
        </w:rPr>
        <w:t xml:space="preserve">Reference numbers: </w:t>
      </w:r>
      <w:r w:rsidRPr="00F305B6">
        <w:rPr>
          <w:rFonts w:ascii="Times New Roman" w:hAnsi="Times New Roman"/>
          <w:szCs w:val="24"/>
        </w:rPr>
        <w:t xml:space="preserve"> 202</w:t>
      </w:r>
      <w:r w:rsidR="008A0DD0">
        <w:rPr>
          <w:rFonts w:ascii="Times New Roman" w:hAnsi="Times New Roman"/>
          <w:szCs w:val="24"/>
        </w:rPr>
        <w:t>4</w:t>
      </w:r>
      <w:r w:rsidRPr="00F305B6">
        <w:rPr>
          <w:rFonts w:ascii="Times New Roman" w:hAnsi="Times New Roman"/>
          <w:szCs w:val="24"/>
        </w:rPr>
        <w:t>/20</w:t>
      </w:r>
      <w:r w:rsidR="008A0DD0">
        <w:rPr>
          <w:rFonts w:ascii="Times New Roman" w:hAnsi="Times New Roman"/>
          <w:szCs w:val="24"/>
        </w:rPr>
        <w:t>57</w:t>
      </w:r>
      <w:r w:rsidRPr="00F305B6">
        <w:rPr>
          <w:rFonts w:ascii="Times New Roman" w:hAnsi="Times New Roman"/>
          <w:szCs w:val="24"/>
        </w:rPr>
        <w:t xml:space="preserve">(INI) </w:t>
      </w:r>
      <w:r w:rsidR="00EB74B9">
        <w:rPr>
          <w:rFonts w:ascii="Times New Roman" w:hAnsi="Times New Roman"/>
          <w:szCs w:val="24"/>
        </w:rPr>
        <w:t>/</w:t>
      </w:r>
      <w:r w:rsidRPr="00F305B6">
        <w:rPr>
          <w:rFonts w:ascii="Times New Roman" w:hAnsi="Times New Roman"/>
          <w:szCs w:val="24"/>
        </w:rPr>
        <w:t xml:space="preserve"> </w:t>
      </w:r>
      <w:r w:rsidR="00EB74B9">
        <w:rPr>
          <w:rFonts w:ascii="Times New Roman" w:hAnsi="Times New Roman"/>
          <w:szCs w:val="24"/>
        </w:rPr>
        <w:t>A</w:t>
      </w:r>
      <w:r w:rsidR="008A0DD0">
        <w:rPr>
          <w:rFonts w:ascii="Times New Roman" w:hAnsi="Times New Roman"/>
          <w:szCs w:val="24"/>
        </w:rPr>
        <w:t>10</w:t>
      </w:r>
      <w:r w:rsidR="00EB74B9">
        <w:rPr>
          <w:rFonts w:ascii="Times New Roman" w:hAnsi="Times New Roman"/>
          <w:szCs w:val="24"/>
        </w:rPr>
        <w:t>-0</w:t>
      </w:r>
      <w:r w:rsidR="008A0DD0">
        <w:rPr>
          <w:rFonts w:ascii="Times New Roman" w:hAnsi="Times New Roman"/>
          <w:szCs w:val="24"/>
        </w:rPr>
        <w:t>030</w:t>
      </w:r>
      <w:r w:rsidR="00EB74B9">
        <w:rPr>
          <w:rFonts w:ascii="Times New Roman" w:hAnsi="Times New Roman"/>
          <w:szCs w:val="24"/>
        </w:rPr>
        <w:t>/202</w:t>
      </w:r>
      <w:r w:rsidR="008A0DD0">
        <w:rPr>
          <w:rFonts w:ascii="Times New Roman" w:hAnsi="Times New Roman"/>
          <w:szCs w:val="24"/>
        </w:rPr>
        <w:t>4</w:t>
      </w:r>
      <w:r w:rsidR="00EB74B9">
        <w:rPr>
          <w:rFonts w:ascii="Times New Roman" w:hAnsi="Times New Roman"/>
          <w:szCs w:val="24"/>
        </w:rPr>
        <w:t xml:space="preserve"> / </w:t>
      </w:r>
      <w:r w:rsidRPr="00F305B6">
        <w:rPr>
          <w:rFonts w:ascii="Times New Roman" w:hAnsi="Times New Roman"/>
          <w:szCs w:val="24"/>
        </w:rPr>
        <w:t>P</w:t>
      </w:r>
      <w:r w:rsidR="008A0DD0">
        <w:rPr>
          <w:rFonts w:ascii="Times New Roman" w:hAnsi="Times New Roman"/>
          <w:szCs w:val="24"/>
        </w:rPr>
        <w:t>10</w:t>
      </w:r>
      <w:r w:rsidRPr="00F305B6">
        <w:rPr>
          <w:rFonts w:ascii="Times New Roman" w:hAnsi="Times New Roman"/>
          <w:szCs w:val="24"/>
        </w:rPr>
        <w:t>_TA(202</w:t>
      </w:r>
      <w:r w:rsidR="008A0DD0">
        <w:rPr>
          <w:rFonts w:ascii="Times New Roman" w:hAnsi="Times New Roman"/>
          <w:szCs w:val="24"/>
        </w:rPr>
        <w:t>4</w:t>
      </w:r>
      <w:r w:rsidRPr="00F305B6">
        <w:rPr>
          <w:rFonts w:ascii="Times New Roman" w:hAnsi="Times New Roman"/>
          <w:szCs w:val="24"/>
        </w:rPr>
        <w:t>)0</w:t>
      </w:r>
      <w:r w:rsidR="008A0DD0">
        <w:rPr>
          <w:rFonts w:ascii="Times New Roman" w:hAnsi="Times New Roman"/>
          <w:szCs w:val="24"/>
        </w:rPr>
        <w:t>075</w:t>
      </w:r>
    </w:p>
    <w:p w14:paraId="154D753B" w14:textId="46AB44BE" w:rsidR="00F42613" w:rsidRPr="00F305B6" w:rsidRDefault="00F42613" w:rsidP="00743D19">
      <w:pPr>
        <w:numPr>
          <w:ilvl w:val="0"/>
          <w:numId w:val="5"/>
        </w:numPr>
        <w:ind w:left="567" w:hanging="567"/>
        <w:rPr>
          <w:rFonts w:ascii="Times New Roman" w:hAnsi="Times New Roman"/>
          <w:szCs w:val="24"/>
        </w:rPr>
      </w:pPr>
      <w:r w:rsidRPr="00F305B6">
        <w:rPr>
          <w:rFonts w:ascii="Times New Roman" w:hAnsi="Times New Roman"/>
          <w:b/>
          <w:bCs/>
          <w:szCs w:val="24"/>
        </w:rPr>
        <w:t xml:space="preserve">Date of adoption of the resolution: </w:t>
      </w:r>
      <w:r w:rsidRPr="00F305B6">
        <w:rPr>
          <w:rFonts w:ascii="Times New Roman" w:hAnsi="Times New Roman"/>
          <w:szCs w:val="24"/>
        </w:rPr>
        <w:t xml:space="preserve"> 1</w:t>
      </w:r>
      <w:r w:rsidR="008A0DD0">
        <w:rPr>
          <w:rFonts w:ascii="Times New Roman" w:hAnsi="Times New Roman"/>
          <w:szCs w:val="24"/>
        </w:rPr>
        <w:t>9</w:t>
      </w:r>
      <w:r w:rsidR="00EB74B9">
        <w:rPr>
          <w:rFonts w:ascii="Times New Roman" w:hAnsi="Times New Roman"/>
          <w:szCs w:val="24"/>
        </w:rPr>
        <w:t xml:space="preserve"> December </w:t>
      </w:r>
      <w:r w:rsidRPr="00F305B6">
        <w:rPr>
          <w:rFonts w:ascii="Times New Roman" w:hAnsi="Times New Roman"/>
          <w:szCs w:val="24"/>
        </w:rPr>
        <w:t>202</w:t>
      </w:r>
      <w:r w:rsidR="008A0DD0">
        <w:rPr>
          <w:rFonts w:ascii="Times New Roman" w:hAnsi="Times New Roman"/>
          <w:szCs w:val="24"/>
        </w:rPr>
        <w:t>4</w:t>
      </w:r>
    </w:p>
    <w:p w14:paraId="579708FC" w14:textId="1B1E718D" w:rsidR="00F42613" w:rsidRPr="00F305B6" w:rsidRDefault="00F42613" w:rsidP="00743D19">
      <w:pPr>
        <w:widowControl w:val="0"/>
        <w:numPr>
          <w:ilvl w:val="0"/>
          <w:numId w:val="5"/>
        </w:numPr>
        <w:ind w:left="567" w:hanging="567"/>
        <w:rPr>
          <w:rFonts w:ascii="Times New Roman" w:hAnsi="Times New Roman"/>
          <w:szCs w:val="24"/>
        </w:rPr>
      </w:pPr>
      <w:bookmarkStart w:id="1" w:name="_Hlk152762992"/>
      <w:r w:rsidRPr="00F305B6">
        <w:rPr>
          <w:rFonts w:ascii="Times New Roman" w:hAnsi="Times New Roman"/>
          <w:b/>
          <w:szCs w:val="24"/>
        </w:rPr>
        <w:t>Competent Parliamentary Committee:</w:t>
      </w:r>
      <w:r w:rsidRPr="00F305B6">
        <w:rPr>
          <w:rFonts w:ascii="Times New Roman" w:hAnsi="Times New Roman"/>
          <w:szCs w:val="24"/>
        </w:rPr>
        <w:t xml:space="preserve"> </w:t>
      </w:r>
      <w:r w:rsidR="00EB74B9" w:rsidRPr="00EB74B9">
        <w:rPr>
          <w:rFonts w:ascii="Times New Roman" w:hAnsi="Times New Roman"/>
          <w:szCs w:val="24"/>
        </w:rPr>
        <w:t xml:space="preserve">Committee on </w:t>
      </w:r>
      <w:r w:rsidR="008A0DD0">
        <w:rPr>
          <w:rFonts w:ascii="Times New Roman" w:hAnsi="Times New Roman"/>
          <w:szCs w:val="24"/>
        </w:rPr>
        <w:t>Women’s Rights and Gender Equality</w:t>
      </w:r>
    </w:p>
    <w:bookmarkEnd w:id="1"/>
    <w:p w14:paraId="5840A05C" w14:textId="77777777" w:rsidR="00F42613" w:rsidRPr="00F305B6" w:rsidRDefault="00F42613" w:rsidP="00743D19">
      <w:pPr>
        <w:widowControl w:val="0"/>
        <w:numPr>
          <w:ilvl w:val="0"/>
          <w:numId w:val="5"/>
        </w:numPr>
        <w:ind w:left="567" w:hanging="567"/>
        <w:rPr>
          <w:rFonts w:ascii="Times New Roman" w:hAnsi="Times New Roman"/>
          <w:szCs w:val="24"/>
        </w:rPr>
      </w:pPr>
      <w:r w:rsidRPr="00F305B6">
        <w:rPr>
          <w:rFonts w:ascii="Times New Roman" w:hAnsi="Times New Roman"/>
          <w:b/>
          <w:bCs/>
          <w:szCs w:val="24"/>
        </w:rPr>
        <w:t>Brief analysis/ assessment of the resolution and requests made in it:</w:t>
      </w:r>
      <w:r w:rsidRPr="00F305B6" w:rsidDel="008C56FD">
        <w:rPr>
          <w:rFonts w:ascii="Times New Roman" w:hAnsi="Times New Roman"/>
          <w:szCs w:val="24"/>
        </w:rPr>
        <w:t xml:space="preserve"> </w:t>
      </w:r>
    </w:p>
    <w:p w14:paraId="785023AB" w14:textId="3FDD5F53" w:rsidR="00A84055" w:rsidRPr="00A84055" w:rsidRDefault="71F93429" w:rsidP="00EB74B9">
      <w:pPr>
        <w:spacing w:after="120"/>
        <w:rPr>
          <w:rFonts w:ascii="Times New Roman" w:hAnsi="Times New Roman"/>
        </w:rPr>
      </w:pPr>
      <w:r w:rsidRPr="00885366">
        <w:rPr>
          <w:rFonts w:ascii="Times New Roman" w:hAnsi="Times New Roman"/>
        </w:rPr>
        <w:t xml:space="preserve">The resolution </w:t>
      </w:r>
      <w:r w:rsidR="1E5F2D4C" w:rsidRPr="00885366">
        <w:rPr>
          <w:rFonts w:ascii="Times New Roman" w:hAnsi="Times New Roman"/>
        </w:rPr>
        <w:t>outline</w:t>
      </w:r>
      <w:r w:rsidR="510AE2E4" w:rsidRPr="00885366">
        <w:rPr>
          <w:rFonts w:ascii="Times New Roman" w:hAnsi="Times New Roman"/>
        </w:rPr>
        <w:t>s</w:t>
      </w:r>
      <w:r w:rsidR="008A0DD0" w:rsidRPr="00885366">
        <w:rPr>
          <w:rFonts w:ascii="Times New Roman" w:hAnsi="Times New Roman"/>
        </w:rPr>
        <w:t xml:space="preserve"> the main </w:t>
      </w:r>
      <w:r w:rsidR="00885366" w:rsidRPr="00885366">
        <w:rPr>
          <w:rFonts w:ascii="Times New Roman" w:hAnsi="Times New Roman"/>
        </w:rPr>
        <w:t xml:space="preserve">recommendations </w:t>
      </w:r>
      <w:r w:rsidR="008A0DD0" w:rsidRPr="00885366">
        <w:rPr>
          <w:rFonts w:ascii="Times New Roman" w:hAnsi="Times New Roman"/>
        </w:rPr>
        <w:t xml:space="preserve">of the </w:t>
      </w:r>
      <w:r w:rsidR="00634638">
        <w:rPr>
          <w:rFonts w:ascii="Times New Roman" w:hAnsi="Times New Roman"/>
        </w:rPr>
        <w:t>Parliament</w:t>
      </w:r>
      <w:r w:rsidR="00634638" w:rsidRPr="00885366">
        <w:rPr>
          <w:rFonts w:ascii="Times New Roman" w:hAnsi="Times New Roman"/>
        </w:rPr>
        <w:t xml:space="preserve"> </w:t>
      </w:r>
      <w:r w:rsidR="008A0DD0" w:rsidRPr="00885366">
        <w:rPr>
          <w:rFonts w:ascii="Times New Roman" w:hAnsi="Times New Roman"/>
        </w:rPr>
        <w:t xml:space="preserve">on the </w:t>
      </w:r>
      <w:r w:rsidR="00885366" w:rsidRPr="00885366">
        <w:rPr>
          <w:rFonts w:ascii="Times New Roman" w:hAnsi="Times New Roman"/>
        </w:rPr>
        <w:t xml:space="preserve">priorities </w:t>
      </w:r>
      <w:r w:rsidR="008A0DD0" w:rsidRPr="00885366">
        <w:rPr>
          <w:rFonts w:ascii="Times New Roman" w:hAnsi="Times New Roman"/>
        </w:rPr>
        <w:t xml:space="preserve">for </w:t>
      </w:r>
      <w:r w:rsidR="005803E3" w:rsidRPr="005803E3">
        <w:rPr>
          <w:rFonts w:ascii="Times New Roman" w:hAnsi="Times New Roman"/>
        </w:rPr>
        <w:t>Commission on the Status of Women</w:t>
      </w:r>
      <w:r w:rsidR="005803E3">
        <w:rPr>
          <w:rFonts w:ascii="Times New Roman" w:hAnsi="Times New Roman"/>
          <w:b/>
          <w:bCs/>
        </w:rPr>
        <w:t xml:space="preserve"> </w:t>
      </w:r>
      <w:r w:rsidR="005803E3">
        <w:rPr>
          <w:rFonts w:ascii="Times New Roman" w:hAnsi="Times New Roman"/>
        </w:rPr>
        <w:t>(</w:t>
      </w:r>
      <w:r w:rsidR="008A0DD0" w:rsidRPr="00885366">
        <w:rPr>
          <w:rFonts w:ascii="Times New Roman" w:hAnsi="Times New Roman"/>
        </w:rPr>
        <w:t>CSW</w:t>
      </w:r>
      <w:r w:rsidR="003B2FF9">
        <w:rPr>
          <w:rFonts w:ascii="Times New Roman" w:hAnsi="Times New Roman"/>
        </w:rPr>
        <w:t xml:space="preserve">) </w:t>
      </w:r>
      <w:r w:rsidR="008A0DD0" w:rsidRPr="00885366">
        <w:rPr>
          <w:rFonts w:ascii="Times New Roman" w:hAnsi="Times New Roman"/>
        </w:rPr>
        <w:t>69</w:t>
      </w:r>
      <w:r w:rsidRPr="00885366">
        <w:rPr>
          <w:rFonts w:ascii="Times New Roman" w:hAnsi="Times New Roman"/>
        </w:rPr>
        <w:t>.</w:t>
      </w:r>
      <w:r w:rsidR="00BD15F5" w:rsidRPr="00885366">
        <w:rPr>
          <w:rFonts w:ascii="Times New Roman" w:hAnsi="Times New Roman"/>
        </w:rPr>
        <w:t xml:space="preserve"> </w:t>
      </w:r>
      <w:r w:rsidR="00885366" w:rsidRPr="00885366">
        <w:rPr>
          <w:rFonts w:ascii="Times New Roman" w:hAnsi="Times New Roman"/>
        </w:rPr>
        <w:t xml:space="preserve">The sixty-ninth session of the </w:t>
      </w:r>
      <w:r w:rsidR="00634638">
        <w:rPr>
          <w:rFonts w:ascii="Times New Roman" w:hAnsi="Times New Roman"/>
        </w:rPr>
        <w:t>CSW</w:t>
      </w:r>
      <w:r w:rsidR="00885366" w:rsidRPr="00885366">
        <w:rPr>
          <w:rFonts w:ascii="Times New Roman" w:hAnsi="Times New Roman"/>
        </w:rPr>
        <w:t xml:space="preserve"> deals with the 30</w:t>
      </w:r>
      <w:r w:rsidR="00885366" w:rsidRPr="00885366">
        <w:rPr>
          <w:rFonts w:ascii="Times New Roman" w:hAnsi="Times New Roman"/>
          <w:vertAlign w:val="superscript"/>
        </w:rPr>
        <w:t>th</w:t>
      </w:r>
      <w:r w:rsidR="00885366" w:rsidRPr="00885366">
        <w:rPr>
          <w:rFonts w:ascii="Times New Roman" w:hAnsi="Times New Roman"/>
        </w:rPr>
        <w:t xml:space="preserve"> Anniversary of the Beijing Declaration and Platform for Action. The </w:t>
      </w:r>
      <w:r w:rsidR="00634638">
        <w:rPr>
          <w:rFonts w:ascii="Times New Roman" w:hAnsi="Times New Roman"/>
        </w:rPr>
        <w:t>Parliament</w:t>
      </w:r>
      <w:r w:rsidR="00634638" w:rsidRPr="00885366">
        <w:rPr>
          <w:rFonts w:ascii="Times New Roman" w:hAnsi="Times New Roman"/>
        </w:rPr>
        <w:t xml:space="preserve"> </w:t>
      </w:r>
      <w:r w:rsidR="00885366" w:rsidRPr="00885366">
        <w:rPr>
          <w:rFonts w:ascii="Times New Roman" w:hAnsi="Times New Roman"/>
        </w:rPr>
        <w:t>recommends an ambitious approach to this session, including the confirmation</w:t>
      </w:r>
      <w:r w:rsidR="00575D82">
        <w:rPr>
          <w:rFonts w:ascii="Times New Roman" w:hAnsi="Times New Roman"/>
        </w:rPr>
        <w:t xml:space="preserve"> of a</w:t>
      </w:r>
      <w:r w:rsidR="00885366" w:rsidRPr="00885366">
        <w:rPr>
          <w:rFonts w:ascii="Times New Roman" w:hAnsi="Times New Roman"/>
        </w:rPr>
        <w:t xml:space="preserve"> full and unwavering commitment to the Beijing Declaration and Platform for Action </w:t>
      </w:r>
      <w:r w:rsidR="00885366">
        <w:rPr>
          <w:rFonts w:ascii="Times New Roman" w:hAnsi="Times New Roman"/>
        </w:rPr>
        <w:t xml:space="preserve">based on a </w:t>
      </w:r>
      <w:r w:rsidR="00885366" w:rsidRPr="00885366">
        <w:rPr>
          <w:rFonts w:ascii="Times New Roman" w:hAnsi="Times New Roman"/>
        </w:rPr>
        <w:t>commitment to human rights of women, including sexual and reproductive health and rights,</w:t>
      </w:r>
      <w:r w:rsidR="00575D82">
        <w:rPr>
          <w:rFonts w:ascii="Times New Roman" w:hAnsi="Times New Roman"/>
        </w:rPr>
        <w:t xml:space="preserve"> </w:t>
      </w:r>
      <w:r w:rsidR="00885366" w:rsidRPr="00885366">
        <w:rPr>
          <w:rFonts w:ascii="Times New Roman" w:hAnsi="Times New Roman"/>
        </w:rPr>
        <w:t>to the implementation of specific and targeted actions for human rights of women and gender equality,</w:t>
      </w:r>
      <w:r w:rsidR="00575D82">
        <w:rPr>
          <w:rFonts w:ascii="Times New Roman" w:hAnsi="Times New Roman"/>
        </w:rPr>
        <w:t xml:space="preserve"> including</w:t>
      </w:r>
      <w:r w:rsidR="00885366" w:rsidRPr="00885366">
        <w:rPr>
          <w:rFonts w:ascii="Times New Roman" w:hAnsi="Times New Roman"/>
        </w:rPr>
        <w:t xml:space="preserve"> </w:t>
      </w:r>
      <w:r w:rsidR="00575D82" w:rsidRPr="00885366">
        <w:rPr>
          <w:rFonts w:ascii="Times New Roman" w:hAnsi="Times New Roman"/>
        </w:rPr>
        <w:t xml:space="preserve">through gender mainstreaming, </w:t>
      </w:r>
      <w:r w:rsidR="00885366" w:rsidRPr="00885366">
        <w:rPr>
          <w:rFonts w:ascii="Times New Roman" w:hAnsi="Times New Roman"/>
        </w:rPr>
        <w:t>and to ensuring proper gender budgeting. It stresses that the EU has an important role to play in achieving a gender-equal world through leading by example and supporting partner countries in addressing all types of direct and indirect discrimination and gender-based violence; recalls the importance of the Istanbul Convention, urges the remaining five Member States that have still not ratified and implemented the Istanbul Convention to do so in the shortest possible timeframe</w:t>
      </w:r>
      <w:r w:rsidR="00A84055">
        <w:rPr>
          <w:rFonts w:ascii="Times New Roman" w:hAnsi="Times New Roman"/>
        </w:rPr>
        <w:t>,</w:t>
      </w:r>
      <w:r w:rsidR="00885366" w:rsidRPr="00885366">
        <w:rPr>
          <w:rFonts w:ascii="Times New Roman" w:hAnsi="Times New Roman"/>
        </w:rPr>
        <w:t xml:space="preserve"> call</w:t>
      </w:r>
      <w:r w:rsidR="00A84055">
        <w:rPr>
          <w:rFonts w:ascii="Times New Roman" w:hAnsi="Times New Roman"/>
        </w:rPr>
        <w:t>s</w:t>
      </w:r>
      <w:r w:rsidR="00885366" w:rsidRPr="00885366">
        <w:rPr>
          <w:rFonts w:ascii="Times New Roman" w:hAnsi="Times New Roman"/>
        </w:rPr>
        <w:t xml:space="preserve"> on other countries to make progress towards signing and ratifying it</w:t>
      </w:r>
      <w:r w:rsidR="00A84055">
        <w:rPr>
          <w:rFonts w:ascii="Times New Roman" w:hAnsi="Times New Roman"/>
        </w:rPr>
        <w:t xml:space="preserve"> and advocates for a consent-based definition of rape</w:t>
      </w:r>
      <w:r w:rsidR="00885366" w:rsidRPr="00885366">
        <w:rPr>
          <w:rFonts w:ascii="Times New Roman" w:hAnsi="Times New Roman"/>
        </w:rPr>
        <w:t>. It presses for equal access to and opportunities in all areas of life, to allow women in all their diversity to fulfil their potential and encourages measures that promote women’s participation and gender balance in all high impact sectors inc</w:t>
      </w:r>
      <w:r w:rsidR="00575D82">
        <w:rPr>
          <w:rFonts w:ascii="Times New Roman" w:hAnsi="Times New Roman"/>
        </w:rPr>
        <w:t>luding</w:t>
      </w:r>
      <w:r w:rsidR="00885366" w:rsidRPr="00885366">
        <w:rPr>
          <w:rFonts w:ascii="Times New Roman" w:hAnsi="Times New Roman"/>
        </w:rPr>
        <w:t xml:space="preserve"> STEM and media. </w:t>
      </w:r>
      <w:r w:rsidR="00885366">
        <w:rPr>
          <w:rFonts w:ascii="Times New Roman" w:hAnsi="Times New Roman"/>
        </w:rPr>
        <w:t xml:space="preserve">It calls for </w:t>
      </w:r>
      <w:r w:rsidR="00885366" w:rsidRPr="00885366">
        <w:rPr>
          <w:rFonts w:ascii="Times New Roman" w:hAnsi="Times New Roman"/>
        </w:rPr>
        <w:t>address</w:t>
      </w:r>
      <w:r w:rsidR="00885366">
        <w:rPr>
          <w:rFonts w:ascii="Times New Roman" w:hAnsi="Times New Roman"/>
        </w:rPr>
        <w:t>ing</w:t>
      </w:r>
      <w:r w:rsidR="00885366" w:rsidRPr="00885366">
        <w:rPr>
          <w:rFonts w:ascii="Times New Roman" w:hAnsi="Times New Roman"/>
        </w:rPr>
        <w:t xml:space="preserve"> and monitor</w:t>
      </w:r>
      <w:r w:rsidR="00885366">
        <w:rPr>
          <w:rFonts w:ascii="Times New Roman" w:hAnsi="Times New Roman"/>
        </w:rPr>
        <w:t>ing</w:t>
      </w:r>
      <w:r w:rsidR="00885366" w:rsidRPr="00885366">
        <w:rPr>
          <w:rFonts w:ascii="Times New Roman" w:hAnsi="Times New Roman"/>
        </w:rPr>
        <w:t xml:space="preserve"> the systemic and root causes of female poverty</w:t>
      </w:r>
      <w:r w:rsidR="00885366">
        <w:rPr>
          <w:rFonts w:ascii="Times New Roman" w:hAnsi="Times New Roman"/>
        </w:rPr>
        <w:t xml:space="preserve"> and ensuring </w:t>
      </w:r>
      <w:r w:rsidR="00885366" w:rsidRPr="00885366">
        <w:rPr>
          <w:rFonts w:ascii="Times New Roman" w:hAnsi="Times New Roman"/>
        </w:rPr>
        <w:t>access to social services, including family support services, equal sharing of unpaid care and social responsibilities and work-life balance policies</w:t>
      </w:r>
      <w:r w:rsidR="00885366">
        <w:rPr>
          <w:rFonts w:ascii="Times New Roman" w:hAnsi="Times New Roman"/>
        </w:rPr>
        <w:t xml:space="preserve">. </w:t>
      </w:r>
      <w:r w:rsidR="00A84055">
        <w:rPr>
          <w:rFonts w:ascii="Times New Roman" w:hAnsi="Times New Roman"/>
        </w:rPr>
        <w:t xml:space="preserve">It calls for </w:t>
      </w:r>
      <w:r w:rsidR="00A84055" w:rsidRPr="00A84055">
        <w:rPr>
          <w:rFonts w:ascii="Times New Roman" w:hAnsi="Times New Roman"/>
        </w:rPr>
        <w:t>gender-responsive labour migration policies and programmes, underline</w:t>
      </w:r>
      <w:r w:rsidR="00A84055">
        <w:rPr>
          <w:rFonts w:ascii="Times New Roman" w:hAnsi="Times New Roman"/>
        </w:rPr>
        <w:t>s</w:t>
      </w:r>
      <w:r w:rsidR="00A84055" w:rsidRPr="00A84055">
        <w:rPr>
          <w:rFonts w:ascii="Times New Roman" w:hAnsi="Times New Roman"/>
        </w:rPr>
        <w:t xml:space="preserve"> the importance of enforcing international humanitarian law and recalls the importance of the Women Peace and Security resolution a</w:t>
      </w:r>
      <w:r w:rsidR="00A84055">
        <w:rPr>
          <w:rFonts w:ascii="Times New Roman" w:hAnsi="Times New Roman"/>
        </w:rPr>
        <w:t xml:space="preserve">nd calls for </w:t>
      </w:r>
      <w:r w:rsidR="00A84055" w:rsidRPr="00A84055">
        <w:rPr>
          <w:rFonts w:ascii="Times New Roman" w:hAnsi="Times New Roman"/>
        </w:rPr>
        <w:t xml:space="preserve">the </w:t>
      </w:r>
      <w:r w:rsidR="00A84055">
        <w:rPr>
          <w:rFonts w:ascii="Times New Roman" w:hAnsi="Times New Roman"/>
        </w:rPr>
        <w:t xml:space="preserve">further </w:t>
      </w:r>
      <w:r w:rsidR="00A84055" w:rsidRPr="00A84055">
        <w:rPr>
          <w:rFonts w:ascii="Times New Roman" w:hAnsi="Times New Roman"/>
        </w:rPr>
        <w:t>implementation of G</w:t>
      </w:r>
      <w:r w:rsidR="00461778">
        <w:rPr>
          <w:rFonts w:ascii="Times New Roman" w:hAnsi="Times New Roman"/>
        </w:rPr>
        <w:t xml:space="preserve">ender </w:t>
      </w:r>
      <w:r w:rsidR="00A84055" w:rsidRPr="00A84055">
        <w:rPr>
          <w:rFonts w:ascii="Times New Roman" w:hAnsi="Times New Roman"/>
        </w:rPr>
        <w:t>A</w:t>
      </w:r>
      <w:r w:rsidR="00461778">
        <w:rPr>
          <w:rFonts w:ascii="Times New Roman" w:hAnsi="Times New Roman"/>
        </w:rPr>
        <w:t xml:space="preserve">ction </w:t>
      </w:r>
      <w:r w:rsidR="00A84055" w:rsidRPr="00A84055">
        <w:rPr>
          <w:rFonts w:ascii="Times New Roman" w:hAnsi="Times New Roman"/>
        </w:rPr>
        <w:t>P</w:t>
      </w:r>
      <w:r w:rsidR="00461778">
        <w:rPr>
          <w:rFonts w:ascii="Times New Roman" w:hAnsi="Times New Roman"/>
        </w:rPr>
        <w:t>lan</w:t>
      </w:r>
      <w:r w:rsidR="00A84055" w:rsidRPr="00A84055">
        <w:rPr>
          <w:rFonts w:ascii="Times New Roman" w:hAnsi="Times New Roman"/>
        </w:rPr>
        <w:t xml:space="preserve"> III</w:t>
      </w:r>
      <w:r w:rsidR="00461778">
        <w:rPr>
          <w:rFonts w:ascii="Times New Roman" w:hAnsi="Times New Roman"/>
        </w:rPr>
        <w:t xml:space="preserve"> (GAP III)</w:t>
      </w:r>
      <w:r w:rsidR="00A84055">
        <w:rPr>
          <w:rFonts w:ascii="Times New Roman" w:hAnsi="Times New Roman"/>
        </w:rPr>
        <w:t xml:space="preserve">. Lastly, it also calls upon the Member States for a </w:t>
      </w:r>
      <w:r w:rsidR="00A84055" w:rsidRPr="00A84055">
        <w:rPr>
          <w:rFonts w:ascii="Times New Roman" w:hAnsi="Times New Roman"/>
        </w:rPr>
        <w:t>Council Configuration on Gender Equality and Equality</w:t>
      </w:r>
      <w:r w:rsidR="00A84055">
        <w:rPr>
          <w:rFonts w:ascii="Times New Roman" w:hAnsi="Times New Roman"/>
        </w:rPr>
        <w:t xml:space="preserve">. </w:t>
      </w:r>
    </w:p>
    <w:p w14:paraId="1ABAE65D" w14:textId="55850A1F" w:rsidR="00F42613" w:rsidRPr="00F305B6" w:rsidRDefault="00F42613" w:rsidP="00743D19">
      <w:pPr>
        <w:widowControl w:val="0"/>
        <w:numPr>
          <w:ilvl w:val="0"/>
          <w:numId w:val="5"/>
        </w:numPr>
        <w:rPr>
          <w:rFonts w:ascii="Times New Roman" w:hAnsi="Times New Roman"/>
          <w:b/>
          <w:bCs/>
          <w:i/>
          <w:iCs/>
          <w:szCs w:val="24"/>
        </w:rPr>
      </w:pPr>
      <w:r w:rsidRPr="00F305B6">
        <w:rPr>
          <w:rFonts w:ascii="Times New Roman" w:hAnsi="Times New Roman"/>
          <w:b/>
          <w:bCs/>
          <w:szCs w:val="24"/>
        </w:rPr>
        <w:t>Response to the requests and overview of the action taken, or intended to be taken, by the Commission:</w:t>
      </w:r>
    </w:p>
    <w:p w14:paraId="41A33B04" w14:textId="1DD73BB1" w:rsidR="007F7B40" w:rsidRDefault="007F7B40" w:rsidP="00EB74B9">
      <w:pPr>
        <w:spacing w:after="120"/>
        <w:rPr>
          <w:rFonts w:ascii="Times New Roman" w:hAnsi="Times New Roman"/>
        </w:rPr>
      </w:pPr>
      <w:r w:rsidRPr="00F305B6">
        <w:rPr>
          <w:rFonts w:ascii="Times New Roman" w:hAnsi="Times New Roman"/>
        </w:rPr>
        <w:t xml:space="preserve">The Commission welcomes the resolution of the European Parliament </w:t>
      </w:r>
      <w:r>
        <w:rPr>
          <w:rFonts w:ascii="Times New Roman" w:hAnsi="Times New Roman"/>
        </w:rPr>
        <w:t xml:space="preserve">and the priorities for the upcoming session. </w:t>
      </w:r>
    </w:p>
    <w:p w14:paraId="78F880CA" w14:textId="6CF7CDF7" w:rsidR="008153D4" w:rsidRDefault="008153D4" w:rsidP="00EB74B9">
      <w:pPr>
        <w:spacing w:after="120"/>
        <w:rPr>
          <w:rFonts w:ascii="Times New Roman" w:hAnsi="Times New Roman"/>
        </w:rPr>
      </w:pPr>
      <w:r w:rsidRPr="008153D4">
        <w:rPr>
          <w:rFonts w:ascii="Times New Roman" w:hAnsi="Times New Roman"/>
        </w:rPr>
        <w:t>Most of the requests in the resolutions are directed to the Council, as the Member States</w:t>
      </w:r>
      <w:r w:rsidR="00622110">
        <w:rPr>
          <w:rFonts w:ascii="Times New Roman" w:hAnsi="Times New Roman"/>
        </w:rPr>
        <w:t>,</w:t>
      </w:r>
      <w:r w:rsidRPr="008153D4">
        <w:rPr>
          <w:rFonts w:ascii="Times New Roman" w:hAnsi="Times New Roman"/>
        </w:rPr>
        <w:t xml:space="preserve"> </w:t>
      </w:r>
      <w:r w:rsidR="00622110" w:rsidRPr="00622110">
        <w:rPr>
          <w:rFonts w:ascii="Times New Roman" w:hAnsi="Times New Roman"/>
        </w:rPr>
        <w:t>coordinated through the E</w:t>
      </w:r>
      <w:r w:rsidR="005B1456">
        <w:rPr>
          <w:rFonts w:ascii="Times New Roman" w:hAnsi="Times New Roman"/>
        </w:rPr>
        <w:t xml:space="preserve">uropean </w:t>
      </w:r>
      <w:r w:rsidR="00622110" w:rsidRPr="00622110">
        <w:rPr>
          <w:rFonts w:ascii="Times New Roman" w:hAnsi="Times New Roman"/>
        </w:rPr>
        <w:t>E</w:t>
      </w:r>
      <w:r w:rsidR="005B1456">
        <w:rPr>
          <w:rFonts w:ascii="Times New Roman" w:hAnsi="Times New Roman"/>
        </w:rPr>
        <w:t xml:space="preserve">xternal </w:t>
      </w:r>
      <w:r w:rsidR="00622110" w:rsidRPr="00622110">
        <w:rPr>
          <w:rFonts w:ascii="Times New Roman" w:hAnsi="Times New Roman"/>
        </w:rPr>
        <w:t>A</w:t>
      </w:r>
      <w:r w:rsidR="005B1456">
        <w:rPr>
          <w:rFonts w:ascii="Times New Roman" w:hAnsi="Times New Roman"/>
        </w:rPr>
        <w:t xml:space="preserve">ction </w:t>
      </w:r>
      <w:r w:rsidR="00622110" w:rsidRPr="00622110">
        <w:rPr>
          <w:rFonts w:ascii="Times New Roman" w:hAnsi="Times New Roman"/>
        </w:rPr>
        <w:t>S</w:t>
      </w:r>
      <w:r w:rsidR="005B1456">
        <w:rPr>
          <w:rFonts w:ascii="Times New Roman" w:hAnsi="Times New Roman"/>
        </w:rPr>
        <w:t>ervice</w:t>
      </w:r>
      <w:r w:rsidR="00622110" w:rsidRPr="00622110">
        <w:rPr>
          <w:rFonts w:ascii="Times New Roman" w:hAnsi="Times New Roman"/>
        </w:rPr>
        <w:t xml:space="preserve"> and the EU Delegation in New York, </w:t>
      </w:r>
      <w:r w:rsidRPr="008153D4">
        <w:rPr>
          <w:rFonts w:ascii="Times New Roman" w:hAnsi="Times New Roman"/>
        </w:rPr>
        <w:t xml:space="preserve">are the negotiators during the UN meeting. The Commission will not be responding formally to the requests addressed in the resolution as it has delivered input to the Parliament </w:t>
      </w:r>
      <w:r w:rsidRPr="008153D4">
        <w:rPr>
          <w:rFonts w:ascii="Times New Roman" w:hAnsi="Times New Roman"/>
        </w:rPr>
        <w:lastRenderedPageBreak/>
        <w:t xml:space="preserve">through the </w:t>
      </w:r>
      <w:r>
        <w:rPr>
          <w:rFonts w:ascii="Times New Roman" w:hAnsi="Times New Roman"/>
        </w:rPr>
        <w:t xml:space="preserve">intervention </w:t>
      </w:r>
      <w:r w:rsidRPr="008153D4">
        <w:rPr>
          <w:rFonts w:ascii="Times New Roman" w:hAnsi="Times New Roman"/>
        </w:rPr>
        <w:t xml:space="preserve">given by Commissioner </w:t>
      </w:r>
      <w:r>
        <w:rPr>
          <w:rFonts w:ascii="Times New Roman" w:hAnsi="Times New Roman"/>
        </w:rPr>
        <w:t>Lahbib in the plenary session of the EP</w:t>
      </w:r>
      <w:r w:rsidR="00575D82">
        <w:rPr>
          <w:rFonts w:ascii="Times New Roman" w:hAnsi="Times New Roman"/>
        </w:rPr>
        <w:t xml:space="preserve"> in December 2024</w:t>
      </w:r>
      <w:r w:rsidRPr="008153D4">
        <w:rPr>
          <w:rFonts w:ascii="Times New Roman" w:hAnsi="Times New Roman"/>
        </w:rPr>
        <w:t>, just prior to the adoption of this resolution.</w:t>
      </w:r>
    </w:p>
    <w:p w14:paraId="3F83ACBC" w14:textId="77777777" w:rsidR="008153D4" w:rsidRDefault="008153D4" w:rsidP="00EB74B9">
      <w:pPr>
        <w:spacing w:after="120"/>
        <w:rPr>
          <w:rFonts w:ascii="Times New Roman" w:hAnsi="Times New Roman"/>
        </w:rPr>
      </w:pPr>
    </w:p>
    <w:p w14:paraId="0D6B4F4B" w14:textId="0C79D88E" w:rsidR="00F063A1" w:rsidRDefault="00F063A1" w:rsidP="00F063A1">
      <w:pPr>
        <w:spacing w:after="120"/>
        <w:rPr>
          <w:rFonts w:ascii="Times New Roman" w:hAnsi="Times New Roman"/>
        </w:rPr>
      </w:pPr>
      <w:r>
        <w:rPr>
          <w:rFonts w:ascii="Times New Roman" w:hAnsi="Times New Roman"/>
        </w:rPr>
        <w:t xml:space="preserve">There are two specific calls </w:t>
      </w:r>
      <w:r w:rsidR="00A84055">
        <w:rPr>
          <w:rFonts w:ascii="Times New Roman" w:hAnsi="Times New Roman"/>
        </w:rPr>
        <w:t xml:space="preserve">to </w:t>
      </w:r>
      <w:r>
        <w:rPr>
          <w:rFonts w:ascii="Times New Roman" w:hAnsi="Times New Roman"/>
        </w:rPr>
        <w:t>the European Commission</w:t>
      </w:r>
    </w:p>
    <w:p w14:paraId="2075E3DA" w14:textId="16DB2864" w:rsidR="00D70A3C" w:rsidRDefault="00F063A1" w:rsidP="00F063A1">
      <w:pPr>
        <w:spacing w:after="120"/>
        <w:rPr>
          <w:rFonts w:ascii="Times New Roman" w:hAnsi="Times New Roman"/>
        </w:rPr>
      </w:pPr>
      <w:r>
        <w:rPr>
          <w:rFonts w:ascii="Times New Roman" w:hAnsi="Times New Roman"/>
        </w:rPr>
        <w:t xml:space="preserve">(p) </w:t>
      </w:r>
      <w:r w:rsidR="00D70A3C" w:rsidRPr="00D70A3C">
        <w:rPr>
          <w:rStyle w:val="cf01"/>
          <w:i/>
          <w:iCs/>
        </w:rPr>
        <w:t>call on the Commission to further develop and roll out concrete and well-financed plans and actions to address the UN SDGs, specifically those related to gender equality, promoting equality in education;</w:t>
      </w:r>
    </w:p>
    <w:p w14:paraId="7875CD0D" w14:textId="705BAC23" w:rsidR="0019608A" w:rsidRPr="0019608A" w:rsidRDefault="006950C2" w:rsidP="00BF42C9">
      <w:pPr>
        <w:spacing w:after="120"/>
        <w:rPr>
          <w:rFonts w:ascii="Times New Roman" w:hAnsi="Times New Roman"/>
        </w:rPr>
      </w:pPr>
      <w:r>
        <w:rPr>
          <w:rFonts w:ascii="Times New Roman" w:hAnsi="Times New Roman"/>
        </w:rPr>
        <w:t xml:space="preserve">The </w:t>
      </w:r>
      <w:r w:rsidRPr="008B1ED3">
        <w:rPr>
          <w:rFonts w:ascii="Times New Roman" w:hAnsi="Times New Roman"/>
        </w:rPr>
        <w:t xml:space="preserve">UN </w:t>
      </w:r>
      <w:r w:rsidR="008B1ED3" w:rsidRPr="008B1ED3">
        <w:rPr>
          <w:rFonts w:ascii="Times New Roman" w:hAnsi="Times New Roman"/>
          <w:bCs/>
          <w:szCs w:val="24"/>
        </w:rPr>
        <w:t xml:space="preserve">sustainable development goals </w:t>
      </w:r>
      <w:r w:rsidR="008B1ED3">
        <w:rPr>
          <w:rFonts w:ascii="Times New Roman" w:hAnsi="Times New Roman"/>
          <w:bCs/>
          <w:szCs w:val="24"/>
        </w:rPr>
        <w:t>(</w:t>
      </w:r>
      <w:r w:rsidRPr="008B1ED3">
        <w:rPr>
          <w:rFonts w:ascii="Times New Roman" w:hAnsi="Times New Roman"/>
        </w:rPr>
        <w:t>SDGs</w:t>
      </w:r>
      <w:r w:rsidR="008B1ED3">
        <w:rPr>
          <w:rFonts w:ascii="Times New Roman" w:hAnsi="Times New Roman"/>
        </w:rPr>
        <w:t>)</w:t>
      </w:r>
      <w:r w:rsidR="008A28D0">
        <w:rPr>
          <w:rFonts w:ascii="Times New Roman" w:hAnsi="Times New Roman"/>
        </w:rPr>
        <w:t>,</w:t>
      </w:r>
      <w:r>
        <w:rPr>
          <w:rFonts w:ascii="Times New Roman" w:hAnsi="Times New Roman"/>
        </w:rPr>
        <w:t xml:space="preserve"> including those on gender equality</w:t>
      </w:r>
      <w:r w:rsidR="008A28D0">
        <w:rPr>
          <w:rFonts w:ascii="Times New Roman" w:hAnsi="Times New Roman"/>
        </w:rPr>
        <w:t>, are drivers for the Commission and help to shape the different legislative and policy actions of the Commission</w:t>
      </w:r>
      <w:r w:rsidR="00D00EA5">
        <w:rPr>
          <w:rFonts w:ascii="Times New Roman" w:hAnsi="Times New Roman"/>
        </w:rPr>
        <w:t>. These notably include EU funding initiatives</w:t>
      </w:r>
      <w:r w:rsidR="008A28D0">
        <w:rPr>
          <w:rFonts w:ascii="Times New Roman" w:hAnsi="Times New Roman"/>
        </w:rPr>
        <w:t xml:space="preserve">, such as the </w:t>
      </w:r>
      <w:r w:rsidR="00C97B84" w:rsidRPr="00C97B84">
        <w:rPr>
          <w:rFonts w:ascii="Times New Roman" w:hAnsi="Times New Roman"/>
        </w:rPr>
        <w:t>Citizens, Equality, Rights and Values Programme (</w:t>
      </w:r>
      <w:r w:rsidR="008A28D0">
        <w:rPr>
          <w:rFonts w:ascii="Times New Roman" w:hAnsi="Times New Roman"/>
        </w:rPr>
        <w:t>CERV</w:t>
      </w:r>
      <w:r w:rsidR="00C97B84">
        <w:rPr>
          <w:rFonts w:ascii="Times New Roman" w:hAnsi="Times New Roman"/>
        </w:rPr>
        <w:t>)</w:t>
      </w:r>
      <w:r w:rsidR="008A28D0">
        <w:rPr>
          <w:rFonts w:ascii="Times New Roman" w:hAnsi="Times New Roman"/>
        </w:rPr>
        <w:t xml:space="preserve"> </w:t>
      </w:r>
      <w:r w:rsidR="00D00EA5">
        <w:rPr>
          <w:rFonts w:ascii="Times New Roman" w:hAnsi="Times New Roman"/>
        </w:rPr>
        <w:t xml:space="preserve">programme </w:t>
      </w:r>
      <w:r w:rsidR="008A28D0">
        <w:rPr>
          <w:rFonts w:ascii="Times New Roman" w:hAnsi="Times New Roman"/>
        </w:rPr>
        <w:t>and the structural investments</w:t>
      </w:r>
      <w:r w:rsidR="00D00EA5">
        <w:rPr>
          <w:rFonts w:ascii="Times New Roman" w:hAnsi="Times New Roman"/>
        </w:rPr>
        <w:t>’</w:t>
      </w:r>
      <w:r w:rsidR="008A28D0">
        <w:rPr>
          <w:rFonts w:ascii="Times New Roman" w:hAnsi="Times New Roman"/>
        </w:rPr>
        <w:t xml:space="preserve"> funding instruments</w:t>
      </w:r>
      <w:r w:rsidR="00311F7D">
        <w:rPr>
          <w:rFonts w:ascii="Times New Roman" w:hAnsi="Times New Roman"/>
        </w:rPr>
        <w:t>, that finance or co-finance a wide range of actions to promote gender equality</w:t>
      </w:r>
      <w:r w:rsidR="00054E90">
        <w:rPr>
          <w:rFonts w:ascii="Times New Roman" w:hAnsi="Times New Roman"/>
        </w:rPr>
        <w:t xml:space="preserve"> in the EU</w:t>
      </w:r>
      <w:r w:rsidR="00D00EA5">
        <w:rPr>
          <w:rFonts w:ascii="Times New Roman" w:hAnsi="Times New Roman"/>
        </w:rPr>
        <w:t xml:space="preserve"> as well as the</w:t>
      </w:r>
      <w:r w:rsidR="00054E90">
        <w:rPr>
          <w:rFonts w:ascii="Times New Roman" w:hAnsi="Times New Roman"/>
        </w:rPr>
        <w:t xml:space="preserve"> Spotlight initiative and other programmes for actions in international partnerships</w:t>
      </w:r>
      <w:r w:rsidR="008A28D0">
        <w:rPr>
          <w:rFonts w:ascii="Times New Roman" w:hAnsi="Times New Roman"/>
        </w:rPr>
        <w:t xml:space="preserve">. </w:t>
      </w:r>
      <w:r w:rsidR="0019608A">
        <w:rPr>
          <w:rFonts w:ascii="Times New Roman" w:hAnsi="Times New Roman"/>
        </w:rPr>
        <w:t xml:space="preserve">The Spotlight Initiative represented an unprecedented effort to end all forms of violence against women and girls, </w:t>
      </w:r>
      <w:r w:rsidR="00BF42C9">
        <w:rPr>
          <w:rFonts w:ascii="Times New Roman" w:hAnsi="Times New Roman"/>
        </w:rPr>
        <w:t xml:space="preserve">with funding from </w:t>
      </w:r>
      <w:r w:rsidR="0019608A">
        <w:rPr>
          <w:rFonts w:ascii="Times New Roman" w:hAnsi="Times New Roman"/>
        </w:rPr>
        <w:t xml:space="preserve">the European Union. Since its launch in 2017, the programme is now fully implemented </w:t>
      </w:r>
      <w:r w:rsidR="00BF42C9">
        <w:rPr>
          <w:rFonts w:ascii="Times New Roman" w:hAnsi="Times New Roman"/>
        </w:rPr>
        <w:t>through 32 programmes across 5 regions</w:t>
      </w:r>
      <w:r w:rsidR="0019608A">
        <w:rPr>
          <w:rFonts w:ascii="Times New Roman" w:hAnsi="Times New Roman"/>
        </w:rPr>
        <w:t xml:space="preserve">. </w:t>
      </w:r>
      <w:r w:rsidR="00BF42C9">
        <w:rPr>
          <w:rFonts w:ascii="Times New Roman" w:hAnsi="Times New Roman"/>
        </w:rPr>
        <w:t xml:space="preserve">The initiative developed a holistic approach to end gender-based violence, and its results are significant. Building on its lessons, a new generation of programmes is being rolled out. </w:t>
      </w:r>
      <w:r w:rsidR="0019608A" w:rsidRPr="0019608A">
        <w:rPr>
          <w:rFonts w:ascii="Times New Roman" w:hAnsi="Times New Roman"/>
        </w:rPr>
        <w:t>The EU support to Spotlight phase 2 a</w:t>
      </w:r>
      <w:r w:rsidR="00BF42C9">
        <w:rPr>
          <w:rFonts w:ascii="Times New Roman" w:hAnsi="Times New Roman"/>
        </w:rPr>
        <w:t>lready a</w:t>
      </w:r>
      <w:r w:rsidR="0019608A" w:rsidRPr="0019608A">
        <w:rPr>
          <w:rFonts w:ascii="Times New Roman" w:hAnsi="Times New Roman"/>
        </w:rPr>
        <w:t xml:space="preserve">mounts to EUR 85.5 million, on top of the initial EUR 500 million from the first phase. </w:t>
      </w:r>
    </w:p>
    <w:p w14:paraId="0C5EC560" w14:textId="0E14E4CC" w:rsidR="008C0708" w:rsidRPr="008C0708" w:rsidRDefault="00311FB6" w:rsidP="008C0708">
      <w:pPr>
        <w:spacing w:after="120"/>
        <w:rPr>
          <w:rFonts w:ascii="Times New Roman" w:hAnsi="Times New Roman"/>
          <w:lang w:val="en-IE"/>
        </w:rPr>
      </w:pPr>
      <w:r>
        <w:rPr>
          <w:rFonts w:ascii="Times New Roman" w:hAnsi="Times New Roman"/>
        </w:rPr>
        <w:t>In addition, t</w:t>
      </w:r>
      <w:r w:rsidR="008C0708" w:rsidRPr="008C0708">
        <w:rPr>
          <w:rFonts w:ascii="Times New Roman" w:hAnsi="Times New Roman"/>
        </w:rPr>
        <w:t xml:space="preserve">he Commission developed </w:t>
      </w:r>
      <w:hyperlink r:id="rId11" w:history="1">
        <w:r w:rsidR="008C0708" w:rsidRPr="008C0708">
          <w:rPr>
            <w:rStyle w:val="Hyperlink"/>
            <w:rFonts w:ascii="Times New Roman" w:hAnsi="Times New Roman"/>
          </w:rPr>
          <w:t>a methodology to measure EU budget programme-level expenditure promoting gender equality in the 2021-2027 multiannual financial framework</w:t>
        </w:r>
      </w:hyperlink>
      <w:r w:rsidR="00C82495">
        <w:rPr>
          <w:rStyle w:val="FootnoteReference"/>
          <w:rFonts w:ascii="Times New Roman" w:hAnsi="Times New Roman"/>
        </w:rPr>
        <w:footnoteReference w:id="2"/>
      </w:r>
      <w:r w:rsidR="008C0708" w:rsidRPr="008C0708">
        <w:rPr>
          <w:rFonts w:ascii="Times New Roman" w:hAnsi="Times New Roman"/>
        </w:rPr>
        <w:t xml:space="preserve">. In line with the methodology, a programme may qualify for one or more gender scores based on the objectives pursued by its respective interventions. The total of the EU budget, based on </w:t>
      </w:r>
      <w:r w:rsidR="00C82495">
        <w:rPr>
          <w:rFonts w:ascii="Times New Roman" w:hAnsi="Times New Roman"/>
        </w:rPr>
        <w:t xml:space="preserve">the latest results following </w:t>
      </w:r>
      <w:r w:rsidR="008C0708" w:rsidRPr="008C0708">
        <w:rPr>
          <w:rFonts w:ascii="Times New Roman" w:hAnsi="Times New Roman"/>
        </w:rPr>
        <w:t>the aggregation of the 2023 interventions qualifying for each score, has been allocated as shown below. </w:t>
      </w:r>
      <w:r w:rsidR="008C0708" w:rsidRPr="008C0708">
        <w:rPr>
          <w:rFonts w:ascii="Times New Roman" w:hAnsi="Times New Roman"/>
          <w:lang w:val="en-IE"/>
        </w:rPr>
        <w:t> </w:t>
      </w:r>
    </w:p>
    <w:p w14:paraId="2AC69FB6" w14:textId="77777777" w:rsidR="008C0708" w:rsidRPr="008C0708" w:rsidRDefault="008C0708" w:rsidP="008C0708">
      <w:pPr>
        <w:numPr>
          <w:ilvl w:val="0"/>
          <w:numId w:val="14"/>
        </w:numPr>
        <w:spacing w:after="120"/>
        <w:rPr>
          <w:rFonts w:ascii="Times New Roman" w:hAnsi="Times New Roman"/>
          <w:lang w:val="en-IE"/>
        </w:rPr>
      </w:pPr>
      <w:r w:rsidRPr="008C0708">
        <w:rPr>
          <w:rFonts w:ascii="Times New Roman" w:hAnsi="Times New Roman"/>
          <w:b/>
          <w:bCs/>
        </w:rPr>
        <w:t>Score 2</w:t>
      </w:r>
      <w:r w:rsidRPr="008C0708">
        <w:rPr>
          <w:rFonts w:ascii="Times New Roman" w:hAnsi="Times New Roman"/>
        </w:rPr>
        <w:t>: interventions whose principal objective is to improve gender equality corresponded to 2% of the EU budget implemented in 2023 and were included in 13 programmes.</w:t>
      </w:r>
      <w:r w:rsidRPr="008C0708">
        <w:rPr>
          <w:rFonts w:ascii="Times New Roman" w:hAnsi="Times New Roman"/>
          <w:lang w:val="en-IE"/>
        </w:rPr>
        <w:t> </w:t>
      </w:r>
    </w:p>
    <w:p w14:paraId="20E9C690" w14:textId="77777777" w:rsidR="008C0708" w:rsidRPr="008C0708" w:rsidRDefault="008C0708" w:rsidP="008C0708">
      <w:pPr>
        <w:numPr>
          <w:ilvl w:val="0"/>
          <w:numId w:val="15"/>
        </w:numPr>
        <w:spacing w:after="120"/>
        <w:rPr>
          <w:rFonts w:ascii="Times New Roman" w:hAnsi="Times New Roman"/>
          <w:lang w:val="en-IE"/>
        </w:rPr>
      </w:pPr>
      <w:r w:rsidRPr="008C0708">
        <w:rPr>
          <w:rFonts w:ascii="Times New Roman" w:hAnsi="Times New Roman"/>
          <w:b/>
          <w:bCs/>
        </w:rPr>
        <w:t>Score 1</w:t>
      </w:r>
      <w:r w:rsidRPr="008C0708">
        <w:rPr>
          <w:rFonts w:ascii="Times New Roman" w:hAnsi="Times New Roman"/>
        </w:rPr>
        <w:t>: interventions having gender equality as an important and deliberate objective (but not as the main reason for the intervention) corresponded to 9% of the EU budget implemented in 2023 and were included in 16 programmes. </w:t>
      </w:r>
      <w:r w:rsidRPr="008C0708">
        <w:rPr>
          <w:rFonts w:ascii="Times New Roman" w:hAnsi="Times New Roman"/>
          <w:lang w:val="en-IE"/>
        </w:rPr>
        <w:t> </w:t>
      </w:r>
    </w:p>
    <w:p w14:paraId="437333B1" w14:textId="77777777" w:rsidR="008C0708" w:rsidRPr="008C0708" w:rsidRDefault="008C0708" w:rsidP="008C0708">
      <w:pPr>
        <w:numPr>
          <w:ilvl w:val="0"/>
          <w:numId w:val="16"/>
        </w:numPr>
        <w:spacing w:after="120"/>
        <w:rPr>
          <w:rFonts w:ascii="Times New Roman" w:hAnsi="Times New Roman"/>
          <w:lang w:val="en-IE"/>
        </w:rPr>
      </w:pPr>
      <w:r w:rsidRPr="008C0708">
        <w:rPr>
          <w:rFonts w:ascii="Times New Roman" w:hAnsi="Times New Roman"/>
          <w:b/>
          <w:bCs/>
        </w:rPr>
        <w:t>Score 0*</w:t>
      </w:r>
      <w:r w:rsidRPr="008C0708">
        <w:rPr>
          <w:rFonts w:ascii="Times New Roman" w:hAnsi="Times New Roman"/>
        </w:rPr>
        <w:t>: interventions having the potential to contribute to gender equality corresponded to 20% of the EU budget implemented in 2023 and were included in 30 programmes. </w:t>
      </w:r>
      <w:r w:rsidRPr="008C0708">
        <w:rPr>
          <w:rFonts w:ascii="Times New Roman" w:hAnsi="Times New Roman"/>
          <w:lang w:val="en-IE"/>
        </w:rPr>
        <w:t> </w:t>
      </w:r>
    </w:p>
    <w:p w14:paraId="3592DBAD" w14:textId="77777777" w:rsidR="008C0708" w:rsidRPr="008C0708" w:rsidRDefault="008C0708" w:rsidP="008C0708">
      <w:pPr>
        <w:numPr>
          <w:ilvl w:val="0"/>
          <w:numId w:val="17"/>
        </w:numPr>
        <w:spacing w:after="120"/>
        <w:rPr>
          <w:rFonts w:ascii="Times New Roman" w:hAnsi="Times New Roman"/>
          <w:lang w:val="en-IE"/>
        </w:rPr>
      </w:pPr>
      <w:r w:rsidRPr="008C0708">
        <w:rPr>
          <w:rFonts w:ascii="Times New Roman" w:hAnsi="Times New Roman"/>
          <w:b/>
          <w:bCs/>
        </w:rPr>
        <w:t>Score 0</w:t>
      </w:r>
      <w:r w:rsidRPr="008C0708">
        <w:rPr>
          <w:rFonts w:ascii="Times New Roman" w:hAnsi="Times New Roman"/>
        </w:rPr>
        <w:t>: interventions not having a significant bearing on gender equality corresponded to 69% of the EU budget implemented in 2023 and were included in 29 programmes. </w:t>
      </w:r>
      <w:r w:rsidRPr="008C0708">
        <w:rPr>
          <w:rFonts w:ascii="Times New Roman" w:hAnsi="Times New Roman"/>
          <w:lang w:val="en-IE"/>
        </w:rPr>
        <w:t> </w:t>
      </w:r>
    </w:p>
    <w:p w14:paraId="5E025589" w14:textId="08E5728A" w:rsidR="008C0708" w:rsidRPr="008C0708" w:rsidRDefault="006F1C08" w:rsidP="00C82495">
      <w:pPr>
        <w:spacing w:after="120"/>
        <w:rPr>
          <w:rFonts w:ascii="Times New Roman" w:hAnsi="Times New Roman"/>
          <w:lang w:val="en-IE"/>
        </w:rPr>
      </w:pPr>
      <w:r>
        <w:rPr>
          <w:rFonts w:ascii="Times New Roman" w:hAnsi="Times New Roman"/>
        </w:rPr>
        <w:t>Overall, i</w:t>
      </w:r>
      <w:r w:rsidR="008C0708" w:rsidRPr="008C0708">
        <w:rPr>
          <w:rFonts w:ascii="Times New Roman" w:hAnsi="Times New Roman"/>
        </w:rPr>
        <w:t>n 2023, 11% of the EU budget contributed concretely to the promotion of gender equality (scores 2 and 1), while 20% has the potential to contribute (score 0*) to this objective. Since the initial application of this methodology, there has been a continuous progress in the gender scores. The percentage of gender score 0* has steadily decreased from 95% to 20%. On the other hand, 69% of the EU budget can be considered not to have a (significant) bearing on the promotion of gender equality on the basis of the information currently available. </w:t>
      </w:r>
      <w:r w:rsidR="008C0708" w:rsidRPr="008C0708">
        <w:rPr>
          <w:rFonts w:ascii="Times New Roman" w:hAnsi="Times New Roman"/>
          <w:lang w:val="en-IE"/>
        </w:rPr>
        <w:t> </w:t>
      </w:r>
    </w:p>
    <w:p w14:paraId="39816C6F" w14:textId="302DCFC6" w:rsidR="00F063A1" w:rsidRPr="00311F7D" w:rsidRDefault="008A28D0" w:rsidP="00311F7D">
      <w:pPr>
        <w:spacing w:after="120"/>
        <w:rPr>
          <w:rFonts w:ascii="Times New Roman" w:hAnsi="Times New Roman"/>
        </w:rPr>
      </w:pPr>
      <w:r>
        <w:rPr>
          <w:rFonts w:ascii="Times New Roman" w:hAnsi="Times New Roman"/>
        </w:rPr>
        <w:lastRenderedPageBreak/>
        <w:t>One of the key elements to achieve gender equality and the empowerment of all women and girls, as highlighted in the EU Gender Equality Strategy 2020-2025</w:t>
      </w:r>
      <w:r w:rsidR="00311F7D">
        <w:rPr>
          <w:rFonts w:ascii="Times New Roman" w:hAnsi="Times New Roman"/>
        </w:rPr>
        <w:t>,</w:t>
      </w:r>
      <w:r>
        <w:rPr>
          <w:rFonts w:ascii="Times New Roman" w:hAnsi="Times New Roman"/>
        </w:rPr>
        <w:t xml:space="preserve"> is the combatting of gender stereotypes, which is key in a transformative approach to tackle the root causes of gender inequalities.  </w:t>
      </w:r>
      <w:r w:rsidR="001C70CD">
        <w:rPr>
          <w:rFonts w:ascii="Times New Roman" w:hAnsi="Times New Roman"/>
        </w:rPr>
        <w:t>Empowering women</w:t>
      </w:r>
      <w:r>
        <w:rPr>
          <w:rFonts w:ascii="Times New Roman" w:hAnsi="Times New Roman"/>
        </w:rPr>
        <w:t xml:space="preserve"> is a driving factor</w:t>
      </w:r>
      <w:r w:rsidR="00311F7D">
        <w:rPr>
          <w:rFonts w:ascii="Times New Roman" w:hAnsi="Times New Roman"/>
        </w:rPr>
        <w:t xml:space="preserve"> for many legislative and policy actions, including the Work-Life Balance Directive, the Pay Transparency Directive, the European Care Strategy, the Gender Balance on Company Boards Directive as well as in the Directive on </w:t>
      </w:r>
      <w:r w:rsidR="00D00EA5">
        <w:rPr>
          <w:rFonts w:ascii="Times New Roman" w:hAnsi="Times New Roman"/>
        </w:rPr>
        <w:t xml:space="preserve">combating </w:t>
      </w:r>
      <w:r w:rsidR="00311F7D">
        <w:rPr>
          <w:rFonts w:ascii="Times New Roman" w:hAnsi="Times New Roman"/>
        </w:rPr>
        <w:t xml:space="preserve">Violence against Women and Domestic Violence. </w:t>
      </w:r>
      <w:r>
        <w:rPr>
          <w:rFonts w:ascii="Times New Roman" w:hAnsi="Times New Roman"/>
        </w:rPr>
        <w:t xml:space="preserve"> </w:t>
      </w:r>
      <w:r w:rsidR="00311F7D">
        <w:rPr>
          <w:rFonts w:ascii="Times New Roman" w:hAnsi="Times New Roman"/>
        </w:rPr>
        <w:t xml:space="preserve">Furthermore, </w:t>
      </w:r>
      <w:r>
        <w:rPr>
          <w:rFonts w:ascii="Times New Roman" w:hAnsi="Times New Roman"/>
        </w:rPr>
        <w:t xml:space="preserve">the Commission prepared a campaign on gender </w:t>
      </w:r>
      <w:r w:rsidR="00311F7D">
        <w:rPr>
          <w:rFonts w:ascii="Times New Roman" w:hAnsi="Times New Roman"/>
        </w:rPr>
        <w:t xml:space="preserve">stereotypes </w:t>
      </w:r>
      <w:r w:rsidR="00A30FE5">
        <w:rPr>
          <w:rFonts w:ascii="Times New Roman" w:hAnsi="Times New Roman"/>
        </w:rPr>
        <w:t xml:space="preserve">affecting women and men </w:t>
      </w:r>
      <w:r>
        <w:rPr>
          <w:rFonts w:ascii="Times New Roman" w:hAnsi="Times New Roman"/>
        </w:rPr>
        <w:t xml:space="preserve">in </w:t>
      </w:r>
      <w:r w:rsidR="00A30FE5">
        <w:rPr>
          <w:rFonts w:ascii="Times New Roman" w:hAnsi="Times New Roman"/>
        </w:rPr>
        <w:t xml:space="preserve">different </w:t>
      </w:r>
      <w:r>
        <w:rPr>
          <w:rFonts w:ascii="Times New Roman" w:hAnsi="Times New Roman"/>
        </w:rPr>
        <w:t xml:space="preserve">spheres </w:t>
      </w:r>
      <w:r w:rsidR="00A30FE5">
        <w:rPr>
          <w:rFonts w:ascii="Times New Roman" w:hAnsi="Times New Roman"/>
        </w:rPr>
        <w:t xml:space="preserve">of life </w:t>
      </w:r>
      <w:r>
        <w:rPr>
          <w:rFonts w:ascii="Times New Roman" w:hAnsi="Times New Roman"/>
        </w:rPr>
        <w:t xml:space="preserve">and </w:t>
      </w:r>
      <w:r w:rsidR="00D00EA5">
        <w:rPr>
          <w:rFonts w:ascii="Times New Roman" w:hAnsi="Times New Roman"/>
        </w:rPr>
        <w:t xml:space="preserve">allocated </w:t>
      </w:r>
      <w:r>
        <w:rPr>
          <w:rFonts w:ascii="Times New Roman" w:hAnsi="Times New Roman"/>
        </w:rPr>
        <w:t xml:space="preserve">funding via the CERV call, including </w:t>
      </w:r>
      <w:r w:rsidR="00D00EA5">
        <w:rPr>
          <w:rFonts w:ascii="Times New Roman" w:hAnsi="Times New Roman"/>
        </w:rPr>
        <w:t>for</w:t>
      </w:r>
      <w:r w:rsidR="00E843A0">
        <w:rPr>
          <w:rFonts w:ascii="Times New Roman" w:hAnsi="Times New Roman"/>
        </w:rPr>
        <w:t xml:space="preserve"> </w:t>
      </w:r>
      <w:r>
        <w:rPr>
          <w:rFonts w:ascii="Times New Roman" w:hAnsi="Times New Roman"/>
        </w:rPr>
        <w:t>tackling gender stereotypes in early childhood education and care</w:t>
      </w:r>
      <w:r w:rsidR="00054E90">
        <w:rPr>
          <w:rFonts w:ascii="Times New Roman" w:hAnsi="Times New Roman"/>
        </w:rPr>
        <w:t xml:space="preserve"> by awareness raising and training of professionals in this sector</w:t>
      </w:r>
      <w:r>
        <w:rPr>
          <w:rFonts w:ascii="Times New Roman" w:hAnsi="Times New Roman"/>
        </w:rPr>
        <w:t xml:space="preserve">. </w:t>
      </w:r>
      <w:r w:rsidR="00311F7D">
        <w:rPr>
          <w:rFonts w:ascii="Times New Roman" w:hAnsi="Times New Roman"/>
        </w:rPr>
        <w:t xml:space="preserve">This is complemented </w:t>
      </w:r>
      <w:r w:rsidR="00D70A3C">
        <w:rPr>
          <w:rFonts w:ascii="Times New Roman" w:hAnsi="Times New Roman"/>
        </w:rPr>
        <w:t>th</w:t>
      </w:r>
      <w:r w:rsidR="00AF4704">
        <w:rPr>
          <w:rFonts w:ascii="Times New Roman" w:hAnsi="Times New Roman"/>
        </w:rPr>
        <w:t>r</w:t>
      </w:r>
      <w:r w:rsidR="00D70A3C">
        <w:rPr>
          <w:rFonts w:ascii="Times New Roman" w:hAnsi="Times New Roman"/>
        </w:rPr>
        <w:t xml:space="preserve">ough gender mainstreaming of </w:t>
      </w:r>
      <w:r w:rsidR="00311F7D">
        <w:rPr>
          <w:rFonts w:ascii="Times New Roman" w:hAnsi="Times New Roman"/>
        </w:rPr>
        <w:t>specific actions</w:t>
      </w:r>
      <w:r w:rsidR="00D70A3C">
        <w:rPr>
          <w:rFonts w:ascii="Times New Roman" w:hAnsi="Times New Roman"/>
        </w:rPr>
        <w:t xml:space="preserve"> in other domains including</w:t>
      </w:r>
      <w:r w:rsidR="00311F7D">
        <w:rPr>
          <w:rFonts w:ascii="Times New Roman" w:hAnsi="Times New Roman"/>
        </w:rPr>
        <w:t xml:space="preserve"> the educational sphere</w:t>
      </w:r>
      <w:r w:rsidR="0035721C">
        <w:rPr>
          <w:rFonts w:ascii="Times New Roman" w:hAnsi="Times New Roman"/>
        </w:rPr>
        <w:t xml:space="preserve"> and </w:t>
      </w:r>
      <w:r w:rsidR="00311F7D">
        <w:rPr>
          <w:rFonts w:ascii="Times New Roman" w:hAnsi="Times New Roman"/>
        </w:rPr>
        <w:t xml:space="preserve">the promotion of women and girls in </w:t>
      </w:r>
      <w:r w:rsidR="007876AC">
        <w:rPr>
          <w:rFonts w:ascii="Times New Roman" w:hAnsi="Times New Roman"/>
          <w:b/>
          <w:bCs/>
          <w:lang w:val="en"/>
        </w:rPr>
        <w:t>S</w:t>
      </w:r>
      <w:r w:rsidR="0075631B" w:rsidRPr="0075631B">
        <w:rPr>
          <w:rFonts w:ascii="Times New Roman" w:hAnsi="Times New Roman"/>
          <w:b/>
          <w:bCs/>
          <w:lang w:val="en"/>
        </w:rPr>
        <w:t xml:space="preserve">cience, </w:t>
      </w:r>
      <w:r w:rsidR="007876AC">
        <w:rPr>
          <w:rFonts w:ascii="Times New Roman" w:hAnsi="Times New Roman"/>
          <w:b/>
          <w:bCs/>
          <w:lang w:val="en"/>
        </w:rPr>
        <w:t>T</w:t>
      </w:r>
      <w:r w:rsidR="0075631B" w:rsidRPr="0075631B">
        <w:rPr>
          <w:rFonts w:ascii="Times New Roman" w:hAnsi="Times New Roman"/>
          <w:b/>
          <w:bCs/>
          <w:lang w:val="en"/>
        </w:rPr>
        <w:t xml:space="preserve">echnology, </w:t>
      </w:r>
      <w:r w:rsidR="007876AC">
        <w:rPr>
          <w:rFonts w:ascii="Times New Roman" w:hAnsi="Times New Roman"/>
          <w:b/>
          <w:bCs/>
          <w:lang w:val="en"/>
        </w:rPr>
        <w:t>E</w:t>
      </w:r>
      <w:r w:rsidR="0075631B" w:rsidRPr="0075631B">
        <w:rPr>
          <w:rFonts w:ascii="Times New Roman" w:hAnsi="Times New Roman"/>
          <w:b/>
          <w:bCs/>
          <w:lang w:val="en"/>
        </w:rPr>
        <w:t xml:space="preserve">ngineering, and </w:t>
      </w:r>
      <w:r w:rsidR="007876AC">
        <w:rPr>
          <w:rFonts w:ascii="Times New Roman" w:hAnsi="Times New Roman"/>
          <w:b/>
          <w:bCs/>
          <w:lang w:val="en"/>
        </w:rPr>
        <w:t>M</w:t>
      </w:r>
      <w:r w:rsidR="0075631B" w:rsidRPr="0075631B">
        <w:rPr>
          <w:rFonts w:ascii="Times New Roman" w:hAnsi="Times New Roman"/>
          <w:b/>
          <w:bCs/>
          <w:lang w:val="en"/>
        </w:rPr>
        <w:t>athematics</w:t>
      </w:r>
      <w:r w:rsidR="0075631B" w:rsidRPr="0075631B">
        <w:rPr>
          <w:rFonts w:ascii="Times New Roman" w:hAnsi="Times New Roman"/>
        </w:rPr>
        <w:t xml:space="preserve"> </w:t>
      </w:r>
      <w:r w:rsidR="007876AC">
        <w:rPr>
          <w:rFonts w:ascii="Times New Roman" w:hAnsi="Times New Roman"/>
        </w:rPr>
        <w:t xml:space="preserve">/ </w:t>
      </w:r>
      <w:r w:rsidR="007876AC">
        <w:rPr>
          <w:rFonts w:ascii="Times New Roman" w:hAnsi="Times New Roman"/>
          <w:b/>
          <w:bCs/>
          <w:lang w:val="en"/>
        </w:rPr>
        <w:t>S</w:t>
      </w:r>
      <w:r w:rsidR="007876AC" w:rsidRPr="0075631B">
        <w:rPr>
          <w:rFonts w:ascii="Times New Roman" w:hAnsi="Times New Roman"/>
          <w:b/>
          <w:bCs/>
          <w:lang w:val="en"/>
        </w:rPr>
        <w:t xml:space="preserve">cience, </w:t>
      </w:r>
      <w:r w:rsidR="007876AC">
        <w:rPr>
          <w:rFonts w:ascii="Times New Roman" w:hAnsi="Times New Roman"/>
          <w:b/>
          <w:bCs/>
          <w:lang w:val="en"/>
        </w:rPr>
        <w:t>T</w:t>
      </w:r>
      <w:r w:rsidR="007876AC" w:rsidRPr="0075631B">
        <w:rPr>
          <w:rFonts w:ascii="Times New Roman" w:hAnsi="Times New Roman"/>
          <w:b/>
          <w:bCs/>
          <w:lang w:val="en"/>
        </w:rPr>
        <w:t xml:space="preserve">echnology, </w:t>
      </w:r>
      <w:r w:rsidR="007876AC">
        <w:rPr>
          <w:rFonts w:ascii="Times New Roman" w:hAnsi="Times New Roman"/>
          <w:b/>
          <w:bCs/>
          <w:lang w:val="en"/>
        </w:rPr>
        <w:t>E</w:t>
      </w:r>
      <w:r w:rsidR="007876AC" w:rsidRPr="0075631B">
        <w:rPr>
          <w:rFonts w:ascii="Times New Roman" w:hAnsi="Times New Roman"/>
          <w:b/>
          <w:bCs/>
          <w:lang w:val="en"/>
        </w:rPr>
        <w:t xml:space="preserve">ngineering, </w:t>
      </w:r>
      <w:r w:rsidR="007876AC">
        <w:rPr>
          <w:rFonts w:ascii="Times New Roman" w:hAnsi="Times New Roman"/>
          <w:b/>
          <w:bCs/>
          <w:lang w:val="en"/>
        </w:rPr>
        <w:t xml:space="preserve">Art </w:t>
      </w:r>
      <w:r w:rsidR="007876AC" w:rsidRPr="0075631B">
        <w:rPr>
          <w:rFonts w:ascii="Times New Roman" w:hAnsi="Times New Roman"/>
          <w:b/>
          <w:bCs/>
          <w:lang w:val="en"/>
        </w:rPr>
        <w:t xml:space="preserve">and </w:t>
      </w:r>
      <w:r w:rsidR="007876AC">
        <w:rPr>
          <w:rFonts w:ascii="Times New Roman" w:hAnsi="Times New Roman"/>
          <w:b/>
          <w:bCs/>
          <w:lang w:val="en"/>
        </w:rPr>
        <w:t>M</w:t>
      </w:r>
      <w:r w:rsidR="007876AC" w:rsidRPr="0075631B">
        <w:rPr>
          <w:rFonts w:ascii="Times New Roman" w:hAnsi="Times New Roman"/>
          <w:b/>
          <w:bCs/>
          <w:lang w:val="en"/>
        </w:rPr>
        <w:t>athematics</w:t>
      </w:r>
      <w:r w:rsidR="007876AC" w:rsidRPr="0075631B">
        <w:rPr>
          <w:rFonts w:ascii="Times New Roman" w:hAnsi="Times New Roman"/>
        </w:rPr>
        <w:t xml:space="preserve"> </w:t>
      </w:r>
      <w:r w:rsidR="007876AC">
        <w:rPr>
          <w:rFonts w:ascii="Times New Roman" w:hAnsi="Times New Roman"/>
        </w:rPr>
        <w:t>(</w:t>
      </w:r>
      <w:r w:rsidR="00311F7D">
        <w:rPr>
          <w:rFonts w:ascii="Times New Roman" w:hAnsi="Times New Roman"/>
        </w:rPr>
        <w:t>STEM</w:t>
      </w:r>
      <w:r w:rsidR="00054E90">
        <w:rPr>
          <w:rFonts w:ascii="Times New Roman" w:hAnsi="Times New Roman"/>
        </w:rPr>
        <w:t>/STEAM</w:t>
      </w:r>
      <w:r w:rsidR="007876AC">
        <w:rPr>
          <w:rFonts w:ascii="Times New Roman" w:hAnsi="Times New Roman"/>
        </w:rPr>
        <w:t>)</w:t>
      </w:r>
      <w:r w:rsidR="00311F7D">
        <w:rPr>
          <w:rFonts w:ascii="Times New Roman" w:hAnsi="Times New Roman"/>
        </w:rPr>
        <w:t xml:space="preserve">, for instance </w:t>
      </w:r>
      <w:r w:rsidR="00054E90">
        <w:rPr>
          <w:rFonts w:ascii="Times New Roman" w:hAnsi="Times New Roman"/>
        </w:rPr>
        <w:t xml:space="preserve">through </w:t>
      </w:r>
      <w:r w:rsidR="00311F7D">
        <w:rPr>
          <w:rFonts w:ascii="Times New Roman" w:hAnsi="Times New Roman"/>
        </w:rPr>
        <w:t>STE</w:t>
      </w:r>
      <w:r w:rsidR="00054E90">
        <w:rPr>
          <w:rFonts w:ascii="Times New Roman" w:hAnsi="Times New Roman"/>
        </w:rPr>
        <w:t>A</w:t>
      </w:r>
      <w:r w:rsidR="00311F7D">
        <w:rPr>
          <w:rFonts w:ascii="Times New Roman" w:hAnsi="Times New Roman"/>
        </w:rPr>
        <w:t>M</w:t>
      </w:r>
      <w:r w:rsidR="00054E90">
        <w:rPr>
          <w:rFonts w:ascii="Times New Roman" w:hAnsi="Times New Roman"/>
        </w:rPr>
        <w:t xml:space="preserve">/STEM events </w:t>
      </w:r>
      <w:r w:rsidR="00311F7D">
        <w:rPr>
          <w:rFonts w:ascii="Times New Roman" w:hAnsi="Times New Roman"/>
        </w:rPr>
        <w:t>for girls</w:t>
      </w:r>
      <w:r w:rsidR="001D06AC">
        <w:rPr>
          <w:rFonts w:ascii="Times New Roman" w:hAnsi="Times New Roman"/>
        </w:rPr>
        <w:t xml:space="preserve"> </w:t>
      </w:r>
      <w:r w:rsidR="00054E90">
        <w:rPr>
          <w:rFonts w:ascii="Times New Roman" w:hAnsi="Times New Roman"/>
        </w:rPr>
        <w:t>and a yearly ‘Women and girls in STEM Forum</w:t>
      </w:r>
      <w:r w:rsidR="00C201B2">
        <w:rPr>
          <w:rStyle w:val="FootnoteReference"/>
          <w:rFonts w:ascii="Times New Roman" w:hAnsi="Times New Roman"/>
        </w:rPr>
        <w:footnoteReference w:id="3"/>
      </w:r>
      <w:r w:rsidR="00054E90">
        <w:rPr>
          <w:rFonts w:ascii="Times New Roman" w:hAnsi="Times New Roman"/>
        </w:rPr>
        <w:t>’</w:t>
      </w:r>
      <w:r w:rsidR="00311F7D">
        <w:rPr>
          <w:rFonts w:ascii="Times New Roman" w:hAnsi="Times New Roman"/>
        </w:rPr>
        <w:t xml:space="preserve">. </w:t>
      </w:r>
      <w:r>
        <w:rPr>
          <w:rFonts w:ascii="Times New Roman" w:hAnsi="Times New Roman"/>
        </w:rPr>
        <w:t xml:space="preserve">The Commission will continue to </w:t>
      </w:r>
      <w:r w:rsidR="00054E90">
        <w:rPr>
          <w:rFonts w:ascii="Times New Roman" w:hAnsi="Times New Roman"/>
        </w:rPr>
        <w:t>fight</w:t>
      </w:r>
      <w:r w:rsidR="00311F7D">
        <w:rPr>
          <w:rFonts w:ascii="Times New Roman" w:hAnsi="Times New Roman"/>
        </w:rPr>
        <w:t xml:space="preserve"> gender stereotypes in different spheres, including</w:t>
      </w:r>
      <w:r w:rsidR="00054E90">
        <w:rPr>
          <w:rFonts w:ascii="Times New Roman" w:hAnsi="Times New Roman"/>
        </w:rPr>
        <w:t xml:space="preserve"> in</w:t>
      </w:r>
      <w:r w:rsidR="00311F7D">
        <w:rPr>
          <w:rFonts w:ascii="Times New Roman" w:hAnsi="Times New Roman"/>
        </w:rPr>
        <w:t xml:space="preserve"> education. </w:t>
      </w:r>
      <w:r w:rsidR="00C6759F">
        <w:rPr>
          <w:rFonts w:ascii="Times New Roman" w:hAnsi="Times New Roman"/>
        </w:rPr>
        <w:t xml:space="preserve">As part of its recent Union of Skills, the Commission has presented the ambition in the </w:t>
      </w:r>
      <w:r w:rsidR="00C6759F" w:rsidRPr="00C6759F">
        <w:rPr>
          <w:rFonts w:ascii="Times New Roman" w:hAnsi="Times New Roman"/>
        </w:rPr>
        <w:t xml:space="preserve">STEM Education Strategic Plan </w:t>
      </w:r>
      <w:r w:rsidR="00C6759F">
        <w:rPr>
          <w:rFonts w:ascii="Times New Roman" w:hAnsi="Times New Roman"/>
        </w:rPr>
        <w:t xml:space="preserve">to </w:t>
      </w:r>
      <w:r w:rsidR="00C6759F" w:rsidRPr="00C6759F">
        <w:rPr>
          <w:rFonts w:ascii="Times New Roman" w:hAnsi="Times New Roman"/>
        </w:rPr>
        <w:t>attract more girls and women.</w:t>
      </w:r>
      <w:r w:rsidR="00C6759F">
        <w:rPr>
          <w:rStyle w:val="FootnoteReference"/>
          <w:rFonts w:ascii="Times New Roman" w:hAnsi="Times New Roman"/>
        </w:rPr>
        <w:footnoteReference w:id="4"/>
      </w:r>
      <w:r w:rsidR="00C6759F" w:rsidRPr="00C6759F">
        <w:rPr>
          <w:rFonts w:ascii="Times New Roman" w:hAnsi="Times New Roman"/>
        </w:rPr>
        <w:t xml:space="preserve">  </w:t>
      </w:r>
    </w:p>
    <w:p w14:paraId="6BCAB677" w14:textId="14DBD395" w:rsidR="00D70A3C" w:rsidRDefault="00F063A1" w:rsidP="007F7B40">
      <w:pPr>
        <w:spacing w:after="120"/>
        <w:rPr>
          <w:rFonts w:ascii="Times New Roman" w:hAnsi="Times New Roman"/>
          <w:lang w:val="en-IE"/>
        </w:rPr>
      </w:pPr>
      <w:r>
        <w:rPr>
          <w:rFonts w:ascii="Times New Roman" w:hAnsi="Times New Roman"/>
          <w:lang w:val="en-IE"/>
        </w:rPr>
        <w:t xml:space="preserve">(t) </w:t>
      </w:r>
      <w:r w:rsidR="00D70A3C" w:rsidRPr="00D70A3C">
        <w:rPr>
          <w:rStyle w:val="cf01"/>
          <w:i/>
          <w:iCs/>
        </w:rPr>
        <w:t>urge the Commission to further develop and improve the collection of gender-disaggregated equality data on sex, race, colour, ethnic or social origin, genetic features, language, religion or other belief, political opinion, membership of a national minority, property, birth, disability, age or sexual orientation, sex characteristics and gender identity as well as geographically disaggregated data, including on a regional level, to ensure that this data contributes to better and more informed policymaking, and to reinforce the European Institute for Gender Equality both in terms of funding and capacity;</w:t>
      </w:r>
    </w:p>
    <w:p w14:paraId="37C45465" w14:textId="2963E740" w:rsidR="00575D82" w:rsidRDefault="4E960121" w:rsidP="00EB74B9">
      <w:pPr>
        <w:spacing w:after="120"/>
        <w:rPr>
          <w:rFonts w:ascii="Times New Roman" w:eastAsia="Calibri" w:hAnsi="Times New Roman"/>
          <w:szCs w:val="24"/>
        </w:rPr>
      </w:pPr>
      <w:r w:rsidRPr="00F305B6">
        <w:rPr>
          <w:rFonts w:ascii="Times New Roman" w:eastAsia="Calibri" w:hAnsi="Times New Roman"/>
          <w:szCs w:val="24"/>
        </w:rPr>
        <w:t xml:space="preserve">The Commission is working on </w:t>
      </w:r>
      <w:r w:rsidR="007F7B40">
        <w:rPr>
          <w:rFonts w:ascii="Times New Roman" w:eastAsia="Calibri" w:hAnsi="Times New Roman"/>
          <w:szCs w:val="24"/>
        </w:rPr>
        <w:t xml:space="preserve">monitoring the progress in </w:t>
      </w:r>
      <w:r w:rsidR="00F063A1">
        <w:rPr>
          <w:rFonts w:ascii="Times New Roman" w:eastAsia="Calibri" w:hAnsi="Times New Roman"/>
          <w:szCs w:val="24"/>
        </w:rPr>
        <w:t xml:space="preserve">gender equality </w:t>
      </w:r>
      <w:r w:rsidR="00B85062" w:rsidRPr="00F305B6">
        <w:rPr>
          <w:rFonts w:ascii="Times New Roman" w:eastAsia="Calibri" w:hAnsi="Times New Roman"/>
          <w:szCs w:val="24"/>
        </w:rPr>
        <w:t>through collection of</w:t>
      </w:r>
      <w:r w:rsidRPr="00F305B6">
        <w:rPr>
          <w:rFonts w:ascii="Times New Roman" w:eastAsia="Calibri" w:hAnsi="Times New Roman"/>
          <w:szCs w:val="24"/>
        </w:rPr>
        <w:t xml:space="preserve"> </w:t>
      </w:r>
      <w:r w:rsidR="00F063A1">
        <w:rPr>
          <w:rFonts w:ascii="Times New Roman" w:eastAsia="Calibri" w:hAnsi="Times New Roman"/>
          <w:szCs w:val="24"/>
        </w:rPr>
        <w:t>gender</w:t>
      </w:r>
      <w:r w:rsidR="00A84055">
        <w:rPr>
          <w:rFonts w:ascii="Times New Roman" w:eastAsia="Calibri" w:hAnsi="Times New Roman"/>
          <w:szCs w:val="24"/>
        </w:rPr>
        <w:t>-</w:t>
      </w:r>
      <w:r w:rsidRPr="00F305B6">
        <w:rPr>
          <w:rFonts w:ascii="Times New Roman" w:eastAsia="Calibri" w:hAnsi="Times New Roman"/>
          <w:szCs w:val="24"/>
        </w:rPr>
        <w:t>disaggregated data</w:t>
      </w:r>
      <w:r w:rsidR="00B85062" w:rsidRPr="00F305B6">
        <w:rPr>
          <w:rFonts w:ascii="Times New Roman" w:eastAsia="Calibri" w:hAnsi="Times New Roman"/>
          <w:szCs w:val="24"/>
        </w:rPr>
        <w:t>,</w:t>
      </w:r>
      <w:r w:rsidRPr="00F305B6">
        <w:rPr>
          <w:rFonts w:ascii="Times New Roman" w:eastAsia="Calibri" w:hAnsi="Times New Roman"/>
          <w:szCs w:val="24"/>
        </w:rPr>
        <w:t xml:space="preserve"> </w:t>
      </w:r>
      <w:r w:rsidR="00054E90">
        <w:rPr>
          <w:rFonts w:ascii="Times New Roman" w:eastAsia="Calibri" w:hAnsi="Times New Roman"/>
          <w:szCs w:val="24"/>
        </w:rPr>
        <w:t xml:space="preserve">with relevant further breakdowns. </w:t>
      </w:r>
      <w:r w:rsidR="007F7B40" w:rsidRPr="00F305B6">
        <w:rPr>
          <w:rFonts w:ascii="Times New Roman" w:eastAsia="Calibri" w:hAnsi="Times New Roman"/>
          <w:szCs w:val="24"/>
        </w:rPr>
        <w:t>The Commission collect</w:t>
      </w:r>
      <w:r w:rsidR="007F7B40">
        <w:rPr>
          <w:rFonts w:ascii="Times New Roman" w:eastAsia="Calibri" w:hAnsi="Times New Roman"/>
          <w:szCs w:val="24"/>
        </w:rPr>
        <w:t>s</w:t>
      </w:r>
      <w:r w:rsidR="007F7B40" w:rsidRPr="00F305B6">
        <w:rPr>
          <w:rFonts w:ascii="Times New Roman" w:eastAsia="Calibri" w:hAnsi="Times New Roman"/>
          <w:szCs w:val="24"/>
        </w:rPr>
        <w:t xml:space="preserve"> </w:t>
      </w:r>
      <w:r w:rsidR="00575D82">
        <w:rPr>
          <w:rFonts w:ascii="Times New Roman" w:eastAsia="Calibri" w:hAnsi="Times New Roman"/>
          <w:szCs w:val="24"/>
        </w:rPr>
        <w:t xml:space="preserve">information </w:t>
      </w:r>
      <w:r w:rsidR="007F7B40" w:rsidRPr="00F305B6">
        <w:rPr>
          <w:rFonts w:ascii="Times New Roman" w:eastAsia="Calibri" w:hAnsi="Times New Roman"/>
          <w:szCs w:val="24"/>
        </w:rPr>
        <w:t xml:space="preserve">on the EU’s actions in the field of </w:t>
      </w:r>
      <w:r w:rsidR="007F7B40">
        <w:rPr>
          <w:rFonts w:ascii="Times New Roman" w:eastAsia="Calibri" w:hAnsi="Times New Roman"/>
          <w:szCs w:val="24"/>
        </w:rPr>
        <w:t>gender equality in the follow up of the Gender Equality Strategy</w:t>
      </w:r>
      <w:r w:rsidR="00575D82">
        <w:rPr>
          <w:rFonts w:ascii="Times New Roman" w:eastAsia="Calibri" w:hAnsi="Times New Roman"/>
          <w:szCs w:val="24"/>
        </w:rPr>
        <w:t>, including through monitoring portal with key data on gender equality</w:t>
      </w:r>
      <w:r w:rsidR="007F7B40">
        <w:rPr>
          <w:rFonts w:ascii="Times New Roman" w:eastAsia="Calibri" w:hAnsi="Times New Roman"/>
          <w:szCs w:val="24"/>
        </w:rPr>
        <w:t xml:space="preserve">. </w:t>
      </w:r>
      <w:r w:rsidR="00575D82">
        <w:rPr>
          <w:rFonts w:ascii="Times New Roman" w:eastAsia="Calibri" w:hAnsi="Times New Roman"/>
          <w:szCs w:val="24"/>
        </w:rPr>
        <w:t>Furthermore, t</w:t>
      </w:r>
      <w:r w:rsidR="007F7B40">
        <w:rPr>
          <w:rFonts w:ascii="Times New Roman" w:eastAsia="Calibri" w:hAnsi="Times New Roman"/>
          <w:szCs w:val="24"/>
        </w:rPr>
        <w:t xml:space="preserve">he progress on </w:t>
      </w:r>
      <w:r w:rsidR="003352EA">
        <w:rPr>
          <w:rFonts w:ascii="Times New Roman" w:eastAsia="Calibri" w:hAnsi="Times New Roman"/>
          <w:szCs w:val="24"/>
        </w:rPr>
        <w:t>gender equality in the European Union</w:t>
      </w:r>
      <w:r w:rsidR="007F7B40">
        <w:rPr>
          <w:rFonts w:ascii="Times New Roman" w:eastAsia="Calibri" w:hAnsi="Times New Roman"/>
          <w:szCs w:val="24"/>
        </w:rPr>
        <w:t xml:space="preserve"> is monitored</w:t>
      </w:r>
      <w:r w:rsidR="00054E90">
        <w:rPr>
          <w:rFonts w:ascii="Times New Roman" w:eastAsia="Calibri" w:hAnsi="Times New Roman"/>
          <w:szCs w:val="24"/>
        </w:rPr>
        <w:t xml:space="preserve"> through</w:t>
      </w:r>
      <w:r w:rsidR="007F7B40">
        <w:rPr>
          <w:rFonts w:ascii="Times New Roman" w:eastAsia="Calibri" w:hAnsi="Times New Roman"/>
          <w:szCs w:val="24"/>
        </w:rPr>
        <w:t xml:space="preserve"> a series of indicators developed by </w:t>
      </w:r>
      <w:r w:rsidR="003379B7">
        <w:rPr>
          <w:rFonts w:ascii="Times New Roman" w:eastAsia="Calibri" w:hAnsi="Times New Roman"/>
          <w:szCs w:val="24"/>
        </w:rPr>
        <w:t>European Institute for Gender Equality (</w:t>
      </w:r>
      <w:r w:rsidR="007F7B40">
        <w:rPr>
          <w:rFonts w:ascii="Times New Roman" w:eastAsia="Calibri" w:hAnsi="Times New Roman"/>
          <w:szCs w:val="24"/>
        </w:rPr>
        <w:t>EIGE</w:t>
      </w:r>
      <w:r w:rsidR="003379B7">
        <w:rPr>
          <w:rFonts w:ascii="Times New Roman" w:eastAsia="Calibri" w:hAnsi="Times New Roman"/>
          <w:szCs w:val="24"/>
        </w:rPr>
        <w:t>)</w:t>
      </w:r>
      <w:r w:rsidR="003352EA">
        <w:rPr>
          <w:rFonts w:ascii="Times New Roman" w:eastAsia="Calibri" w:hAnsi="Times New Roman"/>
          <w:szCs w:val="24"/>
        </w:rPr>
        <w:t xml:space="preserve"> and published annually in</w:t>
      </w:r>
      <w:r w:rsidR="007F7B40">
        <w:rPr>
          <w:rFonts w:ascii="Times New Roman" w:eastAsia="Calibri" w:hAnsi="Times New Roman"/>
          <w:szCs w:val="24"/>
        </w:rPr>
        <w:t xml:space="preserve"> </w:t>
      </w:r>
      <w:r w:rsidR="001D06AC">
        <w:rPr>
          <w:rFonts w:ascii="Times New Roman" w:eastAsia="Calibri" w:hAnsi="Times New Roman"/>
          <w:szCs w:val="24"/>
        </w:rPr>
        <w:t>EIGE</w:t>
      </w:r>
      <w:r w:rsidR="003352EA">
        <w:rPr>
          <w:rFonts w:ascii="Times New Roman" w:eastAsia="Calibri" w:hAnsi="Times New Roman"/>
          <w:szCs w:val="24"/>
        </w:rPr>
        <w:t>’s</w:t>
      </w:r>
      <w:r w:rsidR="001D06AC">
        <w:rPr>
          <w:rFonts w:ascii="Times New Roman" w:eastAsia="Calibri" w:hAnsi="Times New Roman"/>
          <w:szCs w:val="24"/>
        </w:rPr>
        <w:t xml:space="preserve"> </w:t>
      </w:r>
      <w:r w:rsidR="007F7B40">
        <w:rPr>
          <w:rFonts w:ascii="Times New Roman" w:eastAsia="Calibri" w:hAnsi="Times New Roman"/>
          <w:szCs w:val="24"/>
        </w:rPr>
        <w:t>Gender Equality Index</w:t>
      </w:r>
      <w:r w:rsidR="003352EA">
        <w:rPr>
          <w:rFonts w:ascii="Times New Roman" w:eastAsia="Calibri" w:hAnsi="Times New Roman"/>
          <w:szCs w:val="24"/>
        </w:rPr>
        <w:t xml:space="preserve">. </w:t>
      </w:r>
    </w:p>
    <w:p w14:paraId="27B7F25F" w14:textId="4EE6C6B7" w:rsidR="002A527F" w:rsidRDefault="00575D82" w:rsidP="00EB74B9">
      <w:pPr>
        <w:spacing w:after="120"/>
        <w:rPr>
          <w:rFonts w:ascii="Times New Roman" w:eastAsia="Calibri" w:hAnsi="Times New Roman"/>
          <w:szCs w:val="24"/>
        </w:rPr>
      </w:pPr>
      <w:r>
        <w:rPr>
          <w:rFonts w:ascii="Times New Roman" w:eastAsia="Calibri" w:hAnsi="Times New Roman"/>
          <w:szCs w:val="24"/>
        </w:rPr>
        <w:t>The d</w:t>
      </w:r>
      <w:r w:rsidR="003352EA">
        <w:rPr>
          <w:rFonts w:ascii="Times New Roman" w:eastAsia="Calibri" w:hAnsi="Times New Roman"/>
          <w:szCs w:val="24"/>
        </w:rPr>
        <w:t xml:space="preserve">ata comes from Eurostat and </w:t>
      </w:r>
      <w:r w:rsidR="007F7B40">
        <w:rPr>
          <w:rFonts w:ascii="Times New Roman" w:eastAsia="Calibri" w:hAnsi="Times New Roman"/>
          <w:szCs w:val="24"/>
        </w:rPr>
        <w:t xml:space="preserve">other sources, including surveys </w:t>
      </w:r>
      <w:r w:rsidR="001D06AC">
        <w:rPr>
          <w:rFonts w:ascii="Times New Roman" w:eastAsia="Calibri" w:hAnsi="Times New Roman"/>
          <w:szCs w:val="24"/>
        </w:rPr>
        <w:t xml:space="preserve">carried out by EIGE, Eurofound, </w:t>
      </w:r>
      <w:r w:rsidR="00A603B4">
        <w:rPr>
          <w:rFonts w:ascii="Times New Roman" w:eastAsia="Calibri" w:hAnsi="Times New Roman"/>
          <w:szCs w:val="24"/>
        </w:rPr>
        <w:t xml:space="preserve">European Union Agency for </w:t>
      </w:r>
      <w:r w:rsidR="007E1355">
        <w:rPr>
          <w:rFonts w:ascii="Times New Roman" w:eastAsia="Calibri" w:hAnsi="Times New Roman"/>
          <w:szCs w:val="24"/>
        </w:rPr>
        <w:t>F</w:t>
      </w:r>
      <w:r w:rsidR="00A603B4">
        <w:rPr>
          <w:rFonts w:ascii="Times New Roman" w:eastAsia="Calibri" w:hAnsi="Times New Roman"/>
          <w:szCs w:val="24"/>
        </w:rPr>
        <w:t>undamental Rights (</w:t>
      </w:r>
      <w:r w:rsidR="001D06AC">
        <w:rPr>
          <w:rFonts w:ascii="Times New Roman" w:eastAsia="Calibri" w:hAnsi="Times New Roman"/>
          <w:szCs w:val="24"/>
        </w:rPr>
        <w:t>FRA</w:t>
      </w:r>
      <w:r w:rsidR="00A603B4">
        <w:rPr>
          <w:rFonts w:ascii="Times New Roman" w:eastAsia="Calibri" w:hAnsi="Times New Roman"/>
          <w:szCs w:val="24"/>
        </w:rPr>
        <w:t>)</w:t>
      </w:r>
      <w:r w:rsidR="001D06AC">
        <w:rPr>
          <w:rFonts w:ascii="Times New Roman" w:eastAsia="Calibri" w:hAnsi="Times New Roman"/>
          <w:szCs w:val="24"/>
        </w:rPr>
        <w:t xml:space="preserve"> and other EU agencies. </w:t>
      </w:r>
      <w:r w:rsidR="007F7B40">
        <w:rPr>
          <w:rFonts w:ascii="Times New Roman" w:eastAsia="Calibri" w:hAnsi="Times New Roman"/>
          <w:szCs w:val="24"/>
        </w:rPr>
        <w:t xml:space="preserve"> </w:t>
      </w:r>
    </w:p>
    <w:p w14:paraId="14003B04" w14:textId="13510EF8" w:rsidR="007F7B40" w:rsidRDefault="003352EA" w:rsidP="00EB74B9">
      <w:pPr>
        <w:spacing w:after="120"/>
        <w:rPr>
          <w:rFonts w:ascii="Times New Roman" w:eastAsia="Calibri" w:hAnsi="Times New Roman"/>
          <w:szCs w:val="24"/>
        </w:rPr>
      </w:pPr>
      <w:r>
        <w:rPr>
          <w:rFonts w:ascii="Times New Roman" w:eastAsia="Calibri" w:hAnsi="Times New Roman"/>
          <w:szCs w:val="24"/>
        </w:rPr>
        <w:t>In addition, t</w:t>
      </w:r>
      <w:r w:rsidR="001D06AC">
        <w:rPr>
          <w:rFonts w:ascii="Times New Roman" w:eastAsia="Calibri" w:hAnsi="Times New Roman"/>
          <w:szCs w:val="24"/>
        </w:rPr>
        <w:t>he Commission monitors the progress</w:t>
      </w:r>
      <w:r w:rsidR="001D06AC" w:rsidRPr="00F305B6">
        <w:rPr>
          <w:rFonts w:ascii="Times New Roman" w:eastAsia="Calibri" w:hAnsi="Times New Roman"/>
          <w:szCs w:val="24"/>
        </w:rPr>
        <w:t xml:space="preserve"> towards</w:t>
      </w:r>
      <w:r w:rsidR="00180037">
        <w:rPr>
          <w:rFonts w:ascii="Times New Roman" w:eastAsia="Calibri" w:hAnsi="Times New Roman"/>
          <w:szCs w:val="24"/>
        </w:rPr>
        <w:t xml:space="preserve"> the</w:t>
      </w:r>
      <w:r w:rsidR="001D06AC" w:rsidRPr="00F305B6">
        <w:rPr>
          <w:rFonts w:ascii="Times New Roman" w:eastAsia="Calibri" w:hAnsi="Times New Roman"/>
          <w:szCs w:val="24"/>
        </w:rPr>
        <w:t xml:space="preserve"> Sustainable Development Goals</w:t>
      </w:r>
      <w:r w:rsidR="001D06AC">
        <w:rPr>
          <w:rFonts w:ascii="Times New Roman" w:eastAsia="Calibri" w:hAnsi="Times New Roman"/>
          <w:szCs w:val="24"/>
        </w:rPr>
        <w:t>, which is coordinated by Eurostat.</w:t>
      </w:r>
    </w:p>
    <w:p w14:paraId="06899667" w14:textId="06002A74" w:rsidR="001D06AC" w:rsidRDefault="001D06AC" w:rsidP="00EB74B9">
      <w:pPr>
        <w:spacing w:after="120"/>
        <w:rPr>
          <w:rFonts w:ascii="Times New Roman" w:hAnsi="Times New Roman"/>
        </w:rPr>
      </w:pPr>
      <w:r w:rsidRPr="63D00F22">
        <w:rPr>
          <w:rFonts w:ascii="Times New Roman" w:hAnsi="Times New Roman"/>
        </w:rPr>
        <w:t xml:space="preserve">For the EU, most </w:t>
      </w:r>
      <w:r w:rsidRPr="63D00F22">
        <w:rPr>
          <w:rFonts w:ascii="Times New Roman" w:hAnsi="Times New Roman"/>
          <w:lang w:val="en-IE"/>
        </w:rPr>
        <w:t>d</w:t>
      </w:r>
      <w:r w:rsidR="00F063A1" w:rsidRPr="63D00F22">
        <w:rPr>
          <w:rFonts w:ascii="Times New Roman" w:hAnsi="Times New Roman"/>
          <w:lang w:val="en-IE"/>
        </w:rPr>
        <w:t xml:space="preserve">ata collection is done at Member States level, under the coordination of Eurostat. The Commission encourages </w:t>
      </w:r>
      <w:r w:rsidR="00D13323" w:rsidRPr="63D00F22">
        <w:rPr>
          <w:rFonts w:ascii="Times New Roman" w:hAnsi="Times New Roman"/>
          <w:lang w:val="en-IE"/>
        </w:rPr>
        <w:t xml:space="preserve">the collection of </w:t>
      </w:r>
      <w:r w:rsidR="00F063A1" w:rsidRPr="63D00F22">
        <w:rPr>
          <w:rFonts w:ascii="Times New Roman" w:hAnsi="Times New Roman"/>
          <w:lang w:val="en-IE"/>
        </w:rPr>
        <w:t>gender-disaggregated data with relevant breakdowns where possible and within the legal constraints in Member States.</w:t>
      </w:r>
      <w:r w:rsidRPr="63D00F22">
        <w:rPr>
          <w:rFonts w:ascii="Times New Roman" w:hAnsi="Times New Roman"/>
        </w:rPr>
        <w:t xml:space="preserve"> </w:t>
      </w:r>
    </w:p>
    <w:p w14:paraId="5822A292" w14:textId="7A64163D" w:rsidR="0023218E" w:rsidRDefault="00C00FD1">
      <w:pPr>
        <w:spacing w:after="0"/>
        <w:rPr>
          <w:rFonts w:ascii="Times New Roman" w:hAnsi="Times New Roman"/>
          <w:szCs w:val="24"/>
        </w:rPr>
      </w:pPr>
      <w:r>
        <w:rPr>
          <w:rFonts w:ascii="Times New Roman" w:hAnsi="Times New Roman"/>
          <w:szCs w:val="24"/>
        </w:rPr>
        <w:lastRenderedPageBreak/>
        <w:t>Moreover, t</w:t>
      </w:r>
      <w:r w:rsidR="0F93ADAD" w:rsidRPr="000C190A">
        <w:rPr>
          <w:rFonts w:ascii="Times New Roman" w:hAnsi="Times New Roman"/>
          <w:szCs w:val="24"/>
        </w:rPr>
        <w:t xml:space="preserve">he </w:t>
      </w:r>
      <w:r w:rsidR="1C4C94B2" w:rsidRPr="000C190A">
        <w:rPr>
          <w:rFonts w:ascii="Times New Roman" w:hAnsi="Times New Roman"/>
          <w:szCs w:val="24"/>
        </w:rPr>
        <w:t xml:space="preserve">new </w:t>
      </w:r>
      <w:r w:rsidR="02A10FA1" w:rsidRPr="000C190A">
        <w:rPr>
          <w:rFonts w:ascii="Times New Roman" w:hAnsi="Times New Roman"/>
          <w:szCs w:val="24"/>
        </w:rPr>
        <w:t xml:space="preserve">EU </w:t>
      </w:r>
      <w:r w:rsidR="02A10FA1" w:rsidRPr="000C190A">
        <w:rPr>
          <w:rFonts w:ascii="Times New Roman" w:hAnsi="Times New Roman"/>
          <w:b/>
          <w:bCs/>
          <w:szCs w:val="24"/>
        </w:rPr>
        <w:t>F</w:t>
      </w:r>
      <w:r w:rsidR="0F93ADAD" w:rsidRPr="000C190A">
        <w:rPr>
          <w:rFonts w:ascii="Times New Roman" w:hAnsi="Times New Roman"/>
          <w:b/>
          <w:bCs/>
          <w:szCs w:val="24"/>
        </w:rPr>
        <w:t>inancial</w:t>
      </w:r>
      <w:r w:rsidR="41A0B39E" w:rsidRPr="000C190A">
        <w:rPr>
          <w:rFonts w:ascii="Times New Roman" w:hAnsi="Times New Roman"/>
          <w:b/>
          <w:bCs/>
          <w:szCs w:val="24"/>
        </w:rPr>
        <w:t xml:space="preserve"> Regulation</w:t>
      </w:r>
      <w:r w:rsidR="0F93ADAD" w:rsidRPr="000C190A">
        <w:rPr>
          <w:rFonts w:ascii="Times New Roman" w:hAnsi="Times New Roman"/>
          <w:b/>
          <w:bCs/>
          <w:szCs w:val="24"/>
        </w:rPr>
        <w:t xml:space="preserve"> </w:t>
      </w:r>
      <w:r w:rsidR="0F93ADAD" w:rsidRPr="000C190A">
        <w:rPr>
          <w:rFonts w:ascii="Times New Roman" w:hAnsi="Times New Roman"/>
          <w:szCs w:val="24"/>
        </w:rPr>
        <w:t>published on 29 September 2024</w:t>
      </w:r>
      <w:r w:rsidR="009762AE">
        <w:rPr>
          <w:rStyle w:val="FootnoteReference"/>
          <w:rFonts w:ascii="Times New Roman" w:hAnsi="Times New Roman"/>
          <w:szCs w:val="24"/>
        </w:rPr>
        <w:footnoteReference w:id="5"/>
      </w:r>
      <w:r w:rsidR="00750827">
        <w:rPr>
          <w:rFonts w:ascii="Times New Roman" w:hAnsi="Times New Roman"/>
          <w:szCs w:val="24"/>
        </w:rPr>
        <w:t xml:space="preserve"> </w:t>
      </w:r>
      <w:r w:rsidR="3126A240" w:rsidRPr="000C190A">
        <w:rPr>
          <w:rFonts w:ascii="Times New Roman" w:hAnsi="Times New Roman"/>
          <w:szCs w:val="24"/>
        </w:rPr>
        <w:t xml:space="preserve">now </w:t>
      </w:r>
      <w:r w:rsidR="0F93ADAD" w:rsidRPr="000C190A">
        <w:rPr>
          <w:rFonts w:ascii="Times New Roman" w:hAnsi="Times New Roman"/>
          <w:szCs w:val="24"/>
        </w:rPr>
        <w:t xml:space="preserve">includes a provision </w:t>
      </w:r>
      <w:r w:rsidR="00470F29" w:rsidRPr="00470F29">
        <w:rPr>
          <w:rFonts w:ascii="Times New Roman" w:hAnsi="Times New Roman"/>
          <w:szCs w:val="24"/>
        </w:rPr>
        <w:t xml:space="preserve">requiring that all </w:t>
      </w:r>
      <w:r w:rsidR="008405B7">
        <w:rPr>
          <w:rFonts w:ascii="Times New Roman" w:hAnsi="Times New Roman"/>
          <w:szCs w:val="24"/>
        </w:rPr>
        <w:t xml:space="preserve">EU budget </w:t>
      </w:r>
      <w:r w:rsidR="00470F29" w:rsidRPr="00470F29">
        <w:rPr>
          <w:rFonts w:ascii="Times New Roman" w:hAnsi="Times New Roman"/>
          <w:szCs w:val="24"/>
        </w:rPr>
        <w:t>programmes and activities, where feasible and appropriate in accordance with the relevant sector-specific rules, be implemented taking into account the principle of gender equality. In addition, the updated financial regulation also mandates that all data collected in relation to performance indicators of the financial programmes should be gender-disaggregated where appropriate</w:t>
      </w:r>
      <w:r w:rsidR="0023218E">
        <w:rPr>
          <w:rFonts w:ascii="Times New Roman" w:hAnsi="Times New Roman"/>
          <w:szCs w:val="24"/>
        </w:rPr>
        <w:t>.</w:t>
      </w:r>
    </w:p>
    <w:p w14:paraId="64BCF2E0" w14:textId="77777777" w:rsidR="0023218E" w:rsidRPr="000C190A" w:rsidRDefault="0023218E" w:rsidP="000C190A">
      <w:pPr>
        <w:spacing w:after="0"/>
        <w:rPr>
          <w:rFonts w:ascii="Times New Roman" w:hAnsi="Times New Roman"/>
          <w:szCs w:val="24"/>
        </w:rPr>
      </w:pPr>
    </w:p>
    <w:p w14:paraId="44F3EAC5" w14:textId="70C70E6C" w:rsidR="00D70A3C" w:rsidRDefault="00C00FD1" w:rsidP="00D70A3C">
      <w:pPr>
        <w:spacing w:after="120"/>
        <w:rPr>
          <w:rFonts w:ascii="Times New Roman" w:eastAsia="Calibri" w:hAnsi="Times New Roman"/>
          <w:szCs w:val="24"/>
        </w:rPr>
      </w:pPr>
      <w:r>
        <w:rPr>
          <w:rFonts w:ascii="Times New Roman" w:hAnsi="Times New Roman"/>
          <w:szCs w:val="24"/>
        </w:rPr>
        <w:t>Finally,</w:t>
      </w:r>
      <w:r w:rsidR="00D70A3C">
        <w:rPr>
          <w:rFonts w:ascii="Times New Roman" w:eastAsia="Calibri" w:hAnsi="Times New Roman"/>
          <w:szCs w:val="24"/>
        </w:rPr>
        <w:t xml:space="preserve"> the Commission is promoting the collection of equality data beyond gender-disaggregated breakdowns and it </w:t>
      </w:r>
      <w:r w:rsidR="00D70A3C">
        <w:rPr>
          <w:rFonts w:ascii="Times New Roman" w:eastAsia="Calibri" w:hAnsi="Times New Roman"/>
          <w:bCs/>
          <w:szCs w:val="24"/>
        </w:rPr>
        <w:t>is fully committed to step-up the equality data collection covering all six grounds of discrimination</w:t>
      </w:r>
      <w:r w:rsidR="001C70CD">
        <w:rPr>
          <w:rStyle w:val="FootnoteReference"/>
          <w:rFonts w:ascii="Times New Roman" w:eastAsia="Calibri" w:hAnsi="Times New Roman"/>
          <w:bCs/>
          <w:szCs w:val="24"/>
        </w:rPr>
        <w:footnoteReference w:id="6"/>
      </w:r>
      <w:r w:rsidR="00D70A3C">
        <w:rPr>
          <w:rFonts w:ascii="Times New Roman" w:eastAsia="Calibri" w:hAnsi="Times New Roman"/>
          <w:bCs/>
          <w:szCs w:val="24"/>
        </w:rPr>
        <w:t>. Improving the collection of e</w:t>
      </w:r>
      <w:r w:rsidR="00D70A3C">
        <w:rPr>
          <w:rFonts w:ascii="Times New Roman" w:eastAsia="Calibri" w:hAnsi="Times New Roman"/>
          <w:bCs/>
          <w:szCs w:val="24"/>
          <w:lang w:val="en-IE"/>
        </w:rPr>
        <w:t xml:space="preserve">quality data is a core priority as highlighted in the mission letter to Commissioner Hadja Lahbib, tasking her to work towards this goal, including data comparability across the EU, in cooperation with the Member States. </w:t>
      </w:r>
      <w:r w:rsidR="00D70A3C">
        <w:rPr>
          <w:rFonts w:ascii="Times New Roman" w:eastAsia="Calibri" w:hAnsi="Times New Roman"/>
          <w:szCs w:val="24"/>
        </w:rPr>
        <w:t xml:space="preserve">The need for reliable and comparable data is stressed in all the Commission’s initiatives in the area of equality. This includes the </w:t>
      </w:r>
      <w:hyperlink r:id="rId12" w:history="1">
        <w:r w:rsidR="00D70A3C">
          <w:rPr>
            <w:rStyle w:val="Hyperlink"/>
            <w:rFonts w:ascii="Times New Roman" w:eastAsia="Calibri" w:hAnsi="Times New Roman"/>
            <w:szCs w:val="24"/>
          </w:rPr>
          <w:t>Gender Equality Strategy</w:t>
        </w:r>
      </w:hyperlink>
      <w:r w:rsidR="00D70A3C">
        <w:rPr>
          <w:rFonts w:ascii="Times New Roman" w:eastAsia="Calibri" w:hAnsi="Times New Roman"/>
          <w:szCs w:val="24"/>
        </w:rPr>
        <w:t xml:space="preserve">, the </w:t>
      </w:r>
      <w:hyperlink r:id="rId13" w:history="1">
        <w:r w:rsidR="00D70A3C">
          <w:rPr>
            <w:rStyle w:val="Hyperlink"/>
            <w:rFonts w:ascii="Times New Roman" w:eastAsia="Calibri" w:hAnsi="Times New Roman"/>
            <w:szCs w:val="24"/>
          </w:rPr>
          <w:t>LGBTIQ Equality Strategy</w:t>
        </w:r>
      </w:hyperlink>
      <w:r w:rsidR="00D70A3C">
        <w:rPr>
          <w:rFonts w:ascii="Times New Roman" w:eastAsia="Calibri" w:hAnsi="Times New Roman"/>
          <w:szCs w:val="24"/>
        </w:rPr>
        <w:t xml:space="preserve">, the </w:t>
      </w:r>
      <w:hyperlink r:id="rId14" w:history="1">
        <w:r w:rsidR="00D70A3C">
          <w:rPr>
            <w:rStyle w:val="Hyperlink"/>
            <w:rFonts w:ascii="Times New Roman" w:eastAsia="Calibri" w:hAnsi="Times New Roman"/>
            <w:szCs w:val="24"/>
          </w:rPr>
          <w:t>EU Roma Strategic Framework</w:t>
        </w:r>
      </w:hyperlink>
      <w:r w:rsidR="00D70A3C">
        <w:rPr>
          <w:rFonts w:ascii="Times New Roman" w:eastAsia="Calibri" w:hAnsi="Times New Roman"/>
          <w:szCs w:val="24"/>
        </w:rPr>
        <w:t xml:space="preserve"> and the </w:t>
      </w:r>
      <w:hyperlink r:id="rId15" w:history="1">
        <w:r w:rsidR="00D70A3C">
          <w:rPr>
            <w:rStyle w:val="Hyperlink"/>
            <w:rFonts w:ascii="Times New Roman" w:eastAsia="Calibri" w:hAnsi="Times New Roman"/>
            <w:szCs w:val="24"/>
          </w:rPr>
          <w:t>Anti-racism Action Plan</w:t>
        </w:r>
      </w:hyperlink>
      <w:r w:rsidR="00D70A3C">
        <w:rPr>
          <w:rFonts w:ascii="Times New Roman" w:eastAsia="Calibri" w:hAnsi="Times New Roman"/>
          <w:szCs w:val="24"/>
        </w:rPr>
        <w:t>.</w:t>
      </w:r>
    </w:p>
    <w:p w14:paraId="5C824E72" w14:textId="77777777" w:rsidR="00D70A3C" w:rsidRDefault="00D70A3C" w:rsidP="00D70A3C">
      <w:pPr>
        <w:spacing w:after="120"/>
        <w:rPr>
          <w:rFonts w:ascii="Times New Roman" w:eastAsia="Calibri" w:hAnsi="Times New Roman"/>
          <w:szCs w:val="24"/>
        </w:rPr>
      </w:pPr>
      <w:r>
        <w:rPr>
          <w:rFonts w:ascii="Times New Roman" w:eastAsia="Calibri" w:hAnsi="Times New Roman"/>
          <w:bCs/>
          <w:szCs w:val="24"/>
        </w:rPr>
        <w:t xml:space="preserve">In February 2018, the </w:t>
      </w:r>
      <w:hyperlink r:id="rId16" w:history="1">
        <w:r>
          <w:rPr>
            <w:rStyle w:val="Hyperlink"/>
            <w:rFonts w:ascii="Times New Roman" w:eastAsia="Calibri" w:hAnsi="Times New Roman"/>
            <w:bCs/>
            <w:szCs w:val="24"/>
          </w:rPr>
          <w:t>EU High Level Group on Non-discrimination, Equality and Diversity</w:t>
        </w:r>
      </w:hyperlink>
      <w:r>
        <w:rPr>
          <w:rFonts w:ascii="Times New Roman" w:eastAsia="Calibri" w:hAnsi="Times New Roman"/>
          <w:bCs/>
          <w:szCs w:val="24"/>
        </w:rPr>
        <w:t xml:space="preserve"> set up the </w:t>
      </w:r>
      <w:hyperlink r:id="rId17" w:history="1">
        <w:r w:rsidRPr="00D70A3C">
          <w:rPr>
            <w:rStyle w:val="Hyperlink"/>
            <w:rFonts w:ascii="Times New Roman" w:eastAsia="Calibri" w:hAnsi="Times New Roman"/>
            <w:szCs w:val="24"/>
          </w:rPr>
          <w:t>Subgroup on Equality Data</w:t>
        </w:r>
      </w:hyperlink>
      <w:r>
        <w:rPr>
          <w:rFonts w:ascii="Times New Roman" w:eastAsia="Calibri" w:hAnsi="Times New Roman"/>
          <w:bCs/>
          <w:szCs w:val="24"/>
        </w:rPr>
        <w:t xml:space="preserve"> to help Member States improve the collection and use of equality data. The subgroup is made up of national experts dealing with non-discrimination policies, national statistical institutes and equality bodies, Eurofound, EIGE and FRA, who facilitates the work. The Subgroup provides an important forum for Member States and EU institutions </w:t>
      </w:r>
      <w:r>
        <w:rPr>
          <w:rFonts w:ascii="Times New Roman" w:eastAsia="Calibri" w:hAnsi="Times New Roman"/>
          <w:szCs w:val="24"/>
        </w:rPr>
        <w:t>to discuss challenges and opportunities in improving the collection and use of equality data.</w:t>
      </w:r>
      <w:r>
        <w:rPr>
          <w:rFonts w:ascii="Times New Roman" w:eastAsia="Calibri" w:hAnsi="Times New Roman"/>
          <w:bCs/>
          <w:szCs w:val="24"/>
        </w:rPr>
        <w:t xml:space="preserve"> Building also on FRA’s wide-ranging expertise, the Subgroup produced </w:t>
      </w:r>
      <w:r>
        <w:rPr>
          <w:rFonts w:ascii="Times New Roman" w:eastAsia="Calibri" w:hAnsi="Times New Roman"/>
          <w:szCs w:val="24"/>
        </w:rPr>
        <w:t xml:space="preserve">a number of key policy documents to step up the collection of equality data with </w:t>
      </w:r>
      <w:hyperlink r:id="rId18" w:history="1">
        <w:r>
          <w:rPr>
            <w:rStyle w:val="Hyperlink"/>
            <w:rFonts w:ascii="Times New Roman" w:eastAsia="Calibri" w:hAnsi="Times New Roman"/>
            <w:szCs w:val="24"/>
          </w:rPr>
          <w:t>structural and operational guidelines</w:t>
        </w:r>
      </w:hyperlink>
      <w:r>
        <w:rPr>
          <w:rFonts w:ascii="Times New Roman" w:eastAsia="Calibri" w:hAnsi="Times New Roman"/>
          <w:szCs w:val="24"/>
        </w:rPr>
        <w:t xml:space="preserve"> and technical guidance on collection and use of data on </w:t>
      </w:r>
      <w:hyperlink r:id="rId19" w:history="1">
        <w:r>
          <w:rPr>
            <w:rStyle w:val="Hyperlink"/>
            <w:rFonts w:ascii="Times New Roman" w:eastAsia="Calibri" w:hAnsi="Times New Roman"/>
            <w:szCs w:val="24"/>
          </w:rPr>
          <w:t>racial or ethnic origin</w:t>
        </w:r>
      </w:hyperlink>
      <w:r>
        <w:rPr>
          <w:rFonts w:ascii="Times New Roman" w:eastAsia="Calibri" w:hAnsi="Times New Roman"/>
          <w:szCs w:val="24"/>
        </w:rPr>
        <w:t xml:space="preserve">, </w:t>
      </w:r>
      <w:hyperlink r:id="rId20" w:history="1">
        <w:r>
          <w:rPr>
            <w:rStyle w:val="Hyperlink"/>
            <w:rFonts w:ascii="Times New Roman" w:eastAsia="Calibri" w:hAnsi="Times New Roman"/>
            <w:szCs w:val="24"/>
          </w:rPr>
          <w:t>sex characteristics, gender identity and sexual orientation</w:t>
        </w:r>
      </w:hyperlink>
      <w:r>
        <w:rPr>
          <w:rFonts w:ascii="Times New Roman" w:eastAsia="Calibri" w:hAnsi="Times New Roman"/>
          <w:szCs w:val="24"/>
        </w:rPr>
        <w:t xml:space="preserve">. Further, it produced a </w:t>
      </w:r>
      <w:hyperlink r:id="rId21" w:history="1">
        <w:r>
          <w:rPr>
            <w:rStyle w:val="Hyperlink"/>
            <w:rFonts w:ascii="Times New Roman" w:eastAsia="Calibri" w:hAnsi="Times New Roman"/>
            <w:szCs w:val="24"/>
          </w:rPr>
          <w:t>Compendium of best practices on equality data</w:t>
        </w:r>
      </w:hyperlink>
      <w:r>
        <w:rPr>
          <w:rFonts w:ascii="Times New Roman" w:eastAsia="Calibri" w:hAnsi="Times New Roman"/>
          <w:szCs w:val="24"/>
        </w:rPr>
        <w:t xml:space="preserve"> and a diagnostic mapping tool to assess the availability and quality of equality data at national level. The Subgroup continues to work towards improved collection of equality data including its reliability and comparability at European level. </w:t>
      </w:r>
    </w:p>
    <w:p w14:paraId="074B45D7" w14:textId="66BA7683" w:rsidR="004C6578" w:rsidRDefault="00D70A3C" w:rsidP="008153D4">
      <w:pPr>
        <w:spacing w:after="120"/>
        <w:rPr>
          <w:rFonts w:ascii="Times New Roman" w:hAnsi="Times New Roman"/>
          <w:szCs w:val="24"/>
        </w:rPr>
      </w:pPr>
      <w:r>
        <w:rPr>
          <w:rFonts w:ascii="Times New Roman" w:hAnsi="Times New Roman"/>
          <w:szCs w:val="24"/>
        </w:rPr>
        <w:t>The Commission continues to mainstream equality data in its activities</w:t>
      </w:r>
      <w:r w:rsidR="00A8592D">
        <w:rPr>
          <w:rFonts w:ascii="Times New Roman" w:hAnsi="Times New Roman"/>
          <w:szCs w:val="24"/>
        </w:rPr>
        <w:t>,</w:t>
      </w:r>
      <w:r>
        <w:rPr>
          <w:rFonts w:ascii="Times New Roman" w:hAnsi="Times New Roman"/>
          <w:szCs w:val="24"/>
        </w:rPr>
        <w:t xml:space="preserve"> </w:t>
      </w:r>
      <w:bookmarkStart w:id="2" w:name="_Hlk184226103"/>
      <w:r>
        <w:rPr>
          <w:rFonts w:ascii="Times New Roman" w:hAnsi="Times New Roman"/>
          <w:szCs w:val="24"/>
        </w:rPr>
        <w:t>and it set up the Eurostat Equality and Non-discrimination statistics</w:t>
      </w:r>
      <w:bookmarkEnd w:id="2"/>
      <w:r>
        <w:rPr>
          <w:rFonts w:ascii="Times New Roman" w:hAnsi="Times New Roman"/>
          <w:szCs w:val="24"/>
        </w:rPr>
        <w:t xml:space="preserve"> taskforce to harmonise the collection, use and dissemination of equality data at the European level and plans to issue recommendations by 2025.</w:t>
      </w:r>
      <w:bookmarkStart w:id="3" w:name="_Hlk187998652"/>
    </w:p>
    <w:p w14:paraId="6CA73EDD" w14:textId="390EC93F" w:rsidR="0040412C" w:rsidRDefault="0040412C" w:rsidP="008153D4">
      <w:pPr>
        <w:spacing w:after="120"/>
        <w:rPr>
          <w:rFonts w:ascii="Times New Roman" w:eastAsia="Calibri" w:hAnsi="Times New Roman"/>
          <w:szCs w:val="24"/>
        </w:rPr>
      </w:pPr>
      <w:r>
        <w:rPr>
          <w:rFonts w:ascii="Times New Roman" w:eastAsia="Calibri" w:hAnsi="Times New Roman"/>
          <w:szCs w:val="24"/>
        </w:rPr>
        <w:t>The European Commission has provided EIGE with additional human resources as of 2024</w:t>
      </w:r>
      <w:r w:rsidR="0035721C">
        <w:rPr>
          <w:rFonts w:ascii="Times New Roman" w:eastAsia="Calibri" w:hAnsi="Times New Roman"/>
          <w:szCs w:val="24"/>
        </w:rPr>
        <w:t>.</w:t>
      </w:r>
      <w:r>
        <w:rPr>
          <w:rFonts w:ascii="Times New Roman" w:eastAsia="Calibri" w:hAnsi="Times New Roman"/>
          <w:szCs w:val="24"/>
        </w:rPr>
        <w:t xml:space="preserve"> In the past couple of years</w:t>
      </w:r>
      <w:r w:rsidR="00D70A3C">
        <w:rPr>
          <w:rFonts w:ascii="Times New Roman" w:eastAsia="Calibri" w:hAnsi="Times New Roman"/>
          <w:szCs w:val="24"/>
        </w:rPr>
        <w:t>,</w:t>
      </w:r>
      <w:r>
        <w:rPr>
          <w:rFonts w:ascii="Times New Roman" w:eastAsia="Calibri" w:hAnsi="Times New Roman"/>
          <w:szCs w:val="24"/>
        </w:rPr>
        <w:t xml:space="preserve"> the Commission has also provided EIGE with additional financial resources at the end of the year to help the Agency face inflation. </w:t>
      </w:r>
    </w:p>
    <w:bookmarkEnd w:id="3"/>
    <w:p w14:paraId="24A8B67E" w14:textId="183B3001" w:rsidR="00985A46" w:rsidRDefault="00985A46" w:rsidP="001D06AC">
      <w:pPr>
        <w:spacing w:after="120"/>
        <w:rPr>
          <w:rFonts w:ascii="Times New Roman" w:hAnsi="Times New Roman"/>
        </w:rPr>
      </w:pPr>
      <w:r>
        <w:rPr>
          <w:rFonts w:ascii="Times New Roman" w:hAnsi="Times New Roman"/>
        </w:rPr>
        <w:t>The European Commission also continues to work on the improvement of</w:t>
      </w:r>
      <w:r w:rsidRPr="00985A46">
        <w:rPr>
          <w:rFonts w:ascii="Times New Roman" w:hAnsi="Times New Roman"/>
        </w:rPr>
        <w:t xml:space="preserve"> </w:t>
      </w:r>
      <w:r w:rsidR="00CC5189">
        <w:rPr>
          <w:rFonts w:ascii="Times New Roman" w:hAnsi="Times New Roman"/>
        </w:rPr>
        <w:t>sex</w:t>
      </w:r>
      <w:r w:rsidRPr="00985A46">
        <w:rPr>
          <w:rFonts w:ascii="Times New Roman" w:hAnsi="Times New Roman"/>
        </w:rPr>
        <w:t xml:space="preserve">-disaggregated </w:t>
      </w:r>
      <w:r>
        <w:rPr>
          <w:rFonts w:ascii="Times New Roman" w:hAnsi="Times New Roman"/>
        </w:rPr>
        <w:t xml:space="preserve">data </w:t>
      </w:r>
      <w:r w:rsidR="00CC5189">
        <w:rPr>
          <w:rFonts w:ascii="Times New Roman" w:hAnsi="Times New Roman"/>
        </w:rPr>
        <w:t xml:space="preserve">and gender statistics </w:t>
      </w:r>
      <w:r>
        <w:rPr>
          <w:rFonts w:ascii="Times New Roman" w:hAnsi="Times New Roman"/>
        </w:rPr>
        <w:t xml:space="preserve">in the field of external action. The EU Gender Action Plan III emphasises the importance of reporting and communicating on results, putting in place a quantitative, qualitative and inclusive monitoring system to increase public accountability, </w:t>
      </w:r>
      <w:r>
        <w:rPr>
          <w:rFonts w:ascii="Times New Roman" w:hAnsi="Times New Roman"/>
        </w:rPr>
        <w:lastRenderedPageBreak/>
        <w:t xml:space="preserve">ensure transparency and access to information and achieve better EU outreach on the impact of its work </w:t>
      </w:r>
      <w:r w:rsidR="00CC5189">
        <w:rPr>
          <w:rFonts w:ascii="Times New Roman" w:hAnsi="Times New Roman"/>
        </w:rPr>
        <w:t xml:space="preserve">to promote gender equality and women’s and girls’ empowerment </w:t>
      </w:r>
      <w:r>
        <w:rPr>
          <w:rFonts w:ascii="Times New Roman" w:hAnsi="Times New Roman"/>
        </w:rPr>
        <w:t xml:space="preserve">worldwide. </w:t>
      </w:r>
    </w:p>
    <w:p w14:paraId="3441AAF1" w14:textId="72955723" w:rsidR="001431F9" w:rsidRPr="004850DD" w:rsidRDefault="001431F9" w:rsidP="004850DD">
      <w:pPr>
        <w:spacing w:after="120"/>
        <w:rPr>
          <w:rFonts w:ascii="Times New Roman" w:hAnsi="Times New Roman"/>
          <w:b/>
          <w:bCs/>
          <w:i/>
          <w:iCs/>
          <w:szCs w:val="24"/>
        </w:rPr>
      </w:pPr>
    </w:p>
    <w:sectPr w:rsidR="001431F9" w:rsidRPr="004850DD">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27C06" w14:textId="77777777" w:rsidR="007F7FD2" w:rsidRDefault="007F7FD2" w:rsidP="00F42613">
      <w:pPr>
        <w:spacing w:after="0"/>
      </w:pPr>
      <w:r>
        <w:separator/>
      </w:r>
    </w:p>
  </w:endnote>
  <w:endnote w:type="continuationSeparator" w:id="0">
    <w:p w14:paraId="35F71C6B" w14:textId="77777777" w:rsidR="007F7FD2" w:rsidRDefault="007F7FD2" w:rsidP="00F42613">
      <w:pPr>
        <w:spacing w:after="0"/>
      </w:pPr>
      <w:r>
        <w:continuationSeparator/>
      </w:r>
    </w:p>
  </w:endnote>
  <w:endnote w:type="continuationNotice" w:id="1">
    <w:p w14:paraId="6FC985ED" w14:textId="77777777" w:rsidR="007F7FD2" w:rsidRDefault="007F7F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B2F1" w14:textId="77777777" w:rsidR="00007BAA" w:rsidRDefault="00007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B3E0B" w14:textId="77777777" w:rsidR="007F7FD2" w:rsidRDefault="007F7FD2" w:rsidP="00F42613">
      <w:pPr>
        <w:spacing w:after="0"/>
      </w:pPr>
      <w:r>
        <w:separator/>
      </w:r>
    </w:p>
  </w:footnote>
  <w:footnote w:type="continuationSeparator" w:id="0">
    <w:p w14:paraId="2BB77DA8" w14:textId="77777777" w:rsidR="007F7FD2" w:rsidRDefault="007F7FD2" w:rsidP="00F42613">
      <w:pPr>
        <w:spacing w:after="0"/>
      </w:pPr>
      <w:r>
        <w:continuationSeparator/>
      </w:r>
    </w:p>
  </w:footnote>
  <w:footnote w:type="continuationNotice" w:id="1">
    <w:p w14:paraId="2814A884" w14:textId="77777777" w:rsidR="007F7FD2" w:rsidRDefault="007F7FD2">
      <w:pPr>
        <w:spacing w:after="0"/>
      </w:pPr>
    </w:p>
  </w:footnote>
  <w:footnote w:id="2">
    <w:p w14:paraId="4539CB96" w14:textId="4A36E351" w:rsidR="00C82495" w:rsidRDefault="00C82495">
      <w:pPr>
        <w:pStyle w:val="FootnoteText"/>
      </w:pPr>
      <w:r>
        <w:rPr>
          <w:rStyle w:val="FootnoteReference"/>
        </w:rPr>
        <w:footnoteRef/>
      </w:r>
      <w:r>
        <w:t xml:space="preserve"> </w:t>
      </w:r>
      <w:hyperlink r:id="rId1" w:history="1">
        <w:r w:rsidRPr="00C82495">
          <w:rPr>
            <w:rFonts w:ascii="Times New Roman" w:hAnsi="Times New Roman"/>
            <w:color w:val="0000FF"/>
            <w:sz w:val="24"/>
            <w:szCs w:val="24"/>
            <w:u w:val="single"/>
          </w:rPr>
          <w:t>Gender equality mainstreaming - European Commission</w:t>
        </w:r>
      </w:hyperlink>
    </w:p>
  </w:footnote>
  <w:footnote w:id="3">
    <w:p w14:paraId="61ADEFC3" w14:textId="295DBADF" w:rsidR="00C201B2" w:rsidRPr="00C201B2" w:rsidRDefault="00C201B2" w:rsidP="00C201B2">
      <w:pPr>
        <w:pStyle w:val="NormalWeb"/>
        <w:spacing w:before="0" w:beforeAutospacing="0" w:after="0" w:afterAutospacing="0"/>
        <w:jc w:val="both"/>
        <w:textAlignment w:val="baseline"/>
      </w:pPr>
      <w:r>
        <w:rPr>
          <w:rStyle w:val="FootnoteReference"/>
        </w:rPr>
        <w:footnoteRef/>
      </w:r>
      <w:r>
        <w:t xml:space="preserve"> </w:t>
      </w:r>
      <w:r w:rsidRPr="009221CD">
        <w:rPr>
          <w:color w:val="666666"/>
          <w:sz w:val="20"/>
          <w:szCs w:val="20"/>
          <w:bdr w:val="none" w:sz="0" w:space="0" w:color="auto" w:frame="1"/>
        </w:rPr>
        <w:t>Girls in STEM Forum is the annual flagship event of the Girls Go Circular initiative, led by the EIT Community, in cooperation with the </w:t>
      </w:r>
      <w:r w:rsidRPr="009221CD">
        <w:rPr>
          <w:rStyle w:val="Strong"/>
          <w:b w:val="0"/>
          <w:bCs w:val="0"/>
          <w:color w:val="594AB1"/>
          <w:sz w:val="20"/>
          <w:szCs w:val="20"/>
          <w:bdr w:val="none" w:sz="0" w:space="0" w:color="auto" w:frame="1"/>
        </w:rPr>
        <w:t>European Institute of Innovation and Technology (EIT)</w:t>
      </w:r>
      <w:r w:rsidRPr="009221CD">
        <w:rPr>
          <w:b/>
          <w:bCs/>
          <w:color w:val="666666"/>
          <w:sz w:val="20"/>
          <w:szCs w:val="20"/>
          <w:bdr w:val="none" w:sz="0" w:space="0" w:color="auto" w:frame="1"/>
        </w:rPr>
        <w:t> </w:t>
      </w:r>
      <w:r w:rsidRPr="009221CD">
        <w:rPr>
          <w:color w:val="666666"/>
          <w:sz w:val="20"/>
          <w:szCs w:val="20"/>
          <w:bdr w:val="none" w:sz="0" w:space="0" w:color="auto" w:frame="1"/>
        </w:rPr>
        <w:t>and the </w:t>
      </w:r>
      <w:r w:rsidRPr="009221CD">
        <w:rPr>
          <w:rStyle w:val="Strong"/>
          <w:b w:val="0"/>
          <w:bCs w:val="0"/>
          <w:color w:val="594AB1"/>
          <w:sz w:val="20"/>
          <w:szCs w:val="20"/>
          <w:bdr w:val="none" w:sz="0" w:space="0" w:color="auto" w:frame="1"/>
        </w:rPr>
        <w:t>European Commission (DG-EAC)</w:t>
      </w:r>
      <w:r w:rsidRPr="009221CD">
        <w:rPr>
          <w:b/>
          <w:bCs/>
          <w:color w:val="666666"/>
          <w:sz w:val="20"/>
          <w:szCs w:val="20"/>
          <w:bdr w:val="none" w:sz="0" w:space="0" w:color="auto" w:frame="1"/>
        </w:rPr>
        <w:t>.</w:t>
      </w:r>
    </w:p>
  </w:footnote>
  <w:footnote w:id="4">
    <w:p w14:paraId="48015B26" w14:textId="7458A1A5" w:rsidR="00C6759F" w:rsidRPr="00C6759F" w:rsidRDefault="00C6759F">
      <w:pPr>
        <w:pStyle w:val="FootnoteText"/>
      </w:pPr>
      <w:r>
        <w:rPr>
          <w:rStyle w:val="FootnoteReference"/>
        </w:rPr>
        <w:footnoteRef/>
      </w:r>
      <w:r>
        <w:t xml:space="preserve"> </w:t>
      </w:r>
      <w:r w:rsidRPr="001B3062">
        <w:rPr>
          <w:rFonts w:ascii="Times New Roman" w:hAnsi="Times New Roman"/>
        </w:rPr>
        <w:t>COM(2025)89 final</w:t>
      </w:r>
    </w:p>
  </w:footnote>
  <w:footnote w:id="5">
    <w:p w14:paraId="6C5B38E4" w14:textId="617A1418" w:rsidR="009762AE" w:rsidRPr="009762AE" w:rsidRDefault="009762AE">
      <w:pPr>
        <w:pStyle w:val="FootnoteText"/>
        <w:rPr>
          <w:rFonts w:ascii="Times New Roman" w:hAnsi="Times New Roman"/>
        </w:rPr>
      </w:pPr>
      <w:r>
        <w:rPr>
          <w:rStyle w:val="FootnoteReference"/>
        </w:rPr>
        <w:footnoteRef/>
      </w:r>
      <w:r>
        <w:t xml:space="preserve"> </w:t>
      </w:r>
      <w:r w:rsidRPr="009762AE">
        <w:rPr>
          <w:rFonts w:ascii="Times New Roman" w:hAnsi="Times New Roman"/>
        </w:rPr>
        <w:t xml:space="preserve">Regulation (EU, Euratom) 2024/2509 of the European Parliament and of the Council of 23 September 2024 on the financial rules applicable to the general budget of the Union (recast): </w:t>
      </w:r>
      <w:hyperlink r:id="rId2" w:history="1">
        <w:r w:rsidRPr="009762AE">
          <w:rPr>
            <w:rStyle w:val="Hyperlink"/>
            <w:rFonts w:ascii="Times New Roman" w:hAnsi="Times New Roman"/>
          </w:rPr>
          <w:t>Financial regulation applicable to the general budget of the Union (recast) - Publications Office of the EU</w:t>
        </w:r>
      </w:hyperlink>
    </w:p>
  </w:footnote>
  <w:footnote w:id="6">
    <w:p w14:paraId="4A73D955" w14:textId="1D52D34B" w:rsidR="001C70CD" w:rsidRPr="001C70CD" w:rsidRDefault="001C70CD">
      <w:pPr>
        <w:pStyle w:val="FootnoteText"/>
        <w:rPr>
          <w:lang w:val="en-IE"/>
        </w:rPr>
      </w:pPr>
      <w:r>
        <w:rPr>
          <w:rStyle w:val="FootnoteReference"/>
        </w:rPr>
        <w:footnoteRef/>
      </w:r>
      <w:r>
        <w:t xml:space="preserve"> </w:t>
      </w:r>
      <w:hyperlink r:id="rId3" w:tgtFrame="_blank" w:history="1">
        <w:r w:rsidRPr="00A60E2A">
          <w:rPr>
            <w:rFonts w:ascii="Times New Roman" w:eastAsia="Calibri" w:hAnsi="Times New Roman"/>
          </w:rPr>
          <w:t>The six grounds of discrimination listed in the Treaty on the Functioning of the European Union are sex, racial or ethnic origin, religion or belief, disability, age, or sexual orientation</w:t>
        </w:r>
      </w:hyperlink>
      <w:r w:rsidRPr="00A60E2A">
        <w:rPr>
          <w:rFonts w:ascii="Times New Roman" w:eastAsia="Calibri"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877A" w14:textId="77777777" w:rsidR="00007BAA" w:rsidRDefault="00007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4409"/>
    <w:multiLevelType w:val="hybridMultilevel"/>
    <w:tmpl w:val="35E4B7C4"/>
    <w:lvl w:ilvl="0" w:tplc="7E946180">
      <w:start w:val="1"/>
      <w:numFmt w:val="bullet"/>
      <w:lvlText w:val="·"/>
      <w:lvlJc w:val="left"/>
      <w:pPr>
        <w:ind w:left="720" w:hanging="360"/>
      </w:pPr>
      <w:rPr>
        <w:rFonts w:ascii="Symbol" w:hAnsi="Symbol" w:hint="default"/>
      </w:rPr>
    </w:lvl>
    <w:lvl w:ilvl="1" w:tplc="064A7DAE">
      <w:start w:val="1"/>
      <w:numFmt w:val="bullet"/>
      <w:lvlText w:val="o"/>
      <w:lvlJc w:val="left"/>
      <w:pPr>
        <w:ind w:left="1440" w:hanging="360"/>
      </w:pPr>
      <w:rPr>
        <w:rFonts w:ascii="Courier New" w:hAnsi="Courier New" w:hint="default"/>
      </w:rPr>
    </w:lvl>
    <w:lvl w:ilvl="2" w:tplc="02D4E1DA">
      <w:start w:val="1"/>
      <w:numFmt w:val="bullet"/>
      <w:lvlText w:val=""/>
      <w:lvlJc w:val="left"/>
      <w:pPr>
        <w:ind w:left="2160" w:hanging="360"/>
      </w:pPr>
      <w:rPr>
        <w:rFonts w:ascii="Wingdings" w:hAnsi="Wingdings" w:hint="default"/>
      </w:rPr>
    </w:lvl>
    <w:lvl w:ilvl="3" w:tplc="0E94ACB6">
      <w:start w:val="1"/>
      <w:numFmt w:val="bullet"/>
      <w:lvlText w:val=""/>
      <w:lvlJc w:val="left"/>
      <w:pPr>
        <w:ind w:left="2880" w:hanging="360"/>
      </w:pPr>
      <w:rPr>
        <w:rFonts w:ascii="Symbol" w:hAnsi="Symbol" w:hint="default"/>
      </w:rPr>
    </w:lvl>
    <w:lvl w:ilvl="4" w:tplc="58DC58C2">
      <w:start w:val="1"/>
      <w:numFmt w:val="bullet"/>
      <w:lvlText w:val="o"/>
      <w:lvlJc w:val="left"/>
      <w:pPr>
        <w:ind w:left="3600" w:hanging="360"/>
      </w:pPr>
      <w:rPr>
        <w:rFonts w:ascii="Courier New" w:hAnsi="Courier New" w:hint="default"/>
      </w:rPr>
    </w:lvl>
    <w:lvl w:ilvl="5" w:tplc="6994C84C">
      <w:start w:val="1"/>
      <w:numFmt w:val="bullet"/>
      <w:lvlText w:val=""/>
      <w:lvlJc w:val="left"/>
      <w:pPr>
        <w:ind w:left="4320" w:hanging="360"/>
      </w:pPr>
      <w:rPr>
        <w:rFonts w:ascii="Wingdings" w:hAnsi="Wingdings" w:hint="default"/>
      </w:rPr>
    </w:lvl>
    <w:lvl w:ilvl="6" w:tplc="B7A832CC">
      <w:start w:val="1"/>
      <w:numFmt w:val="bullet"/>
      <w:lvlText w:val=""/>
      <w:lvlJc w:val="left"/>
      <w:pPr>
        <w:ind w:left="5040" w:hanging="360"/>
      </w:pPr>
      <w:rPr>
        <w:rFonts w:ascii="Symbol" w:hAnsi="Symbol" w:hint="default"/>
      </w:rPr>
    </w:lvl>
    <w:lvl w:ilvl="7" w:tplc="1730E2BC">
      <w:start w:val="1"/>
      <w:numFmt w:val="bullet"/>
      <w:lvlText w:val="o"/>
      <w:lvlJc w:val="left"/>
      <w:pPr>
        <w:ind w:left="5760" w:hanging="360"/>
      </w:pPr>
      <w:rPr>
        <w:rFonts w:ascii="Courier New" w:hAnsi="Courier New" w:hint="default"/>
      </w:rPr>
    </w:lvl>
    <w:lvl w:ilvl="8" w:tplc="F94426C4">
      <w:start w:val="1"/>
      <w:numFmt w:val="bullet"/>
      <w:lvlText w:val=""/>
      <w:lvlJc w:val="left"/>
      <w:pPr>
        <w:ind w:left="6480" w:hanging="360"/>
      </w:pPr>
      <w:rPr>
        <w:rFonts w:ascii="Wingdings" w:hAnsi="Wingdings" w:hint="default"/>
      </w:rPr>
    </w:lvl>
  </w:abstractNum>
  <w:abstractNum w:abstractNumId="1" w15:restartNumberingAfterBreak="0">
    <w:nsid w:val="0C654D06"/>
    <w:multiLevelType w:val="hybridMultilevel"/>
    <w:tmpl w:val="72A6AB30"/>
    <w:lvl w:ilvl="0" w:tplc="BA748BA4">
      <w:start w:val="1"/>
      <w:numFmt w:val="bullet"/>
      <w:lvlText w:val="·"/>
      <w:lvlJc w:val="left"/>
      <w:pPr>
        <w:ind w:left="720" w:hanging="360"/>
      </w:pPr>
      <w:rPr>
        <w:rFonts w:ascii="Symbol" w:hAnsi="Symbol" w:hint="default"/>
      </w:rPr>
    </w:lvl>
    <w:lvl w:ilvl="1" w:tplc="7D127DCC">
      <w:start w:val="1"/>
      <w:numFmt w:val="bullet"/>
      <w:lvlText w:val="o"/>
      <w:lvlJc w:val="left"/>
      <w:pPr>
        <w:ind w:left="1440" w:hanging="360"/>
      </w:pPr>
      <w:rPr>
        <w:rFonts w:ascii="Courier New" w:hAnsi="Courier New" w:hint="default"/>
      </w:rPr>
    </w:lvl>
    <w:lvl w:ilvl="2" w:tplc="98625E40">
      <w:start w:val="1"/>
      <w:numFmt w:val="bullet"/>
      <w:lvlText w:val=""/>
      <w:lvlJc w:val="left"/>
      <w:pPr>
        <w:ind w:left="2160" w:hanging="360"/>
      </w:pPr>
      <w:rPr>
        <w:rFonts w:ascii="Wingdings" w:hAnsi="Wingdings" w:hint="default"/>
      </w:rPr>
    </w:lvl>
    <w:lvl w:ilvl="3" w:tplc="267E2C00">
      <w:start w:val="1"/>
      <w:numFmt w:val="bullet"/>
      <w:lvlText w:val=""/>
      <w:lvlJc w:val="left"/>
      <w:pPr>
        <w:ind w:left="2880" w:hanging="360"/>
      </w:pPr>
      <w:rPr>
        <w:rFonts w:ascii="Symbol" w:hAnsi="Symbol" w:hint="default"/>
      </w:rPr>
    </w:lvl>
    <w:lvl w:ilvl="4" w:tplc="525281D2">
      <w:start w:val="1"/>
      <w:numFmt w:val="bullet"/>
      <w:lvlText w:val="o"/>
      <w:lvlJc w:val="left"/>
      <w:pPr>
        <w:ind w:left="3600" w:hanging="360"/>
      </w:pPr>
      <w:rPr>
        <w:rFonts w:ascii="Courier New" w:hAnsi="Courier New" w:hint="default"/>
      </w:rPr>
    </w:lvl>
    <w:lvl w:ilvl="5" w:tplc="CC985C1A">
      <w:start w:val="1"/>
      <w:numFmt w:val="bullet"/>
      <w:lvlText w:val=""/>
      <w:lvlJc w:val="left"/>
      <w:pPr>
        <w:ind w:left="4320" w:hanging="360"/>
      </w:pPr>
      <w:rPr>
        <w:rFonts w:ascii="Wingdings" w:hAnsi="Wingdings" w:hint="default"/>
      </w:rPr>
    </w:lvl>
    <w:lvl w:ilvl="6" w:tplc="E3E0B970">
      <w:start w:val="1"/>
      <w:numFmt w:val="bullet"/>
      <w:lvlText w:val=""/>
      <w:lvlJc w:val="left"/>
      <w:pPr>
        <w:ind w:left="5040" w:hanging="360"/>
      </w:pPr>
      <w:rPr>
        <w:rFonts w:ascii="Symbol" w:hAnsi="Symbol" w:hint="default"/>
      </w:rPr>
    </w:lvl>
    <w:lvl w:ilvl="7" w:tplc="831E99C2">
      <w:start w:val="1"/>
      <w:numFmt w:val="bullet"/>
      <w:lvlText w:val="o"/>
      <w:lvlJc w:val="left"/>
      <w:pPr>
        <w:ind w:left="5760" w:hanging="360"/>
      </w:pPr>
      <w:rPr>
        <w:rFonts w:ascii="Courier New" w:hAnsi="Courier New" w:hint="default"/>
      </w:rPr>
    </w:lvl>
    <w:lvl w:ilvl="8" w:tplc="0C28D280">
      <w:start w:val="1"/>
      <w:numFmt w:val="bullet"/>
      <w:lvlText w:val=""/>
      <w:lvlJc w:val="left"/>
      <w:pPr>
        <w:ind w:left="6480" w:hanging="360"/>
      </w:pPr>
      <w:rPr>
        <w:rFonts w:ascii="Wingdings" w:hAnsi="Wingdings" w:hint="default"/>
      </w:rPr>
    </w:lvl>
  </w:abstractNum>
  <w:abstractNum w:abstractNumId="2"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9F025A5"/>
    <w:multiLevelType w:val="hybridMultilevel"/>
    <w:tmpl w:val="FFFFFFFF"/>
    <w:lvl w:ilvl="0" w:tplc="2410F220">
      <w:start w:val="1"/>
      <w:numFmt w:val="bullet"/>
      <w:lvlText w:val=""/>
      <w:lvlJc w:val="left"/>
      <w:pPr>
        <w:ind w:left="720" w:hanging="360"/>
      </w:pPr>
      <w:rPr>
        <w:rFonts w:ascii="Symbol" w:hAnsi="Symbol" w:hint="default"/>
      </w:rPr>
    </w:lvl>
    <w:lvl w:ilvl="1" w:tplc="6D445724">
      <w:start w:val="1"/>
      <w:numFmt w:val="bullet"/>
      <w:lvlText w:val="o"/>
      <w:lvlJc w:val="left"/>
      <w:pPr>
        <w:ind w:left="1440" w:hanging="360"/>
      </w:pPr>
      <w:rPr>
        <w:rFonts w:ascii="Courier New" w:hAnsi="Courier New" w:hint="default"/>
      </w:rPr>
    </w:lvl>
    <w:lvl w:ilvl="2" w:tplc="732615AE">
      <w:start w:val="1"/>
      <w:numFmt w:val="bullet"/>
      <w:lvlText w:val=""/>
      <w:lvlJc w:val="left"/>
      <w:pPr>
        <w:ind w:left="2160" w:hanging="360"/>
      </w:pPr>
      <w:rPr>
        <w:rFonts w:ascii="Wingdings" w:hAnsi="Wingdings" w:hint="default"/>
      </w:rPr>
    </w:lvl>
    <w:lvl w:ilvl="3" w:tplc="FE220394">
      <w:start w:val="1"/>
      <w:numFmt w:val="bullet"/>
      <w:lvlText w:val=""/>
      <w:lvlJc w:val="left"/>
      <w:pPr>
        <w:ind w:left="2880" w:hanging="360"/>
      </w:pPr>
      <w:rPr>
        <w:rFonts w:ascii="Symbol" w:hAnsi="Symbol" w:hint="default"/>
      </w:rPr>
    </w:lvl>
    <w:lvl w:ilvl="4" w:tplc="ABCC56D4">
      <w:start w:val="1"/>
      <w:numFmt w:val="bullet"/>
      <w:lvlText w:val="o"/>
      <w:lvlJc w:val="left"/>
      <w:pPr>
        <w:ind w:left="3600" w:hanging="360"/>
      </w:pPr>
      <w:rPr>
        <w:rFonts w:ascii="Courier New" w:hAnsi="Courier New" w:hint="default"/>
      </w:rPr>
    </w:lvl>
    <w:lvl w:ilvl="5" w:tplc="94A871CE">
      <w:start w:val="1"/>
      <w:numFmt w:val="bullet"/>
      <w:lvlText w:val=""/>
      <w:lvlJc w:val="left"/>
      <w:pPr>
        <w:ind w:left="4320" w:hanging="360"/>
      </w:pPr>
      <w:rPr>
        <w:rFonts w:ascii="Wingdings" w:hAnsi="Wingdings" w:hint="default"/>
      </w:rPr>
    </w:lvl>
    <w:lvl w:ilvl="6" w:tplc="60EA57AA">
      <w:start w:val="1"/>
      <w:numFmt w:val="bullet"/>
      <w:lvlText w:val=""/>
      <w:lvlJc w:val="left"/>
      <w:pPr>
        <w:ind w:left="5040" w:hanging="360"/>
      </w:pPr>
      <w:rPr>
        <w:rFonts w:ascii="Symbol" w:hAnsi="Symbol" w:hint="default"/>
      </w:rPr>
    </w:lvl>
    <w:lvl w:ilvl="7" w:tplc="695693FA">
      <w:start w:val="1"/>
      <w:numFmt w:val="bullet"/>
      <w:lvlText w:val="o"/>
      <w:lvlJc w:val="left"/>
      <w:pPr>
        <w:ind w:left="5760" w:hanging="360"/>
      </w:pPr>
      <w:rPr>
        <w:rFonts w:ascii="Courier New" w:hAnsi="Courier New" w:hint="default"/>
      </w:rPr>
    </w:lvl>
    <w:lvl w:ilvl="8" w:tplc="83700686">
      <w:start w:val="1"/>
      <w:numFmt w:val="bullet"/>
      <w:lvlText w:val=""/>
      <w:lvlJc w:val="left"/>
      <w:pPr>
        <w:ind w:left="6480" w:hanging="360"/>
      </w:pPr>
      <w:rPr>
        <w:rFonts w:ascii="Wingdings" w:hAnsi="Wingdings" w:hint="default"/>
      </w:rPr>
    </w:lvl>
  </w:abstractNum>
  <w:abstractNum w:abstractNumId="4" w15:restartNumberingAfterBreak="0">
    <w:nsid w:val="26B2AB4A"/>
    <w:multiLevelType w:val="hybridMultilevel"/>
    <w:tmpl w:val="27E4B33C"/>
    <w:lvl w:ilvl="0" w:tplc="75606BAC">
      <w:start w:val="1"/>
      <w:numFmt w:val="bullet"/>
      <w:lvlText w:val="·"/>
      <w:lvlJc w:val="left"/>
      <w:pPr>
        <w:ind w:left="720" w:hanging="360"/>
      </w:pPr>
      <w:rPr>
        <w:rFonts w:ascii="Symbol" w:hAnsi="Symbol" w:hint="default"/>
      </w:rPr>
    </w:lvl>
    <w:lvl w:ilvl="1" w:tplc="07B4FE90">
      <w:start w:val="1"/>
      <w:numFmt w:val="bullet"/>
      <w:lvlText w:val="o"/>
      <w:lvlJc w:val="left"/>
      <w:pPr>
        <w:ind w:left="1440" w:hanging="360"/>
      </w:pPr>
      <w:rPr>
        <w:rFonts w:ascii="Courier New" w:hAnsi="Courier New" w:hint="default"/>
      </w:rPr>
    </w:lvl>
    <w:lvl w:ilvl="2" w:tplc="5DF87784">
      <w:start w:val="1"/>
      <w:numFmt w:val="bullet"/>
      <w:lvlText w:val=""/>
      <w:lvlJc w:val="left"/>
      <w:pPr>
        <w:ind w:left="2160" w:hanging="360"/>
      </w:pPr>
      <w:rPr>
        <w:rFonts w:ascii="Wingdings" w:hAnsi="Wingdings" w:hint="default"/>
      </w:rPr>
    </w:lvl>
    <w:lvl w:ilvl="3" w:tplc="9A842EC2">
      <w:start w:val="1"/>
      <w:numFmt w:val="bullet"/>
      <w:lvlText w:val=""/>
      <w:lvlJc w:val="left"/>
      <w:pPr>
        <w:ind w:left="2880" w:hanging="360"/>
      </w:pPr>
      <w:rPr>
        <w:rFonts w:ascii="Symbol" w:hAnsi="Symbol" w:hint="default"/>
      </w:rPr>
    </w:lvl>
    <w:lvl w:ilvl="4" w:tplc="27AC7BF8">
      <w:start w:val="1"/>
      <w:numFmt w:val="bullet"/>
      <w:lvlText w:val="o"/>
      <w:lvlJc w:val="left"/>
      <w:pPr>
        <w:ind w:left="3600" w:hanging="360"/>
      </w:pPr>
      <w:rPr>
        <w:rFonts w:ascii="Courier New" w:hAnsi="Courier New" w:hint="default"/>
      </w:rPr>
    </w:lvl>
    <w:lvl w:ilvl="5" w:tplc="50BA588E">
      <w:start w:val="1"/>
      <w:numFmt w:val="bullet"/>
      <w:lvlText w:val=""/>
      <w:lvlJc w:val="left"/>
      <w:pPr>
        <w:ind w:left="4320" w:hanging="360"/>
      </w:pPr>
      <w:rPr>
        <w:rFonts w:ascii="Wingdings" w:hAnsi="Wingdings" w:hint="default"/>
      </w:rPr>
    </w:lvl>
    <w:lvl w:ilvl="6" w:tplc="97C864EC">
      <w:start w:val="1"/>
      <w:numFmt w:val="bullet"/>
      <w:lvlText w:val=""/>
      <w:lvlJc w:val="left"/>
      <w:pPr>
        <w:ind w:left="5040" w:hanging="360"/>
      </w:pPr>
      <w:rPr>
        <w:rFonts w:ascii="Symbol" w:hAnsi="Symbol" w:hint="default"/>
      </w:rPr>
    </w:lvl>
    <w:lvl w:ilvl="7" w:tplc="1D0A53F4">
      <w:start w:val="1"/>
      <w:numFmt w:val="bullet"/>
      <w:lvlText w:val="o"/>
      <w:lvlJc w:val="left"/>
      <w:pPr>
        <w:ind w:left="5760" w:hanging="360"/>
      </w:pPr>
      <w:rPr>
        <w:rFonts w:ascii="Courier New" w:hAnsi="Courier New" w:hint="default"/>
      </w:rPr>
    </w:lvl>
    <w:lvl w:ilvl="8" w:tplc="4C48E3D0">
      <w:start w:val="1"/>
      <w:numFmt w:val="bullet"/>
      <w:lvlText w:val=""/>
      <w:lvlJc w:val="left"/>
      <w:pPr>
        <w:ind w:left="6480" w:hanging="360"/>
      </w:pPr>
      <w:rPr>
        <w:rFonts w:ascii="Wingdings" w:hAnsi="Wingdings" w:hint="default"/>
      </w:rPr>
    </w:lvl>
  </w:abstractNum>
  <w:abstractNum w:abstractNumId="5" w15:restartNumberingAfterBreak="0">
    <w:nsid w:val="28575223"/>
    <w:multiLevelType w:val="multilevel"/>
    <w:tmpl w:val="8ED0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DA3AAE"/>
    <w:multiLevelType w:val="multilevel"/>
    <w:tmpl w:val="C054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AD3AB4"/>
    <w:multiLevelType w:val="hybridMultilevel"/>
    <w:tmpl w:val="B11AB50E"/>
    <w:lvl w:ilvl="0" w:tplc="575CC7C0">
      <w:start w:val="1"/>
      <w:numFmt w:val="bullet"/>
      <w:lvlText w:val="·"/>
      <w:lvlJc w:val="left"/>
      <w:pPr>
        <w:ind w:left="720" w:hanging="360"/>
      </w:pPr>
      <w:rPr>
        <w:rFonts w:ascii="Symbol" w:hAnsi="Symbol" w:hint="default"/>
      </w:rPr>
    </w:lvl>
    <w:lvl w:ilvl="1" w:tplc="C5AA8B84">
      <w:start w:val="1"/>
      <w:numFmt w:val="bullet"/>
      <w:lvlText w:val="o"/>
      <w:lvlJc w:val="left"/>
      <w:pPr>
        <w:ind w:left="1440" w:hanging="360"/>
      </w:pPr>
      <w:rPr>
        <w:rFonts w:ascii="Courier New" w:hAnsi="Courier New" w:hint="default"/>
      </w:rPr>
    </w:lvl>
    <w:lvl w:ilvl="2" w:tplc="D94AA29C">
      <w:start w:val="1"/>
      <w:numFmt w:val="bullet"/>
      <w:lvlText w:val=""/>
      <w:lvlJc w:val="left"/>
      <w:pPr>
        <w:ind w:left="2160" w:hanging="360"/>
      </w:pPr>
      <w:rPr>
        <w:rFonts w:ascii="Wingdings" w:hAnsi="Wingdings" w:hint="default"/>
      </w:rPr>
    </w:lvl>
    <w:lvl w:ilvl="3" w:tplc="BCFE0E02">
      <w:start w:val="1"/>
      <w:numFmt w:val="bullet"/>
      <w:lvlText w:val=""/>
      <w:lvlJc w:val="left"/>
      <w:pPr>
        <w:ind w:left="2880" w:hanging="360"/>
      </w:pPr>
      <w:rPr>
        <w:rFonts w:ascii="Symbol" w:hAnsi="Symbol" w:hint="default"/>
      </w:rPr>
    </w:lvl>
    <w:lvl w:ilvl="4" w:tplc="E72C33CC">
      <w:start w:val="1"/>
      <w:numFmt w:val="bullet"/>
      <w:lvlText w:val="o"/>
      <w:lvlJc w:val="left"/>
      <w:pPr>
        <w:ind w:left="3600" w:hanging="360"/>
      </w:pPr>
      <w:rPr>
        <w:rFonts w:ascii="Courier New" w:hAnsi="Courier New" w:hint="default"/>
      </w:rPr>
    </w:lvl>
    <w:lvl w:ilvl="5" w:tplc="67DCF6FC">
      <w:start w:val="1"/>
      <w:numFmt w:val="bullet"/>
      <w:lvlText w:val=""/>
      <w:lvlJc w:val="left"/>
      <w:pPr>
        <w:ind w:left="4320" w:hanging="360"/>
      </w:pPr>
      <w:rPr>
        <w:rFonts w:ascii="Wingdings" w:hAnsi="Wingdings" w:hint="default"/>
      </w:rPr>
    </w:lvl>
    <w:lvl w:ilvl="6" w:tplc="C97A0096">
      <w:start w:val="1"/>
      <w:numFmt w:val="bullet"/>
      <w:lvlText w:val=""/>
      <w:lvlJc w:val="left"/>
      <w:pPr>
        <w:ind w:left="5040" w:hanging="360"/>
      </w:pPr>
      <w:rPr>
        <w:rFonts w:ascii="Symbol" w:hAnsi="Symbol" w:hint="default"/>
      </w:rPr>
    </w:lvl>
    <w:lvl w:ilvl="7" w:tplc="C7467F8A">
      <w:start w:val="1"/>
      <w:numFmt w:val="bullet"/>
      <w:lvlText w:val="o"/>
      <w:lvlJc w:val="left"/>
      <w:pPr>
        <w:ind w:left="5760" w:hanging="360"/>
      </w:pPr>
      <w:rPr>
        <w:rFonts w:ascii="Courier New" w:hAnsi="Courier New" w:hint="default"/>
      </w:rPr>
    </w:lvl>
    <w:lvl w:ilvl="8" w:tplc="2F3A3FE2">
      <w:start w:val="1"/>
      <w:numFmt w:val="bullet"/>
      <w:lvlText w:val=""/>
      <w:lvlJc w:val="left"/>
      <w:pPr>
        <w:ind w:left="6480" w:hanging="360"/>
      </w:pPr>
      <w:rPr>
        <w:rFonts w:ascii="Wingdings" w:hAnsi="Wingdings" w:hint="default"/>
      </w:rPr>
    </w:lvl>
  </w:abstractNum>
  <w:abstractNum w:abstractNumId="8" w15:restartNumberingAfterBreak="0">
    <w:nsid w:val="34F30B3F"/>
    <w:multiLevelType w:val="multilevel"/>
    <w:tmpl w:val="2FEA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335D97"/>
    <w:multiLevelType w:val="hybridMultilevel"/>
    <w:tmpl w:val="3D8C9A1C"/>
    <w:lvl w:ilvl="0" w:tplc="8C983F9A">
      <w:start w:val="1"/>
      <w:numFmt w:val="bullet"/>
      <w:lvlText w:val="·"/>
      <w:lvlJc w:val="left"/>
      <w:pPr>
        <w:ind w:left="720" w:hanging="360"/>
      </w:pPr>
      <w:rPr>
        <w:rFonts w:ascii="Symbol" w:hAnsi="Symbol" w:hint="default"/>
      </w:rPr>
    </w:lvl>
    <w:lvl w:ilvl="1" w:tplc="6A804678">
      <w:start w:val="1"/>
      <w:numFmt w:val="bullet"/>
      <w:lvlText w:val="o"/>
      <w:lvlJc w:val="left"/>
      <w:pPr>
        <w:ind w:left="1440" w:hanging="360"/>
      </w:pPr>
      <w:rPr>
        <w:rFonts w:ascii="Courier New" w:hAnsi="Courier New" w:hint="default"/>
      </w:rPr>
    </w:lvl>
    <w:lvl w:ilvl="2" w:tplc="F8126ED2">
      <w:start w:val="1"/>
      <w:numFmt w:val="bullet"/>
      <w:lvlText w:val=""/>
      <w:lvlJc w:val="left"/>
      <w:pPr>
        <w:ind w:left="2160" w:hanging="360"/>
      </w:pPr>
      <w:rPr>
        <w:rFonts w:ascii="Wingdings" w:hAnsi="Wingdings" w:hint="default"/>
      </w:rPr>
    </w:lvl>
    <w:lvl w:ilvl="3" w:tplc="E1C626D8">
      <w:start w:val="1"/>
      <w:numFmt w:val="bullet"/>
      <w:lvlText w:val=""/>
      <w:lvlJc w:val="left"/>
      <w:pPr>
        <w:ind w:left="2880" w:hanging="360"/>
      </w:pPr>
      <w:rPr>
        <w:rFonts w:ascii="Symbol" w:hAnsi="Symbol" w:hint="default"/>
      </w:rPr>
    </w:lvl>
    <w:lvl w:ilvl="4" w:tplc="6F08091A">
      <w:start w:val="1"/>
      <w:numFmt w:val="bullet"/>
      <w:lvlText w:val="o"/>
      <w:lvlJc w:val="left"/>
      <w:pPr>
        <w:ind w:left="3600" w:hanging="360"/>
      </w:pPr>
      <w:rPr>
        <w:rFonts w:ascii="Courier New" w:hAnsi="Courier New" w:hint="default"/>
      </w:rPr>
    </w:lvl>
    <w:lvl w:ilvl="5" w:tplc="8076A9DC">
      <w:start w:val="1"/>
      <w:numFmt w:val="bullet"/>
      <w:lvlText w:val=""/>
      <w:lvlJc w:val="left"/>
      <w:pPr>
        <w:ind w:left="4320" w:hanging="360"/>
      </w:pPr>
      <w:rPr>
        <w:rFonts w:ascii="Wingdings" w:hAnsi="Wingdings" w:hint="default"/>
      </w:rPr>
    </w:lvl>
    <w:lvl w:ilvl="6" w:tplc="0F78E6CA">
      <w:start w:val="1"/>
      <w:numFmt w:val="bullet"/>
      <w:lvlText w:val=""/>
      <w:lvlJc w:val="left"/>
      <w:pPr>
        <w:ind w:left="5040" w:hanging="360"/>
      </w:pPr>
      <w:rPr>
        <w:rFonts w:ascii="Symbol" w:hAnsi="Symbol" w:hint="default"/>
      </w:rPr>
    </w:lvl>
    <w:lvl w:ilvl="7" w:tplc="8F7888AE">
      <w:start w:val="1"/>
      <w:numFmt w:val="bullet"/>
      <w:lvlText w:val="o"/>
      <w:lvlJc w:val="left"/>
      <w:pPr>
        <w:ind w:left="5760" w:hanging="360"/>
      </w:pPr>
      <w:rPr>
        <w:rFonts w:ascii="Courier New" w:hAnsi="Courier New" w:hint="default"/>
      </w:rPr>
    </w:lvl>
    <w:lvl w:ilvl="8" w:tplc="149AA838">
      <w:start w:val="1"/>
      <w:numFmt w:val="bullet"/>
      <w:lvlText w:val=""/>
      <w:lvlJc w:val="left"/>
      <w:pPr>
        <w:ind w:left="6480" w:hanging="360"/>
      </w:pPr>
      <w:rPr>
        <w:rFonts w:ascii="Wingdings" w:hAnsi="Wingdings" w:hint="default"/>
      </w:rPr>
    </w:lvl>
  </w:abstractNum>
  <w:abstractNum w:abstractNumId="10" w15:restartNumberingAfterBreak="0">
    <w:nsid w:val="3AE073E4"/>
    <w:multiLevelType w:val="hybridMultilevel"/>
    <w:tmpl w:val="8CE22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A454115"/>
    <w:multiLevelType w:val="hybridMultilevel"/>
    <w:tmpl w:val="FFFFFFFF"/>
    <w:lvl w:ilvl="0" w:tplc="51D6DF68">
      <w:start w:val="1"/>
      <w:numFmt w:val="bullet"/>
      <w:lvlText w:val="·"/>
      <w:lvlJc w:val="left"/>
      <w:pPr>
        <w:ind w:left="720" w:hanging="360"/>
      </w:pPr>
      <w:rPr>
        <w:rFonts w:ascii="Symbol" w:hAnsi="Symbol" w:hint="default"/>
      </w:rPr>
    </w:lvl>
    <w:lvl w:ilvl="1" w:tplc="2442654C">
      <w:start w:val="1"/>
      <w:numFmt w:val="bullet"/>
      <w:lvlText w:val="o"/>
      <w:lvlJc w:val="left"/>
      <w:pPr>
        <w:ind w:left="1440" w:hanging="360"/>
      </w:pPr>
      <w:rPr>
        <w:rFonts w:ascii="Courier New" w:hAnsi="Courier New" w:hint="default"/>
      </w:rPr>
    </w:lvl>
    <w:lvl w:ilvl="2" w:tplc="7658A784">
      <w:start w:val="1"/>
      <w:numFmt w:val="bullet"/>
      <w:lvlText w:val=""/>
      <w:lvlJc w:val="left"/>
      <w:pPr>
        <w:ind w:left="2160" w:hanging="360"/>
      </w:pPr>
      <w:rPr>
        <w:rFonts w:ascii="Wingdings" w:hAnsi="Wingdings" w:hint="default"/>
      </w:rPr>
    </w:lvl>
    <w:lvl w:ilvl="3" w:tplc="0E149018">
      <w:start w:val="1"/>
      <w:numFmt w:val="bullet"/>
      <w:lvlText w:val=""/>
      <w:lvlJc w:val="left"/>
      <w:pPr>
        <w:ind w:left="2880" w:hanging="360"/>
      </w:pPr>
      <w:rPr>
        <w:rFonts w:ascii="Symbol" w:hAnsi="Symbol" w:hint="default"/>
      </w:rPr>
    </w:lvl>
    <w:lvl w:ilvl="4" w:tplc="4C92D9B6">
      <w:start w:val="1"/>
      <w:numFmt w:val="bullet"/>
      <w:lvlText w:val="o"/>
      <w:lvlJc w:val="left"/>
      <w:pPr>
        <w:ind w:left="3600" w:hanging="360"/>
      </w:pPr>
      <w:rPr>
        <w:rFonts w:ascii="Courier New" w:hAnsi="Courier New" w:hint="default"/>
      </w:rPr>
    </w:lvl>
    <w:lvl w:ilvl="5" w:tplc="BFCECF1A">
      <w:start w:val="1"/>
      <w:numFmt w:val="bullet"/>
      <w:lvlText w:val=""/>
      <w:lvlJc w:val="left"/>
      <w:pPr>
        <w:ind w:left="4320" w:hanging="360"/>
      </w:pPr>
      <w:rPr>
        <w:rFonts w:ascii="Wingdings" w:hAnsi="Wingdings" w:hint="default"/>
      </w:rPr>
    </w:lvl>
    <w:lvl w:ilvl="6" w:tplc="A01E1610">
      <w:start w:val="1"/>
      <w:numFmt w:val="bullet"/>
      <w:lvlText w:val=""/>
      <w:lvlJc w:val="left"/>
      <w:pPr>
        <w:ind w:left="5040" w:hanging="360"/>
      </w:pPr>
      <w:rPr>
        <w:rFonts w:ascii="Symbol" w:hAnsi="Symbol" w:hint="default"/>
      </w:rPr>
    </w:lvl>
    <w:lvl w:ilvl="7" w:tplc="CC52F354">
      <w:start w:val="1"/>
      <w:numFmt w:val="bullet"/>
      <w:lvlText w:val="o"/>
      <w:lvlJc w:val="left"/>
      <w:pPr>
        <w:ind w:left="5760" w:hanging="360"/>
      </w:pPr>
      <w:rPr>
        <w:rFonts w:ascii="Courier New" w:hAnsi="Courier New" w:hint="default"/>
      </w:rPr>
    </w:lvl>
    <w:lvl w:ilvl="8" w:tplc="A54CFD7A">
      <w:start w:val="1"/>
      <w:numFmt w:val="bullet"/>
      <w:lvlText w:val=""/>
      <w:lvlJc w:val="left"/>
      <w:pPr>
        <w:ind w:left="6480" w:hanging="360"/>
      </w:pPr>
      <w:rPr>
        <w:rFonts w:ascii="Wingdings" w:hAnsi="Wingdings" w:hint="default"/>
      </w:rPr>
    </w:lvl>
  </w:abstractNum>
  <w:abstractNum w:abstractNumId="12" w15:restartNumberingAfterBreak="0">
    <w:nsid w:val="5E90B01A"/>
    <w:multiLevelType w:val="hybridMultilevel"/>
    <w:tmpl w:val="FFFFFFFF"/>
    <w:lvl w:ilvl="0" w:tplc="FFFFFFFF">
      <w:start w:val="1"/>
      <w:numFmt w:val="bullet"/>
      <w:lvlText w:val="·"/>
      <w:lvlJc w:val="left"/>
      <w:pPr>
        <w:ind w:left="720" w:hanging="360"/>
      </w:pPr>
      <w:rPr>
        <w:rFonts w:ascii="Symbol" w:hAnsi="Symbol" w:hint="default"/>
      </w:rPr>
    </w:lvl>
    <w:lvl w:ilvl="1" w:tplc="24D2D66A">
      <w:start w:val="1"/>
      <w:numFmt w:val="bullet"/>
      <w:lvlText w:val="o"/>
      <w:lvlJc w:val="left"/>
      <w:pPr>
        <w:ind w:left="1440" w:hanging="360"/>
      </w:pPr>
      <w:rPr>
        <w:rFonts w:ascii="Courier New" w:hAnsi="Courier New" w:cs="Times New Roman" w:hint="default"/>
      </w:rPr>
    </w:lvl>
    <w:lvl w:ilvl="2" w:tplc="5EBCDAD6">
      <w:start w:val="1"/>
      <w:numFmt w:val="bullet"/>
      <w:lvlText w:val=""/>
      <w:lvlJc w:val="left"/>
      <w:pPr>
        <w:ind w:left="2160" w:hanging="360"/>
      </w:pPr>
      <w:rPr>
        <w:rFonts w:ascii="Wingdings" w:hAnsi="Wingdings" w:hint="default"/>
      </w:rPr>
    </w:lvl>
    <w:lvl w:ilvl="3" w:tplc="BE30D6DA">
      <w:start w:val="1"/>
      <w:numFmt w:val="bullet"/>
      <w:lvlText w:val=""/>
      <w:lvlJc w:val="left"/>
      <w:pPr>
        <w:ind w:left="2880" w:hanging="360"/>
      </w:pPr>
      <w:rPr>
        <w:rFonts w:ascii="Symbol" w:hAnsi="Symbol" w:hint="default"/>
      </w:rPr>
    </w:lvl>
    <w:lvl w:ilvl="4" w:tplc="E172652E">
      <w:start w:val="1"/>
      <w:numFmt w:val="bullet"/>
      <w:lvlText w:val="o"/>
      <w:lvlJc w:val="left"/>
      <w:pPr>
        <w:ind w:left="3600" w:hanging="360"/>
      </w:pPr>
      <w:rPr>
        <w:rFonts w:ascii="Courier New" w:hAnsi="Courier New" w:cs="Times New Roman" w:hint="default"/>
      </w:rPr>
    </w:lvl>
    <w:lvl w:ilvl="5" w:tplc="FDCAD45C">
      <w:start w:val="1"/>
      <w:numFmt w:val="bullet"/>
      <w:lvlText w:val=""/>
      <w:lvlJc w:val="left"/>
      <w:pPr>
        <w:ind w:left="4320" w:hanging="360"/>
      </w:pPr>
      <w:rPr>
        <w:rFonts w:ascii="Wingdings" w:hAnsi="Wingdings" w:hint="default"/>
      </w:rPr>
    </w:lvl>
    <w:lvl w:ilvl="6" w:tplc="6F3CD866">
      <w:start w:val="1"/>
      <w:numFmt w:val="bullet"/>
      <w:lvlText w:val=""/>
      <w:lvlJc w:val="left"/>
      <w:pPr>
        <w:ind w:left="5040" w:hanging="360"/>
      </w:pPr>
      <w:rPr>
        <w:rFonts w:ascii="Symbol" w:hAnsi="Symbol" w:hint="default"/>
      </w:rPr>
    </w:lvl>
    <w:lvl w:ilvl="7" w:tplc="68D8B0BE">
      <w:start w:val="1"/>
      <w:numFmt w:val="bullet"/>
      <w:lvlText w:val="o"/>
      <w:lvlJc w:val="left"/>
      <w:pPr>
        <w:ind w:left="5760" w:hanging="360"/>
      </w:pPr>
      <w:rPr>
        <w:rFonts w:ascii="Courier New" w:hAnsi="Courier New" w:cs="Times New Roman" w:hint="default"/>
      </w:rPr>
    </w:lvl>
    <w:lvl w:ilvl="8" w:tplc="DB668B76">
      <w:start w:val="1"/>
      <w:numFmt w:val="bullet"/>
      <w:lvlText w:val=""/>
      <w:lvlJc w:val="left"/>
      <w:pPr>
        <w:ind w:left="6480" w:hanging="360"/>
      </w:pPr>
      <w:rPr>
        <w:rFonts w:ascii="Wingdings" w:hAnsi="Wingdings" w:hint="default"/>
      </w:rPr>
    </w:lvl>
  </w:abstractNum>
  <w:abstractNum w:abstractNumId="13" w15:restartNumberingAfterBreak="0">
    <w:nsid w:val="5EEA39A8"/>
    <w:multiLevelType w:val="hybridMultilevel"/>
    <w:tmpl w:val="FFFFFFFF"/>
    <w:lvl w:ilvl="0" w:tplc="077EEC70">
      <w:start w:val="1"/>
      <w:numFmt w:val="bullet"/>
      <w:lvlText w:val=""/>
      <w:lvlJc w:val="left"/>
      <w:pPr>
        <w:ind w:left="720" w:hanging="360"/>
      </w:pPr>
      <w:rPr>
        <w:rFonts w:ascii="Symbol" w:hAnsi="Symbol" w:hint="default"/>
      </w:rPr>
    </w:lvl>
    <w:lvl w:ilvl="1" w:tplc="41F83E66">
      <w:start w:val="1"/>
      <w:numFmt w:val="bullet"/>
      <w:lvlText w:val="o"/>
      <w:lvlJc w:val="left"/>
      <w:pPr>
        <w:ind w:left="1440" w:hanging="360"/>
      </w:pPr>
      <w:rPr>
        <w:rFonts w:ascii="Courier New" w:hAnsi="Courier New" w:hint="default"/>
      </w:rPr>
    </w:lvl>
    <w:lvl w:ilvl="2" w:tplc="5B646904">
      <w:start w:val="1"/>
      <w:numFmt w:val="bullet"/>
      <w:lvlText w:val=""/>
      <w:lvlJc w:val="left"/>
      <w:pPr>
        <w:ind w:left="2160" w:hanging="360"/>
      </w:pPr>
      <w:rPr>
        <w:rFonts w:ascii="Wingdings" w:hAnsi="Wingdings" w:hint="default"/>
      </w:rPr>
    </w:lvl>
    <w:lvl w:ilvl="3" w:tplc="32C6267E">
      <w:start w:val="1"/>
      <w:numFmt w:val="bullet"/>
      <w:lvlText w:val=""/>
      <w:lvlJc w:val="left"/>
      <w:pPr>
        <w:ind w:left="2880" w:hanging="360"/>
      </w:pPr>
      <w:rPr>
        <w:rFonts w:ascii="Symbol" w:hAnsi="Symbol" w:hint="default"/>
      </w:rPr>
    </w:lvl>
    <w:lvl w:ilvl="4" w:tplc="114A8890">
      <w:start w:val="1"/>
      <w:numFmt w:val="bullet"/>
      <w:lvlText w:val="o"/>
      <w:lvlJc w:val="left"/>
      <w:pPr>
        <w:ind w:left="3600" w:hanging="360"/>
      </w:pPr>
      <w:rPr>
        <w:rFonts w:ascii="Courier New" w:hAnsi="Courier New" w:hint="default"/>
      </w:rPr>
    </w:lvl>
    <w:lvl w:ilvl="5" w:tplc="834217A4">
      <w:start w:val="1"/>
      <w:numFmt w:val="bullet"/>
      <w:lvlText w:val=""/>
      <w:lvlJc w:val="left"/>
      <w:pPr>
        <w:ind w:left="4320" w:hanging="360"/>
      </w:pPr>
      <w:rPr>
        <w:rFonts w:ascii="Wingdings" w:hAnsi="Wingdings" w:hint="default"/>
      </w:rPr>
    </w:lvl>
    <w:lvl w:ilvl="6" w:tplc="5142C01C">
      <w:start w:val="1"/>
      <w:numFmt w:val="bullet"/>
      <w:lvlText w:val=""/>
      <w:lvlJc w:val="left"/>
      <w:pPr>
        <w:ind w:left="5040" w:hanging="360"/>
      </w:pPr>
      <w:rPr>
        <w:rFonts w:ascii="Symbol" w:hAnsi="Symbol" w:hint="default"/>
      </w:rPr>
    </w:lvl>
    <w:lvl w:ilvl="7" w:tplc="95A2F52A">
      <w:start w:val="1"/>
      <w:numFmt w:val="bullet"/>
      <w:lvlText w:val="o"/>
      <w:lvlJc w:val="left"/>
      <w:pPr>
        <w:ind w:left="5760" w:hanging="360"/>
      </w:pPr>
      <w:rPr>
        <w:rFonts w:ascii="Courier New" w:hAnsi="Courier New" w:hint="default"/>
      </w:rPr>
    </w:lvl>
    <w:lvl w:ilvl="8" w:tplc="F8C40690">
      <w:start w:val="1"/>
      <w:numFmt w:val="bullet"/>
      <w:lvlText w:val=""/>
      <w:lvlJc w:val="left"/>
      <w:pPr>
        <w:ind w:left="6480" w:hanging="360"/>
      </w:pPr>
      <w:rPr>
        <w:rFonts w:ascii="Wingdings" w:hAnsi="Wingdings" w:hint="default"/>
      </w:rPr>
    </w:lvl>
  </w:abstractNum>
  <w:abstractNum w:abstractNumId="14" w15:restartNumberingAfterBreak="0">
    <w:nsid w:val="5F1A09B0"/>
    <w:multiLevelType w:val="hybridMultilevel"/>
    <w:tmpl w:val="192282B8"/>
    <w:lvl w:ilvl="0" w:tplc="67C0A338">
      <w:start w:val="1"/>
      <w:numFmt w:val="bullet"/>
      <w:lvlText w:val="·"/>
      <w:lvlJc w:val="left"/>
      <w:pPr>
        <w:ind w:left="720" w:hanging="360"/>
      </w:pPr>
      <w:rPr>
        <w:rFonts w:ascii="Symbol" w:hAnsi="Symbol" w:hint="default"/>
      </w:rPr>
    </w:lvl>
    <w:lvl w:ilvl="1" w:tplc="0A023424">
      <w:start w:val="1"/>
      <w:numFmt w:val="bullet"/>
      <w:lvlText w:val="o"/>
      <w:lvlJc w:val="left"/>
      <w:pPr>
        <w:ind w:left="1440" w:hanging="360"/>
      </w:pPr>
      <w:rPr>
        <w:rFonts w:ascii="Courier New" w:hAnsi="Courier New" w:hint="default"/>
      </w:rPr>
    </w:lvl>
    <w:lvl w:ilvl="2" w:tplc="BD7CF19A">
      <w:start w:val="1"/>
      <w:numFmt w:val="bullet"/>
      <w:lvlText w:val=""/>
      <w:lvlJc w:val="left"/>
      <w:pPr>
        <w:ind w:left="2160" w:hanging="360"/>
      </w:pPr>
      <w:rPr>
        <w:rFonts w:ascii="Wingdings" w:hAnsi="Wingdings" w:hint="default"/>
      </w:rPr>
    </w:lvl>
    <w:lvl w:ilvl="3" w:tplc="486E32A0">
      <w:start w:val="1"/>
      <w:numFmt w:val="bullet"/>
      <w:lvlText w:val=""/>
      <w:lvlJc w:val="left"/>
      <w:pPr>
        <w:ind w:left="2880" w:hanging="360"/>
      </w:pPr>
      <w:rPr>
        <w:rFonts w:ascii="Symbol" w:hAnsi="Symbol" w:hint="default"/>
      </w:rPr>
    </w:lvl>
    <w:lvl w:ilvl="4" w:tplc="80A6C5A0">
      <w:start w:val="1"/>
      <w:numFmt w:val="bullet"/>
      <w:lvlText w:val="o"/>
      <w:lvlJc w:val="left"/>
      <w:pPr>
        <w:ind w:left="3600" w:hanging="360"/>
      </w:pPr>
      <w:rPr>
        <w:rFonts w:ascii="Courier New" w:hAnsi="Courier New" w:hint="default"/>
      </w:rPr>
    </w:lvl>
    <w:lvl w:ilvl="5" w:tplc="32D0BCE8">
      <w:start w:val="1"/>
      <w:numFmt w:val="bullet"/>
      <w:lvlText w:val=""/>
      <w:lvlJc w:val="left"/>
      <w:pPr>
        <w:ind w:left="4320" w:hanging="360"/>
      </w:pPr>
      <w:rPr>
        <w:rFonts w:ascii="Wingdings" w:hAnsi="Wingdings" w:hint="default"/>
      </w:rPr>
    </w:lvl>
    <w:lvl w:ilvl="6" w:tplc="B0902F76">
      <w:start w:val="1"/>
      <w:numFmt w:val="bullet"/>
      <w:lvlText w:val=""/>
      <w:lvlJc w:val="left"/>
      <w:pPr>
        <w:ind w:left="5040" w:hanging="360"/>
      </w:pPr>
      <w:rPr>
        <w:rFonts w:ascii="Symbol" w:hAnsi="Symbol" w:hint="default"/>
      </w:rPr>
    </w:lvl>
    <w:lvl w:ilvl="7" w:tplc="395E16B8">
      <w:start w:val="1"/>
      <w:numFmt w:val="bullet"/>
      <w:lvlText w:val="o"/>
      <w:lvlJc w:val="left"/>
      <w:pPr>
        <w:ind w:left="5760" w:hanging="360"/>
      </w:pPr>
      <w:rPr>
        <w:rFonts w:ascii="Courier New" w:hAnsi="Courier New" w:hint="default"/>
      </w:rPr>
    </w:lvl>
    <w:lvl w:ilvl="8" w:tplc="E9504F6C">
      <w:start w:val="1"/>
      <w:numFmt w:val="bullet"/>
      <w:lvlText w:val=""/>
      <w:lvlJc w:val="left"/>
      <w:pPr>
        <w:ind w:left="6480" w:hanging="360"/>
      </w:pPr>
      <w:rPr>
        <w:rFonts w:ascii="Wingdings" w:hAnsi="Wingdings" w:hint="default"/>
      </w:rPr>
    </w:lvl>
  </w:abstractNum>
  <w:abstractNum w:abstractNumId="15" w15:restartNumberingAfterBreak="0">
    <w:nsid w:val="648C119F"/>
    <w:multiLevelType w:val="multilevel"/>
    <w:tmpl w:val="4C0C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3B05E8"/>
    <w:multiLevelType w:val="multilevel"/>
    <w:tmpl w:val="90DA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43F17F"/>
    <w:multiLevelType w:val="hybridMultilevel"/>
    <w:tmpl w:val="FFFFFFFF"/>
    <w:lvl w:ilvl="0" w:tplc="88C44916">
      <w:start w:val="1"/>
      <w:numFmt w:val="bullet"/>
      <w:lvlText w:val="·"/>
      <w:lvlJc w:val="left"/>
      <w:pPr>
        <w:ind w:left="720" w:hanging="360"/>
      </w:pPr>
      <w:rPr>
        <w:rFonts w:ascii="Symbol" w:hAnsi="Symbol" w:hint="default"/>
      </w:rPr>
    </w:lvl>
    <w:lvl w:ilvl="1" w:tplc="21925652">
      <w:start w:val="1"/>
      <w:numFmt w:val="bullet"/>
      <w:lvlText w:val="o"/>
      <w:lvlJc w:val="left"/>
      <w:pPr>
        <w:ind w:left="1440" w:hanging="360"/>
      </w:pPr>
      <w:rPr>
        <w:rFonts w:ascii="Courier New" w:hAnsi="Courier New" w:hint="default"/>
      </w:rPr>
    </w:lvl>
    <w:lvl w:ilvl="2" w:tplc="D8D01AF0">
      <w:start w:val="1"/>
      <w:numFmt w:val="bullet"/>
      <w:lvlText w:val=""/>
      <w:lvlJc w:val="left"/>
      <w:pPr>
        <w:ind w:left="2160" w:hanging="360"/>
      </w:pPr>
      <w:rPr>
        <w:rFonts w:ascii="Wingdings" w:hAnsi="Wingdings" w:hint="default"/>
      </w:rPr>
    </w:lvl>
    <w:lvl w:ilvl="3" w:tplc="D806EC30">
      <w:start w:val="1"/>
      <w:numFmt w:val="bullet"/>
      <w:lvlText w:val=""/>
      <w:lvlJc w:val="left"/>
      <w:pPr>
        <w:ind w:left="2880" w:hanging="360"/>
      </w:pPr>
      <w:rPr>
        <w:rFonts w:ascii="Symbol" w:hAnsi="Symbol" w:hint="default"/>
      </w:rPr>
    </w:lvl>
    <w:lvl w:ilvl="4" w:tplc="9356BF90">
      <w:start w:val="1"/>
      <w:numFmt w:val="bullet"/>
      <w:lvlText w:val="o"/>
      <w:lvlJc w:val="left"/>
      <w:pPr>
        <w:ind w:left="3600" w:hanging="360"/>
      </w:pPr>
      <w:rPr>
        <w:rFonts w:ascii="Courier New" w:hAnsi="Courier New" w:hint="default"/>
      </w:rPr>
    </w:lvl>
    <w:lvl w:ilvl="5" w:tplc="AFACD6D0">
      <w:start w:val="1"/>
      <w:numFmt w:val="bullet"/>
      <w:lvlText w:val=""/>
      <w:lvlJc w:val="left"/>
      <w:pPr>
        <w:ind w:left="4320" w:hanging="360"/>
      </w:pPr>
      <w:rPr>
        <w:rFonts w:ascii="Wingdings" w:hAnsi="Wingdings" w:hint="default"/>
      </w:rPr>
    </w:lvl>
    <w:lvl w:ilvl="6" w:tplc="754077A4">
      <w:start w:val="1"/>
      <w:numFmt w:val="bullet"/>
      <w:lvlText w:val=""/>
      <w:lvlJc w:val="left"/>
      <w:pPr>
        <w:ind w:left="5040" w:hanging="360"/>
      </w:pPr>
      <w:rPr>
        <w:rFonts w:ascii="Symbol" w:hAnsi="Symbol" w:hint="default"/>
      </w:rPr>
    </w:lvl>
    <w:lvl w:ilvl="7" w:tplc="408A67D2">
      <w:start w:val="1"/>
      <w:numFmt w:val="bullet"/>
      <w:lvlText w:val="o"/>
      <w:lvlJc w:val="left"/>
      <w:pPr>
        <w:ind w:left="5760" w:hanging="360"/>
      </w:pPr>
      <w:rPr>
        <w:rFonts w:ascii="Courier New" w:hAnsi="Courier New" w:hint="default"/>
      </w:rPr>
    </w:lvl>
    <w:lvl w:ilvl="8" w:tplc="4A96EC64">
      <w:start w:val="1"/>
      <w:numFmt w:val="bullet"/>
      <w:lvlText w:val=""/>
      <w:lvlJc w:val="left"/>
      <w:pPr>
        <w:ind w:left="6480" w:hanging="360"/>
      </w:pPr>
      <w:rPr>
        <w:rFonts w:ascii="Wingdings" w:hAnsi="Wingdings" w:hint="default"/>
      </w:rPr>
    </w:lvl>
  </w:abstractNum>
  <w:num w:numId="1" w16cid:durableId="1089355056">
    <w:abstractNumId w:val="3"/>
  </w:num>
  <w:num w:numId="2" w16cid:durableId="510796144">
    <w:abstractNumId w:val="13"/>
  </w:num>
  <w:num w:numId="3" w16cid:durableId="83694119">
    <w:abstractNumId w:val="17"/>
  </w:num>
  <w:num w:numId="4" w16cid:durableId="1408334223">
    <w:abstractNumId w:val="11"/>
  </w:num>
  <w:num w:numId="5" w16cid:durableId="2117554794">
    <w:abstractNumId w:val="2"/>
  </w:num>
  <w:num w:numId="6" w16cid:durableId="2058047177">
    <w:abstractNumId w:val="10"/>
  </w:num>
  <w:num w:numId="7" w16cid:durableId="1209144567">
    <w:abstractNumId w:val="14"/>
  </w:num>
  <w:num w:numId="8" w16cid:durableId="1959679680">
    <w:abstractNumId w:val="4"/>
  </w:num>
  <w:num w:numId="9" w16cid:durableId="1361122142">
    <w:abstractNumId w:val="7"/>
  </w:num>
  <w:num w:numId="10" w16cid:durableId="566651020">
    <w:abstractNumId w:val="0"/>
  </w:num>
  <w:num w:numId="11" w16cid:durableId="588462019">
    <w:abstractNumId w:val="1"/>
  </w:num>
  <w:num w:numId="12" w16cid:durableId="1686134730">
    <w:abstractNumId w:val="9"/>
  </w:num>
  <w:num w:numId="13" w16cid:durableId="1382484903">
    <w:abstractNumId w:val="12"/>
  </w:num>
  <w:num w:numId="14" w16cid:durableId="205991786">
    <w:abstractNumId w:val="5"/>
  </w:num>
  <w:num w:numId="15" w16cid:durableId="1665935398">
    <w:abstractNumId w:val="8"/>
  </w:num>
  <w:num w:numId="16" w16cid:durableId="456070789">
    <w:abstractNumId w:val="16"/>
  </w:num>
  <w:num w:numId="17" w16cid:durableId="953097950">
    <w:abstractNumId w:val="6"/>
  </w:num>
  <w:num w:numId="18" w16cid:durableId="17454438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2613"/>
    <w:rsid w:val="00007BAA"/>
    <w:rsid w:val="00012322"/>
    <w:rsid w:val="00012557"/>
    <w:rsid w:val="0001395F"/>
    <w:rsid w:val="000143DF"/>
    <w:rsid w:val="0002451A"/>
    <w:rsid w:val="00026435"/>
    <w:rsid w:val="00031BFE"/>
    <w:rsid w:val="00033D5A"/>
    <w:rsid w:val="00042AE7"/>
    <w:rsid w:val="00045E3C"/>
    <w:rsid w:val="00054E90"/>
    <w:rsid w:val="000556B5"/>
    <w:rsid w:val="00055F26"/>
    <w:rsid w:val="000609DA"/>
    <w:rsid w:val="000618DF"/>
    <w:rsid w:val="000630C0"/>
    <w:rsid w:val="000670EF"/>
    <w:rsid w:val="00067448"/>
    <w:rsid w:val="00082090"/>
    <w:rsid w:val="00082FE1"/>
    <w:rsid w:val="0009D414"/>
    <w:rsid w:val="000A2543"/>
    <w:rsid w:val="000A2ABC"/>
    <w:rsid w:val="000A57EE"/>
    <w:rsid w:val="000A6C87"/>
    <w:rsid w:val="000B2857"/>
    <w:rsid w:val="000B3885"/>
    <w:rsid w:val="000C190A"/>
    <w:rsid w:val="000D649A"/>
    <w:rsid w:val="000D6B87"/>
    <w:rsid w:val="000E6784"/>
    <w:rsid w:val="00107A8C"/>
    <w:rsid w:val="001138D4"/>
    <w:rsid w:val="00113DDE"/>
    <w:rsid w:val="00130A01"/>
    <w:rsid w:val="0013111D"/>
    <w:rsid w:val="0014194B"/>
    <w:rsid w:val="001431F9"/>
    <w:rsid w:val="0014E11F"/>
    <w:rsid w:val="00150CB9"/>
    <w:rsid w:val="001511A2"/>
    <w:rsid w:val="001534A3"/>
    <w:rsid w:val="00156A47"/>
    <w:rsid w:val="00180037"/>
    <w:rsid w:val="00192DC1"/>
    <w:rsid w:val="001939C8"/>
    <w:rsid w:val="0019573A"/>
    <w:rsid w:val="0019608A"/>
    <w:rsid w:val="0019679C"/>
    <w:rsid w:val="001A01D6"/>
    <w:rsid w:val="001A14E5"/>
    <w:rsid w:val="001A6D00"/>
    <w:rsid w:val="001B3062"/>
    <w:rsid w:val="001B5043"/>
    <w:rsid w:val="001B678D"/>
    <w:rsid w:val="001C0EE3"/>
    <w:rsid w:val="001C0F94"/>
    <w:rsid w:val="001C3F09"/>
    <w:rsid w:val="001C601E"/>
    <w:rsid w:val="001C70CD"/>
    <w:rsid w:val="001D06AC"/>
    <w:rsid w:val="001D0DF2"/>
    <w:rsid w:val="001E4B2C"/>
    <w:rsid w:val="001E4B80"/>
    <w:rsid w:val="001E5A07"/>
    <w:rsid w:val="001F2DDC"/>
    <w:rsid w:val="00206A6C"/>
    <w:rsid w:val="002202D0"/>
    <w:rsid w:val="0022389F"/>
    <w:rsid w:val="00224AE2"/>
    <w:rsid w:val="00231742"/>
    <w:rsid w:val="0023218E"/>
    <w:rsid w:val="0023336C"/>
    <w:rsid w:val="00261AD0"/>
    <w:rsid w:val="00263C16"/>
    <w:rsid w:val="0028699D"/>
    <w:rsid w:val="0028704B"/>
    <w:rsid w:val="002A1A84"/>
    <w:rsid w:val="002A527F"/>
    <w:rsid w:val="002A62DC"/>
    <w:rsid w:val="002B0837"/>
    <w:rsid w:val="002C68CF"/>
    <w:rsid w:val="002D22D9"/>
    <w:rsid w:val="002E1497"/>
    <w:rsid w:val="002F00AB"/>
    <w:rsid w:val="002F7E4F"/>
    <w:rsid w:val="0030783F"/>
    <w:rsid w:val="00311F7D"/>
    <w:rsid w:val="00311FB6"/>
    <w:rsid w:val="0033184A"/>
    <w:rsid w:val="00333283"/>
    <w:rsid w:val="003352EA"/>
    <w:rsid w:val="003379B7"/>
    <w:rsid w:val="00337C7D"/>
    <w:rsid w:val="0035721C"/>
    <w:rsid w:val="00357936"/>
    <w:rsid w:val="00372A40"/>
    <w:rsid w:val="00396324"/>
    <w:rsid w:val="003A4857"/>
    <w:rsid w:val="003B02C5"/>
    <w:rsid w:val="003B1AB9"/>
    <w:rsid w:val="003B1ED9"/>
    <w:rsid w:val="003B23A9"/>
    <w:rsid w:val="003B2FF9"/>
    <w:rsid w:val="003B5523"/>
    <w:rsid w:val="003B71FC"/>
    <w:rsid w:val="003C5AA8"/>
    <w:rsid w:val="003D0324"/>
    <w:rsid w:val="003D34C1"/>
    <w:rsid w:val="003D71E6"/>
    <w:rsid w:val="003E31AB"/>
    <w:rsid w:val="003F63EF"/>
    <w:rsid w:val="00401C40"/>
    <w:rsid w:val="00402682"/>
    <w:rsid w:val="0040412C"/>
    <w:rsid w:val="00404D3E"/>
    <w:rsid w:val="00405B0E"/>
    <w:rsid w:val="00414E3E"/>
    <w:rsid w:val="00416CA4"/>
    <w:rsid w:val="00420852"/>
    <w:rsid w:val="0042399B"/>
    <w:rsid w:val="0043149D"/>
    <w:rsid w:val="0044475E"/>
    <w:rsid w:val="00461778"/>
    <w:rsid w:val="0046223F"/>
    <w:rsid w:val="004672A7"/>
    <w:rsid w:val="0046F04B"/>
    <w:rsid w:val="00470F29"/>
    <w:rsid w:val="00474696"/>
    <w:rsid w:val="0048135F"/>
    <w:rsid w:val="004850DD"/>
    <w:rsid w:val="004851D2"/>
    <w:rsid w:val="00485B68"/>
    <w:rsid w:val="00486320"/>
    <w:rsid w:val="00497648"/>
    <w:rsid w:val="004A0665"/>
    <w:rsid w:val="004A68AE"/>
    <w:rsid w:val="004B3C29"/>
    <w:rsid w:val="004C04BE"/>
    <w:rsid w:val="004C3CF6"/>
    <w:rsid w:val="004C6578"/>
    <w:rsid w:val="004D728F"/>
    <w:rsid w:val="004E0BFB"/>
    <w:rsid w:val="004E2F22"/>
    <w:rsid w:val="004E5C48"/>
    <w:rsid w:val="004F420F"/>
    <w:rsid w:val="00500788"/>
    <w:rsid w:val="0050252D"/>
    <w:rsid w:val="00502F3F"/>
    <w:rsid w:val="00507B5C"/>
    <w:rsid w:val="005111D6"/>
    <w:rsid w:val="00511CFB"/>
    <w:rsid w:val="00520885"/>
    <w:rsid w:val="005305C0"/>
    <w:rsid w:val="005533D4"/>
    <w:rsid w:val="00554BD2"/>
    <w:rsid w:val="0055710A"/>
    <w:rsid w:val="00560007"/>
    <w:rsid w:val="00563D1F"/>
    <w:rsid w:val="00565476"/>
    <w:rsid w:val="00575D82"/>
    <w:rsid w:val="005803E3"/>
    <w:rsid w:val="00590513"/>
    <w:rsid w:val="00591B93"/>
    <w:rsid w:val="00591FD4"/>
    <w:rsid w:val="005927CB"/>
    <w:rsid w:val="005A1EC5"/>
    <w:rsid w:val="005B1456"/>
    <w:rsid w:val="005B2755"/>
    <w:rsid w:val="005B3928"/>
    <w:rsid w:val="005C02B4"/>
    <w:rsid w:val="005C2953"/>
    <w:rsid w:val="005C79BF"/>
    <w:rsid w:val="005D2EFF"/>
    <w:rsid w:val="005F10A9"/>
    <w:rsid w:val="00602DA2"/>
    <w:rsid w:val="00603436"/>
    <w:rsid w:val="00607D77"/>
    <w:rsid w:val="00611F4C"/>
    <w:rsid w:val="006150CC"/>
    <w:rsid w:val="00616A9D"/>
    <w:rsid w:val="006202FE"/>
    <w:rsid w:val="00621E1F"/>
    <w:rsid w:val="00622110"/>
    <w:rsid w:val="00634638"/>
    <w:rsid w:val="006349E9"/>
    <w:rsid w:val="00634E2A"/>
    <w:rsid w:val="006415B4"/>
    <w:rsid w:val="00656C0F"/>
    <w:rsid w:val="0066552F"/>
    <w:rsid w:val="00666858"/>
    <w:rsid w:val="00677281"/>
    <w:rsid w:val="0067767F"/>
    <w:rsid w:val="006910AE"/>
    <w:rsid w:val="006950C2"/>
    <w:rsid w:val="00695F81"/>
    <w:rsid w:val="00696958"/>
    <w:rsid w:val="006A1012"/>
    <w:rsid w:val="006A277C"/>
    <w:rsid w:val="006A40DB"/>
    <w:rsid w:val="006A56EA"/>
    <w:rsid w:val="006A71B6"/>
    <w:rsid w:val="006B30F4"/>
    <w:rsid w:val="006C256C"/>
    <w:rsid w:val="006D3B47"/>
    <w:rsid w:val="006D3DBE"/>
    <w:rsid w:val="006D5F1A"/>
    <w:rsid w:val="006E0540"/>
    <w:rsid w:val="006E4253"/>
    <w:rsid w:val="006F1C08"/>
    <w:rsid w:val="006F3E49"/>
    <w:rsid w:val="0070423B"/>
    <w:rsid w:val="00736C4D"/>
    <w:rsid w:val="007374B5"/>
    <w:rsid w:val="007439B7"/>
    <w:rsid w:val="00743D19"/>
    <w:rsid w:val="00745F2A"/>
    <w:rsid w:val="00750827"/>
    <w:rsid w:val="00750C28"/>
    <w:rsid w:val="0075631B"/>
    <w:rsid w:val="00765F3D"/>
    <w:rsid w:val="00772071"/>
    <w:rsid w:val="00772420"/>
    <w:rsid w:val="00783ED3"/>
    <w:rsid w:val="007876AC"/>
    <w:rsid w:val="0079368B"/>
    <w:rsid w:val="00797A91"/>
    <w:rsid w:val="007A631D"/>
    <w:rsid w:val="007A6741"/>
    <w:rsid w:val="007A713F"/>
    <w:rsid w:val="007A7A2B"/>
    <w:rsid w:val="007C015F"/>
    <w:rsid w:val="007C3954"/>
    <w:rsid w:val="007D658B"/>
    <w:rsid w:val="007D7739"/>
    <w:rsid w:val="007E1355"/>
    <w:rsid w:val="007E367B"/>
    <w:rsid w:val="007F04D7"/>
    <w:rsid w:val="007F1EA3"/>
    <w:rsid w:val="007F4956"/>
    <w:rsid w:val="007F57CD"/>
    <w:rsid w:val="007F7B40"/>
    <w:rsid w:val="007F7FD2"/>
    <w:rsid w:val="008065D2"/>
    <w:rsid w:val="008116C9"/>
    <w:rsid w:val="008153D4"/>
    <w:rsid w:val="00820FA3"/>
    <w:rsid w:val="00824025"/>
    <w:rsid w:val="00826BF1"/>
    <w:rsid w:val="00827F4B"/>
    <w:rsid w:val="008405B7"/>
    <w:rsid w:val="00840C0A"/>
    <w:rsid w:val="00846778"/>
    <w:rsid w:val="00855852"/>
    <w:rsid w:val="008602F6"/>
    <w:rsid w:val="00861043"/>
    <w:rsid w:val="00863E10"/>
    <w:rsid w:val="0086426A"/>
    <w:rsid w:val="008718AF"/>
    <w:rsid w:val="00872C78"/>
    <w:rsid w:val="0087513C"/>
    <w:rsid w:val="00877576"/>
    <w:rsid w:val="00881D00"/>
    <w:rsid w:val="00882638"/>
    <w:rsid w:val="00885366"/>
    <w:rsid w:val="00894578"/>
    <w:rsid w:val="00895844"/>
    <w:rsid w:val="008A0DD0"/>
    <w:rsid w:val="008A28D0"/>
    <w:rsid w:val="008A6ED8"/>
    <w:rsid w:val="008B129D"/>
    <w:rsid w:val="008B1ED3"/>
    <w:rsid w:val="008B3BDB"/>
    <w:rsid w:val="008B5591"/>
    <w:rsid w:val="008C0708"/>
    <w:rsid w:val="008C6974"/>
    <w:rsid w:val="008E58AE"/>
    <w:rsid w:val="008F4BB0"/>
    <w:rsid w:val="008F5DC2"/>
    <w:rsid w:val="009036B9"/>
    <w:rsid w:val="00905469"/>
    <w:rsid w:val="009112A5"/>
    <w:rsid w:val="009179C0"/>
    <w:rsid w:val="00927E95"/>
    <w:rsid w:val="00936A37"/>
    <w:rsid w:val="00943EAC"/>
    <w:rsid w:val="00945F17"/>
    <w:rsid w:val="00947BB0"/>
    <w:rsid w:val="009626DB"/>
    <w:rsid w:val="0096759C"/>
    <w:rsid w:val="009745EC"/>
    <w:rsid w:val="009762AE"/>
    <w:rsid w:val="00985A46"/>
    <w:rsid w:val="009913B5"/>
    <w:rsid w:val="0099616B"/>
    <w:rsid w:val="00996574"/>
    <w:rsid w:val="009A2D3B"/>
    <w:rsid w:val="009A3446"/>
    <w:rsid w:val="009A6AE7"/>
    <w:rsid w:val="009B1056"/>
    <w:rsid w:val="009B418E"/>
    <w:rsid w:val="009B55B0"/>
    <w:rsid w:val="009C0201"/>
    <w:rsid w:val="009C59C9"/>
    <w:rsid w:val="009D2E9F"/>
    <w:rsid w:val="009D3486"/>
    <w:rsid w:val="009D4DB5"/>
    <w:rsid w:val="009F409A"/>
    <w:rsid w:val="009F4526"/>
    <w:rsid w:val="009F541A"/>
    <w:rsid w:val="00A02E11"/>
    <w:rsid w:val="00A047FA"/>
    <w:rsid w:val="00A135F7"/>
    <w:rsid w:val="00A20D1D"/>
    <w:rsid w:val="00A20E26"/>
    <w:rsid w:val="00A20E2D"/>
    <w:rsid w:val="00A2319E"/>
    <w:rsid w:val="00A30FE5"/>
    <w:rsid w:val="00A37D96"/>
    <w:rsid w:val="00A41B21"/>
    <w:rsid w:val="00A45298"/>
    <w:rsid w:val="00A453A9"/>
    <w:rsid w:val="00A53CCB"/>
    <w:rsid w:val="00A5531A"/>
    <w:rsid w:val="00A554E1"/>
    <w:rsid w:val="00A603B4"/>
    <w:rsid w:val="00A63C5B"/>
    <w:rsid w:val="00A84055"/>
    <w:rsid w:val="00A8592D"/>
    <w:rsid w:val="00A86D24"/>
    <w:rsid w:val="00A91903"/>
    <w:rsid w:val="00AC1027"/>
    <w:rsid w:val="00AD3324"/>
    <w:rsid w:val="00AD3C89"/>
    <w:rsid w:val="00AD540B"/>
    <w:rsid w:val="00AF18D0"/>
    <w:rsid w:val="00AF4704"/>
    <w:rsid w:val="00AF4C03"/>
    <w:rsid w:val="00AF58D0"/>
    <w:rsid w:val="00B074FE"/>
    <w:rsid w:val="00B07E33"/>
    <w:rsid w:val="00B22DF9"/>
    <w:rsid w:val="00B24E7D"/>
    <w:rsid w:val="00B3041A"/>
    <w:rsid w:val="00B35EA8"/>
    <w:rsid w:val="00B52780"/>
    <w:rsid w:val="00B557DB"/>
    <w:rsid w:val="00B60C84"/>
    <w:rsid w:val="00B6370F"/>
    <w:rsid w:val="00B844D2"/>
    <w:rsid w:val="00B85062"/>
    <w:rsid w:val="00B91875"/>
    <w:rsid w:val="00B93433"/>
    <w:rsid w:val="00B9400E"/>
    <w:rsid w:val="00B9487E"/>
    <w:rsid w:val="00BA42E9"/>
    <w:rsid w:val="00BD15F5"/>
    <w:rsid w:val="00BD3355"/>
    <w:rsid w:val="00BE378A"/>
    <w:rsid w:val="00BEB00C"/>
    <w:rsid w:val="00BF0858"/>
    <w:rsid w:val="00BF14ED"/>
    <w:rsid w:val="00BF1EF0"/>
    <w:rsid w:val="00BF42C9"/>
    <w:rsid w:val="00C00FD1"/>
    <w:rsid w:val="00C04523"/>
    <w:rsid w:val="00C0580E"/>
    <w:rsid w:val="00C06A88"/>
    <w:rsid w:val="00C116E4"/>
    <w:rsid w:val="00C122E8"/>
    <w:rsid w:val="00C165D4"/>
    <w:rsid w:val="00C170AE"/>
    <w:rsid w:val="00C17AEE"/>
    <w:rsid w:val="00C201B2"/>
    <w:rsid w:val="00C25A9F"/>
    <w:rsid w:val="00C319CD"/>
    <w:rsid w:val="00C41EC5"/>
    <w:rsid w:val="00C42F22"/>
    <w:rsid w:val="00C431D1"/>
    <w:rsid w:val="00C43D25"/>
    <w:rsid w:val="00C45B15"/>
    <w:rsid w:val="00C47A32"/>
    <w:rsid w:val="00C4989C"/>
    <w:rsid w:val="00C608EF"/>
    <w:rsid w:val="00C633EA"/>
    <w:rsid w:val="00C64A6D"/>
    <w:rsid w:val="00C64F24"/>
    <w:rsid w:val="00C65D87"/>
    <w:rsid w:val="00C6759F"/>
    <w:rsid w:val="00C7268E"/>
    <w:rsid w:val="00C74E13"/>
    <w:rsid w:val="00C75B17"/>
    <w:rsid w:val="00C82495"/>
    <w:rsid w:val="00C844E7"/>
    <w:rsid w:val="00C91AF0"/>
    <w:rsid w:val="00C92E9A"/>
    <w:rsid w:val="00C97A55"/>
    <w:rsid w:val="00C97B84"/>
    <w:rsid w:val="00CB053E"/>
    <w:rsid w:val="00CB05DC"/>
    <w:rsid w:val="00CB0F96"/>
    <w:rsid w:val="00CC3A60"/>
    <w:rsid w:val="00CC5189"/>
    <w:rsid w:val="00CC7F89"/>
    <w:rsid w:val="00CD0ED5"/>
    <w:rsid w:val="00CD1FAC"/>
    <w:rsid w:val="00CD685A"/>
    <w:rsid w:val="00CE55CC"/>
    <w:rsid w:val="00CE6D99"/>
    <w:rsid w:val="00D00EA5"/>
    <w:rsid w:val="00D02312"/>
    <w:rsid w:val="00D033EB"/>
    <w:rsid w:val="00D05AE9"/>
    <w:rsid w:val="00D06225"/>
    <w:rsid w:val="00D13323"/>
    <w:rsid w:val="00D16783"/>
    <w:rsid w:val="00D17904"/>
    <w:rsid w:val="00D17B63"/>
    <w:rsid w:val="00D20C3C"/>
    <w:rsid w:val="00D4006D"/>
    <w:rsid w:val="00D5078E"/>
    <w:rsid w:val="00D55D74"/>
    <w:rsid w:val="00D64BC2"/>
    <w:rsid w:val="00D6641C"/>
    <w:rsid w:val="00D70A3C"/>
    <w:rsid w:val="00D84872"/>
    <w:rsid w:val="00D91C62"/>
    <w:rsid w:val="00DA101E"/>
    <w:rsid w:val="00DB0DA1"/>
    <w:rsid w:val="00DC504B"/>
    <w:rsid w:val="00DD0775"/>
    <w:rsid w:val="00DD11CB"/>
    <w:rsid w:val="00DD37B3"/>
    <w:rsid w:val="00DE0A43"/>
    <w:rsid w:val="00DE2B4F"/>
    <w:rsid w:val="00DE424B"/>
    <w:rsid w:val="00DF5C6A"/>
    <w:rsid w:val="00E020C8"/>
    <w:rsid w:val="00E237BA"/>
    <w:rsid w:val="00E259BF"/>
    <w:rsid w:val="00E34630"/>
    <w:rsid w:val="00E43D2E"/>
    <w:rsid w:val="00E47CB8"/>
    <w:rsid w:val="00E70894"/>
    <w:rsid w:val="00E843A0"/>
    <w:rsid w:val="00E904F1"/>
    <w:rsid w:val="00E946C2"/>
    <w:rsid w:val="00E94BCF"/>
    <w:rsid w:val="00EA4AF5"/>
    <w:rsid w:val="00EB2712"/>
    <w:rsid w:val="00EB74B9"/>
    <w:rsid w:val="00EC7199"/>
    <w:rsid w:val="00ED54E2"/>
    <w:rsid w:val="00EE0F76"/>
    <w:rsid w:val="00EE16B4"/>
    <w:rsid w:val="00EE3C30"/>
    <w:rsid w:val="00EF1D56"/>
    <w:rsid w:val="00EF3B94"/>
    <w:rsid w:val="00EF490C"/>
    <w:rsid w:val="00F02934"/>
    <w:rsid w:val="00F063A1"/>
    <w:rsid w:val="00F14874"/>
    <w:rsid w:val="00F21F6B"/>
    <w:rsid w:val="00F23119"/>
    <w:rsid w:val="00F243D5"/>
    <w:rsid w:val="00F305B6"/>
    <w:rsid w:val="00F322E7"/>
    <w:rsid w:val="00F34A5F"/>
    <w:rsid w:val="00F36C98"/>
    <w:rsid w:val="00F42613"/>
    <w:rsid w:val="00F50F69"/>
    <w:rsid w:val="00F51ECA"/>
    <w:rsid w:val="00F51F77"/>
    <w:rsid w:val="00F668FC"/>
    <w:rsid w:val="00F82B2D"/>
    <w:rsid w:val="00F87D68"/>
    <w:rsid w:val="00F92D52"/>
    <w:rsid w:val="00FA1692"/>
    <w:rsid w:val="00FA2C12"/>
    <w:rsid w:val="00FA38BF"/>
    <w:rsid w:val="00FA3B9B"/>
    <w:rsid w:val="00FA3E11"/>
    <w:rsid w:val="00FB2F6F"/>
    <w:rsid w:val="00FC1807"/>
    <w:rsid w:val="00FC182F"/>
    <w:rsid w:val="00FC5047"/>
    <w:rsid w:val="00FD3A46"/>
    <w:rsid w:val="00FE05C9"/>
    <w:rsid w:val="00FE248A"/>
    <w:rsid w:val="00FE7A38"/>
    <w:rsid w:val="00FE7BCF"/>
    <w:rsid w:val="00FF1CCF"/>
    <w:rsid w:val="00FF3E82"/>
    <w:rsid w:val="0188325D"/>
    <w:rsid w:val="018F1CB3"/>
    <w:rsid w:val="01A30B43"/>
    <w:rsid w:val="01C74A1F"/>
    <w:rsid w:val="01E434C3"/>
    <w:rsid w:val="024A10A9"/>
    <w:rsid w:val="025F10DA"/>
    <w:rsid w:val="028BD3BC"/>
    <w:rsid w:val="02A10FA1"/>
    <w:rsid w:val="02AD65E2"/>
    <w:rsid w:val="02BBBEEB"/>
    <w:rsid w:val="030EBB47"/>
    <w:rsid w:val="0351BC16"/>
    <w:rsid w:val="0366A750"/>
    <w:rsid w:val="03861D0E"/>
    <w:rsid w:val="0398741D"/>
    <w:rsid w:val="03A4D236"/>
    <w:rsid w:val="03D15C53"/>
    <w:rsid w:val="046D5F1F"/>
    <w:rsid w:val="04918C9A"/>
    <w:rsid w:val="051A616E"/>
    <w:rsid w:val="06D0CE87"/>
    <w:rsid w:val="06D5B5BE"/>
    <w:rsid w:val="06E57048"/>
    <w:rsid w:val="0772B0F2"/>
    <w:rsid w:val="07841283"/>
    <w:rsid w:val="07BC6921"/>
    <w:rsid w:val="07F05094"/>
    <w:rsid w:val="082E0F41"/>
    <w:rsid w:val="08388FF6"/>
    <w:rsid w:val="0840F596"/>
    <w:rsid w:val="085375C7"/>
    <w:rsid w:val="08640271"/>
    <w:rsid w:val="08701BAE"/>
    <w:rsid w:val="08B36C0D"/>
    <w:rsid w:val="08DFCFD3"/>
    <w:rsid w:val="090279C2"/>
    <w:rsid w:val="0919A5A8"/>
    <w:rsid w:val="0974A420"/>
    <w:rsid w:val="09EDD291"/>
    <w:rsid w:val="09FE1680"/>
    <w:rsid w:val="0A07F8E5"/>
    <w:rsid w:val="0A5C9CE5"/>
    <w:rsid w:val="0ABF3998"/>
    <w:rsid w:val="0B0FEA52"/>
    <w:rsid w:val="0BBA7FE1"/>
    <w:rsid w:val="0BD12DB4"/>
    <w:rsid w:val="0C0F056F"/>
    <w:rsid w:val="0C300EEE"/>
    <w:rsid w:val="0C557220"/>
    <w:rsid w:val="0C958F3F"/>
    <w:rsid w:val="0CB79552"/>
    <w:rsid w:val="0D0B00B7"/>
    <w:rsid w:val="0D257353"/>
    <w:rsid w:val="0D28E828"/>
    <w:rsid w:val="0D2A3F9C"/>
    <w:rsid w:val="0D3B941E"/>
    <w:rsid w:val="0DC5924D"/>
    <w:rsid w:val="0DF5A270"/>
    <w:rsid w:val="0E30AB18"/>
    <w:rsid w:val="0ECBE44E"/>
    <w:rsid w:val="0EFE29FC"/>
    <w:rsid w:val="0F0D1529"/>
    <w:rsid w:val="0F4401D0"/>
    <w:rsid w:val="0F93ADAD"/>
    <w:rsid w:val="0FAE52A9"/>
    <w:rsid w:val="0FB6766C"/>
    <w:rsid w:val="101D32D8"/>
    <w:rsid w:val="1042A5AF"/>
    <w:rsid w:val="11413FA4"/>
    <w:rsid w:val="116796DC"/>
    <w:rsid w:val="1178968D"/>
    <w:rsid w:val="11853B19"/>
    <w:rsid w:val="11A3E45D"/>
    <w:rsid w:val="11B0DAEF"/>
    <w:rsid w:val="11ED008B"/>
    <w:rsid w:val="12472DCE"/>
    <w:rsid w:val="126FEC97"/>
    <w:rsid w:val="12ABB419"/>
    <w:rsid w:val="12C29D7A"/>
    <w:rsid w:val="1374BB8F"/>
    <w:rsid w:val="141DE2EF"/>
    <w:rsid w:val="14B4833D"/>
    <w:rsid w:val="14B5AB3F"/>
    <w:rsid w:val="14CF37BF"/>
    <w:rsid w:val="14F7F810"/>
    <w:rsid w:val="15609CAC"/>
    <w:rsid w:val="156CA90E"/>
    <w:rsid w:val="160F4BD5"/>
    <w:rsid w:val="16620452"/>
    <w:rsid w:val="168783FF"/>
    <w:rsid w:val="1690973B"/>
    <w:rsid w:val="16B32D3C"/>
    <w:rsid w:val="170246A1"/>
    <w:rsid w:val="1708EC0A"/>
    <w:rsid w:val="1745C472"/>
    <w:rsid w:val="179F3178"/>
    <w:rsid w:val="17A4C568"/>
    <w:rsid w:val="17F1EA98"/>
    <w:rsid w:val="186BA56C"/>
    <w:rsid w:val="18CE9E51"/>
    <w:rsid w:val="198E2D73"/>
    <w:rsid w:val="19F51991"/>
    <w:rsid w:val="1A0030BB"/>
    <w:rsid w:val="1A0FBAE6"/>
    <w:rsid w:val="1A210D4B"/>
    <w:rsid w:val="1A744031"/>
    <w:rsid w:val="1AD93517"/>
    <w:rsid w:val="1AE61CF2"/>
    <w:rsid w:val="1B075652"/>
    <w:rsid w:val="1B45F084"/>
    <w:rsid w:val="1BE38CD2"/>
    <w:rsid w:val="1C4C94B2"/>
    <w:rsid w:val="1C59B391"/>
    <w:rsid w:val="1CD60349"/>
    <w:rsid w:val="1D3CD0A5"/>
    <w:rsid w:val="1DFE3A45"/>
    <w:rsid w:val="1E012BDE"/>
    <w:rsid w:val="1E13859D"/>
    <w:rsid w:val="1E2934CA"/>
    <w:rsid w:val="1E5F2D4C"/>
    <w:rsid w:val="1F659339"/>
    <w:rsid w:val="1F7C0787"/>
    <w:rsid w:val="1FBE9CA0"/>
    <w:rsid w:val="2016DBC0"/>
    <w:rsid w:val="203B616A"/>
    <w:rsid w:val="20698909"/>
    <w:rsid w:val="209649B4"/>
    <w:rsid w:val="20B1976C"/>
    <w:rsid w:val="20E97F8A"/>
    <w:rsid w:val="214DD275"/>
    <w:rsid w:val="217727D8"/>
    <w:rsid w:val="218505B8"/>
    <w:rsid w:val="218FC153"/>
    <w:rsid w:val="21942E47"/>
    <w:rsid w:val="21B2A2DB"/>
    <w:rsid w:val="21B2AC21"/>
    <w:rsid w:val="2248B0AB"/>
    <w:rsid w:val="224C0EEA"/>
    <w:rsid w:val="2282FDB1"/>
    <w:rsid w:val="229E99B9"/>
    <w:rsid w:val="22AB1C5D"/>
    <w:rsid w:val="22E5039C"/>
    <w:rsid w:val="22F79E10"/>
    <w:rsid w:val="234E7C82"/>
    <w:rsid w:val="235B098C"/>
    <w:rsid w:val="236DB8B2"/>
    <w:rsid w:val="238C94F5"/>
    <w:rsid w:val="243A2A3B"/>
    <w:rsid w:val="24721024"/>
    <w:rsid w:val="24C1CF42"/>
    <w:rsid w:val="24F5DDE5"/>
    <w:rsid w:val="257537F8"/>
    <w:rsid w:val="25ED4492"/>
    <w:rsid w:val="2619E109"/>
    <w:rsid w:val="2630BD1F"/>
    <w:rsid w:val="2647FB8F"/>
    <w:rsid w:val="2658D244"/>
    <w:rsid w:val="267F660D"/>
    <w:rsid w:val="2692D362"/>
    <w:rsid w:val="26D51E51"/>
    <w:rsid w:val="26F46B74"/>
    <w:rsid w:val="27B27B6E"/>
    <w:rsid w:val="2806CE5C"/>
    <w:rsid w:val="282A024D"/>
    <w:rsid w:val="283FE628"/>
    <w:rsid w:val="288D633A"/>
    <w:rsid w:val="28D308B6"/>
    <w:rsid w:val="2A45F34F"/>
    <w:rsid w:val="2A506A10"/>
    <w:rsid w:val="2AAB98DA"/>
    <w:rsid w:val="2AE379E4"/>
    <w:rsid w:val="2B2A5536"/>
    <w:rsid w:val="2C0AA978"/>
    <w:rsid w:val="2C0E1624"/>
    <w:rsid w:val="2C1AE36A"/>
    <w:rsid w:val="2C2C3231"/>
    <w:rsid w:val="2C38E9D0"/>
    <w:rsid w:val="2C65E6AF"/>
    <w:rsid w:val="2C7F4A45"/>
    <w:rsid w:val="2C8A1715"/>
    <w:rsid w:val="2C8E85B0"/>
    <w:rsid w:val="2CAAE701"/>
    <w:rsid w:val="2CB1234F"/>
    <w:rsid w:val="2CDD9C55"/>
    <w:rsid w:val="2D290835"/>
    <w:rsid w:val="2D550DA3"/>
    <w:rsid w:val="2DC3F771"/>
    <w:rsid w:val="2DD31746"/>
    <w:rsid w:val="2DE783E3"/>
    <w:rsid w:val="2E726B2E"/>
    <w:rsid w:val="2E9417F5"/>
    <w:rsid w:val="2EA40A72"/>
    <w:rsid w:val="2EDD5FEA"/>
    <w:rsid w:val="2F1F304A"/>
    <w:rsid w:val="2F51F5E0"/>
    <w:rsid w:val="2F5CFEB8"/>
    <w:rsid w:val="2FB4751C"/>
    <w:rsid w:val="2FF8D90D"/>
    <w:rsid w:val="300695CD"/>
    <w:rsid w:val="30092007"/>
    <w:rsid w:val="3032570A"/>
    <w:rsid w:val="305D97AF"/>
    <w:rsid w:val="30AA8852"/>
    <w:rsid w:val="30F8CF19"/>
    <w:rsid w:val="3126A240"/>
    <w:rsid w:val="31F6CE53"/>
    <w:rsid w:val="32106AA5"/>
    <w:rsid w:val="328B9580"/>
    <w:rsid w:val="32C747FE"/>
    <w:rsid w:val="330A322A"/>
    <w:rsid w:val="33482619"/>
    <w:rsid w:val="33A54C27"/>
    <w:rsid w:val="352B0709"/>
    <w:rsid w:val="353CBA90"/>
    <w:rsid w:val="363BBCA5"/>
    <w:rsid w:val="36ADA9D0"/>
    <w:rsid w:val="37311254"/>
    <w:rsid w:val="373B31F2"/>
    <w:rsid w:val="37C1FCEC"/>
    <w:rsid w:val="37FCD624"/>
    <w:rsid w:val="381559E8"/>
    <w:rsid w:val="382106A5"/>
    <w:rsid w:val="385D5C8F"/>
    <w:rsid w:val="386AD7A0"/>
    <w:rsid w:val="394BFA2D"/>
    <w:rsid w:val="3976B89D"/>
    <w:rsid w:val="39B3DBF2"/>
    <w:rsid w:val="39C6F14F"/>
    <w:rsid w:val="39EB5198"/>
    <w:rsid w:val="3A20C225"/>
    <w:rsid w:val="3A62C92E"/>
    <w:rsid w:val="3AADBE22"/>
    <w:rsid w:val="3AB646AA"/>
    <w:rsid w:val="3AC76CA8"/>
    <w:rsid w:val="3AEF812D"/>
    <w:rsid w:val="3BA5F430"/>
    <w:rsid w:val="3C1824C3"/>
    <w:rsid w:val="3C6B5869"/>
    <w:rsid w:val="3C8A8D73"/>
    <w:rsid w:val="3CEAF277"/>
    <w:rsid w:val="3D28AFB0"/>
    <w:rsid w:val="3D59CE72"/>
    <w:rsid w:val="3D5E19B0"/>
    <w:rsid w:val="3D7008A5"/>
    <w:rsid w:val="3D947D8E"/>
    <w:rsid w:val="3D9A2ECC"/>
    <w:rsid w:val="3DD9ECC7"/>
    <w:rsid w:val="3DE613E2"/>
    <w:rsid w:val="3E7A42B3"/>
    <w:rsid w:val="3EDEB88C"/>
    <w:rsid w:val="3F54ECE0"/>
    <w:rsid w:val="406856FA"/>
    <w:rsid w:val="40859C1D"/>
    <w:rsid w:val="40A7A967"/>
    <w:rsid w:val="40D18169"/>
    <w:rsid w:val="4107B0E4"/>
    <w:rsid w:val="41521093"/>
    <w:rsid w:val="417CA19E"/>
    <w:rsid w:val="41A0B39E"/>
    <w:rsid w:val="41BA4268"/>
    <w:rsid w:val="41E4BAD6"/>
    <w:rsid w:val="41FFB1C9"/>
    <w:rsid w:val="42016E94"/>
    <w:rsid w:val="4203DFAE"/>
    <w:rsid w:val="424FE0F9"/>
    <w:rsid w:val="42BE3F13"/>
    <w:rsid w:val="43751A41"/>
    <w:rsid w:val="43E15A7F"/>
    <w:rsid w:val="43FF0F82"/>
    <w:rsid w:val="443BEFAC"/>
    <w:rsid w:val="44882801"/>
    <w:rsid w:val="44CD1D38"/>
    <w:rsid w:val="44E6DBC6"/>
    <w:rsid w:val="4510C2B1"/>
    <w:rsid w:val="452870BA"/>
    <w:rsid w:val="458DEDCE"/>
    <w:rsid w:val="459BCEE8"/>
    <w:rsid w:val="45DA9EB9"/>
    <w:rsid w:val="45DC4F52"/>
    <w:rsid w:val="460120EA"/>
    <w:rsid w:val="4678AC60"/>
    <w:rsid w:val="4684BB04"/>
    <w:rsid w:val="46A5A9EF"/>
    <w:rsid w:val="4710F4B5"/>
    <w:rsid w:val="4716EAEB"/>
    <w:rsid w:val="48B69729"/>
    <w:rsid w:val="48D806FE"/>
    <w:rsid w:val="4921F24E"/>
    <w:rsid w:val="4966E425"/>
    <w:rsid w:val="49B6024C"/>
    <w:rsid w:val="49F8EC8C"/>
    <w:rsid w:val="4A01C4BB"/>
    <w:rsid w:val="4A592219"/>
    <w:rsid w:val="4A81BAE3"/>
    <w:rsid w:val="4AF7B3EB"/>
    <w:rsid w:val="4B521AA3"/>
    <w:rsid w:val="4B775915"/>
    <w:rsid w:val="4B8E7F53"/>
    <w:rsid w:val="4BFE7EC1"/>
    <w:rsid w:val="4CB2EE5C"/>
    <w:rsid w:val="4D1ED01B"/>
    <w:rsid w:val="4D8B1BDD"/>
    <w:rsid w:val="4DD293CD"/>
    <w:rsid w:val="4DE5B09E"/>
    <w:rsid w:val="4E3A5548"/>
    <w:rsid w:val="4E5B5B9D"/>
    <w:rsid w:val="4E960121"/>
    <w:rsid w:val="4EC7B134"/>
    <w:rsid w:val="4F21FCD0"/>
    <w:rsid w:val="4F9AB3F4"/>
    <w:rsid w:val="4F9B61D4"/>
    <w:rsid w:val="4F9F7BC3"/>
    <w:rsid w:val="4FEB7CAF"/>
    <w:rsid w:val="4FF81B7B"/>
    <w:rsid w:val="502EDCE9"/>
    <w:rsid w:val="50317BF3"/>
    <w:rsid w:val="503F4BB8"/>
    <w:rsid w:val="50B73643"/>
    <w:rsid w:val="50C71994"/>
    <w:rsid w:val="510AE2E4"/>
    <w:rsid w:val="517A9A2E"/>
    <w:rsid w:val="51C6E2C7"/>
    <w:rsid w:val="51D6454D"/>
    <w:rsid w:val="520C100E"/>
    <w:rsid w:val="52BB46CA"/>
    <w:rsid w:val="538BC5D3"/>
    <w:rsid w:val="53BDC15F"/>
    <w:rsid w:val="545BC775"/>
    <w:rsid w:val="546066AC"/>
    <w:rsid w:val="5477B361"/>
    <w:rsid w:val="54C25AA0"/>
    <w:rsid w:val="555AD737"/>
    <w:rsid w:val="558B1621"/>
    <w:rsid w:val="55AA88B6"/>
    <w:rsid w:val="55E514BE"/>
    <w:rsid w:val="5651321B"/>
    <w:rsid w:val="565B3408"/>
    <w:rsid w:val="570F18FA"/>
    <w:rsid w:val="572B4BEC"/>
    <w:rsid w:val="5776D711"/>
    <w:rsid w:val="582A1E0B"/>
    <w:rsid w:val="584607F4"/>
    <w:rsid w:val="584F236F"/>
    <w:rsid w:val="58672D7A"/>
    <w:rsid w:val="59E8B1E7"/>
    <w:rsid w:val="59EF12E7"/>
    <w:rsid w:val="5B6AE6C9"/>
    <w:rsid w:val="5C3C5352"/>
    <w:rsid w:val="5C3E5121"/>
    <w:rsid w:val="5CA6110F"/>
    <w:rsid w:val="5CA9E6D1"/>
    <w:rsid w:val="5CCF5CA1"/>
    <w:rsid w:val="5D47CFFC"/>
    <w:rsid w:val="5D5D5D47"/>
    <w:rsid w:val="5D79A1B1"/>
    <w:rsid w:val="5D91E250"/>
    <w:rsid w:val="5DB576AD"/>
    <w:rsid w:val="5DBE2717"/>
    <w:rsid w:val="5DD63D17"/>
    <w:rsid w:val="5DF56BAA"/>
    <w:rsid w:val="5E76908E"/>
    <w:rsid w:val="5F51470E"/>
    <w:rsid w:val="5F7FAB5C"/>
    <w:rsid w:val="5FF6EE08"/>
    <w:rsid w:val="600B2C80"/>
    <w:rsid w:val="603EA27D"/>
    <w:rsid w:val="60723F5F"/>
    <w:rsid w:val="607B498C"/>
    <w:rsid w:val="60C74330"/>
    <w:rsid w:val="60C7DF9D"/>
    <w:rsid w:val="60DAA4F5"/>
    <w:rsid w:val="6134EB74"/>
    <w:rsid w:val="61403F04"/>
    <w:rsid w:val="61B64F28"/>
    <w:rsid w:val="62127C49"/>
    <w:rsid w:val="623EAF42"/>
    <w:rsid w:val="626FC15C"/>
    <w:rsid w:val="62905F8F"/>
    <w:rsid w:val="62C3BDD7"/>
    <w:rsid w:val="638B659D"/>
    <w:rsid w:val="63D00F22"/>
    <w:rsid w:val="63EB07CC"/>
    <w:rsid w:val="64F24BDB"/>
    <w:rsid w:val="64F76541"/>
    <w:rsid w:val="6506E0B1"/>
    <w:rsid w:val="653F0817"/>
    <w:rsid w:val="65759FF3"/>
    <w:rsid w:val="65BADC70"/>
    <w:rsid w:val="661265A7"/>
    <w:rsid w:val="66328F3C"/>
    <w:rsid w:val="66A2B112"/>
    <w:rsid w:val="66A743B4"/>
    <w:rsid w:val="66AD782B"/>
    <w:rsid w:val="66D1B86F"/>
    <w:rsid w:val="66DD8AB7"/>
    <w:rsid w:val="67411A64"/>
    <w:rsid w:val="67B6B57A"/>
    <w:rsid w:val="683E8173"/>
    <w:rsid w:val="6859F5A2"/>
    <w:rsid w:val="688D945A"/>
    <w:rsid w:val="6890B074"/>
    <w:rsid w:val="691A5DC8"/>
    <w:rsid w:val="693C4726"/>
    <w:rsid w:val="696E72E8"/>
    <w:rsid w:val="696EB0DF"/>
    <w:rsid w:val="69DBD712"/>
    <w:rsid w:val="6AC91C99"/>
    <w:rsid w:val="6B0A4349"/>
    <w:rsid w:val="6B1DC143"/>
    <w:rsid w:val="6B7D2948"/>
    <w:rsid w:val="6B828186"/>
    <w:rsid w:val="6C076109"/>
    <w:rsid w:val="6C38A4AE"/>
    <w:rsid w:val="6C62A5A8"/>
    <w:rsid w:val="6C836AD4"/>
    <w:rsid w:val="6CDAFE29"/>
    <w:rsid w:val="6CEEF8B5"/>
    <w:rsid w:val="6CF13E38"/>
    <w:rsid w:val="6DE57DE7"/>
    <w:rsid w:val="6E40BA9D"/>
    <w:rsid w:val="6E4C8BAC"/>
    <w:rsid w:val="6E869399"/>
    <w:rsid w:val="6E8BC890"/>
    <w:rsid w:val="6EA77865"/>
    <w:rsid w:val="6EAF4063"/>
    <w:rsid w:val="6EB5B07D"/>
    <w:rsid w:val="701F08A2"/>
    <w:rsid w:val="705180DE"/>
    <w:rsid w:val="70564453"/>
    <w:rsid w:val="709BB384"/>
    <w:rsid w:val="709F811E"/>
    <w:rsid w:val="709FE4DB"/>
    <w:rsid w:val="713A8326"/>
    <w:rsid w:val="715F347C"/>
    <w:rsid w:val="716780A5"/>
    <w:rsid w:val="71ED513F"/>
    <w:rsid w:val="71F93429"/>
    <w:rsid w:val="721A4FE6"/>
    <w:rsid w:val="722FC402"/>
    <w:rsid w:val="72A1AD4D"/>
    <w:rsid w:val="731E385D"/>
    <w:rsid w:val="735F39B3"/>
    <w:rsid w:val="737B4311"/>
    <w:rsid w:val="73842972"/>
    <w:rsid w:val="73BCC43E"/>
    <w:rsid w:val="73F382E1"/>
    <w:rsid w:val="74237B81"/>
    <w:rsid w:val="7453F978"/>
    <w:rsid w:val="74C20D53"/>
    <w:rsid w:val="750A6C5F"/>
    <w:rsid w:val="750B8EDE"/>
    <w:rsid w:val="75165B01"/>
    <w:rsid w:val="751E82C1"/>
    <w:rsid w:val="755E2615"/>
    <w:rsid w:val="7563F18D"/>
    <w:rsid w:val="75A835FB"/>
    <w:rsid w:val="75B8667C"/>
    <w:rsid w:val="762674AE"/>
    <w:rsid w:val="76465791"/>
    <w:rsid w:val="76AD1477"/>
    <w:rsid w:val="76F1A410"/>
    <w:rsid w:val="76F3DC51"/>
    <w:rsid w:val="772EF315"/>
    <w:rsid w:val="77471B42"/>
    <w:rsid w:val="779E2A17"/>
    <w:rsid w:val="779F2230"/>
    <w:rsid w:val="77A45273"/>
    <w:rsid w:val="784D9ACE"/>
    <w:rsid w:val="78548F12"/>
    <w:rsid w:val="79437A9A"/>
    <w:rsid w:val="798F20F8"/>
    <w:rsid w:val="79C085EB"/>
    <w:rsid w:val="7A1A912D"/>
    <w:rsid w:val="7A88E227"/>
    <w:rsid w:val="7AD9DB9A"/>
    <w:rsid w:val="7B72B4DD"/>
    <w:rsid w:val="7BAADEA9"/>
    <w:rsid w:val="7BAE980C"/>
    <w:rsid w:val="7BD2EA4C"/>
    <w:rsid w:val="7BE1E6D2"/>
    <w:rsid w:val="7BED176C"/>
    <w:rsid w:val="7D3C31DB"/>
    <w:rsid w:val="7D4989FD"/>
    <w:rsid w:val="7E601EC7"/>
    <w:rsid w:val="7E6C1909"/>
    <w:rsid w:val="7EAAAFC4"/>
    <w:rsid w:val="7ED8A30D"/>
    <w:rsid w:val="7EF03698"/>
    <w:rsid w:val="7F0AA418"/>
    <w:rsid w:val="7F274DBD"/>
    <w:rsid w:val="7F40182A"/>
    <w:rsid w:val="7FBFF1A1"/>
    <w:rsid w:val="7FD330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8FB5"/>
  <w15:chartTrackingRefBased/>
  <w15:docId w15:val="{9DF1C6A5-FDFB-4B37-B806-E75EBE6F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13"/>
    <w:pPr>
      <w:spacing w:after="240" w:line="240" w:lineRule="auto"/>
      <w:jc w:val="both"/>
    </w:pPr>
    <w:rPr>
      <w:rFonts w:ascii="Courier New" w:eastAsia="Times New Roman" w:hAnsi="Courier New" w:cs="Times New Roman"/>
      <w:sz w:val="24"/>
      <w:szCs w:val="20"/>
      <w:lang w:eastAsia="en-GB"/>
    </w:rPr>
  </w:style>
  <w:style w:type="paragraph" w:styleId="Heading1">
    <w:name w:val="heading 1"/>
    <w:basedOn w:val="Normal"/>
    <w:next w:val="Normal"/>
    <w:link w:val="Heading1Char"/>
    <w:uiPriority w:val="9"/>
    <w:qFormat/>
    <w:rsid w:val="005803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single space,fn"/>
    <w:basedOn w:val="Normal"/>
    <w:link w:val="FootnoteTextChar2"/>
    <w:uiPriority w:val="99"/>
    <w:qFormat/>
    <w:rsid w:val="00F42613"/>
    <w:pPr>
      <w:ind w:left="357" w:hanging="357"/>
    </w:pPr>
    <w:rPr>
      <w:sz w:val="20"/>
    </w:rPr>
  </w:style>
  <w:style w:type="character" w:customStyle="1" w:styleId="FootnoteTextChar">
    <w:name w:val="Footnote Text Char"/>
    <w:basedOn w:val="DefaultParagraphFont"/>
    <w:uiPriority w:val="99"/>
    <w:semiHidden/>
    <w:rsid w:val="00F42613"/>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F42613"/>
    <w:rPr>
      <w:vertAlign w:val="superscript"/>
    </w:rPr>
  </w:style>
  <w:style w:type="character" w:styleId="Hyperlink">
    <w:name w:val="Hyperlink"/>
    <w:aliases w:val="Char1"/>
    <w:uiPriority w:val="99"/>
    <w:qFormat/>
    <w:rsid w:val="00F42613"/>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qFormat/>
    <w:rsid w:val="00F42613"/>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F42613"/>
    <w:pPr>
      <w:spacing w:after="160" w:line="240" w:lineRule="exact"/>
      <w:jc w:val="left"/>
    </w:pPr>
    <w:rPr>
      <w:rFonts w:asciiTheme="minorHAnsi" w:eastAsiaTheme="minorHAnsi" w:hAnsiTheme="minorHAnsi" w:cstheme="minorBidi"/>
      <w:sz w:val="22"/>
      <w:szCs w:val="22"/>
      <w:vertAlign w:val="superscript"/>
      <w:lang w:eastAsia="en-US"/>
    </w:rPr>
  </w:style>
  <w:style w:type="paragraph" w:styleId="ListParagraph">
    <w:name w:val="List Paragraph"/>
    <w:basedOn w:val="Normal"/>
    <w:uiPriority w:val="34"/>
    <w:qFormat/>
    <w:rsid w:val="001431F9"/>
    <w:pPr>
      <w:ind w:left="720"/>
      <w:contextualSpacing/>
    </w:pPr>
  </w:style>
  <w:style w:type="paragraph" w:styleId="Header">
    <w:name w:val="header"/>
    <w:basedOn w:val="Normal"/>
    <w:link w:val="HeaderChar"/>
    <w:uiPriority w:val="99"/>
    <w:unhideWhenUsed/>
    <w:rsid w:val="000A57EE"/>
    <w:pPr>
      <w:tabs>
        <w:tab w:val="center" w:pos="4513"/>
        <w:tab w:val="right" w:pos="9026"/>
      </w:tabs>
      <w:spacing w:after="0"/>
    </w:pPr>
  </w:style>
  <w:style w:type="character" w:customStyle="1" w:styleId="HeaderChar">
    <w:name w:val="Header Char"/>
    <w:basedOn w:val="DefaultParagraphFont"/>
    <w:link w:val="Header"/>
    <w:uiPriority w:val="99"/>
    <w:rsid w:val="000A57EE"/>
    <w:rPr>
      <w:rFonts w:ascii="Courier New" w:eastAsia="Times New Roman" w:hAnsi="Courier New" w:cs="Times New Roman"/>
      <w:sz w:val="24"/>
      <w:szCs w:val="20"/>
      <w:lang w:eastAsia="en-GB"/>
    </w:rPr>
  </w:style>
  <w:style w:type="paragraph" w:styleId="Footer">
    <w:name w:val="footer"/>
    <w:basedOn w:val="Normal"/>
    <w:link w:val="FooterChar"/>
    <w:uiPriority w:val="99"/>
    <w:unhideWhenUsed/>
    <w:rsid w:val="000A57EE"/>
    <w:pPr>
      <w:tabs>
        <w:tab w:val="center" w:pos="4513"/>
        <w:tab w:val="right" w:pos="9026"/>
      </w:tabs>
      <w:spacing w:after="0"/>
    </w:pPr>
  </w:style>
  <w:style w:type="character" w:customStyle="1" w:styleId="FooterChar">
    <w:name w:val="Footer Char"/>
    <w:basedOn w:val="DefaultParagraphFont"/>
    <w:link w:val="Footer"/>
    <w:uiPriority w:val="99"/>
    <w:rsid w:val="000A57EE"/>
    <w:rPr>
      <w:rFonts w:ascii="Courier New" w:eastAsia="Times New Roman" w:hAnsi="Courier New" w:cs="Times New Roman"/>
      <w:sz w:val="24"/>
      <w:szCs w:val="20"/>
      <w:lang w:eastAsia="en-GB"/>
    </w:rPr>
  </w:style>
  <w:style w:type="paragraph" w:styleId="Revision">
    <w:name w:val="Revision"/>
    <w:hidden/>
    <w:uiPriority w:val="99"/>
    <w:semiHidden/>
    <w:rsid w:val="00F82B2D"/>
    <w:pPr>
      <w:spacing w:after="0" w:line="240" w:lineRule="auto"/>
    </w:pPr>
    <w:rPr>
      <w:rFonts w:ascii="Courier New" w:eastAsia="Times New Roman" w:hAnsi="Courier New" w:cs="Times New Roman"/>
      <w:sz w:val="24"/>
      <w:szCs w:val="20"/>
      <w:lang w:eastAsia="en-GB"/>
    </w:rPr>
  </w:style>
  <w:style w:type="character" w:customStyle="1" w:styleId="normaltextrun">
    <w:name w:val="normaltextrun"/>
    <w:basedOn w:val="DefaultParagraphFont"/>
    <w:rsid w:val="00820FA3"/>
  </w:style>
  <w:style w:type="character" w:customStyle="1" w:styleId="findhit">
    <w:name w:val="findhit"/>
    <w:basedOn w:val="DefaultParagraphFont"/>
    <w:rsid w:val="00820FA3"/>
  </w:style>
  <w:style w:type="character" w:styleId="CommentReference">
    <w:name w:val="annotation reference"/>
    <w:basedOn w:val="DefaultParagraphFont"/>
    <w:uiPriority w:val="99"/>
    <w:semiHidden/>
    <w:unhideWhenUsed/>
    <w:rsid w:val="003C5AA8"/>
    <w:rPr>
      <w:sz w:val="16"/>
      <w:szCs w:val="16"/>
    </w:rPr>
  </w:style>
  <w:style w:type="paragraph" w:styleId="CommentText">
    <w:name w:val="annotation text"/>
    <w:basedOn w:val="Normal"/>
    <w:link w:val="CommentTextChar"/>
    <w:uiPriority w:val="99"/>
    <w:unhideWhenUsed/>
    <w:rsid w:val="003C5AA8"/>
    <w:rPr>
      <w:sz w:val="20"/>
    </w:rPr>
  </w:style>
  <w:style w:type="character" w:customStyle="1" w:styleId="CommentTextChar">
    <w:name w:val="Comment Text Char"/>
    <w:basedOn w:val="DefaultParagraphFont"/>
    <w:link w:val="CommentText"/>
    <w:uiPriority w:val="99"/>
    <w:rsid w:val="003C5AA8"/>
    <w:rPr>
      <w:rFonts w:ascii="Courier New" w:eastAsia="Times New Roman" w:hAnsi="Courier New"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C5AA8"/>
    <w:rPr>
      <w:b/>
      <w:bCs/>
    </w:rPr>
  </w:style>
  <w:style w:type="character" w:customStyle="1" w:styleId="CommentSubjectChar">
    <w:name w:val="Comment Subject Char"/>
    <w:basedOn w:val="CommentTextChar"/>
    <w:link w:val="CommentSubject"/>
    <w:uiPriority w:val="99"/>
    <w:semiHidden/>
    <w:rsid w:val="003C5AA8"/>
    <w:rPr>
      <w:rFonts w:ascii="Courier New" w:eastAsia="Times New Roman" w:hAnsi="Courier New" w:cs="Times New Roman"/>
      <w:b/>
      <w:bCs/>
      <w:sz w:val="20"/>
      <w:szCs w:val="20"/>
      <w:lang w:eastAsia="en-GB"/>
    </w:rPr>
  </w:style>
  <w:style w:type="character" w:styleId="Mention">
    <w:name w:val="Mention"/>
    <w:basedOn w:val="DefaultParagraphFont"/>
    <w:uiPriority w:val="99"/>
    <w:unhideWhenUsed/>
    <w:rsid w:val="003C5AA8"/>
    <w:rPr>
      <w:color w:val="2B579A"/>
      <w:shd w:val="clear" w:color="auto" w:fill="E1DFDD"/>
    </w:rPr>
  </w:style>
  <w:style w:type="character" w:styleId="UnresolvedMention">
    <w:name w:val="Unresolved Mention"/>
    <w:basedOn w:val="DefaultParagraphFont"/>
    <w:uiPriority w:val="99"/>
    <w:semiHidden/>
    <w:unhideWhenUsed/>
    <w:rsid w:val="008C6974"/>
    <w:rPr>
      <w:color w:val="605E5C"/>
      <w:shd w:val="clear" w:color="auto" w:fill="E1DFDD"/>
    </w:rPr>
  </w:style>
  <w:style w:type="character" w:styleId="FollowedHyperlink">
    <w:name w:val="FollowedHyperlink"/>
    <w:basedOn w:val="DefaultParagraphFont"/>
    <w:uiPriority w:val="99"/>
    <w:semiHidden/>
    <w:unhideWhenUsed/>
    <w:rsid w:val="00045E3C"/>
    <w:rPr>
      <w:color w:val="954F72" w:themeColor="followedHyperlink"/>
      <w:u w:val="single"/>
    </w:rPr>
  </w:style>
  <w:style w:type="character" w:customStyle="1" w:styleId="cf01">
    <w:name w:val="cf01"/>
    <w:basedOn w:val="DefaultParagraphFont"/>
    <w:rsid w:val="00D70A3C"/>
    <w:rPr>
      <w:rFonts w:ascii="Segoe UI" w:hAnsi="Segoe UI" w:cs="Segoe UI" w:hint="default"/>
      <w:color w:val="666666"/>
      <w:sz w:val="18"/>
      <w:szCs w:val="18"/>
    </w:rPr>
  </w:style>
  <w:style w:type="paragraph" w:styleId="NormalWeb">
    <w:name w:val="Normal (Web)"/>
    <w:basedOn w:val="Normal"/>
    <w:uiPriority w:val="99"/>
    <w:unhideWhenUsed/>
    <w:rsid w:val="00C201B2"/>
    <w:pPr>
      <w:spacing w:before="100" w:beforeAutospacing="1" w:after="100" w:afterAutospacing="1"/>
      <w:jc w:val="left"/>
    </w:pPr>
    <w:rPr>
      <w:rFonts w:ascii="Times New Roman" w:hAnsi="Times New Roman"/>
      <w:szCs w:val="24"/>
      <w:lang w:val="en-IE" w:eastAsia="en-IE"/>
    </w:rPr>
  </w:style>
  <w:style w:type="character" w:styleId="Strong">
    <w:name w:val="Strong"/>
    <w:basedOn w:val="DefaultParagraphFont"/>
    <w:uiPriority w:val="22"/>
    <w:qFormat/>
    <w:rsid w:val="00C201B2"/>
    <w:rPr>
      <w:b/>
      <w:bCs/>
    </w:rPr>
  </w:style>
  <w:style w:type="character" w:customStyle="1" w:styleId="Heading1Char">
    <w:name w:val="Heading 1 Char"/>
    <w:basedOn w:val="DefaultParagraphFont"/>
    <w:link w:val="Heading1"/>
    <w:uiPriority w:val="9"/>
    <w:rsid w:val="005803E3"/>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5439">
      <w:bodyDiv w:val="1"/>
      <w:marLeft w:val="0"/>
      <w:marRight w:val="0"/>
      <w:marTop w:val="0"/>
      <w:marBottom w:val="0"/>
      <w:divBdr>
        <w:top w:val="none" w:sz="0" w:space="0" w:color="auto"/>
        <w:left w:val="none" w:sz="0" w:space="0" w:color="auto"/>
        <w:bottom w:val="none" w:sz="0" w:space="0" w:color="auto"/>
        <w:right w:val="none" w:sz="0" w:space="0" w:color="auto"/>
      </w:divBdr>
    </w:div>
    <w:div w:id="275454138">
      <w:bodyDiv w:val="1"/>
      <w:marLeft w:val="0"/>
      <w:marRight w:val="0"/>
      <w:marTop w:val="0"/>
      <w:marBottom w:val="0"/>
      <w:divBdr>
        <w:top w:val="none" w:sz="0" w:space="0" w:color="auto"/>
        <w:left w:val="none" w:sz="0" w:space="0" w:color="auto"/>
        <w:bottom w:val="none" w:sz="0" w:space="0" w:color="auto"/>
        <w:right w:val="none" w:sz="0" w:space="0" w:color="auto"/>
      </w:divBdr>
    </w:div>
    <w:div w:id="436370491">
      <w:bodyDiv w:val="1"/>
      <w:marLeft w:val="0"/>
      <w:marRight w:val="0"/>
      <w:marTop w:val="0"/>
      <w:marBottom w:val="0"/>
      <w:divBdr>
        <w:top w:val="none" w:sz="0" w:space="0" w:color="auto"/>
        <w:left w:val="none" w:sz="0" w:space="0" w:color="auto"/>
        <w:bottom w:val="none" w:sz="0" w:space="0" w:color="auto"/>
        <w:right w:val="none" w:sz="0" w:space="0" w:color="auto"/>
      </w:divBdr>
    </w:div>
    <w:div w:id="438329739">
      <w:bodyDiv w:val="1"/>
      <w:marLeft w:val="0"/>
      <w:marRight w:val="0"/>
      <w:marTop w:val="0"/>
      <w:marBottom w:val="0"/>
      <w:divBdr>
        <w:top w:val="none" w:sz="0" w:space="0" w:color="auto"/>
        <w:left w:val="none" w:sz="0" w:space="0" w:color="auto"/>
        <w:bottom w:val="none" w:sz="0" w:space="0" w:color="auto"/>
        <w:right w:val="none" w:sz="0" w:space="0" w:color="auto"/>
      </w:divBdr>
    </w:div>
    <w:div w:id="484779725">
      <w:bodyDiv w:val="1"/>
      <w:marLeft w:val="0"/>
      <w:marRight w:val="0"/>
      <w:marTop w:val="0"/>
      <w:marBottom w:val="0"/>
      <w:divBdr>
        <w:top w:val="none" w:sz="0" w:space="0" w:color="auto"/>
        <w:left w:val="none" w:sz="0" w:space="0" w:color="auto"/>
        <w:bottom w:val="none" w:sz="0" w:space="0" w:color="auto"/>
        <w:right w:val="none" w:sz="0" w:space="0" w:color="auto"/>
      </w:divBdr>
    </w:div>
    <w:div w:id="658196878">
      <w:bodyDiv w:val="1"/>
      <w:marLeft w:val="0"/>
      <w:marRight w:val="0"/>
      <w:marTop w:val="0"/>
      <w:marBottom w:val="0"/>
      <w:divBdr>
        <w:top w:val="none" w:sz="0" w:space="0" w:color="auto"/>
        <w:left w:val="none" w:sz="0" w:space="0" w:color="auto"/>
        <w:bottom w:val="none" w:sz="0" w:space="0" w:color="auto"/>
        <w:right w:val="none" w:sz="0" w:space="0" w:color="auto"/>
      </w:divBdr>
    </w:div>
    <w:div w:id="722215525">
      <w:bodyDiv w:val="1"/>
      <w:marLeft w:val="0"/>
      <w:marRight w:val="0"/>
      <w:marTop w:val="0"/>
      <w:marBottom w:val="0"/>
      <w:divBdr>
        <w:top w:val="none" w:sz="0" w:space="0" w:color="auto"/>
        <w:left w:val="none" w:sz="0" w:space="0" w:color="auto"/>
        <w:bottom w:val="none" w:sz="0" w:space="0" w:color="auto"/>
        <w:right w:val="none" w:sz="0" w:space="0" w:color="auto"/>
      </w:divBdr>
      <w:divsChild>
        <w:div w:id="1006783498">
          <w:marLeft w:val="0"/>
          <w:marRight w:val="0"/>
          <w:marTop w:val="0"/>
          <w:marBottom w:val="0"/>
          <w:divBdr>
            <w:top w:val="none" w:sz="0" w:space="0" w:color="auto"/>
            <w:left w:val="none" w:sz="0" w:space="0" w:color="auto"/>
            <w:bottom w:val="none" w:sz="0" w:space="0" w:color="auto"/>
            <w:right w:val="none" w:sz="0" w:space="0" w:color="auto"/>
          </w:divBdr>
          <w:divsChild>
            <w:div w:id="9161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4352">
      <w:bodyDiv w:val="1"/>
      <w:marLeft w:val="0"/>
      <w:marRight w:val="0"/>
      <w:marTop w:val="0"/>
      <w:marBottom w:val="0"/>
      <w:divBdr>
        <w:top w:val="none" w:sz="0" w:space="0" w:color="auto"/>
        <w:left w:val="none" w:sz="0" w:space="0" w:color="auto"/>
        <w:bottom w:val="none" w:sz="0" w:space="0" w:color="auto"/>
        <w:right w:val="none" w:sz="0" w:space="0" w:color="auto"/>
      </w:divBdr>
    </w:div>
    <w:div w:id="813764337">
      <w:bodyDiv w:val="1"/>
      <w:marLeft w:val="0"/>
      <w:marRight w:val="0"/>
      <w:marTop w:val="0"/>
      <w:marBottom w:val="0"/>
      <w:divBdr>
        <w:top w:val="none" w:sz="0" w:space="0" w:color="auto"/>
        <w:left w:val="none" w:sz="0" w:space="0" w:color="auto"/>
        <w:bottom w:val="none" w:sz="0" w:space="0" w:color="auto"/>
        <w:right w:val="none" w:sz="0" w:space="0" w:color="auto"/>
      </w:divBdr>
    </w:div>
    <w:div w:id="940727269">
      <w:bodyDiv w:val="1"/>
      <w:marLeft w:val="0"/>
      <w:marRight w:val="0"/>
      <w:marTop w:val="0"/>
      <w:marBottom w:val="0"/>
      <w:divBdr>
        <w:top w:val="none" w:sz="0" w:space="0" w:color="auto"/>
        <w:left w:val="none" w:sz="0" w:space="0" w:color="auto"/>
        <w:bottom w:val="none" w:sz="0" w:space="0" w:color="auto"/>
        <w:right w:val="none" w:sz="0" w:space="0" w:color="auto"/>
      </w:divBdr>
    </w:div>
    <w:div w:id="1192302759">
      <w:bodyDiv w:val="1"/>
      <w:marLeft w:val="0"/>
      <w:marRight w:val="0"/>
      <w:marTop w:val="0"/>
      <w:marBottom w:val="0"/>
      <w:divBdr>
        <w:top w:val="none" w:sz="0" w:space="0" w:color="auto"/>
        <w:left w:val="none" w:sz="0" w:space="0" w:color="auto"/>
        <w:bottom w:val="none" w:sz="0" w:space="0" w:color="auto"/>
        <w:right w:val="none" w:sz="0" w:space="0" w:color="auto"/>
      </w:divBdr>
    </w:div>
    <w:div w:id="1280795627">
      <w:bodyDiv w:val="1"/>
      <w:marLeft w:val="0"/>
      <w:marRight w:val="0"/>
      <w:marTop w:val="0"/>
      <w:marBottom w:val="0"/>
      <w:divBdr>
        <w:top w:val="none" w:sz="0" w:space="0" w:color="auto"/>
        <w:left w:val="none" w:sz="0" w:space="0" w:color="auto"/>
        <w:bottom w:val="none" w:sz="0" w:space="0" w:color="auto"/>
        <w:right w:val="none" w:sz="0" w:space="0" w:color="auto"/>
      </w:divBdr>
    </w:div>
    <w:div w:id="1585333511">
      <w:bodyDiv w:val="1"/>
      <w:marLeft w:val="0"/>
      <w:marRight w:val="0"/>
      <w:marTop w:val="0"/>
      <w:marBottom w:val="0"/>
      <w:divBdr>
        <w:top w:val="none" w:sz="0" w:space="0" w:color="auto"/>
        <w:left w:val="none" w:sz="0" w:space="0" w:color="auto"/>
        <w:bottom w:val="none" w:sz="0" w:space="0" w:color="auto"/>
        <w:right w:val="none" w:sz="0" w:space="0" w:color="auto"/>
      </w:divBdr>
    </w:div>
    <w:div w:id="1818260860">
      <w:bodyDiv w:val="1"/>
      <w:marLeft w:val="0"/>
      <w:marRight w:val="0"/>
      <w:marTop w:val="0"/>
      <w:marBottom w:val="0"/>
      <w:divBdr>
        <w:top w:val="none" w:sz="0" w:space="0" w:color="auto"/>
        <w:left w:val="none" w:sz="0" w:space="0" w:color="auto"/>
        <w:bottom w:val="none" w:sz="0" w:space="0" w:color="auto"/>
        <w:right w:val="none" w:sz="0" w:space="0" w:color="auto"/>
      </w:divBdr>
    </w:div>
    <w:div w:id="1893689881">
      <w:bodyDiv w:val="1"/>
      <w:marLeft w:val="0"/>
      <w:marRight w:val="0"/>
      <w:marTop w:val="0"/>
      <w:marBottom w:val="0"/>
      <w:divBdr>
        <w:top w:val="none" w:sz="0" w:space="0" w:color="auto"/>
        <w:left w:val="none" w:sz="0" w:space="0" w:color="auto"/>
        <w:bottom w:val="none" w:sz="0" w:space="0" w:color="auto"/>
        <w:right w:val="none" w:sz="0" w:space="0" w:color="auto"/>
      </w:divBdr>
      <w:divsChild>
        <w:div w:id="1240871392">
          <w:marLeft w:val="0"/>
          <w:marRight w:val="0"/>
          <w:marTop w:val="0"/>
          <w:marBottom w:val="0"/>
          <w:divBdr>
            <w:top w:val="none" w:sz="0" w:space="0" w:color="auto"/>
            <w:left w:val="none" w:sz="0" w:space="0" w:color="auto"/>
            <w:bottom w:val="none" w:sz="0" w:space="0" w:color="auto"/>
            <w:right w:val="none" w:sz="0" w:space="0" w:color="auto"/>
          </w:divBdr>
          <w:divsChild>
            <w:div w:id="14778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4362">
      <w:bodyDiv w:val="1"/>
      <w:marLeft w:val="0"/>
      <w:marRight w:val="0"/>
      <w:marTop w:val="0"/>
      <w:marBottom w:val="0"/>
      <w:divBdr>
        <w:top w:val="none" w:sz="0" w:space="0" w:color="auto"/>
        <w:left w:val="none" w:sz="0" w:space="0" w:color="auto"/>
        <w:bottom w:val="none" w:sz="0" w:space="0" w:color="auto"/>
        <w:right w:val="none" w:sz="0" w:space="0" w:color="auto"/>
      </w:divBdr>
    </w:div>
    <w:div w:id="2089424591">
      <w:bodyDiv w:val="1"/>
      <w:marLeft w:val="0"/>
      <w:marRight w:val="0"/>
      <w:marTop w:val="0"/>
      <w:marBottom w:val="0"/>
      <w:divBdr>
        <w:top w:val="none" w:sz="0" w:space="0" w:color="auto"/>
        <w:left w:val="none" w:sz="0" w:space="0" w:color="auto"/>
        <w:bottom w:val="none" w:sz="0" w:space="0" w:color="auto"/>
        <w:right w:val="none" w:sz="0" w:space="0" w:color="auto"/>
      </w:divBdr>
    </w:div>
    <w:div w:id="210148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PDF/?uri=CELEX:52020DC0698" TargetMode="External"/><Relationship Id="rId18" Type="http://schemas.openxmlformats.org/officeDocument/2006/relationships/hyperlink" Target="https://commission.europa.eu/document/download/8731d6c1-3716-4c9e-a179-6db6de6064a6_en?filename=final_guidelines_4-10-18_without_date_july.pdf" TargetMode="External"/><Relationship Id="rId3" Type="http://schemas.openxmlformats.org/officeDocument/2006/relationships/customXml" Target="../customXml/item3.xml"/><Relationship Id="rId21" Type="http://schemas.openxmlformats.org/officeDocument/2006/relationships/hyperlink" Target="https://fra.europa.eu/en/promising-practices-list" TargetMode="External"/><Relationship Id="rId7" Type="http://schemas.openxmlformats.org/officeDocument/2006/relationships/settings" Target="settings.xml"/><Relationship Id="rId12" Type="http://schemas.openxmlformats.org/officeDocument/2006/relationships/hyperlink" Target="https://eur-lex.europa.eu/legal-content/EN/TXT/?uri=CELEX%3A52020DC0152" TargetMode="External"/><Relationship Id="rId17" Type="http://schemas.openxmlformats.org/officeDocument/2006/relationships/hyperlink" Target="https://commission.europa.eu/strategy-and-policy/policies/justice-and-fundamental-rights/combatting-discrimination/equality-data-collection_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info/policies/justice-and-fundamental-rights/combatting-discrimination/tackling-discrimination/network-experts-field-anti-discrimination_en" TargetMode="External"/><Relationship Id="rId20" Type="http://schemas.openxmlformats.org/officeDocument/2006/relationships/hyperlink" Target="https://commission.europa.eu/document/download/66adbc7e-99cb-4d88-a653-d7fbfba9d7e8_en?filename=Guidance%20note%20on%20the%20collection%20and%20use%20of%20data%20for%20LGBTIQ%20equality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strategy-and-policy/eu-budget/performance-and-reporting/horizontal-priorities/gender-equality-mainstreaming_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mmission.europa.eu/document/download/beb25da4-e6b9-459e-89f7-bcdbd3a8f0c8_en?filename=a_union_of_equality_eu_action_plan_against_racism_2020_-2025_en.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ommission.europa.eu/document/download/3e714806-d8e4-44a5-bdb8-3ceeb592d3f7_en?filename=guidance_note_on_the_collection_and_use_of_equality_data_based_on_racial_or_ethnic_origi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ission.europa.eu/document/download/99cc0720-68c2-4300-854f-592bf21dceaf_en?filename=eu_roma_strategic_framework_for_equality_inclusion_and_participation_for_2020_-_2030.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ing.com/ck/a?!&amp;&amp;p=3346eb0e48d18aa6227abb9c7c4320c46314cd8a575d8c4b485a27725144951dJmltdHM9MTczOTIzMjAwMA&amp;ptn=3&amp;ver=2&amp;hsh=4&amp;fclid=213163f5-fc22-612e-12f5-7689fd4e6063&amp;u=a1aHR0cHM6Ly93d3cuZXUtcGF0aWVudC5ldS9wb2xpY3kvUG9saWN5L0FudGktZGlzY3JpbWluYXRpb24vbGVnaXNsYXRpb24tc3VtbWFyeS0tLWhvdy1pcy1kaXNjcmltaW5hdGlvbi1hZGRyZXNzZWQtaW4tZXUtbGVnaXNsYXRpb24v&amp;ntb=1" TargetMode="External"/><Relationship Id="rId2" Type="http://schemas.openxmlformats.org/officeDocument/2006/relationships/hyperlink" Target="https://op.europa.eu/en/publication-detail/-/publication/990fe2a6-8f52-11ef-a130-01aa75ed71a1/language-en" TargetMode="External"/><Relationship Id="rId1" Type="http://schemas.openxmlformats.org/officeDocument/2006/relationships/hyperlink" Target="https://commission.europa.eu/strategy-and-policy/eu-budget/performance-and-reporting/horizontal-priorities/gender-equality-mainstream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8893F7E4-B997-4D6A-B927-3B2C6B508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75302-26DB-4891-ADF5-1B6F66C0819B}">
  <ds:schemaRefs>
    <ds:schemaRef ds:uri="http://schemas.microsoft.com/sharepoint/v3/contenttype/forms"/>
  </ds:schemaRefs>
</ds:datastoreItem>
</file>

<file path=customXml/itemProps3.xml><?xml version="1.0" encoding="utf-8"?>
<ds:datastoreItem xmlns:ds="http://schemas.openxmlformats.org/officeDocument/2006/customXml" ds:itemID="{197BB05E-0363-4C70-8239-770F685DE277}">
  <ds:schemaRefs>
    <ds:schemaRef ds:uri="http://schemas.openxmlformats.org/officeDocument/2006/bibliography"/>
  </ds:schemaRefs>
</ds:datastoreItem>
</file>

<file path=customXml/itemProps4.xml><?xml version="1.0" encoding="utf-8"?>
<ds:datastoreItem xmlns:ds="http://schemas.openxmlformats.org/officeDocument/2006/customXml" ds:itemID="{F565B27A-7165-4F9A-8A23-92315F802EC6}">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2296</Words>
  <Characters>12812</Characters>
  <Application>Microsoft Office Word</Application>
  <DocSecurity>0</DocSecurity>
  <Lines>185</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15067</CharactersWithSpaces>
  <SharedDoc>false</SharedDoc>
  <HLinks>
    <vt:vector size="66" baseType="variant">
      <vt:variant>
        <vt:i4>71</vt:i4>
      </vt:variant>
      <vt:variant>
        <vt:i4>27</vt:i4>
      </vt:variant>
      <vt:variant>
        <vt:i4>0</vt:i4>
      </vt:variant>
      <vt:variant>
        <vt:i4>5</vt:i4>
      </vt:variant>
      <vt:variant>
        <vt:lpwstr>https://fra.europa.eu/en/promising-practices-list</vt:lpwstr>
      </vt:variant>
      <vt:variant>
        <vt:lpwstr/>
      </vt:variant>
      <vt:variant>
        <vt:i4>6553637</vt:i4>
      </vt:variant>
      <vt:variant>
        <vt:i4>24</vt:i4>
      </vt:variant>
      <vt:variant>
        <vt:i4>0</vt:i4>
      </vt:variant>
      <vt:variant>
        <vt:i4>5</vt:i4>
      </vt:variant>
      <vt:variant>
        <vt:lpwstr>https://commission.europa.eu/document/download/66adbc7e-99cb-4d88-a653-d7fbfba9d7e8_en?filename=Guidance%20note%20on%20the%20collection%20and%20use%20of%20data%20for%20LGBTIQ%20equality_FINAL.pdf</vt:lpwstr>
      </vt:variant>
      <vt:variant>
        <vt:lpwstr/>
      </vt:variant>
      <vt:variant>
        <vt:i4>1703960</vt:i4>
      </vt:variant>
      <vt:variant>
        <vt:i4>21</vt:i4>
      </vt:variant>
      <vt:variant>
        <vt:i4>0</vt:i4>
      </vt:variant>
      <vt:variant>
        <vt:i4>5</vt:i4>
      </vt:variant>
      <vt:variant>
        <vt:lpwstr>https://commission.europa.eu/document/download/3e714806-d8e4-44a5-bdb8-3ceeb592d3f7_en?filename=guidance_note_on_the_collection_and_use_of_equality_data_based_on_racial_or_ethnic_origin.pdf</vt:lpwstr>
      </vt:variant>
      <vt:variant>
        <vt:lpwstr/>
      </vt:variant>
      <vt:variant>
        <vt:i4>4980822</vt:i4>
      </vt:variant>
      <vt:variant>
        <vt:i4>18</vt:i4>
      </vt:variant>
      <vt:variant>
        <vt:i4>0</vt:i4>
      </vt:variant>
      <vt:variant>
        <vt:i4>5</vt:i4>
      </vt:variant>
      <vt:variant>
        <vt:lpwstr>https://commission.europa.eu/document/download/8731d6c1-3716-4c9e-a179-6db6de6064a6_en?filename=final_guidelines_4-10-18_without_date_july.pdf</vt:lpwstr>
      </vt:variant>
      <vt:variant>
        <vt:lpwstr/>
      </vt:variant>
      <vt:variant>
        <vt:i4>1835060</vt:i4>
      </vt:variant>
      <vt:variant>
        <vt:i4>15</vt:i4>
      </vt:variant>
      <vt:variant>
        <vt:i4>0</vt:i4>
      </vt:variant>
      <vt:variant>
        <vt:i4>5</vt:i4>
      </vt:variant>
      <vt:variant>
        <vt:lpwstr>https://commission.europa.eu/strategy-and-policy/policies/justice-and-fundamental-rights/combatting-discrimination/equality-data-collection_en</vt:lpwstr>
      </vt:variant>
      <vt:variant>
        <vt:lpwstr/>
      </vt:variant>
      <vt:variant>
        <vt:i4>2162706</vt:i4>
      </vt:variant>
      <vt:variant>
        <vt:i4>12</vt:i4>
      </vt:variant>
      <vt:variant>
        <vt:i4>0</vt:i4>
      </vt:variant>
      <vt:variant>
        <vt:i4>5</vt:i4>
      </vt:variant>
      <vt:variant>
        <vt:lpwstr>https://ec.europa.eu/info/policies/justice-and-fundamental-rights/combatting-discrimination/tackling-discrimination/network-experts-field-anti-discrimination_en</vt:lpwstr>
      </vt:variant>
      <vt:variant>
        <vt:lpwstr/>
      </vt:variant>
      <vt:variant>
        <vt:i4>3735566</vt:i4>
      </vt:variant>
      <vt:variant>
        <vt:i4>9</vt:i4>
      </vt:variant>
      <vt:variant>
        <vt:i4>0</vt:i4>
      </vt:variant>
      <vt:variant>
        <vt:i4>5</vt:i4>
      </vt:variant>
      <vt:variant>
        <vt:lpwstr>https://ec.europa.eu/info/sites/info/files/a_union_of_equality_eu_action_plan_against_racism_2020_-2025_en.pdf</vt:lpwstr>
      </vt:variant>
      <vt:variant>
        <vt:lpwstr/>
      </vt:variant>
      <vt:variant>
        <vt:i4>7208967</vt:i4>
      </vt:variant>
      <vt:variant>
        <vt:i4>6</vt:i4>
      </vt:variant>
      <vt:variant>
        <vt:i4>0</vt:i4>
      </vt:variant>
      <vt:variant>
        <vt:i4>5</vt:i4>
      </vt:variant>
      <vt:variant>
        <vt:lpwstr>https://ec.europa.eu/info/sites/info/files/eu_roma_strategic_framework_for_equality_inclusion_and_participation_for_2020_-_2030_0.pdf</vt:lpwstr>
      </vt:variant>
      <vt:variant>
        <vt:lpwstr/>
      </vt:variant>
      <vt:variant>
        <vt:i4>196642</vt:i4>
      </vt:variant>
      <vt:variant>
        <vt:i4>3</vt:i4>
      </vt:variant>
      <vt:variant>
        <vt:i4>0</vt:i4>
      </vt:variant>
      <vt:variant>
        <vt:i4>5</vt:i4>
      </vt:variant>
      <vt:variant>
        <vt:lpwstr>https://ec.europa.eu/info/sites/info/files/lgbtiq_strategy_2020-2025_en.pdf</vt:lpwstr>
      </vt:variant>
      <vt:variant>
        <vt:lpwstr/>
      </vt:variant>
      <vt:variant>
        <vt:i4>8060966</vt:i4>
      </vt:variant>
      <vt:variant>
        <vt:i4>0</vt:i4>
      </vt:variant>
      <vt:variant>
        <vt:i4>0</vt:i4>
      </vt:variant>
      <vt:variant>
        <vt:i4>5</vt:i4>
      </vt:variant>
      <vt:variant>
        <vt:lpwstr>https://eur-lex.europa.eu/legal-content/EN/TXT/?uri=CELEX%3A52020DC0152</vt:lpwstr>
      </vt:variant>
      <vt:variant>
        <vt:lpwstr/>
      </vt:variant>
      <vt:variant>
        <vt:i4>1179675</vt:i4>
      </vt:variant>
      <vt:variant>
        <vt:i4>0</vt:i4>
      </vt:variant>
      <vt:variant>
        <vt:i4>0</vt:i4>
      </vt:variant>
      <vt:variant>
        <vt:i4>5</vt:i4>
      </vt:variant>
      <vt:variant>
        <vt:lpwstr>https://op.europa.eu/en/publication-detail/-/publication/990fe2a6-8f52-11ef-a130-01aa75ed71a1/language-en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KALBUROV Ivan (INTPA)</dc:creator>
  <cp:keywords/>
  <dc:description/>
  <cp:lastModifiedBy>DELBAER Gerda (SG)</cp:lastModifiedBy>
  <cp:revision>14</cp:revision>
  <dcterms:created xsi:type="dcterms:W3CDTF">2025-04-22T08:05:00Z</dcterms:created>
  <dcterms:modified xsi:type="dcterms:W3CDTF">2025-04-22T08:20:00Z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2023-12-14T15:05:47Z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651af0e3-744b-471f-a97a-7eebb295dacb</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