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C8E6" w14:textId="477F57A6" w:rsidR="00F42613" w:rsidRPr="00F305B6" w:rsidRDefault="00F42613" w:rsidP="00743D19">
      <w:pPr>
        <w:spacing w:after="600"/>
        <w:jc w:val="center"/>
        <w:rPr>
          <w:rFonts w:ascii="Times New Roman" w:hAnsi="Times New Roman"/>
          <w:b/>
          <w:bCs/>
          <w:szCs w:val="24"/>
        </w:rPr>
      </w:pPr>
      <w:bookmarkStart w:id="0" w:name="SME"/>
      <w:r>
        <w:rPr>
          <w:rFonts w:ascii="Times New Roman" w:hAnsi="Times New Roman"/>
          <w:b/>
        </w:rPr>
        <w:t>Suite donnée à la résolution du Parlement européen sur la recommandation du Parlement européen à l’intention du Conseil concernant les priorités de l’Union européenne pour la 69</w:t>
      </w:r>
      <w:r>
        <w:rPr>
          <w:rFonts w:ascii="Times New Roman" w:hAnsi="Times New Roman"/>
          <w:b/>
          <w:vertAlign w:val="superscript"/>
        </w:rPr>
        <w:t>e</w:t>
      </w:r>
      <w:r>
        <w:rPr>
          <w:rFonts w:ascii="Times New Roman" w:hAnsi="Times New Roman"/>
          <w:b/>
        </w:rPr>
        <w:t xml:space="preserve"> session de la Commission de la condition de la femme des Nations unies</w:t>
      </w:r>
    </w:p>
    <w:bookmarkEnd w:id="0"/>
    <w:p w14:paraId="1298E41E" w14:textId="3901C1EE" w:rsidR="00F42613" w:rsidRPr="00F305B6" w:rsidRDefault="00F92D52" w:rsidP="00743D19">
      <w:pPr>
        <w:numPr>
          <w:ilvl w:val="0"/>
          <w:numId w:val="5"/>
        </w:numPr>
        <w:ind w:left="567" w:hanging="567"/>
        <w:rPr>
          <w:rFonts w:ascii="Times New Roman" w:hAnsi="Times New Roman"/>
          <w:b/>
          <w:szCs w:val="24"/>
        </w:rPr>
      </w:pPr>
      <w:r>
        <w:rPr>
          <w:rFonts w:ascii="Times New Roman" w:hAnsi="Times New Roman"/>
          <w:b/>
        </w:rPr>
        <w:t xml:space="preserve">Rapporteure: </w:t>
      </w:r>
      <w:r>
        <w:rPr>
          <w:rFonts w:ascii="Times New Roman" w:hAnsi="Times New Roman"/>
        </w:rPr>
        <w:t>Lina GÁLVEZ MUÑOZ (S&amp;D/ES)</w:t>
      </w:r>
    </w:p>
    <w:p w14:paraId="0E740E18" w14:textId="440C1AAB" w:rsidR="00F42613" w:rsidRPr="00F305B6" w:rsidRDefault="00F42613" w:rsidP="00743D19">
      <w:pPr>
        <w:numPr>
          <w:ilvl w:val="0"/>
          <w:numId w:val="5"/>
        </w:numPr>
        <w:ind w:left="567" w:hanging="567"/>
        <w:rPr>
          <w:rFonts w:ascii="Times New Roman" w:hAnsi="Times New Roman"/>
          <w:i/>
          <w:iCs/>
          <w:szCs w:val="24"/>
        </w:rPr>
      </w:pPr>
      <w:r>
        <w:rPr>
          <w:rFonts w:ascii="Times New Roman" w:hAnsi="Times New Roman"/>
          <w:b/>
        </w:rPr>
        <w:t xml:space="preserve">Numéros de référence: </w:t>
      </w:r>
      <w:r>
        <w:rPr>
          <w:rFonts w:ascii="Times New Roman" w:hAnsi="Times New Roman"/>
        </w:rPr>
        <w:t xml:space="preserve"> 2024/2057 (INI) / A10-0030/2024 / P10_TA(2024)0075</w:t>
      </w:r>
    </w:p>
    <w:p w14:paraId="154D753B" w14:textId="46AB44BE" w:rsidR="00F42613" w:rsidRPr="00F305B6" w:rsidRDefault="00F42613" w:rsidP="00743D19">
      <w:pPr>
        <w:numPr>
          <w:ilvl w:val="0"/>
          <w:numId w:val="5"/>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 xml:space="preserve"> 19 décembre 2024</w:t>
      </w:r>
    </w:p>
    <w:p w14:paraId="579708FC" w14:textId="1B1E718D" w:rsidR="00F42613" w:rsidRPr="00F305B6" w:rsidRDefault="00F42613" w:rsidP="00743D19">
      <w:pPr>
        <w:widowControl w:val="0"/>
        <w:numPr>
          <w:ilvl w:val="0"/>
          <w:numId w:val="5"/>
        </w:numPr>
        <w:ind w:left="567" w:hanging="567"/>
        <w:rPr>
          <w:rFonts w:ascii="Times New Roman" w:hAnsi="Times New Roman"/>
          <w:szCs w:val="24"/>
        </w:rPr>
      </w:pPr>
      <w:bookmarkStart w:id="1" w:name="_Hlk152762992"/>
      <w:r>
        <w:rPr>
          <w:rFonts w:ascii="Times New Roman" w:hAnsi="Times New Roman"/>
          <w:b/>
        </w:rPr>
        <w:t>Commission parlementaire compétente:</w:t>
      </w:r>
      <w:r>
        <w:rPr>
          <w:rFonts w:ascii="Times New Roman" w:hAnsi="Times New Roman"/>
        </w:rPr>
        <w:t xml:space="preserve"> commission des droits des femmes et de l’égalité des genres</w:t>
      </w:r>
    </w:p>
    <w:bookmarkEnd w:id="1"/>
    <w:p w14:paraId="5840A05C" w14:textId="77777777" w:rsidR="00F42613" w:rsidRPr="00F305B6" w:rsidRDefault="00F42613" w:rsidP="00743D19">
      <w:pPr>
        <w:widowControl w:val="0"/>
        <w:numPr>
          <w:ilvl w:val="0"/>
          <w:numId w:val="5"/>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785023AB" w14:textId="3FDD5F53" w:rsidR="00A84055" w:rsidRPr="00A84055" w:rsidRDefault="71F93429" w:rsidP="00EB74B9">
      <w:pPr>
        <w:spacing w:after="120"/>
        <w:rPr>
          <w:rFonts w:ascii="Times New Roman" w:hAnsi="Times New Roman"/>
        </w:rPr>
      </w:pPr>
      <w:r>
        <w:rPr>
          <w:rFonts w:ascii="Times New Roman" w:hAnsi="Times New Roman"/>
        </w:rPr>
        <w:t>La résolution présente les principales recommandations du Parlement concernant les priorités pour la 69</w:t>
      </w:r>
      <w:r>
        <w:rPr>
          <w:rFonts w:ascii="Times New Roman" w:hAnsi="Times New Roman"/>
          <w:vertAlign w:val="superscript"/>
        </w:rPr>
        <w:t>e</w:t>
      </w:r>
      <w:r>
        <w:rPr>
          <w:rFonts w:ascii="Times New Roman" w:hAnsi="Times New Roman"/>
        </w:rPr>
        <w:t> session de la Commission de la condition de la femme. La soixante-neuvième session de la Commission de la condition de la femme marque le 30</w:t>
      </w:r>
      <w:r>
        <w:rPr>
          <w:rFonts w:ascii="Times New Roman" w:hAnsi="Times New Roman"/>
          <w:vertAlign w:val="superscript"/>
        </w:rPr>
        <w:t>e</w:t>
      </w:r>
      <w:r>
        <w:rPr>
          <w:rFonts w:ascii="Times New Roman" w:hAnsi="Times New Roman"/>
        </w:rPr>
        <w:t xml:space="preserve"> anniversaire de la déclaration et du programme d’action de Beijing. Le Parlement recommande une approche ambitieuse pour cette session, et notamment la confirmation d’un engagement entier et sans faille vis-à-vis de la déclaration et du programme d’action de Beijing, reposant sur la volonté d’œuvrer en faveur des droits fondamentaux des femmes, y compris en matière de santé et de droits génésiques et sexuels, de mettre en œuvre des actions spécifiques et ciblées en faveur des droits fondamentaux des femmes et de l’égalité entre les femmes et les hommes, y compris grâce à l’intégration de la dimension de genre, ainsi que de garantir une budgétisation sensible au genre. Il souligne que l’Union a un rôle important à jouer dans l’avènement de l’égalité de genre dans le monde, en montrant l’exemple et en aidant les pays partenaires à lutter contre toutes les formes de discrimination, directe et indirecte, et contre la violence fondée sur le genre; il rappelle l’importance de la convention d’Istanbul, invite instamment les cinq États membres qui n’ont toujours pas ratifié et mis en œuvre la convention d’Istanbul à le faire dans les plus brefs délais, invite les autres pays à progresser sur la voie de la signature et de la ratification et plaide en faveur d’une définition du viol fondée sur l’absence de consentement. Il plaide en faveur de l’égalité d’accès et de l’égalité des chances dans tous les domaines de la vie, afin de permettre aux femmes dans toute leur diversité de réaliser leur potentiel et il encourage les mesures qui favorisent la participation des femmes et l’équilibre entre les femmes et les hommes dans tous les secteurs à fort impact, y compris les sciences, la technologie, l’ingénierie et les mathématiques (STIM) ainsi que les médias. Il appelle à s’attaquer aux causes systémiques et profondes de la pauvreté des femmes et à en assurer le suivi, à garantir l’accès aux services sociaux, y compris les services d’aide aux familles et à assurer un partage égal des soins non rémunérés et des responsabilités sociales ainsi qu’à promouvoir des politiques favorisant l’équilibre entre vie professionnelle et vie privée. Il préconise d’élaborer des politiques et des programmes de migration de la main-d’œuvre qui tiennent compte de la dimension de genre, souligne l’importance de faire respecter le droit humanitaire international, rappelle l’importance de la résolution sur les femmes, la paix et la sécurité et demande la poursuite de la mise en œuvre du troisième plan d’action de l’Union européenne sur l’égalité entre les hommes et les femmes (GAP III). Enfin, il appelle les États membres à mettre en place une formation du Conseil sur l’égalité entre les femmes et les hommes et sur l’égalité. </w:t>
      </w:r>
    </w:p>
    <w:p w14:paraId="1ABAE65D" w14:textId="55850A1F" w:rsidR="00F42613" w:rsidRPr="00F305B6" w:rsidRDefault="00F42613" w:rsidP="00743D19">
      <w:pPr>
        <w:widowControl w:val="0"/>
        <w:numPr>
          <w:ilvl w:val="0"/>
          <w:numId w:val="5"/>
        </w:numPr>
        <w:rPr>
          <w:rFonts w:ascii="Times New Roman" w:hAnsi="Times New Roman"/>
          <w:b/>
          <w:bCs/>
          <w:i/>
          <w:iCs/>
          <w:szCs w:val="24"/>
        </w:rPr>
      </w:pPr>
      <w:r>
        <w:rPr>
          <w:rFonts w:ascii="Times New Roman" w:hAnsi="Times New Roman"/>
          <w:b/>
        </w:rPr>
        <w:lastRenderedPageBreak/>
        <w:t>Réponse à ces demandes et aperçu des mesures que la Commission a prises ou envisage de prendre:</w:t>
      </w:r>
    </w:p>
    <w:p w14:paraId="41A33B04" w14:textId="1DD73BB1" w:rsidR="007F7B40" w:rsidRDefault="007F7B40" w:rsidP="00EB74B9">
      <w:pPr>
        <w:spacing w:after="120"/>
        <w:rPr>
          <w:rFonts w:ascii="Times New Roman" w:hAnsi="Times New Roman"/>
        </w:rPr>
      </w:pPr>
      <w:r>
        <w:rPr>
          <w:rFonts w:ascii="Times New Roman" w:hAnsi="Times New Roman"/>
        </w:rPr>
        <w:t xml:space="preserve">La Commission se félicite de la résolution du Parlement européen et des priorités pour la prochaine session. </w:t>
      </w:r>
    </w:p>
    <w:p w14:paraId="78F880CA" w14:textId="6CF7CDF7" w:rsidR="008153D4" w:rsidRDefault="008153D4" w:rsidP="00EB74B9">
      <w:pPr>
        <w:spacing w:after="120"/>
        <w:rPr>
          <w:rFonts w:ascii="Times New Roman" w:hAnsi="Times New Roman"/>
        </w:rPr>
      </w:pPr>
      <w:r>
        <w:rPr>
          <w:rFonts w:ascii="Times New Roman" w:hAnsi="Times New Roman"/>
        </w:rPr>
        <w:t>La plupart des demandes contenues dans la résolution sont adressées au Conseil, étant donné que les États membres, coordonnés par l’intermédiaire du Service européen pour l’action extérieure et de la délégation de l’UE à New York, sont les négociateurs lors de la réunion des Nations unies. La Commission ne donnera pas suite sous forme de fiche aux demandes formulées dans la résolution étant donné qu’elle a apporté sa contribution au Parlement par le truchement de l’intervention de la commissaire Lahbib lors de la séance plénière du PE de décembre 2024, juste avant l’adoption de cette résolution.</w:t>
      </w:r>
    </w:p>
    <w:p w14:paraId="3F83ACBC" w14:textId="77777777" w:rsidR="008153D4" w:rsidRDefault="008153D4" w:rsidP="00EB74B9">
      <w:pPr>
        <w:spacing w:after="120"/>
        <w:rPr>
          <w:rFonts w:ascii="Times New Roman" w:hAnsi="Times New Roman"/>
        </w:rPr>
      </w:pPr>
    </w:p>
    <w:p w14:paraId="0D6B4F4B" w14:textId="0C79D88E" w:rsidR="00F063A1" w:rsidRDefault="00F063A1" w:rsidP="00F063A1">
      <w:pPr>
        <w:spacing w:after="120"/>
        <w:rPr>
          <w:rFonts w:ascii="Times New Roman" w:hAnsi="Times New Roman"/>
        </w:rPr>
      </w:pPr>
      <w:r>
        <w:rPr>
          <w:rFonts w:ascii="Times New Roman" w:hAnsi="Times New Roman"/>
        </w:rPr>
        <w:t>Deux appels spécifiques sont adressés à la Commission européenne:</w:t>
      </w:r>
    </w:p>
    <w:p w14:paraId="2075E3DA" w14:textId="16DB2864" w:rsidR="00D70A3C" w:rsidRDefault="00F063A1" w:rsidP="00F063A1">
      <w:pPr>
        <w:spacing w:after="120"/>
        <w:rPr>
          <w:rFonts w:ascii="Times New Roman" w:hAnsi="Times New Roman"/>
        </w:rPr>
      </w:pPr>
      <w:r>
        <w:rPr>
          <w:rFonts w:ascii="Times New Roman" w:hAnsi="Times New Roman"/>
        </w:rPr>
        <w:t xml:space="preserve">(p) </w:t>
      </w:r>
      <w:r>
        <w:rPr>
          <w:rStyle w:val="cf01"/>
          <w:i/>
        </w:rPr>
        <w:t>inviter la Commission à poursuivre l’élaboration et la mise en œuvre d’actions et de plans concrets et bien financés pour réaliser les ODD des Nations unies, en particulier ceux liés à l’égalité entre les femmes et les hommes, en promouvant l’égalité dans l’éducation;</w:t>
      </w:r>
    </w:p>
    <w:p w14:paraId="7875CD0D" w14:textId="705BAC23" w:rsidR="0019608A" w:rsidRPr="0019608A" w:rsidRDefault="006950C2" w:rsidP="00BF42C9">
      <w:pPr>
        <w:spacing w:after="120"/>
        <w:rPr>
          <w:rFonts w:ascii="Times New Roman" w:hAnsi="Times New Roman"/>
        </w:rPr>
      </w:pPr>
      <w:r>
        <w:rPr>
          <w:rFonts w:ascii="Times New Roman" w:hAnsi="Times New Roman"/>
        </w:rPr>
        <w:t xml:space="preserve">Les objectifs de développement durable des Nations unies (ODD), y compris ceux relatifs à l’égalité entre les femmes et les hommes, guident l’action de la Commission et contribuent à façonner ses différentes politiques et initiatives législatives. Celles-ci incluent notamment les initiatives de financement de l’UE, telles que le programme «Citoyens, égalité, droits et valeurs» (CERV), et les instruments de financement pour les investissements structurels, qui financent ou co-financent un large éventail d’actions visant à promouvoir l’égalité entre les femmes et les hommes dans l’UE ainsi que l’Initiative Spotlight et d’autres programmes d’action dans le cadre de partenariats internationaux. L’Initiative Spotlight, qui bénéficie d’un financement de l’Union européenne, représente un effort sans précédent pour éliminer toutes les formes de violence à l’égard des femmes et des filles. Lancée en 2017, l’Initiative est aujourd’hui pleinement mise en œuvre au moyen de 32 programmes couvrant 5 régions. Dans le contexte de cette initiative, une approche holistique a été adoptée pour mettre fin aux violences à caractère sexiste, ce qui a permis d’obtenir des résultats notables. Une nouvelle génération de programmes est en train d’être déployée sur la base des enseignements tirés de l’Initiative. Le soutien apporté par l’UE à la phase 2 de l’Initiative Spotlight s’élève déjà à 85,5 millions d’EUR, qui s’ajoutent aux 500 millions d’EUR initiaux alloués lors de la première phase. </w:t>
      </w:r>
    </w:p>
    <w:p w14:paraId="0C5EC560" w14:textId="0E14E4CC" w:rsidR="008C0708" w:rsidRPr="008C0708" w:rsidRDefault="00311FB6" w:rsidP="008C0708">
      <w:pPr>
        <w:spacing w:after="120"/>
        <w:rPr>
          <w:rFonts w:ascii="Times New Roman" w:hAnsi="Times New Roman"/>
        </w:rPr>
      </w:pPr>
      <w:r>
        <w:rPr>
          <w:rFonts w:ascii="Times New Roman" w:hAnsi="Times New Roman"/>
        </w:rPr>
        <w:t xml:space="preserve">En outre, la Commission a élaboré </w:t>
      </w:r>
      <w:hyperlink r:id="rId11" w:history="1">
        <w:r>
          <w:rPr>
            <w:rStyle w:val="Hyperlink"/>
            <w:rFonts w:ascii="Times New Roman" w:hAnsi="Times New Roman"/>
          </w:rPr>
          <w:t>une méthode pour calculer, au niveau de chaque programme, les dépenses du budget de l’UE qui favorisent l’égalité entre les femmes et les hommes dans le cadre financier pluriannuel 2021-2027</w:t>
        </w:r>
        <w:r w:rsidR="00C82495">
          <w:rPr>
            <w:rStyle w:val="FootnoteReference"/>
            <w:rFonts w:ascii="Times New Roman" w:hAnsi="Times New Roman"/>
          </w:rPr>
          <w:footnoteReference w:id="2"/>
        </w:r>
      </w:hyperlink>
      <w:r>
        <w:rPr>
          <w:rFonts w:ascii="Times New Roman" w:hAnsi="Times New Roman"/>
        </w:rPr>
        <w:t>. Conformément à cette méthode, un programme peut relever d’une ou plusieurs notes en fonction des objectifs poursuivis par les différentes interventions qu’il comporte. La dotation budgétaire totale de l’UE, sur la base des derniers résultats après l’agrégation des interventions de 2023 en fonction de leur note, se répartissait comme suit:  </w:t>
      </w:r>
    </w:p>
    <w:p w14:paraId="2AC69FB6" w14:textId="77777777" w:rsidR="008C0708" w:rsidRPr="008C0708" w:rsidRDefault="008C0708" w:rsidP="008C0708">
      <w:pPr>
        <w:numPr>
          <w:ilvl w:val="0"/>
          <w:numId w:val="14"/>
        </w:numPr>
        <w:spacing w:after="120"/>
        <w:rPr>
          <w:rFonts w:ascii="Times New Roman" w:hAnsi="Times New Roman"/>
        </w:rPr>
      </w:pPr>
      <w:r>
        <w:rPr>
          <w:rFonts w:ascii="Times New Roman" w:hAnsi="Times New Roman"/>
          <w:b/>
        </w:rPr>
        <w:t>note de 2</w:t>
      </w:r>
      <w:r>
        <w:rPr>
          <w:rFonts w:ascii="Times New Roman" w:hAnsi="Times New Roman"/>
        </w:rPr>
        <w:t>: les interventions ayant pour principal objectif d’améliorer l’égalité entre les femmes et les hommes ont représenté 2 % du budget de l’UE exécuté en 2023 et étaient incluses dans 13 programmes; </w:t>
      </w:r>
    </w:p>
    <w:p w14:paraId="20E9C690" w14:textId="77777777" w:rsidR="008C0708" w:rsidRPr="008C0708" w:rsidRDefault="008C0708" w:rsidP="008C0708">
      <w:pPr>
        <w:numPr>
          <w:ilvl w:val="0"/>
          <w:numId w:val="15"/>
        </w:numPr>
        <w:spacing w:after="120"/>
        <w:rPr>
          <w:rFonts w:ascii="Times New Roman" w:hAnsi="Times New Roman"/>
        </w:rPr>
      </w:pPr>
      <w:r>
        <w:rPr>
          <w:rFonts w:ascii="Times New Roman" w:hAnsi="Times New Roman"/>
          <w:b/>
        </w:rPr>
        <w:lastRenderedPageBreak/>
        <w:t>note de 1</w:t>
      </w:r>
      <w:r>
        <w:rPr>
          <w:rFonts w:ascii="Times New Roman" w:hAnsi="Times New Roman"/>
        </w:rPr>
        <w:t>: les interventions faisant de l’égalité entre les femmes et les hommes un objectif important et délibéré (mais pas la raison principale de l’intervention) ont représenté 9 % du budget de l’UE exécuté en 2023 et étaient incluses dans 16 programmes;  </w:t>
      </w:r>
    </w:p>
    <w:p w14:paraId="437333B1" w14:textId="77777777" w:rsidR="008C0708" w:rsidRPr="008C0708" w:rsidRDefault="008C0708" w:rsidP="008C0708">
      <w:pPr>
        <w:numPr>
          <w:ilvl w:val="0"/>
          <w:numId w:val="16"/>
        </w:numPr>
        <w:spacing w:after="120"/>
        <w:rPr>
          <w:rFonts w:ascii="Times New Roman" w:hAnsi="Times New Roman"/>
        </w:rPr>
      </w:pPr>
      <w:r>
        <w:rPr>
          <w:rFonts w:ascii="Times New Roman" w:hAnsi="Times New Roman"/>
          <w:b/>
        </w:rPr>
        <w:t>note de 0*</w:t>
      </w:r>
      <w:r>
        <w:rPr>
          <w:rFonts w:ascii="Times New Roman" w:hAnsi="Times New Roman"/>
        </w:rPr>
        <w:t>: les interventions susceptibles de contribuer à l’égalité entre les femmes et les hommes ont représenté 20 % du budget de l’UE exécuté en 2023 et étaient incluses dans 30 programmes;  </w:t>
      </w:r>
    </w:p>
    <w:p w14:paraId="3592DBAD" w14:textId="77777777" w:rsidR="008C0708" w:rsidRPr="008C0708" w:rsidRDefault="008C0708" w:rsidP="008C0708">
      <w:pPr>
        <w:numPr>
          <w:ilvl w:val="0"/>
          <w:numId w:val="17"/>
        </w:numPr>
        <w:spacing w:after="120"/>
        <w:rPr>
          <w:rFonts w:ascii="Times New Roman" w:hAnsi="Times New Roman"/>
        </w:rPr>
      </w:pPr>
      <w:r>
        <w:rPr>
          <w:rFonts w:ascii="Times New Roman" w:hAnsi="Times New Roman"/>
          <w:b/>
        </w:rPr>
        <w:t>note de 0</w:t>
      </w:r>
      <w:r>
        <w:rPr>
          <w:rFonts w:ascii="Times New Roman" w:hAnsi="Times New Roman"/>
        </w:rPr>
        <w:t>: les interventions n’ayant pas d’incidence notable sur l’égalité entre les femmes et les hommes ont représenté 69 % du budget de l’UE exécuté en 2023 et étaient incluses dans 29 programmes.  </w:t>
      </w:r>
    </w:p>
    <w:p w14:paraId="5E025589" w14:textId="08E5728A" w:rsidR="008C0708" w:rsidRPr="008C0708" w:rsidRDefault="006F1C08" w:rsidP="00C82495">
      <w:pPr>
        <w:spacing w:after="120"/>
        <w:rPr>
          <w:rFonts w:ascii="Times New Roman" w:hAnsi="Times New Roman"/>
        </w:rPr>
      </w:pPr>
      <w:r>
        <w:rPr>
          <w:rFonts w:ascii="Times New Roman" w:hAnsi="Times New Roman"/>
        </w:rPr>
        <w:t>Globalement, en 2023, 11 % du budget de l’UE ont contribué concrètement à favoriser l’égalité entre les femmes et les hommes (notes de 2 et de 1), tandis que 20 % étaient susceptibles de contribuer (note de 0*) à cet objectif. Depuis la première application de cette méthode, les notes relatives à l’égalité entre les femmes et les hommes s’améliorent continuellement. Le pourcentage de notes de 0* n’a cessé de diminuer, passant de 95 % à 20 %. Par ailleurs, sur la base des informations actuellement disponibles, 69 % du budget de l’UE peut être considéré comme n’ayant pas d’incidence (significative) sur la promotion de l’égalité entre les femmes et les hommes.  </w:t>
      </w:r>
    </w:p>
    <w:p w14:paraId="39816C6F" w14:textId="302DCFC6" w:rsidR="00F063A1" w:rsidRPr="00311F7D" w:rsidRDefault="008A28D0" w:rsidP="00311F7D">
      <w:pPr>
        <w:spacing w:after="120"/>
        <w:rPr>
          <w:rFonts w:ascii="Times New Roman" w:hAnsi="Times New Roman"/>
        </w:rPr>
      </w:pPr>
      <w:r>
        <w:rPr>
          <w:rFonts w:ascii="Times New Roman" w:hAnsi="Times New Roman"/>
        </w:rPr>
        <w:t xml:space="preserve">Comme souligné dans la stratégie de l’UE en faveur de l’égalité entre les hommes et les femmes 2020-2025, l’un des éléments clés pour atteindre l’égalité entre les femmes et les hommes et l’autonomisation de toutes les femmes et de toutes les filles réside dans la lutte contre les stéréotypes sexistes, qui est essentielle dans une approche transformatrice visant à remédier aux causes profondes des inégalités de genre.  L’autonomisation des femmes est un facteur déterminant pour de nombreuses politiques et actions législatives, notamment la directive concernant l’équilibre entre vie professionnelle et vie privée des parents et des aidants, la directive sur la transparence des rémunérations, la stratégie européenne en matière de soins, la directive relative à un meilleur équilibre entre les femmes et les hommes parmi les administrateurs des sociétés cotées ainsi que la directive sur la lutte contre la violence à l’égard des femmes et la violence domestique.  En outre, la Commission a préparé une campagne sur les stéréotypes sexistes touchant les femmes et les hommes dans différentes sphères de leur vie et a alloué des fonds par l’intermédiaire de l’appel à propositions du programme CERV, notamment pour lutter contre les stéréotypes sexistes dans l’éducation et l’accueil de la petite enfance en sensibilisant et en formant les professionnels de ce secteur. Ces initiatives sont complétées par l’intégration de la dimension de genre à des actions spécifiques dans d’autres domaines, dont l’éducation, et par la promotion des femmes et des filles en </w:t>
      </w:r>
      <w:r>
        <w:rPr>
          <w:rFonts w:ascii="Times New Roman" w:hAnsi="Times New Roman"/>
          <w:b/>
        </w:rPr>
        <w:t>sciences, technologies, ingénierie et mathématiques</w:t>
      </w:r>
      <w:r>
        <w:rPr>
          <w:rFonts w:ascii="Times New Roman" w:hAnsi="Times New Roman"/>
        </w:rPr>
        <w:t xml:space="preserve"> / </w:t>
      </w:r>
      <w:r>
        <w:rPr>
          <w:rFonts w:ascii="Times New Roman" w:hAnsi="Times New Roman"/>
          <w:b/>
        </w:rPr>
        <w:t>sciences, technologies, ingénierie, arts et mathématiques</w:t>
      </w:r>
      <w:r>
        <w:rPr>
          <w:rFonts w:ascii="Times New Roman" w:hAnsi="Times New Roman"/>
        </w:rPr>
        <w:t xml:space="preserve"> (STIM/STIAM), par exemple au moyen d’évènements STIM/STIAM destinés aux filles et au moyen du «forum Femmes et Filles dans les STIM</w:t>
      </w:r>
      <w:r w:rsidR="00C201B2">
        <w:rPr>
          <w:rStyle w:val="FootnoteReference"/>
          <w:rFonts w:ascii="Times New Roman" w:hAnsi="Times New Roman"/>
        </w:rPr>
        <w:footnoteReference w:id="3"/>
      </w:r>
      <w:r>
        <w:rPr>
          <w:rFonts w:ascii="Times New Roman" w:hAnsi="Times New Roman"/>
        </w:rPr>
        <w:t>» qui a lieu chaque année. La Commission continuera de lutter contre les stéréotypes sexistes dans différentes sphères, notamment dans l’éducation. Dans le cadre de sa récente union des compétences, la Commission a présenté son plan stratégique pour l’éducation dans les STIM, qui vise à attirer davantage de filles et de femmes dans ces domaines</w:t>
      </w:r>
      <w:r w:rsidR="00C6759F">
        <w:rPr>
          <w:rStyle w:val="FootnoteReference"/>
          <w:rFonts w:ascii="Times New Roman" w:hAnsi="Times New Roman"/>
        </w:rPr>
        <w:footnoteReference w:id="4"/>
      </w:r>
      <w:r>
        <w:rPr>
          <w:rFonts w:ascii="Times New Roman" w:hAnsi="Times New Roman"/>
        </w:rPr>
        <w:t xml:space="preserve">.  </w:t>
      </w:r>
    </w:p>
    <w:p w14:paraId="6BCAB677" w14:textId="14DBD395" w:rsidR="00D70A3C" w:rsidRDefault="00F063A1" w:rsidP="007F7B40">
      <w:pPr>
        <w:spacing w:after="120"/>
        <w:rPr>
          <w:rFonts w:ascii="Times New Roman" w:hAnsi="Times New Roman"/>
        </w:rPr>
      </w:pPr>
      <w:r>
        <w:rPr>
          <w:rFonts w:ascii="Times New Roman" w:hAnsi="Times New Roman"/>
        </w:rPr>
        <w:lastRenderedPageBreak/>
        <w:t xml:space="preserve">(t) </w:t>
      </w:r>
      <w:r>
        <w:rPr>
          <w:rStyle w:val="cf01"/>
          <w:i/>
        </w:rPr>
        <w:t>demander instamment à la Commission de continuer à développer et à améliorer la collecte de données ventilées par sexe en matière d’égalité, sur le sexe, la race, la couleur, les origines ethniques ou sociales, les caractéristiques génétiques, la langue, la religion ou toute autre conviction, les opinions politiques, l’appartenance à une minorité nationale, la fortune, la naissance, le handicap, l’âge ou l’orientation sexuelle, les caractéristiques sexuelles et l’identité de genre, ainsi que des données ventilées géographiquement, y compris au niveau régional, afin de veiller à ce que ces données contribuent à l’élaboration de politiques de meilleure qualité et mieux informées, et de renforcer l’Institut européen pour l’égalité entre les hommes et les femmes (EIGE), tant en termes de financement que de capacités;</w:t>
      </w:r>
    </w:p>
    <w:p w14:paraId="37C45465" w14:textId="2963E740" w:rsidR="00575D82" w:rsidRDefault="4E960121" w:rsidP="00EB74B9">
      <w:pPr>
        <w:spacing w:after="120"/>
        <w:rPr>
          <w:rFonts w:ascii="Times New Roman" w:eastAsia="Calibri" w:hAnsi="Times New Roman"/>
          <w:szCs w:val="24"/>
        </w:rPr>
      </w:pPr>
      <w:r>
        <w:rPr>
          <w:rFonts w:ascii="Times New Roman" w:hAnsi="Times New Roman"/>
        </w:rPr>
        <w:t xml:space="preserve">La Commission s’emploie à suivre les progrès en matière d’égalité entre les femmes et les hommes en collectant des données ventilées par sexe, décomposées en sous-catégories pertinentes. La Commission collecte des informations sur les actions de l’UE dans le domaine de l’égalité entre les femmes et les hommes dans le cadre du suivi de la stratégie en faveur de l’égalité entre les hommes et les femmes, notamment à l’aide du portail de suivi contenant des données clés sur l’égalité entre les femmes et les hommes. De plus, les progrès en matière d’égalité entre les femmes et les hommes dans l’Union européenne sont suivis grâce à une série d’indicateurs développés par l’Institut européen pour l’égalité entre les hommes et les femmes (EIGE) et publiés annuellement dans l’Indice d’égalité de genre de l’Union européenne. </w:t>
      </w:r>
    </w:p>
    <w:p w14:paraId="27B7F25F" w14:textId="4EE6C6B7" w:rsidR="002A527F" w:rsidRDefault="00575D82" w:rsidP="00EB74B9">
      <w:pPr>
        <w:spacing w:after="120"/>
        <w:rPr>
          <w:rFonts w:ascii="Times New Roman" w:eastAsia="Calibri" w:hAnsi="Times New Roman"/>
          <w:szCs w:val="24"/>
        </w:rPr>
      </w:pPr>
      <w:r>
        <w:rPr>
          <w:rFonts w:ascii="Times New Roman" w:hAnsi="Times New Roman"/>
        </w:rPr>
        <w:t xml:space="preserve">Les données proviennent d’Eurostat et d’autres sources, notamment des enquêtes réalisées par l’EIGE, Eurofound, l’Agence des droits fondamentaux de l’Union européenne (FRA) et d’autres agences de l’UE.  </w:t>
      </w:r>
    </w:p>
    <w:p w14:paraId="14003B04" w14:textId="13510EF8" w:rsidR="007F7B40" w:rsidRDefault="003352EA" w:rsidP="00EB74B9">
      <w:pPr>
        <w:spacing w:after="120"/>
        <w:rPr>
          <w:rFonts w:ascii="Times New Roman" w:eastAsia="Calibri" w:hAnsi="Times New Roman"/>
          <w:szCs w:val="24"/>
        </w:rPr>
      </w:pPr>
      <w:r>
        <w:rPr>
          <w:rFonts w:ascii="Times New Roman" w:hAnsi="Times New Roman"/>
        </w:rPr>
        <w:t>La Commission assure également un suivi des progrès accomplis dans la réalisation des objectifs de développement durable, qui est coordonné par Eurostat.</w:t>
      </w:r>
    </w:p>
    <w:p w14:paraId="06899667" w14:textId="06002A74" w:rsidR="001D06AC" w:rsidRDefault="001D06AC" w:rsidP="00EB74B9">
      <w:pPr>
        <w:spacing w:after="120"/>
        <w:rPr>
          <w:rFonts w:ascii="Times New Roman" w:hAnsi="Times New Roman"/>
        </w:rPr>
      </w:pPr>
      <w:r>
        <w:rPr>
          <w:rFonts w:ascii="Times New Roman" w:hAnsi="Times New Roman"/>
        </w:rPr>
        <w:t xml:space="preserve">En ce qui concerne l’UE, la plupart des données sont collectées au niveau des États membres, sous la coordination d’Eurostat. La Commission encourage la collecte de données ventilées par sexe avec une décomposition en sous-catégories pertinentes dans la mesure du possible et dans les limites des contraintes juridiques imposées par les États membres. </w:t>
      </w:r>
    </w:p>
    <w:p w14:paraId="5822A292" w14:textId="7A64163D" w:rsidR="0023218E" w:rsidRDefault="00C00FD1">
      <w:pPr>
        <w:spacing w:after="0"/>
        <w:rPr>
          <w:rFonts w:ascii="Times New Roman" w:hAnsi="Times New Roman"/>
          <w:szCs w:val="24"/>
        </w:rPr>
      </w:pPr>
      <w:r>
        <w:rPr>
          <w:rFonts w:ascii="Times New Roman" w:hAnsi="Times New Roman"/>
        </w:rPr>
        <w:t xml:space="preserve">En outre, le nouveau </w:t>
      </w:r>
      <w:r>
        <w:rPr>
          <w:rFonts w:ascii="Times New Roman" w:hAnsi="Times New Roman"/>
          <w:b/>
        </w:rPr>
        <w:t>règlement financier</w:t>
      </w:r>
      <w:r>
        <w:rPr>
          <w:rFonts w:ascii="Times New Roman" w:hAnsi="Times New Roman"/>
        </w:rPr>
        <w:t xml:space="preserve"> de l’UE publié le 29 septembre 2024</w:t>
      </w:r>
      <w:r w:rsidR="009762AE">
        <w:rPr>
          <w:rStyle w:val="FootnoteReference"/>
          <w:rFonts w:ascii="Times New Roman" w:hAnsi="Times New Roman"/>
          <w:szCs w:val="24"/>
        </w:rPr>
        <w:footnoteReference w:id="5"/>
      </w:r>
      <w:r>
        <w:rPr>
          <w:rFonts w:ascii="Times New Roman" w:hAnsi="Times New Roman"/>
        </w:rPr>
        <w:t xml:space="preserve"> inclut désormais une disposition exigeant que tous les programmes et toutes les activités du budget de l’UE soient mis en œuvre, lorsque cela est possible et approprié conformément à la réglementation sectorielle applicable, en tenant compte du principe d’égalité de genre. Par ailleurs, en vertu du règlement financier révisé, toutes les données collectées en rapport avec les indicateurs de performance des programmes financiers doivent être ventilées par sexe dans la mesure du possible.</w:t>
      </w:r>
    </w:p>
    <w:p w14:paraId="64BCF2E0" w14:textId="77777777" w:rsidR="0023218E" w:rsidRPr="000C190A" w:rsidRDefault="0023218E" w:rsidP="000C190A">
      <w:pPr>
        <w:spacing w:after="0"/>
        <w:rPr>
          <w:rFonts w:ascii="Times New Roman" w:hAnsi="Times New Roman"/>
          <w:szCs w:val="24"/>
        </w:rPr>
      </w:pPr>
    </w:p>
    <w:p w14:paraId="44F3EAC5" w14:textId="4BCE7539" w:rsidR="00D70A3C" w:rsidRDefault="00C00FD1" w:rsidP="00D70A3C">
      <w:pPr>
        <w:spacing w:after="120"/>
        <w:rPr>
          <w:rFonts w:ascii="Times New Roman" w:eastAsia="Calibri" w:hAnsi="Times New Roman"/>
          <w:szCs w:val="24"/>
        </w:rPr>
      </w:pPr>
      <w:r>
        <w:rPr>
          <w:rFonts w:ascii="Times New Roman" w:hAnsi="Times New Roman"/>
        </w:rPr>
        <w:t>Enfin, la Commission s’emploie à promouvoir la collecte de données relatives à l’égalité au-delà de la ventilation par sexe et elle est fermement résolue à améliorer la collecte de données relatives à l’égalité pour couvrir l’ensemble des six motifs de discrimination</w:t>
      </w:r>
      <w:r w:rsidR="001C70CD">
        <w:rPr>
          <w:rStyle w:val="FootnoteReference"/>
          <w:rFonts w:ascii="Times New Roman" w:eastAsia="Calibri" w:hAnsi="Times New Roman"/>
          <w:bCs/>
          <w:szCs w:val="24"/>
        </w:rPr>
        <w:footnoteReference w:id="6"/>
      </w:r>
      <w:r>
        <w:rPr>
          <w:rFonts w:ascii="Times New Roman" w:hAnsi="Times New Roman"/>
        </w:rPr>
        <w:t xml:space="preserve">. L’amélioration de la collecte de données relatives à l’égalité est une priorité majeure, comme le souligne la lettre de mission adressée à la commissaire Hadja Lahbib chargeant cette dernière d’œuvrer en faveur de cet objectif, et notamment en faveur de la comparabilité des données à travers l’UE, en coopération avec les États membres. Dans toutes ses initiatives en matière d’égalité, la Commission insiste sur la nécessité de disposer de données fiables et comparables. Parmi ces initiatives figurent notamment la </w:t>
      </w:r>
      <w:hyperlink r:id="rId12" w:history="1">
        <w:r>
          <w:rPr>
            <w:rStyle w:val="Hyperlink"/>
            <w:rFonts w:ascii="Times New Roman" w:hAnsi="Times New Roman"/>
          </w:rPr>
          <w:t xml:space="preserve">stratégie en faveur de l’égalité entre les hommes et les </w:t>
        </w:r>
        <w:r>
          <w:rPr>
            <w:rStyle w:val="Hyperlink"/>
            <w:rFonts w:ascii="Times New Roman" w:hAnsi="Times New Roman"/>
          </w:rPr>
          <w:lastRenderedPageBreak/>
          <w:t>femmes</w:t>
        </w:r>
      </w:hyperlink>
      <w:r>
        <w:rPr>
          <w:rFonts w:ascii="Times New Roman" w:hAnsi="Times New Roman"/>
        </w:rPr>
        <w:t xml:space="preserve">, la </w:t>
      </w:r>
      <w:hyperlink r:id="rId13" w:history="1">
        <w:r>
          <w:rPr>
            <w:rStyle w:val="Hyperlink"/>
            <w:rFonts w:ascii="Times New Roman" w:hAnsi="Times New Roman"/>
          </w:rPr>
          <w:t>stratégie en faveur de l’égalité de traitement à l’égard des personnes LGBTIQ</w:t>
        </w:r>
      </w:hyperlink>
      <w:r>
        <w:rPr>
          <w:rFonts w:ascii="Times New Roman" w:hAnsi="Times New Roman"/>
        </w:rPr>
        <w:t xml:space="preserve">, le </w:t>
      </w:r>
      <w:hyperlink r:id="rId14" w:history="1">
        <w:r>
          <w:rPr>
            <w:rStyle w:val="Hyperlink"/>
            <w:rFonts w:ascii="Times New Roman" w:hAnsi="Times New Roman"/>
          </w:rPr>
          <w:t>cadre stratégique de l’UE pour les Roms</w:t>
        </w:r>
      </w:hyperlink>
      <w:r>
        <w:rPr>
          <w:rFonts w:ascii="Times New Roman" w:hAnsi="Times New Roman"/>
        </w:rPr>
        <w:t xml:space="preserve"> et le </w:t>
      </w:r>
      <w:hyperlink r:id="rId15" w:history="1">
        <w:r>
          <w:rPr>
            <w:rStyle w:val="Hyperlink"/>
            <w:rFonts w:ascii="Times New Roman" w:hAnsi="Times New Roman"/>
          </w:rPr>
          <w:t>plan d’action contre le racisme</w:t>
        </w:r>
      </w:hyperlink>
      <w:r>
        <w:rPr>
          <w:rFonts w:ascii="Times New Roman" w:hAnsi="Times New Roman"/>
        </w:rPr>
        <w:t>.</w:t>
      </w:r>
    </w:p>
    <w:p w14:paraId="5C824E72" w14:textId="77777777" w:rsidR="00D70A3C" w:rsidRDefault="00D70A3C" w:rsidP="00D70A3C">
      <w:pPr>
        <w:spacing w:after="120"/>
        <w:rPr>
          <w:rFonts w:ascii="Times New Roman" w:eastAsia="Calibri" w:hAnsi="Times New Roman"/>
          <w:szCs w:val="24"/>
        </w:rPr>
      </w:pPr>
      <w:r>
        <w:rPr>
          <w:rFonts w:ascii="Times New Roman" w:hAnsi="Times New Roman"/>
        </w:rPr>
        <w:t xml:space="preserve">En février 2018, le </w:t>
      </w:r>
      <w:hyperlink r:id="rId16" w:history="1">
        <w:r>
          <w:rPr>
            <w:rStyle w:val="Hyperlink"/>
            <w:rFonts w:ascii="Times New Roman" w:hAnsi="Times New Roman"/>
          </w:rPr>
          <w:t>groupe de haut niveau sur la non-discrimination, l’égalité et la diversité</w:t>
        </w:r>
      </w:hyperlink>
      <w:r>
        <w:rPr>
          <w:rFonts w:ascii="Times New Roman" w:hAnsi="Times New Roman"/>
        </w:rPr>
        <w:t xml:space="preserve"> a créé le </w:t>
      </w:r>
      <w:hyperlink r:id="rId17" w:history="1">
        <w:r>
          <w:rPr>
            <w:rStyle w:val="Hyperlink"/>
            <w:rFonts w:ascii="Times New Roman" w:hAnsi="Times New Roman"/>
          </w:rPr>
          <w:t>sous-groupe sur les données relatives à l’égalité</w:t>
        </w:r>
      </w:hyperlink>
      <w:r>
        <w:rPr>
          <w:rFonts w:ascii="Times New Roman" w:hAnsi="Times New Roman"/>
        </w:rPr>
        <w:t xml:space="preserve"> pour aider les États membres à améliorer la collecte et l’utilisation des données relatives à l’égalité. Ce sous-groupe est constitué d’experts nationaux chargés des politiques de non-discrimination, d’instituts nationaux de statistiques, d’organismes nationaux de promotion de l’égalité, d’Eurofound et de l’EIGE ainsi que de la FRA, qui facilite les travaux. Il constitue un forum important pour les États membres et les institutions de l’Union, leur permettant d’examiner les défis et les possibilités que comporte l’amélioration de la collecte et de l’utilisation de données relatives à l’égalité. Se reposant également sur la vaste expertise de la FRA, ce sous-groupe a élaboré une série de documents stratégiques clés pour améliorer la collecte de données relatives à l’égalité tels que </w:t>
      </w:r>
      <w:hyperlink r:id="rId18" w:history="1">
        <w:r>
          <w:rPr>
            <w:rStyle w:val="Hyperlink"/>
            <w:rFonts w:ascii="Times New Roman" w:hAnsi="Times New Roman"/>
          </w:rPr>
          <w:t>des orientations structurelles et opérationnelles</w:t>
        </w:r>
      </w:hyperlink>
      <w:r>
        <w:rPr>
          <w:rFonts w:ascii="Times New Roman" w:hAnsi="Times New Roman"/>
        </w:rPr>
        <w:t xml:space="preserve"> et des orientations techniques sur la collecte et l’utilisation de données sur </w:t>
      </w:r>
      <w:hyperlink r:id="rId19" w:history="1">
        <w:r>
          <w:rPr>
            <w:rStyle w:val="Hyperlink"/>
            <w:rFonts w:ascii="Times New Roman" w:hAnsi="Times New Roman"/>
          </w:rPr>
          <w:t>la race ou l’origine ethnique</w:t>
        </w:r>
      </w:hyperlink>
      <w:r>
        <w:rPr>
          <w:rFonts w:ascii="Times New Roman" w:hAnsi="Times New Roman"/>
        </w:rPr>
        <w:t xml:space="preserve">, </w:t>
      </w:r>
      <w:hyperlink r:id="rId20" w:history="1">
        <w:r>
          <w:rPr>
            <w:rStyle w:val="Hyperlink"/>
            <w:rFonts w:ascii="Times New Roman" w:hAnsi="Times New Roman"/>
          </w:rPr>
          <w:t>les caractéristiques sexuelles, l’identité de genre et l’orientation sexuelle</w:t>
        </w:r>
      </w:hyperlink>
      <w:r>
        <w:rPr>
          <w:rFonts w:ascii="Times New Roman" w:hAnsi="Times New Roman"/>
        </w:rPr>
        <w:t xml:space="preserve">. Par ailleurs, il a créé un </w:t>
      </w:r>
      <w:hyperlink r:id="rId21" w:history="1">
        <w:r>
          <w:rPr>
            <w:rStyle w:val="Hyperlink"/>
            <w:rFonts w:ascii="Times New Roman" w:hAnsi="Times New Roman"/>
          </w:rPr>
          <w:t>recueil de bonnes pratiques concernant les données relatives à l’égalité</w:t>
        </w:r>
      </w:hyperlink>
      <w:r>
        <w:rPr>
          <w:rFonts w:ascii="Times New Roman" w:hAnsi="Times New Roman"/>
        </w:rPr>
        <w:t xml:space="preserve"> et un outil de cartographie diagnostique pour évaluer la disponibilité et la qualité des données relatives à l’égalité au niveau national. Le sous-groupe continue d’œuvrer à l’amélioration de la collecte de données relatives à l’égalité, notamment en matière de fiabilité et de comparabilité au niveau européen. </w:t>
      </w:r>
    </w:p>
    <w:p w14:paraId="074B45D7" w14:textId="66BA7683" w:rsidR="004C6578" w:rsidRDefault="00D70A3C" w:rsidP="008153D4">
      <w:pPr>
        <w:spacing w:after="120"/>
        <w:rPr>
          <w:rFonts w:ascii="Times New Roman" w:hAnsi="Times New Roman"/>
          <w:szCs w:val="24"/>
        </w:rPr>
      </w:pPr>
      <w:r>
        <w:rPr>
          <w:rFonts w:ascii="Times New Roman" w:hAnsi="Times New Roman"/>
        </w:rPr>
        <w:t>La Commission continue d’intégrer les données relatives à l’égalité dans ses activités</w:t>
      </w:r>
      <w:bookmarkStart w:id="2" w:name="_Hlk184226103"/>
      <w:r>
        <w:rPr>
          <w:rFonts w:ascii="Times New Roman" w:hAnsi="Times New Roman"/>
        </w:rPr>
        <w:t xml:space="preserve"> et elle a créé le groupe de travail d’Eurostat sur les statistiques relatives à l’égalité et à la non-discrimination </w:t>
      </w:r>
      <w:bookmarkEnd w:id="2"/>
      <w:r>
        <w:rPr>
          <w:rFonts w:ascii="Times New Roman" w:hAnsi="Times New Roman"/>
        </w:rPr>
        <w:t>pour harmoniser la collecte, l’utilisation et la diffusion de ces données au niveau européen. Elle a par ailleurs l’intention de formuler des recommandations d’ici 2025.</w:t>
      </w:r>
      <w:bookmarkStart w:id="3" w:name="_Hlk187998652"/>
    </w:p>
    <w:p w14:paraId="6CA73EDD" w14:textId="390EC93F" w:rsidR="0040412C" w:rsidRDefault="0040412C" w:rsidP="008153D4">
      <w:pPr>
        <w:spacing w:after="120"/>
        <w:rPr>
          <w:rFonts w:ascii="Times New Roman" w:eastAsia="Calibri" w:hAnsi="Times New Roman"/>
          <w:szCs w:val="24"/>
        </w:rPr>
      </w:pPr>
      <w:r>
        <w:rPr>
          <w:rFonts w:ascii="Times New Roman" w:hAnsi="Times New Roman"/>
        </w:rPr>
        <w:t xml:space="preserve">À partir de 2024, la Commission européenne a fourni des ressources humaines supplémentaires à l’EIGE. Ces deux dernières années, la Commission a également fourni à l’EIGE des ressources financières supplémentaires en fin d’année pour aider l’Institut à faire face à l’inflation. </w:t>
      </w:r>
    </w:p>
    <w:bookmarkEnd w:id="3"/>
    <w:p w14:paraId="24A8B67E" w14:textId="183B3001" w:rsidR="00985A46" w:rsidRDefault="00985A46" w:rsidP="001D06AC">
      <w:pPr>
        <w:spacing w:after="120"/>
        <w:rPr>
          <w:rFonts w:ascii="Times New Roman" w:hAnsi="Times New Roman"/>
        </w:rPr>
      </w:pPr>
      <w:r>
        <w:rPr>
          <w:rFonts w:ascii="Times New Roman" w:hAnsi="Times New Roman"/>
        </w:rPr>
        <w:t xml:space="preserve">La Commission européenne continue aussi d’œuvrer à l’amélioration des données ventilées par sexe et des statistiques sexospécifiques dans le domaine de l’action extérieure. Le troisième plan d’action de l’UE sur l’égalité entre les hommes et les femmes souligne l’importance d’établir des rapports et de communiquer à propos des résultats, de mettre en place un système de suivi quantitatif, qualitatif et inclusif afin d’accroître la responsabilité publique, de garantir la transparence et l’accès à l’information et de sensibiliser davantage à l’incidence des efforts employés par l’UE pour promouvoir l’égalité entre les femmes et les hommes et l’autonomisation des femmes et des filles partout dans le monde. </w:t>
      </w:r>
    </w:p>
    <w:p w14:paraId="3441AAF1" w14:textId="72955723" w:rsidR="001431F9" w:rsidRPr="004850DD" w:rsidRDefault="001431F9" w:rsidP="004850DD">
      <w:pPr>
        <w:spacing w:after="120"/>
        <w:rPr>
          <w:rFonts w:ascii="Times New Roman" w:hAnsi="Times New Roman"/>
          <w:b/>
          <w:bCs/>
          <w:i/>
          <w:iCs/>
          <w:szCs w:val="24"/>
        </w:rPr>
      </w:pPr>
    </w:p>
    <w:sectPr w:rsidR="001431F9" w:rsidRPr="004850DD">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2221" w14:textId="77777777" w:rsidR="00007BAA" w:rsidRDefault="00007BAA" w:rsidP="00F42613">
      <w:pPr>
        <w:spacing w:after="0"/>
      </w:pPr>
      <w:r>
        <w:separator/>
      </w:r>
    </w:p>
  </w:endnote>
  <w:endnote w:type="continuationSeparator" w:id="0">
    <w:p w14:paraId="26876A17" w14:textId="77777777" w:rsidR="00007BAA" w:rsidRDefault="00007BAA" w:rsidP="00F42613">
      <w:pPr>
        <w:spacing w:after="0"/>
      </w:pPr>
      <w:r>
        <w:continuationSeparator/>
      </w:r>
    </w:p>
  </w:endnote>
  <w:endnote w:type="continuationNotice" w:id="1">
    <w:p w14:paraId="285842CF" w14:textId="77777777" w:rsidR="00007BAA" w:rsidRDefault="00007B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B2F1" w14:textId="77777777" w:rsidR="00007BAA" w:rsidRDefault="0000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7028" w14:textId="77777777" w:rsidR="00007BAA" w:rsidRDefault="00007BAA" w:rsidP="00F42613">
      <w:pPr>
        <w:spacing w:after="0"/>
      </w:pPr>
      <w:r>
        <w:separator/>
      </w:r>
    </w:p>
  </w:footnote>
  <w:footnote w:type="continuationSeparator" w:id="0">
    <w:p w14:paraId="5C20B23F" w14:textId="77777777" w:rsidR="00007BAA" w:rsidRDefault="00007BAA" w:rsidP="00F42613">
      <w:pPr>
        <w:spacing w:after="0"/>
      </w:pPr>
      <w:r>
        <w:continuationSeparator/>
      </w:r>
    </w:p>
  </w:footnote>
  <w:footnote w:type="continuationNotice" w:id="1">
    <w:p w14:paraId="0A0B2175" w14:textId="77777777" w:rsidR="00007BAA" w:rsidRDefault="00007BAA">
      <w:pPr>
        <w:spacing w:after="0"/>
      </w:pPr>
    </w:p>
  </w:footnote>
  <w:footnote w:id="2">
    <w:p w14:paraId="4539CB96" w14:textId="4A36E351" w:rsidR="00C82495" w:rsidRDefault="00C82495">
      <w:pPr>
        <w:pStyle w:val="FootnoteText"/>
      </w:pPr>
      <w:r>
        <w:rPr>
          <w:rStyle w:val="FootnoteReference"/>
        </w:rPr>
        <w:footnoteRef/>
      </w:r>
      <w:r>
        <w:t xml:space="preserve"> </w:t>
      </w:r>
      <w:hyperlink r:id="rId1" w:history="1">
        <w:r>
          <w:rPr>
            <w:rFonts w:ascii="Times New Roman" w:hAnsi="Times New Roman"/>
            <w:color w:val="0000FF"/>
            <w:sz w:val="24"/>
            <w:u w:val="single"/>
          </w:rPr>
          <w:t>Intégration de l’égalité entre les femmes et les hommes - Commission européenne.</w:t>
        </w:r>
      </w:hyperlink>
    </w:p>
  </w:footnote>
  <w:footnote w:id="3">
    <w:p w14:paraId="61ADEFC3" w14:textId="295DBADF" w:rsidR="00C201B2" w:rsidRPr="00C201B2" w:rsidRDefault="00C201B2" w:rsidP="00C201B2">
      <w:pPr>
        <w:pStyle w:val="NormalWeb"/>
        <w:spacing w:before="0" w:beforeAutospacing="0" w:after="0" w:afterAutospacing="0"/>
        <w:jc w:val="both"/>
        <w:textAlignment w:val="baseline"/>
      </w:pPr>
      <w:r>
        <w:rPr>
          <w:rStyle w:val="FootnoteReference"/>
        </w:rPr>
        <w:footnoteRef/>
      </w:r>
      <w:r>
        <w:t xml:space="preserve"> </w:t>
      </w:r>
      <w:r>
        <w:rPr>
          <w:color w:val="666666"/>
          <w:sz w:val="20"/>
          <w:bdr w:val="none" w:sz="0" w:space="0" w:color="auto" w:frame="1"/>
        </w:rPr>
        <w:t>Le forum Filles dans les STIM est l’évènement phare annuel de l’initiative Girls Go Circular, dirigée par la communauté de l’EIT, en coopération avec l’</w:t>
      </w:r>
      <w:r>
        <w:rPr>
          <w:rStyle w:val="Strong"/>
          <w:b w:val="0"/>
          <w:color w:val="594AB1"/>
          <w:sz w:val="20"/>
          <w:bdr w:val="none" w:sz="0" w:space="0" w:color="auto" w:frame="1"/>
        </w:rPr>
        <w:t>Institut européen d’innovation et de technologie (EIT)</w:t>
      </w:r>
      <w:r>
        <w:rPr>
          <w:b/>
          <w:color w:val="666666"/>
          <w:sz w:val="20"/>
          <w:bdr w:val="none" w:sz="0" w:space="0" w:color="auto" w:frame="1"/>
        </w:rPr>
        <w:t> </w:t>
      </w:r>
      <w:r>
        <w:rPr>
          <w:color w:val="666666"/>
          <w:sz w:val="20"/>
          <w:bdr w:val="none" w:sz="0" w:space="0" w:color="auto" w:frame="1"/>
        </w:rPr>
        <w:t xml:space="preserve">et la </w:t>
      </w:r>
      <w:r>
        <w:rPr>
          <w:rStyle w:val="Strong"/>
          <w:b w:val="0"/>
          <w:color w:val="594AB1"/>
          <w:sz w:val="20"/>
          <w:bdr w:val="none" w:sz="0" w:space="0" w:color="auto" w:frame="1"/>
        </w:rPr>
        <w:t>Commission européenne (DG-EAC)</w:t>
      </w:r>
      <w:r>
        <w:rPr>
          <w:b/>
          <w:color w:val="666666"/>
          <w:sz w:val="20"/>
          <w:bdr w:val="none" w:sz="0" w:space="0" w:color="auto" w:frame="1"/>
        </w:rPr>
        <w:t>.</w:t>
      </w:r>
    </w:p>
  </w:footnote>
  <w:footnote w:id="4">
    <w:p w14:paraId="48015B26" w14:textId="7458A1A5" w:rsidR="00C6759F" w:rsidRPr="00C6759F" w:rsidRDefault="00C6759F">
      <w:pPr>
        <w:pStyle w:val="FootnoteText"/>
      </w:pPr>
      <w:r>
        <w:rPr>
          <w:rStyle w:val="FootnoteReference"/>
        </w:rPr>
        <w:footnoteRef/>
      </w:r>
      <w:r>
        <w:t xml:space="preserve"> </w:t>
      </w:r>
      <w:r>
        <w:rPr>
          <w:rFonts w:ascii="Times New Roman" w:hAnsi="Times New Roman"/>
        </w:rPr>
        <w:t>COM(2025) 89 final.</w:t>
      </w:r>
    </w:p>
  </w:footnote>
  <w:footnote w:id="5">
    <w:p w14:paraId="6C5B38E4" w14:textId="617A1418" w:rsidR="009762AE" w:rsidRPr="009762AE" w:rsidRDefault="009762AE">
      <w:pPr>
        <w:pStyle w:val="FootnoteText"/>
        <w:rPr>
          <w:rFonts w:ascii="Times New Roman" w:hAnsi="Times New Roman"/>
        </w:rPr>
      </w:pPr>
      <w:r>
        <w:rPr>
          <w:rStyle w:val="FootnoteReference"/>
        </w:rPr>
        <w:footnoteRef/>
      </w:r>
      <w:r>
        <w:t xml:space="preserve"> </w:t>
      </w:r>
      <w:r>
        <w:rPr>
          <w:rFonts w:ascii="Times New Roman" w:hAnsi="Times New Roman"/>
        </w:rPr>
        <w:t xml:space="preserve">Règlement (UE, Euratom) 2024/2509 du Parlement européen et du Conseil du 23 septembre 2024 relatif aux règles financières applicables au budget général de l’Union (refonte): </w:t>
      </w:r>
      <w:hyperlink r:id="rId2" w:history="1">
        <w:r>
          <w:rPr>
            <w:rStyle w:val="Hyperlink"/>
            <w:rFonts w:ascii="Times New Roman" w:hAnsi="Times New Roman"/>
          </w:rPr>
          <w:t>règlement financier relatif aux règles applicables au budget général de l’Union (refonte) - Office des publications de l’Union européenne.</w:t>
        </w:r>
      </w:hyperlink>
    </w:p>
  </w:footnote>
  <w:footnote w:id="6">
    <w:p w14:paraId="4A73D955" w14:textId="1D52D34B" w:rsidR="001C70CD" w:rsidRPr="001C70CD" w:rsidRDefault="001C70CD">
      <w:pPr>
        <w:pStyle w:val="FootnoteText"/>
      </w:pPr>
      <w:r>
        <w:rPr>
          <w:rStyle w:val="FootnoteReference"/>
        </w:rPr>
        <w:footnoteRef/>
      </w:r>
      <w:r>
        <w:t xml:space="preserve"> </w:t>
      </w:r>
      <w:hyperlink r:id="rId3" w:tgtFrame="_blank" w:history="1">
        <w:r>
          <w:rPr>
            <w:rFonts w:ascii="Times New Roman" w:hAnsi="Times New Roman"/>
          </w:rPr>
          <w:t>Les six motifs de discrimination énumérés dans le traité sur le fonctionnement de l’Union européenne sont le sexe, la race ou l’origine ethnique, la religion ou les convictions, un handicap, l’âge ou l’orientation sexuelle</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877A" w14:textId="77777777" w:rsidR="00007BAA" w:rsidRDefault="00007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409"/>
    <w:multiLevelType w:val="hybridMultilevel"/>
    <w:tmpl w:val="35E4B7C4"/>
    <w:lvl w:ilvl="0" w:tplc="7E946180">
      <w:start w:val="1"/>
      <w:numFmt w:val="bullet"/>
      <w:lvlText w:val="·"/>
      <w:lvlJc w:val="left"/>
      <w:pPr>
        <w:ind w:left="720" w:hanging="360"/>
      </w:pPr>
      <w:rPr>
        <w:rFonts w:ascii="Symbol" w:hAnsi="Symbol" w:hint="default"/>
      </w:rPr>
    </w:lvl>
    <w:lvl w:ilvl="1" w:tplc="064A7DAE">
      <w:start w:val="1"/>
      <w:numFmt w:val="bullet"/>
      <w:lvlText w:val="o"/>
      <w:lvlJc w:val="left"/>
      <w:pPr>
        <w:ind w:left="1440" w:hanging="360"/>
      </w:pPr>
      <w:rPr>
        <w:rFonts w:ascii="Courier New" w:hAnsi="Courier New" w:hint="default"/>
      </w:rPr>
    </w:lvl>
    <w:lvl w:ilvl="2" w:tplc="02D4E1DA">
      <w:start w:val="1"/>
      <w:numFmt w:val="bullet"/>
      <w:lvlText w:val=""/>
      <w:lvlJc w:val="left"/>
      <w:pPr>
        <w:ind w:left="2160" w:hanging="360"/>
      </w:pPr>
      <w:rPr>
        <w:rFonts w:ascii="Wingdings" w:hAnsi="Wingdings" w:hint="default"/>
      </w:rPr>
    </w:lvl>
    <w:lvl w:ilvl="3" w:tplc="0E94ACB6">
      <w:start w:val="1"/>
      <w:numFmt w:val="bullet"/>
      <w:lvlText w:val=""/>
      <w:lvlJc w:val="left"/>
      <w:pPr>
        <w:ind w:left="2880" w:hanging="360"/>
      </w:pPr>
      <w:rPr>
        <w:rFonts w:ascii="Symbol" w:hAnsi="Symbol" w:hint="default"/>
      </w:rPr>
    </w:lvl>
    <w:lvl w:ilvl="4" w:tplc="58DC58C2">
      <w:start w:val="1"/>
      <w:numFmt w:val="bullet"/>
      <w:lvlText w:val="o"/>
      <w:lvlJc w:val="left"/>
      <w:pPr>
        <w:ind w:left="3600" w:hanging="360"/>
      </w:pPr>
      <w:rPr>
        <w:rFonts w:ascii="Courier New" w:hAnsi="Courier New" w:hint="default"/>
      </w:rPr>
    </w:lvl>
    <w:lvl w:ilvl="5" w:tplc="6994C84C">
      <w:start w:val="1"/>
      <w:numFmt w:val="bullet"/>
      <w:lvlText w:val=""/>
      <w:lvlJc w:val="left"/>
      <w:pPr>
        <w:ind w:left="4320" w:hanging="360"/>
      </w:pPr>
      <w:rPr>
        <w:rFonts w:ascii="Wingdings" w:hAnsi="Wingdings" w:hint="default"/>
      </w:rPr>
    </w:lvl>
    <w:lvl w:ilvl="6" w:tplc="B7A832CC">
      <w:start w:val="1"/>
      <w:numFmt w:val="bullet"/>
      <w:lvlText w:val=""/>
      <w:lvlJc w:val="left"/>
      <w:pPr>
        <w:ind w:left="5040" w:hanging="360"/>
      </w:pPr>
      <w:rPr>
        <w:rFonts w:ascii="Symbol" w:hAnsi="Symbol" w:hint="default"/>
      </w:rPr>
    </w:lvl>
    <w:lvl w:ilvl="7" w:tplc="1730E2BC">
      <w:start w:val="1"/>
      <w:numFmt w:val="bullet"/>
      <w:lvlText w:val="o"/>
      <w:lvlJc w:val="left"/>
      <w:pPr>
        <w:ind w:left="5760" w:hanging="360"/>
      </w:pPr>
      <w:rPr>
        <w:rFonts w:ascii="Courier New" w:hAnsi="Courier New" w:hint="default"/>
      </w:rPr>
    </w:lvl>
    <w:lvl w:ilvl="8" w:tplc="F94426C4">
      <w:start w:val="1"/>
      <w:numFmt w:val="bullet"/>
      <w:lvlText w:val=""/>
      <w:lvlJc w:val="left"/>
      <w:pPr>
        <w:ind w:left="6480" w:hanging="360"/>
      </w:pPr>
      <w:rPr>
        <w:rFonts w:ascii="Wingdings" w:hAnsi="Wingdings" w:hint="default"/>
      </w:rPr>
    </w:lvl>
  </w:abstractNum>
  <w:abstractNum w:abstractNumId="1" w15:restartNumberingAfterBreak="0">
    <w:nsid w:val="0C654D06"/>
    <w:multiLevelType w:val="hybridMultilevel"/>
    <w:tmpl w:val="72A6AB30"/>
    <w:lvl w:ilvl="0" w:tplc="BA748BA4">
      <w:start w:val="1"/>
      <w:numFmt w:val="bullet"/>
      <w:lvlText w:val="·"/>
      <w:lvlJc w:val="left"/>
      <w:pPr>
        <w:ind w:left="720" w:hanging="360"/>
      </w:pPr>
      <w:rPr>
        <w:rFonts w:ascii="Symbol" w:hAnsi="Symbol" w:hint="default"/>
      </w:rPr>
    </w:lvl>
    <w:lvl w:ilvl="1" w:tplc="7D127DCC">
      <w:start w:val="1"/>
      <w:numFmt w:val="bullet"/>
      <w:lvlText w:val="o"/>
      <w:lvlJc w:val="left"/>
      <w:pPr>
        <w:ind w:left="1440" w:hanging="360"/>
      </w:pPr>
      <w:rPr>
        <w:rFonts w:ascii="Courier New" w:hAnsi="Courier New" w:hint="default"/>
      </w:rPr>
    </w:lvl>
    <w:lvl w:ilvl="2" w:tplc="98625E40">
      <w:start w:val="1"/>
      <w:numFmt w:val="bullet"/>
      <w:lvlText w:val=""/>
      <w:lvlJc w:val="left"/>
      <w:pPr>
        <w:ind w:left="2160" w:hanging="360"/>
      </w:pPr>
      <w:rPr>
        <w:rFonts w:ascii="Wingdings" w:hAnsi="Wingdings" w:hint="default"/>
      </w:rPr>
    </w:lvl>
    <w:lvl w:ilvl="3" w:tplc="267E2C00">
      <w:start w:val="1"/>
      <w:numFmt w:val="bullet"/>
      <w:lvlText w:val=""/>
      <w:lvlJc w:val="left"/>
      <w:pPr>
        <w:ind w:left="2880" w:hanging="360"/>
      </w:pPr>
      <w:rPr>
        <w:rFonts w:ascii="Symbol" w:hAnsi="Symbol" w:hint="default"/>
      </w:rPr>
    </w:lvl>
    <w:lvl w:ilvl="4" w:tplc="525281D2">
      <w:start w:val="1"/>
      <w:numFmt w:val="bullet"/>
      <w:lvlText w:val="o"/>
      <w:lvlJc w:val="left"/>
      <w:pPr>
        <w:ind w:left="3600" w:hanging="360"/>
      </w:pPr>
      <w:rPr>
        <w:rFonts w:ascii="Courier New" w:hAnsi="Courier New" w:hint="default"/>
      </w:rPr>
    </w:lvl>
    <w:lvl w:ilvl="5" w:tplc="CC985C1A">
      <w:start w:val="1"/>
      <w:numFmt w:val="bullet"/>
      <w:lvlText w:val=""/>
      <w:lvlJc w:val="left"/>
      <w:pPr>
        <w:ind w:left="4320" w:hanging="360"/>
      </w:pPr>
      <w:rPr>
        <w:rFonts w:ascii="Wingdings" w:hAnsi="Wingdings" w:hint="default"/>
      </w:rPr>
    </w:lvl>
    <w:lvl w:ilvl="6" w:tplc="E3E0B970">
      <w:start w:val="1"/>
      <w:numFmt w:val="bullet"/>
      <w:lvlText w:val=""/>
      <w:lvlJc w:val="left"/>
      <w:pPr>
        <w:ind w:left="5040" w:hanging="360"/>
      </w:pPr>
      <w:rPr>
        <w:rFonts w:ascii="Symbol" w:hAnsi="Symbol" w:hint="default"/>
      </w:rPr>
    </w:lvl>
    <w:lvl w:ilvl="7" w:tplc="831E99C2">
      <w:start w:val="1"/>
      <w:numFmt w:val="bullet"/>
      <w:lvlText w:val="o"/>
      <w:lvlJc w:val="left"/>
      <w:pPr>
        <w:ind w:left="5760" w:hanging="360"/>
      </w:pPr>
      <w:rPr>
        <w:rFonts w:ascii="Courier New" w:hAnsi="Courier New" w:hint="default"/>
      </w:rPr>
    </w:lvl>
    <w:lvl w:ilvl="8" w:tplc="0C28D280">
      <w:start w:val="1"/>
      <w:numFmt w:val="bullet"/>
      <w:lvlText w:val=""/>
      <w:lvlJc w:val="left"/>
      <w:pPr>
        <w:ind w:left="6480" w:hanging="360"/>
      </w:pPr>
      <w:rPr>
        <w:rFonts w:ascii="Wingdings" w:hAnsi="Wingdings" w:hint="default"/>
      </w:rPr>
    </w:lvl>
  </w:abstractNum>
  <w:abstractNum w:abstractNumId="2"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9F025A5"/>
    <w:multiLevelType w:val="hybridMultilevel"/>
    <w:tmpl w:val="FFFFFFFF"/>
    <w:lvl w:ilvl="0" w:tplc="2410F220">
      <w:start w:val="1"/>
      <w:numFmt w:val="bullet"/>
      <w:lvlText w:val=""/>
      <w:lvlJc w:val="left"/>
      <w:pPr>
        <w:ind w:left="720" w:hanging="360"/>
      </w:pPr>
      <w:rPr>
        <w:rFonts w:ascii="Symbol" w:hAnsi="Symbol" w:hint="default"/>
      </w:rPr>
    </w:lvl>
    <w:lvl w:ilvl="1" w:tplc="6D445724">
      <w:start w:val="1"/>
      <w:numFmt w:val="bullet"/>
      <w:lvlText w:val="o"/>
      <w:lvlJc w:val="left"/>
      <w:pPr>
        <w:ind w:left="1440" w:hanging="360"/>
      </w:pPr>
      <w:rPr>
        <w:rFonts w:ascii="Courier New" w:hAnsi="Courier New" w:hint="default"/>
      </w:rPr>
    </w:lvl>
    <w:lvl w:ilvl="2" w:tplc="732615AE">
      <w:start w:val="1"/>
      <w:numFmt w:val="bullet"/>
      <w:lvlText w:val=""/>
      <w:lvlJc w:val="left"/>
      <w:pPr>
        <w:ind w:left="2160" w:hanging="360"/>
      </w:pPr>
      <w:rPr>
        <w:rFonts w:ascii="Wingdings" w:hAnsi="Wingdings" w:hint="default"/>
      </w:rPr>
    </w:lvl>
    <w:lvl w:ilvl="3" w:tplc="FE220394">
      <w:start w:val="1"/>
      <w:numFmt w:val="bullet"/>
      <w:lvlText w:val=""/>
      <w:lvlJc w:val="left"/>
      <w:pPr>
        <w:ind w:left="2880" w:hanging="360"/>
      </w:pPr>
      <w:rPr>
        <w:rFonts w:ascii="Symbol" w:hAnsi="Symbol" w:hint="default"/>
      </w:rPr>
    </w:lvl>
    <w:lvl w:ilvl="4" w:tplc="ABCC56D4">
      <w:start w:val="1"/>
      <w:numFmt w:val="bullet"/>
      <w:lvlText w:val="o"/>
      <w:lvlJc w:val="left"/>
      <w:pPr>
        <w:ind w:left="3600" w:hanging="360"/>
      </w:pPr>
      <w:rPr>
        <w:rFonts w:ascii="Courier New" w:hAnsi="Courier New" w:hint="default"/>
      </w:rPr>
    </w:lvl>
    <w:lvl w:ilvl="5" w:tplc="94A871CE">
      <w:start w:val="1"/>
      <w:numFmt w:val="bullet"/>
      <w:lvlText w:val=""/>
      <w:lvlJc w:val="left"/>
      <w:pPr>
        <w:ind w:left="4320" w:hanging="360"/>
      </w:pPr>
      <w:rPr>
        <w:rFonts w:ascii="Wingdings" w:hAnsi="Wingdings" w:hint="default"/>
      </w:rPr>
    </w:lvl>
    <w:lvl w:ilvl="6" w:tplc="60EA57AA">
      <w:start w:val="1"/>
      <w:numFmt w:val="bullet"/>
      <w:lvlText w:val=""/>
      <w:lvlJc w:val="left"/>
      <w:pPr>
        <w:ind w:left="5040" w:hanging="360"/>
      </w:pPr>
      <w:rPr>
        <w:rFonts w:ascii="Symbol" w:hAnsi="Symbol" w:hint="default"/>
      </w:rPr>
    </w:lvl>
    <w:lvl w:ilvl="7" w:tplc="695693FA">
      <w:start w:val="1"/>
      <w:numFmt w:val="bullet"/>
      <w:lvlText w:val="o"/>
      <w:lvlJc w:val="left"/>
      <w:pPr>
        <w:ind w:left="5760" w:hanging="360"/>
      </w:pPr>
      <w:rPr>
        <w:rFonts w:ascii="Courier New" w:hAnsi="Courier New" w:hint="default"/>
      </w:rPr>
    </w:lvl>
    <w:lvl w:ilvl="8" w:tplc="83700686">
      <w:start w:val="1"/>
      <w:numFmt w:val="bullet"/>
      <w:lvlText w:val=""/>
      <w:lvlJc w:val="left"/>
      <w:pPr>
        <w:ind w:left="6480" w:hanging="360"/>
      </w:pPr>
      <w:rPr>
        <w:rFonts w:ascii="Wingdings" w:hAnsi="Wingdings" w:hint="default"/>
      </w:rPr>
    </w:lvl>
  </w:abstractNum>
  <w:abstractNum w:abstractNumId="4" w15:restartNumberingAfterBreak="0">
    <w:nsid w:val="26B2AB4A"/>
    <w:multiLevelType w:val="hybridMultilevel"/>
    <w:tmpl w:val="27E4B33C"/>
    <w:lvl w:ilvl="0" w:tplc="75606BAC">
      <w:start w:val="1"/>
      <w:numFmt w:val="bullet"/>
      <w:lvlText w:val="·"/>
      <w:lvlJc w:val="left"/>
      <w:pPr>
        <w:ind w:left="720" w:hanging="360"/>
      </w:pPr>
      <w:rPr>
        <w:rFonts w:ascii="Symbol" w:hAnsi="Symbol" w:hint="default"/>
      </w:rPr>
    </w:lvl>
    <w:lvl w:ilvl="1" w:tplc="07B4FE90">
      <w:start w:val="1"/>
      <w:numFmt w:val="bullet"/>
      <w:lvlText w:val="o"/>
      <w:lvlJc w:val="left"/>
      <w:pPr>
        <w:ind w:left="1440" w:hanging="360"/>
      </w:pPr>
      <w:rPr>
        <w:rFonts w:ascii="Courier New" w:hAnsi="Courier New" w:hint="default"/>
      </w:rPr>
    </w:lvl>
    <w:lvl w:ilvl="2" w:tplc="5DF87784">
      <w:start w:val="1"/>
      <w:numFmt w:val="bullet"/>
      <w:lvlText w:val=""/>
      <w:lvlJc w:val="left"/>
      <w:pPr>
        <w:ind w:left="2160" w:hanging="360"/>
      </w:pPr>
      <w:rPr>
        <w:rFonts w:ascii="Wingdings" w:hAnsi="Wingdings" w:hint="default"/>
      </w:rPr>
    </w:lvl>
    <w:lvl w:ilvl="3" w:tplc="9A842EC2">
      <w:start w:val="1"/>
      <w:numFmt w:val="bullet"/>
      <w:lvlText w:val=""/>
      <w:lvlJc w:val="left"/>
      <w:pPr>
        <w:ind w:left="2880" w:hanging="360"/>
      </w:pPr>
      <w:rPr>
        <w:rFonts w:ascii="Symbol" w:hAnsi="Symbol" w:hint="default"/>
      </w:rPr>
    </w:lvl>
    <w:lvl w:ilvl="4" w:tplc="27AC7BF8">
      <w:start w:val="1"/>
      <w:numFmt w:val="bullet"/>
      <w:lvlText w:val="o"/>
      <w:lvlJc w:val="left"/>
      <w:pPr>
        <w:ind w:left="3600" w:hanging="360"/>
      </w:pPr>
      <w:rPr>
        <w:rFonts w:ascii="Courier New" w:hAnsi="Courier New" w:hint="default"/>
      </w:rPr>
    </w:lvl>
    <w:lvl w:ilvl="5" w:tplc="50BA588E">
      <w:start w:val="1"/>
      <w:numFmt w:val="bullet"/>
      <w:lvlText w:val=""/>
      <w:lvlJc w:val="left"/>
      <w:pPr>
        <w:ind w:left="4320" w:hanging="360"/>
      </w:pPr>
      <w:rPr>
        <w:rFonts w:ascii="Wingdings" w:hAnsi="Wingdings" w:hint="default"/>
      </w:rPr>
    </w:lvl>
    <w:lvl w:ilvl="6" w:tplc="97C864EC">
      <w:start w:val="1"/>
      <w:numFmt w:val="bullet"/>
      <w:lvlText w:val=""/>
      <w:lvlJc w:val="left"/>
      <w:pPr>
        <w:ind w:left="5040" w:hanging="360"/>
      </w:pPr>
      <w:rPr>
        <w:rFonts w:ascii="Symbol" w:hAnsi="Symbol" w:hint="default"/>
      </w:rPr>
    </w:lvl>
    <w:lvl w:ilvl="7" w:tplc="1D0A53F4">
      <w:start w:val="1"/>
      <w:numFmt w:val="bullet"/>
      <w:lvlText w:val="o"/>
      <w:lvlJc w:val="left"/>
      <w:pPr>
        <w:ind w:left="5760" w:hanging="360"/>
      </w:pPr>
      <w:rPr>
        <w:rFonts w:ascii="Courier New" w:hAnsi="Courier New" w:hint="default"/>
      </w:rPr>
    </w:lvl>
    <w:lvl w:ilvl="8" w:tplc="4C48E3D0">
      <w:start w:val="1"/>
      <w:numFmt w:val="bullet"/>
      <w:lvlText w:val=""/>
      <w:lvlJc w:val="left"/>
      <w:pPr>
        <w:ind w:left="6480" w:hanging="360"/>
      </w:pPr>
      <w:rPr>
        <w:rFonts w:ascii="Wingdings" w:hAnsi="Wingdings" w:hint="default"/>
      </w:rPr>
    </w:lvl>
  </w:abstractNum>
  <w:abstractNum w:abstractNumId="5" w15:restartNumberingAfterBreak="0">
    <w:nsid w:val="28575223"/>
    <w:multiLevelType w:val="multilevel"/>
    <w:tmpl w:val="8ED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A3AAE"/>
    <w:multiLevelType w:val="multilevel"/>
    <w:tmpl w:val="C05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D3AB4"/>
    <w:multiLevelType w:val="hybridMultilevel"/>
    <w:tmpl w:val="B11AB50E"/>
    <w:lvl w:ilvl="0" w:tplc="575CC7C0">
      <w:start w:val="1"/>
      <w:numFmt w:val="bullet"/>
      <w:lvlText w:val="·"/>
      <w:lvlJc w:val="left"/>
      <w:pPr>
        <w:ind w:left="720" w:hanging="360"/>
      </w:pPr>
      <w:rPr>
        <w:rFonts w:ascii="Symbol" w:hAnsi="Symbol" w:hint="default"/>
      </w:rPr>
    </w:lvl>
    <w:lvl w:ilvl="1" w:tplc="C5AA8B84">
      <w:start w:val="1"/>
      <w:numFmt w:val="bullet"/>
      <w:lvlText w:val="o"/>
      <w:lvlJc w:val="left"/>
      <w:pPr>
        <w:ind w:left="1440" w:hanging="360"/>
      </w:pPr>
      <w:rPr>
        <w:rFonts w:ascii="Courier New" w:hAnsi="Courier New" w:hint="default"/>
      </w:rPr>
    </w:lvl>
    <w:lvl w:ilvl="2" w:tplc="D94AA29C">
      <w:start w:val="1"/>
      <w:numFmt w:val="bullet"/>
      <w:lvlText w:val=""/>
      <w:lvlJc w:val="left"/>
      <w:pPr>
        <w:ind w:left="2160" w:hanging="360"/>
      </w:pPr>
      <w:rPr>
        <w:rFonts w:ascii="Wingdings" w:hAnsi="Wingdings" w:hint="default"/>
      </w:rPr>
    </w:lvl>
    <w:lvl w:ilvl="3" w:tplc="BCFE0E02">
      <w:start w:val="1"/>
      <w:numFmt w:val="bullet"/>
      <w:lvlText w:val=""/>
      <w:lvlJc w:val="left"/>
      <w:pPr>
        <w:ind w:left="2880" w:hanging="360"/>
      </w:pPr>
      <w:rPr>
        <w:rFonts w:ascii="Symbol" w:hAnsi="Symbol" w:hint="default"/>
      </w:rPr>
    </w:lvl>
    <w:lvl w:ilvl="4" w:tplc="E72C33CC">
      <w:start w:val="1"/>
      <w:numFmt w:val="bullet"/>
      <w:lvlText w:val="o"/>
      <w:lvlJc w:val="left"/>
      <w:pPr>
        <w:ind w:left="3600" w:hanging="360"/>
      </w:pPr>
      <w:rPr>
        <w:rFonts w:ascii="Courier New" w:hAnsi="Courier New" w:hint="default"/>
      </w:rPr>
    </w:lvl>
    <w:lvl w:ilvl="5" w:tplc="67DCF6FC">
      <w:start w:val="1"/>
      <w:numFmt w:val="bullet"/>
      <w:lvlText w:val=""/>
      <w:lvlJc w:val="left"/>
      <w:pPr>
        <w:ind w:left="4320" w:hanging="360"/>
      </w:pPr>
      <w:rPr>
        <w:rFonts w:ascii="Wingdings" w:hAnsi="Wingdings" w:hint="default"/>
      </w:rPr>
    </w:lvl>
    <w:lvl w:ilvl="6" w:tplc="C97A0096">
      <w:start w:val="1"/>
      <w:numFmt w:val="bullet"/>
      <w:lvlText w:val=""/>
      <w:lvlJc w:val="left"/>
      <w:pPr>
        <w:ind w:left="5040" w:hanging="360"/>
      </w:pPr>
      <w:rPr>
        <w:rFonts w:ascii="Symbol" w:hAnsi="Symbol" w:hint="default"/>
      </w:rPr>
    </w:lvl>
    <w:lvl w:ilvl="7" w:tplc="C7467F8A">
      <w:start w:val="1"/>
      <w:numFmt w:val="bullet"/>
      <w:lvlText w:val="o"/>
      <w:lvlJc w:val="left"/>
      <w:pPr>
        <w:ind w:left="5760" w:hanging="360"/>
      </w:pPr>
      <w:rPr>
        <w:rFonts w:ascii="Courier New" w:hAnsi="Courier New" w:hint="default"/>
      </w:rPr>
    </w:lvl>
    <w:lvl w:ilvl="8" w:tplc="2F3A3FE2">
      <w:start w:val="1"/>
      <w:numFmt w:val="bullet"/>
      <w:lvlText w:val=""/>
      <w:lvlJc w:val="left"/>
      <w:pPr>
        <w:ind w:left="6480" w:hanging="360"/>
      </w:pPr>
      <w:rPr>
        <w:rFonts w:ascii="Wingdings" w:hAnsi="Wingdings" w:hint="default"/>
      </w:rPr>
    </w:lvl>
  </w:abstractNum>
  <w:abstractNum w:abstractNumId="8" w15:restartNumberingAfterBreak="0">
    <w:nsid w:val="34F30B3F"/>
    <w:multiLevelType w:val="multilevel"/>
    <w:tmpl w:val="2FE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35D97"/>
    <w:multiLevelType w:val="hybridMultilevel"/>
    <w:tmpl w:val="3D8C9A1C"/>
    <w:lvl w:ilvl="0" w:tplc="8C983F9A">
      <w:start w:val="1"/>
      <w:numFmt w:val="bullet"/>
      <w:lvlText w:val="·"/>
      <w:lvlJc w:val="left"/>
      <w:pPr>
        <w:ind w:left="720" w:hanging="360"/>
      </w:pPr>
      <w:rPr>
        <w:rFonts w:ascii="Symbol" w:hAnsi="Symbol" w:hint="default"/>
      </w:rPr>
    </w:lvl>
    <w:lvl w:ilvl="1" w:tplc="6A804678">
      <w:start w:val="1"/>
      <w:numFmt w:val="bullet"/>
      <w:lvlText w:val="o"/>
      <w:lvlJc w:val="left"/>
      <w:pPr>
        <w:ind w:left="1440" w:hanging="360"/>
      </w:pPr>
      <w:rPr>
        <w:rFonts w:ascii="Courier New" w:hAnsi="Courier New" w:hint="default"/>
      </w:rPr>
    </w:lvl>
    <w:lvl w:ilvl="2" w:tplc="F8126ED2">
      <w:start w:val="1"/>
      <w:numFmt w:val="bullet"/>
      <w:lvlText w:val=""/>
      <w:lvlJc w:val="left"/>
      <w:pPr>
        <w:ind w:left="2160" w:hanging="360"/>
      </w:pPr>
      <w:rPr>
        <w:rFonts w:ascii="Wingdings" w:hAnsi="Wingdings" w:hint="default"/>
      </w:rPr>
    </w:lvl>
    <w:lvl w:ilvl="3" w:tplc="E1C626D8">
      <w:start w:val="1"/>
      <w:numFmt w:val="bullet"/>
      <w:lvlText w:val=""/>
      <w:lvlJc w:val="left"/>
      <w:pPr>
        <w:ind w:left="2880" w:hanging="360"/>
      </w:pPr>
      <w:rPr>
        <w:rFonts w:ascii="Symbol" w:hAnsi="Symbol" w:hint="default"/>
      </w:rPr>
    </w:lvl>
    <w:lvl w:ilvl="4" w:tplc="6F08091A">
      <w:start w:val="1"/>
      <w:numFmt w:val="bullet"/>
      <w:lvlText w:val="o"/>
      <w:lvlJc w:val="left"/>
      <w:pPr>
        <w:ind w:left="3600" w:hanging="360"/>
      </w:pPr>
      <w:rPr>
        <w:rFonts w:ascii="Courier New" w:hAnsi="Courier New" w:hint="default"/>
      </w:rPr>
    </w:lvl>
    <w:lvl w:ilvl="5" w:tplc="8076A9DC">
      <w:start w:val="1"/>
      <w:numFmt w:val="bullet"/>
      <w:lvlText w:val=""/>
      <w:lvlJc w:val="left"/>
      <w:pPr>
        <w:ind w:left="4320" w:hanging="360"/>
      </w:pPr>
      <w:rPr>
        <w:rFonts w:ascii="Wingdings" w:hAnsi="Wingdings" w:hint="default"/>
      </w:rPr>
    </w:lvl>
    <w:lvl w:ilvl="6" w:tplc="0F78E6CA">
      <w:start w:val="1"/>
      <w:numFmt w:val="bullet"/>
      <w:lvlText w:val=""/>
      <w:lvlJc w:val="left"/>
      <w:pPr>
        <w:ind w:left="5040" w:hanging="360"/>
      </w:pPr>
      <w:rPr>
        <w:rFonts w:ascii="Symbol" w:hAnsi="Symbol" w:hint="default"/>
      </w:rPr>
    </w:lvl>
    <w:lvl w:ilvl="7" w:tplc="8F7888AE">
      <w:start w:val="1"/>
      <w:numFmt w:val="bullet"/>
      <w:lvlText w:val="o"/>
      <w:lvlJc w:val="left"/>
      <w:pPr>
        <w:ind w:left="5760" w:hanging="360"/>
      </w:pPr>
      <w:rPr>
        <w:rFonts w:ascii="Courier New" w:hAnsi="Courier New" w:hint="default"/>
      </w:rPr>
    </w:lvl>
    <w:lvl w:ilvl="8" w:tplc="149AA838">
      <w:start w:val="1"/>
      <w:numFmt w:val="bullet"/>
      <w:lvlText w:val=""/>
      <w:lvlJc w:val="left"/>
      <w:pPr>
        <w:ind w:left="6480" w:hanging="360"/>
      </w:pPr>
      <w:rPr>
        <w:rFonts w:ascii="Wingdings" w:hAnsi="Wingdings" w:hint="default"/>
      </w:rPr>
    </w:lvl>
  </w:abstractNum>
  <w:abstractNum w:abstractNumId="10" w15:restartNumberingAfterBreak="0">
    <w:nsid w:val="3AE073E4"/>
    <w:multiLevelType w:val="hybridMultilevel"/>
    <w:tmpl w:val="8CE22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A454115"/>
    <w:multiLevelType w:val="hybridMultilevel"/>
    <w:tmpl w:val="FFFFFFFF"/>
    <w:lvl w:ilvl="0" w:tplc="51D6DF68">
      <w:start w:val="1"/>
      <w:numFmt w:val="bullet"/>
      <w:lvlText w:val="·"/>
      <w:lvlJc w:val="left"/>
      <w:pPr>
        <w:ind w:left="720" w:hanging="360"/>
      </w:pPr>
      <w:rPr>
        <w:rFonts w:ascii="Symbol" w:hAnsi="Symbol" w:hint="default"/>
      </w:rPr>
    </w:lvl>
    <w:lvl w:ilvl="1" w:tplc="2442654C">
      <w:start w:val="1"/>
      <w:numFmt w:val="bullet"/>
      <w:lvlText w:val="o"/>
      <w:lvlJc w:val="left"/>
      <w:pPr>
        <w:ind w:left="1440" w:hanging="360"/>
      </w:pPr>
      <w:rPr>
        <w:rFonts w:ascii="Courier New" w:hAnsi="Courier New" w:hint="default"/>
      </w:rPr>
    </w:lvl>
    <w:lvl w:ilvl="2" w:tplc="7658A784">
      <w:start w:val="1"/>
      <w:numFmt w:val="bullet"/>
      <w:lvlText w:val=""/>
      <w:lvlJc w:val="left"/>
      <w:pPr>
        <w:ind w:left="2160" w:hanging="360"/>
      </w:pPr>
      <w:rPr>
        <w:rFonts w:ascii="Wingdings" w:hAnsi="Wingdings" w:hint="default"/>
      </w:rPr>
    </w:lvl>
    <w:lvl w:ilvl="3" w:tplc="0E149018">
      <w:start w:val="1"/>
      <w:numFmt w:val="bullet"/>
      <w:lvlText w:val=""/>
      <w:lvlJc w:val="left"/>
      <w:pPr>
        <w:ind w:left="2880" w:hanging="360"/>
      </w:pPr>
      <w:rPr>
        <w:rFonts w:ascii="Symbol" w:hAnsi="Symbol" w:hint="default"/>
      </w:rPr>
    </w:lvl>
    <w:lvl w:ilvl="4" w:tplc="4C92D9B6">
      <w:start w:val="1"/>
      <w:numFmt w:val="bullet"/>
      <w:lvlText w:val="o"/>
      <w:lvlJc w:val="left"/>
      <w:pPr>
        <w:ind w:left="3600" w:hanging="360"/>
      </w:pPr>
      <w:rPr>
        <w:rFonts w:ascii="Courier New" w:hAnsi="Courier New" w:hint="default"/>
      </w:rPr>
    </w:lvl>
    <w:lvl w:ilvl="5" w:tplc="BFCECF1A">
      <w:start w:val="1"/>
      <w:numFmt w:val="bullet"/>
      <w:lvlText w:val=""/>
      <w:lvlJc w:val="left"/>
      <w:pPr>
        <w:ind w:left="4320" w:hanging="360"/>
      </w:pPr>
      <w:rPr>
        <w:rFonts w:ascii="Wingdings" w:hAnsi="Wingdings" w:hint="default"/>
      </w:rPr>
    </w:lvl>
    <w:lvl w:ilvl="6" w:tplc="A01E1610">
      <w:start w:val="1"/>
      <w:numFmt w:val="bullet"/>
      <w:lvlText w:val=""/>
      <w:lvlJc w:val="left"/>
      <w:pPr>
        <w:ind w:left="5040" w:hanging="360"/>
      </w:pPr>
      <w:rPr>
        <w:rFonts w:ascii="Symbol" w:hAnsi="Symbol" w:hint="default"/>
      </w:rPr>
    </w:lvl>
    <w:lvl w:ilvl="7" w:tplc="CC52F354">
      <w:start w:val="1"/>
      <w:numFmt w:val="bullet"/>
      <w:lvlText w:val="o"/>
      <w:lvlJc w:val="left"/>
      <w:pPr>
        <w:ind w:left="5760" w:hanging="360"/>
      </w:pPr>
      <w:rPr>
        <w:rFonts w:ascii="Courier New" w:hAnsi="Courier New" w:hint="default"/>
      </w:rPr>
    </w:lvl>
    <w:lvl w:ilvl="8" w:tplc="A54CFD7A">
      <w:start w:val="1"/>
      <w:numFmt w:val="bullet"/>
      <w:lvlText w:val=""/>
      <w:lvlJc w:val="left"/>
      <w:pPr>
        <w:ind w:left="6480" w:hanging="360"/>
      </w:pPr>
      <w:rPr>
        <w:rFonts w:ascii="Wingdings" w:hAnsi="Wingdings" w:hint="default"/>
      </w:rPr>
    </w:lvl>
  </w:abstractNum>
  <w:abstractNum w:abstractNumId="12" w15:restartNumberingAfterBreak="0">
    <w:nsid w:val="5E90B01A"/>
    <w:multiLevelType w:val="hybridMultilevel"/>
    <w:tmpl w:val="FFFFFFFF"/>
    <w:lvl w:ilvl="0" w:tplc="FFFFFFFF">
      <w:start w:val="1"/>
      <w:numFmt w:val="bullet"/>
      <w:lvlText w:val="·"/>
      <w:lvlJc w:val="left"/>
      <w:pPr>
        <w:ind w:left="720" w:hanging="360"/>
      </w:pPr>
      <w:rPr>
        <w:rFonts w:ascii="Symbol" w:hAnsi="Symbol" w:hint="default"/>
      </w:rPr>
    </w:lvl>
    <w:lvl w:ilvl="1" w:tplc="24D2D66A">
      <w:start w:val="1"/>
      <w:numFmt w:val="bullet"/>
      <w:lvlText w:val="o"/>
      <w:lvlJc w:val="left"/>
      <w:pPr>
        <w:ind w:left="1440" w:hanging="360"/>
      </w:pPr>
      <w:rPr>
        <w:rFonts w:ascii="Courier New" w:hAnsi="Courier New" w:cs="Times New Roman" w:hint="default"/>
      </w:rPr>
    </w:lvl>
    <w:lvl w:ilvl="2" w:tplc="5EBCDAD6">
      <w:start w:val="1"/>
      <w:numFmt w:val="bullet"/>
      <w:lvlText w:val=""/>
      <w:lvlJc w:val="left"/>
      <w:pPr>
        <w:ind w:left="2160" w:hanging="360"/>
      </w:pPr>
      <w:rPr>
        <w:rFonts w:ascii="Wingdings" w:hAnsi="Wingdings" w:hint="default"/>
      </w:rPr>
    </w:lvl>
    <w:lvl w:ilvl="3" w:tplc="BE30D6DA">
      <w:start w:val="1"/>
      <w:numFmt w:val="bullet"/>
      <w:lvlText w:val=""/>
      <w:lvlJc w:val="left"/>
      <w:pPr>
        <w:ind w:left="2880" w:hanging="360"/>
      </w:pPr>
      <w:rPr>
        <w:rFonts w:ascii="Symbol" w:hAnsi="Symbol" w:hint="default"/>
      </w:rPr>
    </w:lvl>
    <w:lvl w:ilvl="4" w:tplc="E172652E">
      <w:start w:val="1"/>
      <w:numFmt w:val="bullet"/>
      <w:lvlText w:val="o"/>
      <w:lvlJc w:val="left"/>
      <w:pPr>
        <w:ind w:left="3600" w:hanging="360"/>
      </w:pPr>
      <w:rPr>
        <w:rFonts w:ascii="Courier New" w:hAnsi="Courier New" w:cs="Times New Roman" w:hint="default"/>
      </w:rPr>
    </w:lvl>
    <w:lvl w:ilvl="5" w:tplc="FDCAD45C">
      <w:start w:val="1"/>
      <w:numFmt w:val="bullet"/>
      <w:lvlText w:val=""/>
      <w:lvlJc w:val="left"/>
      <w:pPr>
        <w:ind w:left="4320" w:hanging="360"/>
      </w:pPr>
      <w:rPr>
        <w:rFonts w:ascii="Wingdings" w:hAnsi="Wingdings" w:hint="default"/>
      </w:rPr>
    </w:lvl>
    <w:lvl w:ilvl="6" w:tplc="6F3CD866">
      <w:start w:val="1"/>
      <w:numFmt w:val="bullet"/>
      <w:lvlText w:val=""/>
      <w:lvlJc w:val="left"/>
      <w:pPr>
        <w:ind w:left="5040" w:hanging="360"/>
      </w:pPr>
      <w:rPr>
        <w:rFonts w:ascii="Symbol" w:hAnsi="Symbol" w:hint="default"/>
      </w:rPr>
    </w:lvl>
    <w:lvl w:ilvl="7" w:tplc="68D8B0BE">
      <w:start w:val="1"/>
      <w:numFmt w:val="bullet"/>
      <w:lvlText w:val="o"/>
      <w:lvlJc w:val="left"/>
      <w:pPr>
        <w:ind w:left="5760" w:hanging="360"/>
      </w:pPr>
      <w:rPr>
        <w:rFonts w:ascii="Courier New" w:hAnsi="Courier New" w:cs="Times New Roman" w:hint="default"/>
      </w:rPr>
    </w:lvl>
    <w:lvl w:ilvl="8" w:tplc="DB668B76">
      <w:start w:val="1"/>
      <w:numFmt w:val="bullet"/>
      <w:lvlText w:val=""/>
      <w:lvlJc w:val="left"/>
      <w:pPr>
        <w:ind w:left="6480" w:hanging="360"/>
      </w:pPr>
      <w:rPr>
        <w:rFonts w:ascii="Wingdings" w:hAnsi="Wingdings" w:hint="default"/>
      </w:rPr>
    </w:lvl>
  </w:abstractNum>
  <w:abstractNum w:abstractNumId="13" w15:restartNumberingAfterBreak="0">
    <w:nsid w:val="5EEA39A8"/>
    <w:multiLevelType w:val="hybridMultilevel"/>
    <w:tmpl w:val="FFFFFFFF"/>
    <w:lvl w:ilvl="0" w:tplc="077EEC70">
      <w:start w:val="1"/>
      <w:numFmt w:val="bullet"/>
      <w:lvlText w:val=""/>
      <w:lvlJc w:val="left"/>
      <w:pPr>
        <w:ind w:left="720" w:hanging="360"/>
      </w:pPr>
      <w:rPr>
        <w:rFonts w:ascii="Symbol" w:hAnsi="Symbol" w:hint="default"/>
      </w:rPr>
    </w:lvl>
    <w:lvl w:ilvl="1" w:tplc="41F83E66">
      <w:start w:val="1"/>
      <w:numFmt w:val="bullet"/>
      <w:lvlText w:val="o"/>
      <w:lvlJc w:val="left"/>
      <w:pPr>
        <w:ind w:left="1440" w:hanging="360"/>
      </w:pPr>
      <w:rPr>
        <w:rFonts w:ascii="Courier New" w:hAnsi="Courier New" w:hint="default"/>
      </w:rPr>
    </w:lvl>
    <w:lvl w:ilvl="2" w:tplc="5B646904">
      <w:start w:val="1"/>
      <w:numFmt w:val="bullet"/>
      <w:lvlText w:val=""/>
      <w:lvlJc w:val="left"/>
      <w:pPr>
        <w:ind w:left="2160" w:hanging="360"/>
      </w:pPr>
      <w:rPr>
        <w:rFonts w:ascii="Wingdings" w:hAnsi="Wingdings" w:hint="default"/>
      </w:rPr>
    </w:lvl>
    <w:lvl w:ilvl="3" w:tplc="32C6267E">
      <w:start w:val="1"/>
      <w:numFmt w:val="bullet"/>
      <w:lvlText w:val=""/>
      <w:lvlJc w:val="left"/>
      <w:pPr>
        <w:ind w:left="2880" w:hanging="360"/>
      </w:pPr>
      <w:rPr>
        <w:rFonts w:ascii="Symbol" w:hAnsi="Symbol" w:hint="default"/>
      </w:rPr>
    </w:lvl>
    <w:lvl w:ilvl="4" w:tplc="114A8890">
      <w:start w:val="1"/>
      <w:numFmt w:val="bullet"/>
      <w:lvlText w:val="o"/>
      <w:lvlJc w:val="left"/>
      <w:pPr>
        <w:ind w:left="3600" w:hanging="360"/>
      </w:pPr>
      <w:rPr>
        <w:rFonts w:ascii="Courier New" w:hAnsi="Courier New" w:hint="default"/>
      </w:rPr>
    </w:lvl>
    <w:lvl w:ilvl="5" w:tplc="834217A4">
      <w:start w:val="1"/>
      <w:numFmt w:val="bullet"/>
      <w:lvlText w:val=""/>
      <w:lvlJc w:val="left"/>
      <w:pPr>
        <w:ind w:left="4320" w:hanging="360"/>
      </w:pPr>
      <w:rPr>
        <w:rFonts w:ascii="Wingdings" w:hAnsi="Wingdings" w:hint="default"/>
      </w:rPr>
    </w:lvl>
    <w:lvl w:ilvl="6" w:tplc="5142C01C">
      <w:start w:val="1"/>
      <w:numFmt w:val="bullet"/>
      <w:lvlText w:val=""/>
      <w:lvlJc w:val="left"/>
      <w:pPr>
        <w:ind w:left="5040" w:hanging="360"/>
      </w:pPr>
      <w:rPr>
        <w:rFonts w:ascii="Symbol" w:hAnsi="Symbol" w:hint="default"/>
      </w:rPr>
    </w:lvl>
    <w:lvl w:ilvl="7" w:tplc="95A2F52A">
      <w:start w:val="1"/>
      <w:numFmt w:val="bullet"/>
      <w:lvlText w:val="o"/>
      <w:lvlJc w:val="left"/>
      <w:pPr>
        <w:ind w:left="5760" w:hanging="360"/>
      </w:pPr>
      <w:rPr>
        <w:rFonts w:ascii="Courier New" w:hAnsi="Courier New" w:hint="default"/>
      </w:rPr>
    </w:lvl>
    <w:lvl w:ilvl="8" w:tplc="F8C40690">
      <w:start w:val="1"/>
      <w:numFmt w:val="bullet"/>
      <w:lvlText w:val=""/>
      <w:lvlJc w:val="left"/>
      <w:pPr>
        <w:ind w:left="6480" w:hanging="360"/>
      </w:pPr>
      <w:rPr>
        <w:rFonts w:ascii="Wingdings" w:hAnsi="Wingdings" w:hint="default"/>
      </w:rPr>
    </w:lvl>
  </w:abstractNum>
  <w:abstractNum w:abstractNumId="14" w15:restartNumberingAfterBreak="0">
    <w:nsid w:val="5F1A09B0"/>
    <w:multiLevelType w:val="hybridMultilevel"/>
    <w:tmpl w:val="192282B8"/>
    <w:lvl w:ilvl="0" w:tplc="67C0A338">
      <w:start w:val="1"/>
      <w:numFmt w:val="bullet"/>
      <w:lvlText w:val="·"/>
      <w:lvlJc w:val="left"/>
      <w:pPr>
        <w:ind w:left="720" w:hanging="360"/>
      </w:pPr>
      <w:rPr>
        <w:rFonts w:ascii="Symbol" w:hAnsi="Symbol" w:hint="default"/>
      </w:rPr>
    </w:lvl>
    <w:lvl w:ilvl="1" w:tplc="0A023424">
      <w:start w:val="1"/>
      <w:numFmt w:val="bullet"/>
      <w:lvlText w:val="o"/>
      <w:lvlJc w:val="left"/>
      <w:pPr>
        <w:ind w:left="1440" w:hanging="360"/>
      </w:pPr>
      <w:rPr>
        <w:rFonts w:ascii="Courier New" w:hAnsi="Courier New" w:hint="default"/>
      </w:rPr>
    </w:lvl>
    <w:lvl w:ilvl="2" w:tplc="BD7CF19A">
      <w:start w:val="1"/>
      <w:numFmt w:val="bullet"/>
      <w:lvlText w:val=""/>
      <w:lvlJc w:val="left"/>
      <w:pPr>
        <w:ind w:left="2160" w:hanging="360"/>
      </w:pPr>
      <w:rPr>
        <w:rFonts w:ascii="Wingdings" w:hAnsi="Wingdings" w:hint="default"/>
      </w:rPr>
    </w:lvl>
    <w:lvl w:ilvl="3" w:tplc="486E32A0">
      <w:start w:val="1"/>
      <w:numFmt w:val="bullet"/>
      <w:lvlText w:val=""/>
      <w:lvlJc w:val="left"/>
      <w:pPr>
        <w:ind w:left="2880" w:hanging="360"/>
      </w:pPr>
      <w:rPr>
        <w:rFonts w:ascii="Symbol" w:hAnsi="Symbol" w:hint="default"/>
      </w:rPr>
    </w:lvl>
    <w:lvl w:ilvl="4" w:tplc="80A6C5A0">
      <w:start w:val="1"/>
      <w:numFmt w:val="bullet"/>
      <w:lvlText w:val="o"/>
      <w:lvlJc w:val="left"/>
      <w:pPr>
        <w:ind w:left="3600" w:hanging="360"/>
      </w:pPr>
      <w:rPr>
        <w:rFonts w:ascii="Courier New" w:hAnsi="Courier New" w:hint="default"/>
      </w:rPr>
    </w:lvl>
    <w:lvl w:ilvl="5" w:tplc="32D0BCE8">
      <w:start w:val="1"/>
      <w:numFmt w:val="bullet"/>
      <w:lvlText w:val=""/>
      <w:lvlJc w:val="left"/>
      <w:pPr>
        <w:ind w:left="4320" w:hanging="360"/>
      </w:pPr>
      <w:rPr>
        <w:rFonts w:ascii="Wingdings" w:hAnsi="Wingdings" w:hint="default"/>
      </w:rPr>
    </w:lvl>
    <w:lvl w:ilvl="6" w:tplc="B0902F76">
      <w:start w:val="1"/>
      <w:numFmt w:val="bullet"/>
      <w:lvlText w:val=""/>
      <w:lvlJc w:val="left"/>
      <w:pPr>
        <w:ind w:left="5040" w:hanging="360"/>
      </w:pPr>
      <w:rPr>
        <w:rFonts w:ascii="Symbol" w:hAnsi="Symbol" w:hint="default"/>
      </w:rPr>
    </w:lvl>
    <w:lvl w:ilvl="7" w:tplc="395E16B8">
      <w:start w:val="1"/>
      <w:numFmt w:val="bullet"/>
      <w:lvlText w:val="o"/>
      <w:lvlJc w:val="left"/>
      <w:pPr>
        <w:ind w:left="5760" w:hanging="360"/>
      </w:pPr>
      <w:rPr>
        <w:rFonts w:ascii="Courier New" w:hAnsi="Courier New" w:hint="default"/>
      </w:rPr>
    </w:lvl>
    <w:lvl w:ilvl="8" w:tplc="E9504F6C">
      <w:start w:val="1"/>
      <w:numFmt w:val="bullet"/>
      <w:lvlText w:val=""/>
      <w:lvlJc w:val="left"/>
      <w:pPr>
        <w:ind w:left="6480" w:hanging="360"/>
      </w:pPr>
      <w:rPr>
        <w:rFonts w:ascii="Wingdings" w:hAnsi="Wingdings" w:hint="default"/>
      </w:rPr>
    </w:lvl>
  </w:abstractNum>
  <w:abstractNum w:abstractNumId="15" w15:restartNumberingAfterBreak="0">
    <w:nsid w:val="648C119F"/>
    <w:multiLevelType w:val="multilevel"/>
    <w:tmpl w:val="4C0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B05E8"/>
    <w:multiLevelType w:val="multilevel"/>
    <w:tmpl w:val="90D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3F17F"/>
    <w:multiLevelType w:val="hybridMultilevel"/>
    <w:tmpl w:val="FFFFFFFF"/>
    <w:lvl w:ilvl="0" w:tplc="88C44916">
      <w:start w:val="1"/>
      <w:numFmt w:val="bullet"/>
      <w:lvlText w:val="·"/>
      <w:lvlJc w:val="left"/>
      <w:pPr>
        <w:ind w:left="720" w:hanging="360"/>
      </w:pPr>
      <w:rPr>
        <w:rFonts w:ascii="Symbol" w:hAnsi="Symbol" w:hint="default"/>
      </w:rPr>
    </w:lvl>
    <w:lvl w:ilvl="1" w:tplc="21925652">
      <w:start w:val="1"/>
      <w:numFmt w:val="bullet"/>
      <w:lvlText w:val="o"/>
      <w:lvlJc w:val="left"/>
      <w:pPr>
        <w:ind w:left="1440" w:hanging="360"/>
      </w:pPr>
      <w:rPr>
        <w:rFonts w:ascii="Courier New" w:hAnsi="Courier New" w:hint="default"/>
      </w:rPr>
    </w:lvl>
    <w:lvl w:ilvl="2" w:tplc="D8D01AF0">
      <w:start w:val="1"/>
      <w:numFmt w:val="bullet"/>
      <w:lvlText w:val=""/>
      <w:lvlJc w:val="left"/>
      <w:pPr>
        <w:ind w:left="2160" w:hanging="360"/>
      </w:pPr>
      <w:rPr>
        <w:rFonts w:ascii="Wingdings" w:hAnsi="Wingdings" w:hint="default"/>
      </w:rPr>
    </w:lvl>
    <w:lvl w:ilvl="3" w:tplc="D806EC30">
      <w:start w:val="1"/>
      <w:numFmt w:val="bullet"/>
      <w:lvlText w:val=""/>
      <w:lvlJc w:val="left"/>
      <w:pPr>
        <w:ind w:left="2880" w:hanging="360"/>
      </w:pPr>
      <w:rPr>
        <w:rFonts w:ascii="Symbol" w:hAnsi="Symbol" w:hint="default"/>
      </w:rPr>
    </w:lvl>
    <w:lvl w:ilvl="4" w:tplc="9356BF90">
      <w:start w:val="1"/>
      <w:numFmt w:val="bullet"/>
      <w:lvlText w:val="o"/>
      <w:lvlJc w:val="left"/>
      <w:pPr>
        <w:ind w:left="3600" w:hanging="360"/>
      </w:pPr>
      <w:rPr>
        <w:rFonts w:ascii="Courier New" w:hAnsi="Courier New" w:hint="default"/>
      </w:rPr>
    </w:lvl>
    <w:lvl w:ilvl="5" w:tplc="AFACD6D0">
      <w:start w:val="1"/>
      <w:numFmt w:val="bullet"/>
      <w:lvlText w:val=""/>
      <w:lvlJc w:val="left"/>
      <w:pPr>
        <w:ind w:left="4320" w:hanging="360"/>
      </w:pPr>
      <w:rPr>
        <w:rFonts w:ascii="Wingdings" w:hAnsi="Wingdings" w:hint="default"/>
      </w:rPr>
    </w:lvl>
    <w:lvl w:ilvl="6" w:tplc="754077A4">
      <w:start w:val="1"/>
      <w:numFmt w:val="bullet"/>
      <w:lvlText w:val=""/>
      <w:lvlJc w:val="left"/>
      <w:pPr>
        <w:ind w:left="5040" w:hanging="360"/>
      </w:pPr>
      <w:rPr>
        <w:rFonts w:ascii="Symbol" w:hAnsi="Symbol" w:hint="default"/>
      </w:rPr>
    </w:lvl>
    <w:lvl w:ilvl="7" w:tplc="408A67D2">
      <w:start w:val="1"/>
      <w:numFmt w:val="bullet"/>
      <w:lvlText w:val="o"/>
      <w:lvlJc w:val="left"/>
      <w:pPr>
        <w:ind w:left="5760" w:hanging="360"/>
      </w:pPr>
      <w:rPr>
        <w:rFonts w:ascii="Courier New" w:hAnsi="Courier New" w:hint="default"/>
      </w:rPr>
    </w:lvl>
    <w:lvl w:ilvl="8" w:tplc="4A96EC64">
      <w:start w:val="1"/>
      <w:numFmt w:val="bullet"/>
      <w:lvlText w:val=""/>
      <w:lvlJc w:val="left"/>
      <w:pPr>
        <w:ind w:left="6480" w:hanging="360"/>
      </w:pPr>
      <w:rPr>
        <w:rFonts w:ascii="Wingdings" w:hAnsi="Wingdings" w:hint="default"/>
      </w:rPr>
    </w:lvl>
  </w:abstractNum>
  <w:num w:numId="1" w16cid:durableId="1089355056">
    <w:abstractNumId w:val="3"/>
  </w:num>
  <w:num w:numId="2" w16cid:durableId="510796144">
    <w:abstractNumId w:val="13"/>
  </w:num>
  <w:num w:numId="3" w16cid:durableId="83694119">
    <w:abstractNumId w:val="17"/>
  </w:num>
  <w:num w:numId="4" w16cid:durableId="1408334223">
    <w:abstractNumId w:val="11"/>
  </w:num>
  <w:num w:numId="5" w16cid:durableId="2117554794">
    <w:abstractNumId w:val="2"/>
  </w:num>
  <w:num w:numId="6" w16cid:durableId="2058047177">
    <w:abstractNumId w:val="10"/>
  </w:num>
  <w:num w:numId="7" w16cid:durableId="1209144567">
    <w:abstractNumId w:val="14"/>
  </w:num>
  <w:num w:numId="8" w16cid:durableId="1959679680">
    <w:abstractNumId w:val="4"/>
  </w:num>
  <w:num w:numId="9" w16cid:durableId="1361122142">
    <w:abstractNumId w:val="7"/>
  </w:num>
  <w:num w:numId="10" w16cid:durableId="566651020">
    <w:abstractNumId w:val="0"/>
  </w:num>
  <w:num w:numId="11" w16cid:durableId="588462019">
    <w:abstractNumId w:val="1"/>
  </w:num>
  <w:num w:numId="12" w16cid:durableId="1686134730">
    <w:abstractNumId w:val="9"/>
  </w:num>
  <w:num w:numId="13" w16cid:durableId="1382484903">
    <w:abstractNumId w:val="12"/>
  </w:num>
  <w:num w:numId="14" w16cid:durableId="205991786">
    <w:abstractNumId w:val="5"/>
  </w:num>
  <w:num w:numId="15" w16cid:durableId="1665935398">
    <w:abstractNumId w:val="8"/>
  </w:num>
  <w:num w:numId="16" w16cid:durableId="456070789">
    <w:abstractNumId w:val="16"/>
  </w:num>
  <w:num w:numId="17" w16cid:durableId="953097950">
    <w:abstractNumId w:val="6"/>
  </w:num>
  <w:num w:numId="18" w16cid:durableId="1745443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2613"/>
    <w:rsid w:val="00007BAA"/>
    <w:rsid w:val="00012322"/>
    <w:rsid w:val="00012557"/>
    <w:rsid w:val="0001395F"/>
    <w:rsid w:val="000143DF"/>
    <w:rsid w:val="0002451A"/>
    <w:rsid w:val="00026435"/>
    <w:rsid w:val="00031BFE"/>
    <w:rsid w:val="00033D5A"/>
    <w:rsid w:val="00042AE7"/>
    <w:rsid w:val="00045E3C"/>
    <w:rsid w:val="00054E90"/>
    <w:rsid w:val="000556B5"/>
    <w:rsid w:val="000609DA"/>
    <w:rsid w:val="000618DF"/>
    <w:rsid w:val="000630C0"/>
    <w:rsid w:val="000670EF"/>
    <w:rsid w:val="00067448"/>
    <w:rsid w:val="00082090"/>
    <w:rsid w:val="00082FE1"/>
    <w:rsid w:val="0009D414"/>
    <w:rsid w:val="000A2543"/>
    <w:rsid w:val="000A2ABC"/>
    <w:rsid w:val="000A57EE"/>
    <w:rsid w:val="000A6C87"/>
    <w:rsid w:val="000B2857"/>
    <w:rsid w:val="000B3885"/>
    <w:rsid w:val="000C190A"/>
    <w:rsid w:val="000D649A"/>
    <w:rsid w:val="000D6B87"/>
    <w:rsid w:val="000E6784"/>
    <w:rsid w:val="00107A8C"/>
    <w:rsid w:val="001138D4"/>
    <w:rsid w:val="00113DDE"/>
    <w:rsid w:val="00130A01"/>
    <w:rsid w:val="0013111D"/>
    <w:rsid w:val="0014194B"/>
    <w:rsid w:val="001431F9"/>
    <w:rsid w:val="0014E11F"/>
    <w:rsid w:val="00150CB9"/>
    <w:rsid w:val="001511A2"/>
    <w:rsid w:val="001534A3"/>
    <w:rsid w:val="00180037"/>
    <w:rsid w:val="00192DC1"/>
    <w:rsid w:val="001939C8"/>
    <w:rsid w:val="0019573A"/>
    <w:rsid w:val="0019608A"/>
    <w:rsid w:val="001A01D6"/>
    <w:rsid w:val="001A14E5"/>
    <w:rsid w:val="001A6D00"/>
    <w:rsid w:val="001B3062"/>
    <w:rsid w:val="001B5043"/>
    <w:rsid w:val="001B678D"/>
    <w:rsid w:val="001C0EE3"/>
    <w:rsid w:val="001C0F94"/>
    <w:rsid w:val="001C3F09"/>
    <w:rsid w:val="001C601E"/>
    <w:rsid w:val="001C70CD"/>
    <w:rsid w:val="001D06AC"/>
    <w:rsid w:val="001D0DF2"/>
    <w:rsid w:val="001E4B2C"/>
    <w:rsid w:val="001E4B80"/>
    <w:rsid w:val="001E5A07"/>
    <w:rsid w:val="001F2DDC"/>
    <w:rsid w:val="00206A6C"/>
    <w:rsid w:val="002202D0"/>
    <w:rsid w:val="0022389F"/>
    <w:rsid w:val="00224AE2"/>
    <w:rsid w:val="00231742"/>
    <w:rsid w:val="0023218E"/>
    <w:rsid w:val="0023336C"/>
    <w:rsid w:val="00261AD0"/>
    <w:rsid w:val="00263C16"/>
    <w:rsid w:val="0028699D"/>
    <w:rsid w:val="0028704B"/>
    <w:rsid w:val="002A1A84"/>
    <w:rsid w:val="002A527F"/>
    <w:rsid w:val="002A62DC"/>
    <w:rsid w:val="002B0837"/>
    <w:rsid w:val="002C68CF"/>
    <w:rsid w:val="002D22D9"/>
    <w:rsid w:val="002E1497"/>
    <w:rsid w:val="002E2D4C"/>
    <w:rsid w:val="002F00AB"/>
    <w:rsid w:val="002F7E4F"/>
    <w:rsid w:val="0030783F"/>
    <w:rsid w:val="00311F7D"/>
    <w:rsid w:val="00311FB6"/>
    <w:rsid w:val="0033184A"/>
    <w:rsid w:val="00333283"/>
    <w:rsid w:val="003352EA"/>
    <w:rsid w:val="003379B7"/>
    <w:rsid w:val="00337C7D"/>
    <w:rsid w:val="0035721C"/>
    <w:rsid w:val="00357936"/>
    <w:rsid w:val="00372A40"/>
    <w:rsid w:val="00396324"/>
    <w:rsid w:val="003A4857"/>
    <w:rsid w:val="003B02C5"/>
    <w:rsid w:val="003B1AB9"/>
    <w:rsid w:val="003B1ED9"/>
    <w:rsid w:val="003B23A9"/>
    <w:rsid w:val="003B2FF9"/>
    <w:rsid w:val="003B5523"/>
    <w:rsid w:val="003B71FC"/>
    <w:rsid w:val="003C5AA8"/>
    <w:rsid w:val="003D0324"/>
    <w:rsid w:val="003D34C1"/>
    <w:rsid w:val="003E31AB"/>
    <w:rsid w:val="003F63EF"/>
    <w:rsid w:val="00401C40"/>
    <w:rsid w:val="00402682"/>
    <w:rsid w:val="0040412C"/>
    <w:rsid w:val="00404D3E"/>
    <w:rsid w:val="00405B0E"/>
    <w:rsid w:val="00414E3E"/>
    <w:rsid w:val="00416CA4"/>
    <w:rsid w:val="00420852"/>
    <w:rsid w:val="0042399B"/>
    <w:rsid w:val="0043149D"/>
    <w:rsid w:val="0044475E"/>
    <w:rsid w:val="00461778"/>
    <w:rsid w:val="0046223F"/>
    <w:rsid w:val="004672A7"/>
    <w:rsid w:val="0046F04B"/>
    <w:rsid w:val="00470F29"/>
    <w:rsid w:val="00474696"/>
    <w:rsid w:val="0048135F"/>
    <w:rsid w:val="004850DD"/>
    <w:rsid w:val="004851D2"/>
    <w:rsid w:val="00485B68"/>
    <w:rsid w:val="00486320"/>
    <w:rsid w:val="00497648"/>
    <w:rsid w:val="004A0665"/>
    <w:rsid w:val="004A68AE"/>
    <w:rsid w:val="004B3C29"/>
    <w:rsid w:val="004C04BE"/>
    <w:rsid w:val="004C3CF6"/>
    <w:rsid w:val="004C6578"/>
    <w:rsid w:val="004D728F"/>
    <w:rsid w:val="004E0BFB"/>
    <w:rsid w:val="004E2F22"/>
    <w:rsid w:val="004E5C48"/>
    <w:rsid w:val="004F420F"/>
    <w:rsid w:val="00500788"/>
    <w:rsid w:val="0050252D"/>
    <w:rsid w:val="00502F3F"/>
    <w:rsid w:val="005111D6"/>
    <w:rsid w:val="00511CFB"/>
    <w:rsid w:val="00520885"/>
    <w:rsid w:val="005305C0"/>
    <w:rsid w:val="005533D4"/>
    <w:rsid w:val="00554BD2"/>
    <w:rsid w:val="0055710A"/>
    <w:rsid w:val="00560007"/>
    <w:rsid w:val="00563D1F"/>
    <w:rsid w:val="00565476"/>
    <w:rsid w:val="00575D82"/>
    <w:rsid w:val="005803E3"/>
    <w:rsid w:val="00590513"/>
    <w:rsid w:val="00591B93"/>
    <w:rsid w:val="00591FD4"/>
    <w:rsid w:val="005927CB"/>
    <w:rsid w:val="005A1EC5"/>
    <w:rsid w:val="005B1456"/>
    <w:rsid w:val="005B2755"/>
    <w:rsid w:val="005B3928"/>
    <w:rsid w:val="005C02B4"/>
    <w:rsid w:val="005C2953"/>
    <w:rsid w:val="005D2EFF"/>
    <w:rsid w:val="005F10A9"/>
    <w:rsid w:val="00602DA2"/>
    <w:rsid w:val="00603436"/>
    <w:rsid w:val="00607D77"/>
    <w:rsid w:val="00611F4C"/>
    <w:rsid w:val="006150CC"/>
    <w:rsid w:val="00616A9D"/>
    <w:rsid w:val="006202FE"/>
    <w:rsid w:val="00621E1F"/>
    <w:rsid w:val="00622110"/>
    <w:rsid w:val="00634638"/>
    <w:rsid w:val="006349E9"/>
    <w:rsid w:val="00656C0F"/>
    <w:rsid w:val="0066552F"/>
    <w:rsid w:val="00666858"/>
    <w:rsid w:val="00677281"/>
    <w:rsid w:val="0067767F"/>
    <w:rsid w:val="006950C2"/>
    <w:rsid w:val="00695F81"/>
    <w:rsid w:val="00696958"/>
    <w:rsid w:val="006A1012"/>
    <w:rsid w:val="006A277C"/>
    <w:rsid w:val="006A40DB"/>
    <w:rsid w:val="006A71B6"/>
    <w:rsid w:val="006B30F4"/>
    <w:rsid w:val="006C256C"/>
    <w:rsid w:val="006D3B47"/>
    <w:rsid w:val="006D3DBE"/>
    <w:rsid w:val="006D5F1A"/>
    <w:rsid w:val="006E0540"/>
    <w:rsid w:val="006E4253"/>
    <w:rsid w:val="006F1C08"/>
    <w:rsid w:val="006F3E49"/>
    <w:rsid w:val="0070423B"/>
    <w:rsid w:val="00736C4D"/>
    <w:rsid w:val="007374B5"/>
    <w:rsid w:val="007439B7"/>
    <w:rsid w:val="00743D19"/>
    <w:rsid w:val="00745F2A"/>
    <w:rsid w:val="00750827"/>
    <w:rsid w:val="00750C28"/>
    <w:rsid w:val="0075631B"/>
    <w:rsid w:val="00765F3D"/>
    <w:rsid w:val="00772071"/>
    <w:rsid w:val="00772420"/>
    <w:rsid w:val="00783ED3"/>
    <w:rsid w:val="007876AC"/>
    <w:rsid w:val="0079368B"/>
    <w:rsid w:val="00797A91"/>
    <w:rsid w:val="007A631D"/>
    <w:rsid w:val="007A6741"/>
    <w:rsid w:val="007A713F"/>
    <w:rsid w:val="007A7A2B"/>
    <w:rsid w:val="007C3954"/>
    <w:rsid w:val="007D658B"/>
    <w:rsid w:val="007E1355"/>
    <w:rsid w:val="007E367B"/>
    <w:rsid w:val="007F04D7"/>
    <w:rsid w:val="007F1EA3"/>
    <w:rsid w:val="007F4956"/>
    <w:rsid w:val="007F57CD"/>
    <w:rsid w:val="007F7B40"/>
    <w:rsid w:val="0080609A"/>
    <w:rsid w:val="008065D2"/>
    <w:rsid w:val="008116C9"/>
    <w:rsid w:val="008153D4"/>
    <w:rsid w:val="00820FA3"/>
    <w:rsid w:val="00824025"/>
    <w:rsid w:val="00826BF1"/>
    <w:rsid w:val="00827F4B"/>
    <w:rsid w:val="008405B7"/>
    <w:rsid w:val="00840C0A"/>
    <w:rsid w:val="00846778"/>
    <w:rsid w:val="00855852"/>
    <w:rsid w:val="00861043"/>
    <w:rsid w:val="00863E10"/>
    <w:rsid w:val="0086426A"/>
    <w:rsid w:val="008718AF"/>
    <w:rsid w:val="00872C78"/>
    <w:rsid w:val="0087513C"/>
    <w:rsid w:val="00877576"/>
    <w:rsid w:val="00881D00"/>
    <w:rsid w:val="00882638"/>
    <w:rsid w:val="00885366"/>
    <w:rsid w:val="00894578"/>
    <w:rsid w:val="00895844"/>
    <w:rsid w:val="008A0DD0"/>
    <w:rsid w:val="008A28D0"/>
    <w:rsid w:val="008A6ED8"/>
    <w:rsid w:val="008B129D"/>
    <w:rsid w:val="008B1ED3"/>
    <w:rsid w:val="008B3BDB"/>
    <w:rsid w:val="008B5591"/>
    <w:rsid w:val="008C0708"/>
    <w:rsid w:val="008C6974"/>
    <w:rsid w:val="008E58AE"/>
    <w:rsid w:val="008F4BB0"/>
    <w:rsid w:val="008F5DC2"/>
    <w:rsid w:val="009036B9"/>
    <w:rsid w:val="00905469"/>
    <w:rsid w:val="009112A5"/>
    <w:rsid w:val="009179C0"/>
    <w:rsid w:val="00927E95"/>
    <w:rsid w:val="00936A37"/>
    <w:rsid w:val="00943EAC"/>
    <w:rsid w:val="00945F17"/>
    <w:rsid w:val="00947BB0"/>
    <w:rsid w:val="009626DB"/>
    <w:rsid w:val="0096759C"/>
    <w:rsid w:val="009745EC"/>
    <w:rsid w:val="009762AE"/>
    <w:rsid w:val="00985A46"/>
    <w:rsid w:val="009913B5"/>
    <w:rsid w:val="0099616B"/>
    <w:rsid w:val="00996574"/>
    <w:rsid w:val="009A2D3B"/>
    <w:rsid w:val="009A3446"/>
    <w:rsid w:val="009A6AE7"/>
    <w:rsid w:val="009B1056"/>
    <w:rsid w:val="009B418E"/>
    <w:rsid w:val="009B55B0"/>
    <w:rsid w:val="009C0201"/>
    <w:rsid w:val="009C59C9"/>
    <w:rsid w:val="009D2E9F"/>
    <w:rsid w:val="009D3486"/>
    <w:rsid w:val="009D4DB5"/>
    <w:rsid w:val="009F409A"/>
    <w:rsid w:val="009F4526"/>
    <w:rsid w:val="009F541A"/>
    <w:rsid w:val="00A02E11"/>
    <w:rsid w:val="00A047FA"/>
    <w:rsid w:val="00A20D1D"/>
    <w:rsid w:val="00A20E26"/>
    <w:rsid w:val="00A20E2D"/>
    <w:rsid w:val="00A2319E"/>
    <w:rsid w:val="00A30FE5"/>
    <w:rsid w:val="00A37D96"/>
    <w:rsid w:val="00A41B21"/>
    <w:rsid w:val="00A45298"/>
    <w:rsid w:val="00A453A9"/>
    <w:rsid w:val="00A53CCB"/>
    <w:rsid w:val="00A5531A"/>
    <w:rsid w:val="00A554E1"/>
    <w:rsid w:val="00A603B4"/>
    <w:rsid w:val="00A63C5B"/>
    <w:rsid w:val="00A84055"/>
    <w:rsid w:val="00A8592D"/>
    <w:rsid w:val="00A86D24"/>
    <w:rsid w:val="00A91903"/>
    <w:rsid w:val="00AC1027"/>
    <w:rsid w:val="00AD3324"/>
    <w:rsid w:val="00AD3C89"/>
    <w:rsid w:val="00AD540B"/>
    <w:rsid w:val="00AF18D0"/>
    <w:rsid w:val="00AF4704"/>
    <w:rsid w:val="00AF4C03"/>
    <w:rsid w:val="00AF58D0"/>
    <w:rsid w:val="00B074FE"/>
    <w:rsid w:val="00B07E33"/>
    <w:rsid w:val="00B1062E"/>
    <w:rsid w:val="00B22DF9"/>
    <w:rsid w:val="00B24E7D"/>
    <w:rsid w:val="00B3041A"/>
    <w:rsid w:val="00B35EA8"/>
    <w:rsid w:val="00B557DB"/>
    <w:rsid w:val="00B60C84"/>
    <w:rsid w:val="00B6370F"/>
    <w:rsid w:val="00B844D2"/>
    <w:rsid w:val="00B85062"/>
    <w:rsid w:val="00B91875"/>
    <w:rsid w:val="00B93433"/>
    <w:rsid w:val="00B9400E"/>
    <w:rsid w:val="00B9487E"/>
    <w:rsid w:val="00BA42E9"/>
    <w:rsid w:val="00BD15F5"/>
    <w:rsid w:val="00BD3355"/>
    <w:rsid w:val="00BE378A"/>
    <w:rsid w:val="00BEB00C"/>
    <w:rsid w:val="00BF1EF0"/>
    <w:rsid w:val="00BF42C9"/>
    <w:rsid w:val="00C00FD1"/>
    <w:rsid w:val="00C04523"/>
    <w:rsid w:val="00C0580E"/>
    <w:rsid w:val="00C06A88"/>
    <w:rsid w:val="00C122E8"/>
    <w:rsid w:val="00C165D4"/>
    <w:rsid w:val="00C170AE"/>
    <w:rsid w:val="00C17AEE"/>
    <w:rsid w:val="00C201B2"/>
    <w:rsid w:val="00C25A9F"/>
    <w:rsid w:val="00C41EC5"/>
    <w:rsid w:val="00C42F22"/>
    <w:rsid w:val="00C431D1"/>
    <w:rsid w:val="00C43D25"/>
    <w:rsid w:val="00C45B15"/>
    <w:rsid w:val="00C47A32"/>
    <w:rsid w:val="00C4989C"/>
    <w:rsid w:val="00C608EF"/>
    <w:rsid w:val="00C633EA"/>
    <w:rsid w:val="00C64A6D"/>
    <w:rsid w:val="00C64F24"/>
    <w:rsid w:val="00C65D87"/>
    <w:rsid w:val="00C6759F"/>
    <w:rsid w:val="00C7268E"/>
    <w:rsid w:val="00C74E13"/>
    <w:rsid w:val="00C75B17"/>
    <w:rsid w:val="00C82495"/>
    <w:rsid w:val="00C844E7"/>
    <w:rsid w:val="00C91AF0"/>
    <w:rsid w:val="00C92E9A"/>
    <w:rsid w:val="00C97A55"/>
    <w:rsid w:val="00C97B84"/>
    <w:rsid w:val="00CB053E"/>
    <w:rsid w:val="00CB05DC"/>
    <w:rsid w:val="00CB0F96"/>
    <w:rsid w:val="00CC3A60"/>
    <w:rsid w:val="00CC5189"/>
    <w:rsid w:val="00CC7F89"/>
    <w:rsid w:val="00CD0ED5"/>
    <w:rsid w:val="00CD1FAC"/>
    <w:rsid w:val="00CD685A"/>
    <w:rsid w:val="00CE55CC"/>
    <w:rsid w:val="00CE6D99"/>
    <w:rsid w:val="00D00EA5"/>
    <w:rsid w:val="00D02312"/>
    <w:rsid w:val="00D033EB"/>
    <w:rsid w:val="00D05AE9"/>
    <w:rsid w:val="00D06225"/>
    <w:rsid w:val="00D13323"/>
    <w:rsid w:val="00D16783"/>
    <w:rsid w:val="00D17904"/>
    <w:rsid w:val="00D17B63"/>
    <w:rsid w:val="00D20C3C"/>
    <w:rsid w:val="00D4006D"/>
    <w:rsid w:val="00D5078E"/>
    <w:rsid w:val="00D55D74"/>
    <w:rsid w:val="00D64BC2"/>
    <w:rsid w:val="00D6641C"/>
    <w:rsid w:val="00D70A3C"/>
    <w:rsid w:val="00D84872"/>
    <w:rsid w:val="00D91C62"/>
    <w:rsid w:val="00DA101E"/>
    <w:rsid w:val="00DB0DA1"/>
    <w:rsid w:val="00DC504B"/>
    <w:rsid w:val="00DD0775"/>
    <w:rsid w:val="00DD11CB"/>
    <w:rsid w:val="00DE0A43"/>
    <w:rsid w:val="00DE2B4F"/>
    <w:rsid w:val="00DE424B"/>
    <w:rsid w:val="00DF5C6A"/>
    <w:rsid w:val="00E020C8"/>
    <w:rsid w:val="00E237BA"/>
    <w:rsid w:val="00E259BF"/>
    <w:rsid w:val="00E34630"/>
    <w:rsid w:val="00E43D2E"/>
    <w:rsid w:val="00E47CB8"/>
    <w:rsid w:val="00E70894"/>
    <w:rsid w:val="00E843A0"/>
    <w:rsid w:val="00E904F1"/>
    <w:rsid w:val="00E946C2"/>
    <w:rsid w:val="00E94BCF"/>
    <w:rsid w:val="00EA4AF5"/>
    <w:rsid w:val="00EB2712"/>
    <w:rsid w:val="00EB74B9"/>
    <w:rsid w:val="00EC7199"/>
    <w:rsid w:val="00ED54E2"/>
    <w:rsid w:val="00EE0F76"/>
    <w:rsid w:val="00EE16B4"/>
    <w:rsid w:val="00EE3C30"/>
    <w:rsid w:val="00EF1D56"/>
    <w:rsid w:val="00EF3B94"/>
    <w:rsid w:val="00EF490C"/>
    <w:rsid w:val="00F02934"/>
    <w:rsid w:val="00F063A1"/>
    <w:rsid w:val="00F14874"/>
    <w:rsid w:val="00F21F6B"/>
    <w:rsid w:val="00F23119"/>
    <w:rsid w:val="00F243D5"/>
    <w:rsid w:val="00F305B6"/>
    <w:rsid w:val="00F322E7"/>
    <w:rsid w:val="00F34A5F"/>
    <w:rsid w:val="00F36C98"/>
    <w:rsid w:val="00F42613"/>
    <w:rsid w:val="00F50F69"/>
    <w:rsid w:val="00F51ECA"/>
    <w:rsid w:val="00F51F77"/>
    <w:rsid w:val="00F668FC"/>
    <w:rsid w:val="00F82B2D"/>
    <w:rsid w:val="00F87D68"/>
    <w:rsid w:val="00F92D52"/>
    <w:rsid w:val="00FA1692"/>
    <w:rsid w:val="00FA2C12"/>
    <w:rsid w:val="00FA3B9B"/>
    <w:rsid w:val="00FA3E11"/>
    <w:rsid w:val="00FB2F6F"/>
    <w:rsid w:val="00FC1807"/>
    <w:rsid w:val="00FC182F"/>
    <w:rsid w:val="00FC5047"/>
    <w:rsid w:val="00FD3A46"/>
    <w:rsid w:val="00FE05C9"/>
    <w:rsid w:val="00FE248A"/>
    <w:rsid w:val="00FE7A38"/>
    <w:rsid w:val="00FF1CCF"/>
    <w:rsid w:val="0188325D"/>
    <w:rsid w:val="018F1CB3"/>
    <w:rsid w:val="01A30B43"/>
    <w:rsid w:val="01C74A1F"/>
    <w:rsid w:val="01E434C3"/>
    <w:rsid w:val="024A10A9"/>
    <w:rsid w:val="025F10DA"/>
    <w:rsid w:val="028BD3BC"/>
    <w:rsid w:val="02A10FA1"/>
    <w:rsid w:val="02AD65E2"/>
    <w:rsid w:val="02BBBEEB"/>
    <w:rsid w:val="030EBB47"/>
    <w:rsid w:val="0351BC16"/>
    <w:rsid w:val="0366A750"/>
    <w:rsid w:val="03861D0E"/>
    <w:rsid w:val="0398741D"/>
    <w:rsid w:val="03A4D236"/>
    <w:rsid w:val="03D15C53"/>
    <w:rsid w:val="046D5F1F"/>
    <w:rsid w:val="04918C9A"/>
    <w:rsid w:val="051A616E"/>
    <w:rsid w:val="06D0CE87"/>
    <w:rsid w:val="06D5B5BE"/>
    <w:rsid w:val="06E57048"/>
    <w:rsid w:val="0772B0F2"/>
    <w:rsid w:val="07841283"/>
    <w:rsid w:val="07BC6921"/>
    <w:rsid w:val="07F05094"/>
    <w:rsid w:val="082E0F41"/>
    <w:rsid w:val="08388FF6"/>
    <w:rsid w:val="0840F596"/>
    <w:rsid w:val="085375C7"/>
    <w:rsid w:val="08640271"/>
    <w:rsid w:val="08701BAE"/>
    <w:rsid w:val="08B36C0D"/>
    <w:rsid w:val="08DFCFD3"/>
    <w:rsid w:val="090279C2"/>
    <w:rsid w:val="0919A5A8"/>
    <w:rsid w:val="0974A420"/>
    <w:rsid w:val="09EDD291"/>
    <w:rsid w:val="09FE1680"/>
    <w:rsid w:val="0A07F8E5"/>
    <w:rsid w:val="0A5C9CE5"/>
    <w:rsid w:val="0ABF3998"/>
    <w:rsid w:val="0B0FEA52"/>
    <w:rsid w:val="0BBA7FE1"/>
    <w:rsid w:val="0BD12DB4"/>
    <w:rsid w:val="0C0F056F"/>
    <w:rsid w:val="0C300EEE"/>
    <w:rsid w:val="0C557220"/>
    <w:rsid w:val="0C958F3F"/>
    <w:rsid w:val="0CB79552"/>
    <w:rsid w:val="0D0B00B7"/>
    <w:rsid w:val="0D257353"/>
    <w:rsid w:val="0D28E828"/>
    <w:rsid w:val="0D2A3F9C"/>
    <w:rsid w:val="0D3B941E"/>
    <w:rsid w:val="0DC5924D"/>
    <w:rsid w:val="0DF5A270"/>
    <w:rsid w:val="0E30AB18"/>
    <w:rsid w:val="0ECBE44E"/>
    <w:rsid w:val="0EFE29FC"/>
    <w:rsid w:val="0F0D1529"/>
    <w:rsid w:val="0F4401D0"/>
    <w:rsid w:val="0F93ADAD"/>
    <w:rsid w:val="0FAE52A9"/>
    <w:rsid w:val="0FB6766C"/>
    <w:rsid w:val="101D32D8"/>
    <w:rsid w:val="1042A5AF"/>
    <w:rsid w:val="11413FA4"/>
    <w:rsid w:val="116796DC"/>
    <w:rsid w:val="1178968D"/>
    <w:rsid w:val="11853B19"/>
    <w:rsid w:val="11A3E45D"/>
    <w:rsid w:val="11B0DAEF"/>
    <w:rsid w:val="11ED008B"/>
    <w:rsid w:val="12472DCE"/>
    <w:rsid w:val="126FEC97"/>
    <w:rsid w:val="12ABB419"/>
    <w:rsid w:val="12C29D7A"/>
    <w:rsid w:val="1374BB8F"/>
    <w:rsid w:val="141DE2EF"/>
    <w:rsid w:val="14B4833D"/>
    <w:rsid w:val="14B5AB3F"/>
    <w:rsid w:val="14CF37BF"/>
    <w:rsid w:val="14F7F810"/>
    <w:rsid w:val="15609CAC"/>
    <w:rsid w:val="156CA90E"/>
    <w:rsid w:val="160F4BD5"/>
    <w:rsid w:val="16620452"/>
    <w:rsid w:val="168783FF"/>
    <w:rsid w:val="1690973B"/>
    <w:rsid w:val="16B32D3C"/>
    <w:rsid w:val="170246A1"/>
    <w:rsid w:val="1708EC0A"/>
    <w:rsid w:val="1745C472"/>
    <w:rsid w:val="179F3178"/>
    <w:rsid w:val="17A4C568"/>
    <w:rsid w:val="17F1EA98"/>
    <w:rsid w:val="186BA56C"/>
    <w:rsid w:val="18CE9E51"/>
    <w:rsid w:val="198E2D73"/>
    <w:rsid w:val="19F51991"/>
    <w:rsid w:val="1A0030BB"/>
    <w:rsid w:val="1A0FBAE6"/>
    <w:rsid w:val="1A210D4B"/>
    <w:rsid w:val="1A744031"/>
    <w:rsid w:val="1AD93517"/>
    <w:rsid w:val="1AE61CF2"/>
    <w:rsid w:val="1B075652"/>
    <w:rsid w:val="1B45F084"/>
    <w:rsid w:val="1BE38CD2"/>
    <w:rsid w:val="1C4C94B2"/>
    <w:rsid w:val="1C59B391"/>
    <w:rsid w:val="1CD60349"/>
    <w:rsid w:val="1D3CD0A5"/>
    <w:rsid w:val="1DFE3A45"/>
    <w:rsid w:val="1E012BDE"/>
    <w:rsid w:val="1E13859D"/>
    <w:rsid w:val="1E2934CA"/>
    <w:rsid w:val="1E5F2D4C"/>
    <w:rsid w:val="1F659339"/>
    <w:rsid w:val="1F7C0787"/>
    <w:rsid w:val="1FBE9CA0"/>
    <w:rsid w:val="2016DBC0"/>
    <w:rsid w:val="203B616A"/>
    <w:rsid w:val="20698909"/>
    <w:rsid w:val="209649B4"/>
    <w:rsid w:val="20B1976C"/>
    <w:rsid w:val="20E97F8A"/>
    <w:rsid w:val="214DD275"/>
    <w:rsid w:val="217727D8"/>
    <w:rsid w:val="218505B8"/>
    <w:rsid w:val="218FC153"/>
    <w:rsid w:val="21942E47"/>
    <w:rsid w:val="21B2A2DB"/>
    <w:rsid w:val="21B2AC21"/>
    <w:rsid w:val="2248B0AB"/>
    <w:rsid w:val="224C0EEA"/>
    <w:rsid w:val="2282FDB1"/>
    <w:rsid w:val="229E99B9"/>
    <w:rsid w:val="22AB1C5D"/>
    <w:rsid w:val="22E5039C"/>
    <w:rsid w:val="22F79E10"/>
    <w:rsid w:val="234E7C82"/>
    <w:rsid w:val="235B098C"/>
    <w:rsid w:val="236DB8B2"/>
    <w:rsid w:val="238C94F5"/>
    <w:rsid w:val="243A2A3B"/>
    <w:rsid w:val="24721024"/>
    <w:rsid w:val="24C1CF42"/>
    <w:rsid w:val="24F5DDE5"/>
    <w:rsid w:val="257537F8"/>
    <w:rsid w:val="25ED4492"/>
    <w:rsid w:val="2619E109"/>
    <w:rsid w:val="2630BD1F"/>
    <w:rsid w:val="2647FB8F"/>
    <w:rsid w:val="2658D244"/>
    <w:rsid w:val="267F660D"/>
    <w:rsid w:val="2692D362"/>
    <w:rsid w:val="26D51E51"/>
    <w:rsid w:val="26F46B74"/>
    <w:rsid w:val="27B27B6E"/>
    <w:rsid w:val="2806CE5C"/>
    <w:rsid w:val="282A024D"/>
    <w:rsid w:val="283FE628"/>
    <w:rsid w:val="288D633A"/>
    <w:rsid w:val="28D308B6"/>
    <w:rsid w:val="2A45F34F"/>
    <w:rsid w:val="2A506A10"/>
    <w:rsid w:val="2AAB98DA"/>
    <w:rsid w:val="2AE379E4"/>
    <w:rsid w:val="2B2A5536"/>
    <w:rsid w:val="2C0AA978"/>
    <w:rsid w:val="2C0E1624"/>
    <w:rsid w:val="2C1AE36A"/>
    <w:rsid w:val="2C2C3231"/>
    <w:rsid w:val="2C38E9D0"/>
    <w:rsid w:val="2C65E6AF"/>
    <w:rsid w:val="2C7F4A45"/>
    <w:rsid w:val="2C8A1715"/>
    <w:rsid w:val="2C8E85B0"/>
    <w:rsid w:val="2CAAE701"/>
    <w:rsid w:val="2CB1234F"/>
    <w:rsid w:val="2CDD9C55"/>
    <w:rsid w:val="2D290835"/>
    <w:rsid w:val="2D550DA3"/>
    <w:rsid w:val="2DC3F771"/>
    <w:rsid w:val="2DD31746"/>
    <w:rsid w:val="2DE783E3"/>
    <w:rsid w:val="2E726B2E"/>
    <w:rsid w:val="2E9417F5"/>
    <w:rsid w:val="2EA40A72"/>
    <w:rsid w:val="2EDD5FEA"/>
    <w:rsid w:val="2F1F304A"/>
    <w:rsid w:val="2F51F5E0"/>
    <w:rsid w:val="2F5CFEB8"/>
    <w:rsid w:val="2FB4751C"/>
    <w:rsid w:val="2FF8D90D"/>
    <w:rsid w:val="300695CD"/>
    <w:rsid w:val="30092007"/>
    <w:rsid w:val="3032570A"/>
    <w:rsid w:val="305D97AF"/>
    <w:rsid w:val="30AA8852"/>
    <w:rsid w:val="30F8CF19"/>
    <w:rsid w:val="3126A240"/>
    <w:rsid w:val="31F6CE53"/>
    <w:rsid w:val="32106AA5"/>
    <w:rsid w:val="328B9580"/>
    <w:rsid w:val="32C747FE"/>
    <w:rsid w:val="330A322A"/>
    <w:rsid w:val="33482619"/>
    <w:rsid w:val="33A54C27"/>
    <w:rsid w:val="352B0709"/>
    <w:rsid w:val="353CBA90"/>
    <w:rsid w:val="363BBCA5"/>
    <w:rsid w:val="36ADA9D0"/>
    <w:rsid w:val="37311254"/>
    <w:rsid w:val="373B31F2"/>
    <w:rsid w:val="37C1FCEC"/>
    <w:rsid w:val="37FCD624"/>
    <w:rsid w:val="381559E8"/>
    <w:rsid w:val="382106A5"/>
    <w:rsid w:val="385D5C8F"/>
    <w:rsid w:val="386AD7A0"/>
    <w:rsid w:val="394BFA2D"/>
    <w:rsid w:val="3976B89D"/>
    <w:rsid w:val="39B3DBF2"/>
    <w:rsid w:val="39C6F14F"/>
    <w:rsid w:val="39EB5198"/>
    <w:rsid w:val="3A20C225"/>
    <w:rsid w:val="3A62C92E"/>
    <w:rsid w:val="3AADBE22"/>
    <w:rsid w:val="3AB646AA"/>
    <w:rsid w:val="3AC76CA8"/>
    <w:rsid w:val="3AEF812D"/>
    <w:rsid w:val="3BA5F430"/>
    <w:rsid w:val="3C1824C3"/>
    <w:rsid w:val="3C6B5869"/>
    <w:rsid w:val="3C8A8D73"/>
    <w:rsid w:val="3CEAF277"/>
    <w:rsid w:val="3D28AFB0"/>
    <w:rsid w:val="3D59CE72"/>
    <w:rsid w:val="3D5E19B0"/>
    <w:rsid w:val="3D7008A5"/>
    <w:rsid w:val="3D947D8E"/>
    <w:rsid w:val="3D9A2ECC"/>
    <w:rsid w:val="3DD9ECC7"/>
    <w:rsid w:val="3DE613E2"/>
    <w:rsid w:val="3E7A42B3"/>
    <w:rsid w:val="3EDEB88C"/>
    <w:rsid w:val="3F54ECE0"/>
    <w:rsid w:val="406856FA"/>
    <w:rsid w:val="40859C1D"/>
    <w:rsid w:val="40A7A967"/>
    <w:rsid w:val="40D18169"/>
    <w:rsid w:val="4107B0E4"/>
    <w:rsid w:val="41521093"/>
    <w:rsid w:val="417CA19E"/>
    <w:rsid w:val="41A0B39E"/>
    <w:rsid w:val="41BA4268"/>
    <w:rsid w:val="41E4BAD6"/>
    <w:rsid w:val="41FFB1C9"/>
    <w:rsid w:val="42016E94"/>
    <w:rsid w:val="4203DFAE"/>
    <w:rsid w:val="424FE0F9"/>
    <w:rsid w:val="42BE3F13"/>
    <w:rsid w:val="43751A41"/>
    <w:rsid w:val="43E15A7F"/>
    <w:rsid w:val="43FF0F82"/>
    <w:rsid w:val="443BEFAC"/>
    <w:rsid w:val="44882801"/>
    <w:rsid w:val="44CD1D38"/>
    <w:rsid w:val="44E6DBC6"/>
    <w:rsid w:val="4510C2B1"/>
    <w:rsid w:val="452870BA"/>
    <w:rsid w:val="458DEDCE"/>
    <w:rsid w:val="459BCEE8"/>
    <w:rsid w:val="45DA9EB9"/>
    <w:rsid w:val="45DC4F52"/>
    <w:rsid w:val="460120EA"/>
    <w:rsid w:val="4678AC60"/>
    <w:rsid w:val="4684BB04"/>
    <w:rsid w:val="46A5A9EF"/>
    <w:rsid w:val="4710F4B5"/>
    <w:rsid w:val="4716EAEB"/>
    <w:rsid w:val="48B69729"/>
    <w:rsid w:val="48D806FE"/>
    <w:rsid w:val="4921F24E"/>
    <w:rsid w:val="4966E425"/>
    <w:rsid w:val="49B6024C"/>
    <w:rsid w:val="49F8EC8C"/>
    <w:rsid w:val="4A01C4BB"/>
    <w:rsid w:val="4A592219"/>
    <w:rsid w:val="4A81BAE3"/>
    <w:rsid w:val="4AF7B3EB"/>
    <w:rsid w:val="4B521AA3"/>
    <w:rsid w:val="4B775915"/>
    <w:rsid w:val="4B8E7F53"/>
    <w:rsid w:val="4BFE7EC1"/>
    <w:rsid w:val="4CB2EE5C"/>
    <w:rsid w:val="4D1ED01B"/>
    <w:rsid w:val="4D8B1BDD"/>
    <w:rsid w:val="4DD293CD"/>
    <w:rsid w:val="4DE5B09E"/>
    <w:rsid w:val="4E3A5548"/>
    <w:rsid w:val="4E5B5B9D"/>
    <w:rsid w:val="4E960121"/>
    <w:rsid w:val="4EC7B134"/>
    <w:rsid w:val="4F21FCD0"/>
    <w:rsid w:val="4F9AB3F4"/>
    <w:rsid w:val="4F9B61D4"/>
    <w:rsid w:val="4F9F7BC3"/>
    <w:rsid w:val="4FEB7CAF"/>
    <w:rsid w:val="4FF81B7B"/>
    <w:rsid w:val="502EDCE9"/>
    <w:rsid w:val="50317BF3"/>
    <w:rsid w:val="503F4BB8"/>
    <w:rsid w:val="50B73643"/>
    <w:rsid w:val="50C71994"/>
    <w:rsid w:val="510AE2E4"/>
    <w:rsid w:val="517A9A2E"/>
    <w:rsid w:val="51C6E2C7"/>
    <w:rsid w:val="51D6454D"/>
    <w:rsid w:val="520C100E"/>
    <w:rsid w:val="52BB46CA"/>
    <w:rsid w:val="538BC5D3"/>
    <w:rsid w:val="53BDC15F"/>
    <w:rsid w:val="545BC775"/>
    <w:rsid w:val="546066AC"/>
    <w:rsid w:val="5477B361"/>
    <w:rsid w:val="54C25AA0"/>
    <w:rsid w:val="555AD737"/>
    <w:rsid w:val="558B1621"/>
    <w:rsid w:val="55AA88B6"/>
    <w:rsid w:val="55E514BE"/>
    <w:rsid w:val="5651321B"/>
    <w:rsid w:val="565B3408"/>
    <w:rsid w:val="570F18FA"/>
    <w:rsid w:val="572B4BEC"/>
    <w:rsid w:val="5776D711"/>
    <w:rsid w:val="582A1E0B"/>
    <w:rsid w:val="584607F4"/>
    <w:rsid w:val="584F236F"/>
    <w:rsid w:val="58672D7A"/>
    <w:rsid w:val="59E8B1E7"/>
    <w:rsid w:val="59EF12E7"/>
    <w:rsid w:val="5B6AE6C9"/>
    <w:rsid w:val="5C3C5352"/>
    <w:rsid w:val="5C3E5121"/>
    <w:rsid w:val="5CA6110F"/>
    <w:rsid w:val="5CA9E6D1"/>
    <w:rsid w:val="5CCF5CA1"/>
    <w:rsid w:val="5D47CFFC"/>
    <w:rsid w:val="5D5D5D47"/>
    <w:rsid w:val="5D79A1B1"/>
    <w:rsid w:val="5D91E250"/>
    <w:rsid w:val="5DB576AD"/>
    <w:rsid w:val="5DBE2717"/>
    <w:rsid w:val="5DD63D17"/>
    <w:rsid w:val="5DF56BAA"/>
    <w:rsid w:val="5E76908E"/>
    <w:rsid w:val="5F51470E"/>
    <w:rsid w:val="5F7FAB5C"/>
    <w:rsid w:val="5FF6EE08"/>
    <w:rsid w:val="600B2C80"/>
    <w:rsid w:val="603EA27D"/>
    <w:rsid w:val="60723F5F"/>
    <w:rsid w:val="607B498C"/>
    <w:rsid w:val="60C74330"/>
    <w:rsid w:val="60C7DF9D"/>
    <w:rsid w:val="60DAA4F5"/>
    <w:rsid w:val="6134EB74"/>
    <w:rsid w:val="61403F04"/>
    <w:rsid w:val="61B64F28"/>
    <w:rsid w:val="62127C49"/>
    <w:rsid w:val="623EAF42"/>
    <w:rsid w:val="626FC15C"/>
    <w:rsid w:val="62905F8F"/>
    <w:rsid w:val="62C3BDD7"/>
    <w:rsid w:val="638B659D"/>
    <w:rsid w:val="63D00F22"/>
    <w:rsid w:val="63EB07CC"/>
    <w:rsid w:val="64F24BDB"/>
    <w:rsid w:val="64F76541"/>
    <w:rsid w:val="6506E0B1"/>
    <w:rsid w:val="653F0817"/>
    <w:rsid w:val="65759FF3"/>
    <w:rsid w:val="65BADC70"/>
    <w:rsid w:val="661265A7"/>
    <w:rsid w:val="66328F3C"/>
    <w:rsid w:val="66A2B112"/>
    <w:rsid w:val="66A743B4"/>
    <w:rsid w:val="66AD782B"/>
    <w:rsid w:val="66D1B86F"/>
    <w:rsid w:val="66DD8AB7"/>
    <w:rsid w:val="67411A64"/>
    <w:rsid w:val="67B6B57A"/>
    <w:rsid w:val="683E8173"/>
    <w:rsid w:val="6859F5A2"/>
    <w:rsid w:val="688D945A"/>
    <w:rsid w:val="6890B074"/>
    <w:rsid w:val="691A5DC8"/>
    <w:rsid w:val="693C4726"/>
    <w:rsid w:val="696E72E8"/>
    <w:rsid w:val="696EB0DF"/>
    <w:rsid w:val="69DBD712"/>
    <w:rsid w:val="6AC91C99"/>
    <w:rsid w:val="6B0A4349"/>
    <w:rsid w:val="6B1DC143"/>
    <w:rsid w:val="6B7D2948"/>
    <w:rsid w:val="6B828186"/>
    <w:rsid w:val="6C076109"/>
    <w:rsid w:val="6C38A4AE"/>
    <w:rsid w:val="6C62A5A8"/>
    <w:rsid w:val="6C836AD4"/>
    <w:rsid w:val="6CDAFE29"/>
    <w:rsid w:val="6CEEF8B5"/>
    <w:rsid w:val="6CF13E38"/>
    <w:rsid w:val="6DE57DE7"/>
    <w:rsid w:val="6E40BA9D"/>
    <w:rsid w:val="6E4C8BAC"/>
    <w:rsid w:val="6E869399"/>
    <w:rsid w:val="6E8BC890"/>
    <w:rsid w:val="6EA77865"/>
    <w:rsid w:val="6EAF4063"/>
    <w:rsid w:val="6EB5B07D"/>
    <w:rsid w:val="701F08A2"/>
    <w:rsid w:val="705180DE"/>
    <w:rsid w:val="70564453"/>
    <w:rsid w:val="709BB384"/>
    <w:rsid w:val="709F811E"/>
    <w:rsid w:val="709FE4DB"/>
    <w:rsid w:val="713A8326"/>
    <w:rsid w:val="715F347C"/>
    <w:rsid w:val="716780A5"/>
    <w:rsid w:val="71ED513F"/>
    <w:rsid w:val="71F93429"/>
    <w:rsid w:val="721A4FE6"/>
    <w:rsid w:val="722FC402"/>
    <w:rsid w:val="72A1AD4D"/>
    <w:rsid w:val="731E385D"/>
    <w:rsid w:val="735F39B3"/>
    <w:rsid w:val="737B4311"/>
    <w:rsid w:val="73842972"/>
    <w:rsid w:val="73BCC43E"/>
    <w:rsid w:val="73F382E1"/>
    <w:rsid w:val="74237B81"/>
    <w:rsid w:val="7453F978"/>
    <w:rsid w:val="74C20D53"/>
    <w:rsid w:val="750A6C5F"/>
    <w:rsid w:val="750B8EDE"/>
    <w:rsid w:val="75165B01"/>
    <w:rsid w:val="751E82C1"/>
    <w:rsid w:val="755E2615"/>
    <w:rsid w:val="7563F18D"/>
    <w:rsid w:val="75A835FB"/>
    <w:rsid w:val="75B8667C"/>
    <w:rsid w:val="762674AE"/>
    <w:rsid w:val="76465791"/>
    <w:rsid w:val="76AD1477"/>
    <w:rsid w:val="76F1A410"/>
    <w:rsid w:val="76F3DC51"/>
    <w:rsid w:val="772EF315"/>
    <w:rsid w:val="77471B42"/>
    <w:rsid w:val="779E2A17"/>
    <w:rsid w:val="779F2230"/>
    <w:rsid w:val="77A45273"/>
    <w:rsid w:val="784D9ACE"/>
    <w:rsid w:val="78548F12"/>
    <w:rsid w:val="79437A9A"/>
    <w:rsid w:val="798F20F8"/>
    <w:rsid w:val="79C085EB"/>
    <w:rsid w:val="7A1A912D"/>
    <w:rsid w:val="7A88E227"/>
    <w:rsid w:val="7AD9DB9A"/>
    <w:rsid w:val="7B72B4DD"/>
    <w:rsid w:val="7BAADEA9"/>
    <w:rsid w:val="7BAE980C"/>
    <w:rsid w:val="7BD2EA4C"/>
    <w:rsid w:val="7BE1E6D2"/>
    <w:rsid w:val="7BED176C"/>
    <w:rsid w:val="7D3C31DB"/>
    <w:rsid w:val="7D4989FD"/>
    <w:rsid w:val="7E601EC7"/>
    <w:rsid w:val="7E6C1909"/>
    <w:rsid w:val="7EAAAFC4"/>
    <w:rsid w:val="7ED8A30D"/>
    <w:rsid w:val="7EF03698"/>
    <w:rsid w:val="7F0AA418"/>
    <w:rsid w:val="7F274DBD"/>
    <w:rsid w:val="7F40182A"/>
    <w:rsid w:val="7FBFF1A1"/>
    <w:rsid w:val="7FD33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8FB5"/>
  <w15:chartTrackingRefBased/>
  <w15:docId w15:val="{9DF1C6A5-FDFB-4B37-B806-E75EBE6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13"/>
    <w:pPr>
      <w:spacing w:after="240" w:line="240" w:lineRule="auto"/>
      <w:jc w:val="both"/>
    </w:pPr>
    <w:rPr>
      <w:rFonts w:ascii="Courier New" w:eastAsia="Times New Roman" w:hAnsi="Courier New" w:cs="Times New Roman"/>
      <w:sz w:val="24"/>
      <w:szCs w:val="20"/>
      <w:lang w:eastAsia="en-GB"/>
    </w:rPr>
  </w:style>
  <w:style w:type="paragraph" w:styleId="Heading1">
    <w:name w:val="heading 1"/>
    <w:basedOn w:val="Normal"/>
    <w:next w:val="Normal"/>
    <w:link w:val="Heading1Char"/>
    <w:uiPriority w:val="9"/>
    <w:qFormat/>
    <w:rsid w:val="00580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2"/>
    <w:uiPriority w:val="99"/>
    <w:qFormat/>
    <w:rsid w:val="00F42613"/>
    <w:pPr>
      <w:ind w:left="357" w:hanging="357"/>
    </w:pPr>
    <w:rPr>
      <w:sz w:val="20"/>
    </w:rPr>
  </w:style>
  <w:style w:type="character" w:customStyle="1" w:styleId="FootnoteTextChar">
    <w:name w:val="Footnote Text Char"/>
    <w:basedOn w:val="DefaultParagraphFont"/>
    <w:uiPriority w:val="99"/>
    <w:semiHidden/>
    <w:rsid w:val="00F42613"/>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42613"/>
    <w:rPr>
      <w:vertAlign w:val="superscript"/>
    </w:rPr>
  </w:style>
  <w:style w:type="character" w:styleId="Hyperlink">
    <w:name w:val="Hyperlink"/>
    <w:aliases w:val="Char1"/>
    <w:uiPriority w:val="99"/>
    <w:qFormat/>
    <w:rsid w:val="00F42613"/>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F42613"/>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42613"/>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1431F9"/>
    <w:pPr>
      <w:ind w:left="720"/>
      <w:contextualSpacing/>
    </w:pPr>
  </w:style>
  <w:style w:type="paragraph" w:styleId="Header">
    <w:name w:val="header"/>
    <w:basedOn w:val="Normal"/>
    <w:link w:val="HeaderChar"/>
    <w:uiPriority w:val="99"/>
    <w:unhideWhenUsed/>
    <w:rsid w:val="000A57EE"/>
    <w:pPr>
      <w:tabs>
        <w:tab w:val="center" w:pos="4513"/>
        <w:tab w:val="right" w:pos="9026"/>
      </w:tabs>
      <w:spacing w:after="0"/>
    </w:pPr>
  </w:style>
  <w:style w:type="character" w:customStyle="1" w:styleId="HeaderChar">
    <w:name w:val="Header Char"/>
    <w:basedOn w:val="DefaultParagraphFont"/>
    <w:link w:val="Header"/>
    <w:uiPriority w:val="99"/>
    <w:rsid w:val="000A57EE"/>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0A57EE"/>
    <w:pPr>
      <w:tabs>
        <w:tab w:val="center" w:pos="4513"/>
        <w:tab w:val="right" w:pos="9026"/>
      </w:tabs>
      <w:spacing w:after="0"/>
    </w:pPr>
  </w:style>
  <w:style w:type="character" w:customStyle="1" w:styleId="FooterChar">
    <w:name w:val="Footer Char"/>
    <w:basedOn w:val="DefaultParagraphFont"/>
    <w:link w:val="Footer"/>
    <w:uiPriority w:val="99"/>
    <w:rsid w:val="000A57EE"/>
    <w:rPr>
      <w:rFonts w:ascii="Courier New" w:eastAsia="Times New Roman" w:hAnsi="Courier New" w:cs="Times New Roman"/>
      <w:sz w:val="24"/>
      <w:szCs w:val="20"/>
      <w:lang w:eastAsia="en-GB"/>
    </w:rPr>
  </w:style>
  <w:style w:type="paragraph" w:styleId="Revision">
    <w:name w:val="Revision"/>
    <w:hidden/>
    <w:uiPriority w:val="99"/>
    <w:semiHidden/>
    <w:rsid w:val="00F82B2D"/>
    <w:pPr>
      <w:spacing w:after="0" w:line="240" w:lineRule="auto"/>
    </w:pPr>
    <w:rPr>
      <w:rFonts w:ascii="Courier New" w:eastAsia="Times New Roman" w:hAnsi="Courier New" w:cs="Times New Roman"/>
      <w:sz w:val="24"/>
      <w:szCs w:val="20"/>
      <w:lang w:eastAsia="en-GB"/>
    </w:rPr>
  </w:style>
  <w:style w:type="character" w:customStyle="1" w:styleId="normaltextrun">
    <w:name w:val="normaltextrun"/>
    <w:basedOn w:val="DefaultParagraphFont"/>
    <w:rsid w:val="00820FA3"/>
  </w:style>
  <w:style w:type="character" w:customStyle="1" w:styleId="findhit">
    <w:name w:val="findhit"/>
    <w:basedOn w:val="DefaultParagraphFont"/>
    <w:rsid w:val="00820FA3"/>
  </w:style>
  <w:style w:type="character" w:styleId="CommentReference">
    <w:name w:val="annotation reference"/>
    <w:basedOn w:val="DefaultParagraphFont"/>
    <w:uiPriority w:val="99"/>
    <w:semiHidden/>
    <w:unhideWhenUsed/>
    <w:rsid w:val="003C5AA8"/>
    <w:rPr>
      <w:sz w:val="16"/>
      <w:szCs w:val="16"/>
    </w:rPr>
  </w:style>
  <w:style w:type="paragraph" w:styleId="CommentText">
    <w:name w:val="annotation text"/>
    <w:basedOn w:val="Normal"/>
    <w:link w:val="CommentTextChar"/>
    <w:uiPriority w:val="99"/>
    <w:unhideWhenUsed/>
    <w:rsid w:val="003C5AA8"/>
    <w:rPr>
      <w:sz w:val="20"/>
    </w:rPr>
  </w:style>
  <w:style w:type="character" w:customStyle="1" w:styleId="CommentTextChar">
    <w:name w:val="Comment Text Char"/>
    <w:basedOn w:val="DefaultParagraphFont"/>
    <w:link w:val="CommentText"/>
    <w:uiPriority w:val="99"/>
    <w:rsid w:val="003C5AA8"/>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5AA8"/>
    <w:rPr>
      <w:b/>
      <w:bCs/>
    </w:rPr>
  </w:style>
  <w:style w:type="character" w:customStyle="1" w:styleId="CommentSubjectChar">
    <w:name w:val="Comment Subject Char"/>
    <w:basedOn w:val="CommentTextChar"/>
    <w:link w:val="CommentSubject"/>
    <w:uiPriority w:val="99"/>
    <w:semiHidden/>
    <w:rsid w:val="003C5AA8"/>
    <w:rPr>
      <w:rFonts w:ascii="Courier New" w:eastAsia="Times New Roman" w:hAnsi="Courier New" w:cs="Times New Roman"/>
      <w:b/>
      <w:bCs/>
      <w:sz w:val="20"/>
      <w:szCs w:val="20"/>
      <w:lang w:eastAsia="en-GB"/>
    </w:rPr>
  </w:style>
  <w:style w:type="character" w:styleId="Mention">
    <w:name w:val="Mention"/>
    <w:basedOn w:val="DefaultParagraphFont"/>
    <w:uiPriority w:val="99"/>
    <w:unhideWhenUsed/>
    <w:rsid w:val="003C5AA8"/>
    <w:rPr>
      <w:color w:val="2B579A"/>
      <w:shd w:val="clear" w:color="auto" w:fill="E1DFDD"/>
    </w:rPr>
  </w:style>
  <w:style w:type="character" w:styleId="UnresolvedMention">
    <w:name w:val="Unresolved Mention"/>
    <w:basedOn w:val="DefaultParagraphFont"/>
    <w:uiPriority w:val="99"/>
    <w:semiHidden/>
    <w:unhideWhenUsed/>
    <w:rsid w:val="008C6974"/>
    <w:rPr>
      <w:color w:val="605E5C"/>
      <w:shd w:val="clear" w:color="auto" w:fill="E1DFDD"/>
    </w:rPr>
  </w:style>
  <w:style w:type="character" w:styleId="FollowedHyperlink">
    <w:name w:val="FollowedHyperlink"/>
    <w:basedOn w:val="DefaultParagraphFont"/>
    <w:uiPriority w:val="99"/>
    <w:semiHidden/>
    <w:unhideWhenUsed/>
    <w:rsid w:val="00045E3C"/>
    <w:rPr>
      <w:color w:val="954F72" w:themeColor="followedHyperlink"/>
      <w:u w:val="single"/>
    </w:rPr>
  </w:style>
  <w:style w:type="character" w:customStyle="1" w:styleId="cf01">
    <w:name w:val="cf01"/>
    <w:basedOn w:val="DefaultParagraphFont"/>
    <w:rsid w:val="00D70A3C"/>
    <w:rPr>
      <w:rFonts w:ascii="Segoe UI" w:hAnsi="Segoe UI" w:cs="Segoe UI" w:hint="default"/>
      <w:color w:val="666666"/>
      <w:sz w:val="18"/>
      <w:szCs w:val="18"/>
    </w:rPr>
  </w:style>
  <w:style w:type="paragraph" w:styleId="NormalWeb">
    <w:name w:val="Normal (Web)"/>
    <w:basedOn w:val="Normal"/>
    <w:uiPriority w:val="99"/>
    <w:unhideWhenUsed/>
    <w:rsid w:val="00C201B2"/>
    <w:pPr>
      <w:spacing w:before="100" w:beforeAutospacing="1" w:after="100" w:afterAutospacing="1"/>
      <w:jc w:val="left"/>
    </w:pPr>
    <w:rPr>
      <w:rFonts w:ascii="Times New Roman" w:hAnsi="Times New Roman"/>
      <w:szCs w:val="24"/>
      <w:lang w:eastAsia="en-IE"/>
    </w:rPr>
  </w:style>
  <w:style w:type="character" w:styleId="Strong">
    <w:name w:val="Strong"/>
    <w:basedOn w:val="DefaultParagraphFont"/>
    <w:uiPriority w:val="22"/>
    <w:qFormat/>
    <w:rsid w:val="00C201B2"/>
    <w:rPr>
      <w:b/>
      <w:bCs/>
    </w:rPr>
  </w:style>
  <w:style w:type="character" w:customStyle="1" w:styleId="Heading1Char">
    <w:name w:val="Heading 1 Char"/>
    <w:basedOn w:val="DefaultParagraphFont"/>
    <w:link w:val="Heading1"/>
    <w:uiPriority w:val="9"/>
    <w:rsid w:val="005803E3"/>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439">
      <w:bodyDiv w:val="1"/>
      <w:marLeft w:val="0"/>
      <w:marRight w:val="0"/>
      <w:marTop w:val="0"/>
      <w:marBottom w:val="0"/>
      <w:divBdr>
        <w:top w:val="none" w:sz="0" w:space="0" w:color="auto"/>
        <w:left w:val="none" w:sz="0" w:space="0" w:color="auto"/>
        <w:bottom w:val="none" w:sz="0" w:space="0" w:color="auto"/>
        <w:right w:val="none" w:sz="0" w:space="0" w:color="auto"/>
      </w:divBdr>
    </w:div>
    <w:div w:id="275454138">
      <w:bodyDiv w:val="1"/>
      <w:marLeft w:val="0"/>
      <w:marRight w:val="0"/>
      <w:marTop w:val="0"/>
      <w:marBottom w:val="0"/>
      <w:divBdr>
        <w:top w:val="none" w:sz="0" w:space="0" w:color="auto"/>
        <w:left w:val="none" w:sz="0" w:space="0" w:color="auto"/>
        <w:bottom w:val="none" w:sz="0" w:space="0" w:color="auto"/>
        <w:right w:val="none" w:sz="0" w:space="0" w:color="auto"/>
      </w:divBdr>
    </w:div>
    <w:div w:id="436370491">
      <w:bodyDiv w:val="1"/>
      <w:marLeft w:val="0"/>
      <w:marRight w:val="0"/>
      <w:marTop w:val="0"/>
      <w:marBottom w:val="0"/>
      <w:divBdr>
        <w:top w:val="none" w:sz="0" w:space="0" w:color="auto"/>
        <w:left w:val="none" w:sz="0" w:space="0" w:color="auto"/>
        <w:bottom w:val="none" w:sz="0" w:space="0" w:color="auto"/>
        <w:right w:val="none" w:sz="0" w:space="0" w:color="auto"/>
      </w:divBdr>
    </w:div>
    <w:div w:id="438329739">
      <w:bodyDiv w:val="1"/>
      <w:marLeft w:val="0"/>
      <w:marRight w:val="0"/>
      <w:marTop w:val="0"/>
      <w:marBottom w:val="0"/>
      <w:divBdr>
        <w:top w:val="none" w:sz="0" w:space="0" w:color="auto"/>
        <w:left w:val="none" w:sz="0" w:space="0" w:color="auto"/>
        <w:bottom w:val="none" w:sz="0" w:space="0" w:color="auto"/>
        <w:right w:val="none" w:sz="0" w:space="0" w:color="auto"/>
      </w:divBdr>
    </w:div>
    <w:div w:id="484779725">
      <w:bodyDiv w:val="1"/>
      <w:marLeft w:val="0"/>
      <w:marRight w:val="0"/>
      <w:marTop w:val="0"/>
      <w:marBottom w:val="0"/>
      <w:divBdr>
        <w:top w:val="none" w:sz="0" w:space="0" w:color="auto"/>
        <w:left w:val="none" w:sz="0" w:space="0" w:color="auto"/>
        <w:bottom w:val="none" w:sz="0" w:space="0" w:color="auto"/>
        <w:right w:val="none" w:sz="0" w:space="0" w:color="auto"/>
      </w:divBdr>
    </w:div>
    <w:div w:id="658196878">
      <w:bodyDiv w:val="1"/>
      <w:marLeft w:val="0"/>
      <w:marRight w:val="0"/>
      <w:marTop w:val="0"/>
      <w:marBottom w:val="0"/>
      <w:divBdr>
        <w:top w:val="none" w:sz="0" w:space="0" w:color="auto"/>
        <w:left w:val="none" w:sz="0" w:space="0" w:color="auto"/>
        <w:bottom w:val="none" w:sz="0" w:space="0" w:color="auto"/>
        <w:right w:val="none" w:sz="0" w:space="0" w:color="auto"/>
      </w:divBdr>
    </w:div>
    <w:div w:id="722215525">
      <w:bodyDiv w:val="1"/>
      <w:marLeft w:val="0"/>
      <w:marRight w:val="0"/>
      <w:marTop w:val="0"/>
      <w:marBottom w:val="0"/>
      <w:divBdr>
        <w:top w:val="none" w:sz="0" w:space="0" w:color="auto"/>
        <w:left w:val="none" w:sz="0" w:space="0" w:color="auto"/>
        <w:bottom w:val="none" w:sz="0" w:space="0" w:color="auto"/>
        <w:right w:val="none" w:sz="0" w:space="0" w:color="auto"/>
      </w:divBdr>
      <w:divsChild>
        <w:div w:id="1006783498">
          <w:marLeft w:val="0"/>
          <w:marRight w:val="0"/>
          <w:marTop w:val="0"/>
          <w:marBottom w:val="0"/>
          <w:divBdr>
            <w:top w:val="none" w:sz="0" w:space="0" w:color="auto"/>
            <w:left w:val="none" w:sz="0" w:space="0" w:color="auto"/>
            <w:bottom w:val="none" w:sz="0" w:space="0" w:color="auto"/>
            <w:right w:val="none" w:sz="0" w:space="0" w:color="auto"/>
          </w:divBdr>
          <w:divsChild>
            <w:div w:id="9161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4352">
      <w:bodyDiv w:val="1"/>
      <w:marLeft w:val="0"/>
      <w:marRight w:val="0"/>
      <w:marTop w:val="0"/>
      <w:marBottom w:val="0"/>
      <w:divBdr>
        <w:top w:val="none" w:sz="0" w:space="0" w:color="auto"/>
        <w:left w:val="none" w:sz="0" w:space="0" w:color="auto"/>
        <w:bottom w:val="none" w:sz="0" w:space="0" w:color="auto"/>
        <w:right w:val="none" w:sz="0" w:space="0" w:color="auto"/>
      </w:divBdr>
    </w:div>
    <w:div w:id="813764337">
      <w:bodyDiv w:val="1"/>
      <w:marLeft w:val="0"/>
      <w:marRight w:val="0"/>
      <w:marTop w:val="0"/>
      <w:marBottom w:val="0"/>
      <w:divBdr>
        <w:top w:val="none" w:sz="0" w:space="0" w:color="auto"/>
        <w:left w:val="none" w:sz="0" w:space="0" w:color="auto"/>
        <w:bottom w:val="none" w:sz="0" w:space="0" w:color="auto"/>
        <w:right w:val="none" w:sz="0" w:space="0" w:color="auto"/>
      </w:divBdr>
    </w:div>
    <w:div w:id="940727269">
      <w:bodyDiv w:val="1"/>
      <w:marLeft w:val="0"/>
      <w:marRight w:val="0"/>
      <w:marTop w:val="0"/>
      <w:marBottom w:val="0"/>
      <w:divBdr>
        <w:top w:val="none" w:sz="0" w:space="0" w:color="auto"/>
        <w:left w:val="none" w:sz="0" w:space="0" w:color="auto"/>
        <w:bottom w:val="none" w:sz="0" w:space="0" w:color="auto"/>
        <w:right w:val="none" w:sz="0" w:space="0" w:color="auto"/>
      </w:divBdr>
    </w:div>
    <w:div w:id="1192302759">
      <w:bodyDiv w:val="1"/>
      <w:marLeft w:val="0"/>
      <w:marRight w:val="0"/>
      <w:marTop w:val="0"/>
      <w:marBottom w:val="0"/>
      <w:divBdr>
        <w:top w:val="none" w:sz="0" w:space="0" w:color="auto"/>
        <w:left w:val="none" w:sz="0" w:space="0" w:color="auto"/>
        <w:bottom w:val="none" w:sz="0" w:space="0" w:color="auto"/>
        <w:right w:val="none" w:sz="0" w:space="0" w:color="auto"/>
      </w:divBdr>
    </w:div>
    <w:div w:id="1280795627">
      <w:bodyDiv w:val="1"/>
      <w:marLeft w:val="0"/>
      <w:marRight w:val="0"/>
      <w:marTop w:val="0"/>
      <w:marBottom w:val="0"/>
      <w:divBdr>
        <w:top w:val="none" w:sz="0" w:space="0" w:color="auto"/>
        <w:left w:val="none" w:sz="0" w:space="0" w:color="auto"/>
        <w:bottom w:val="none" w:sz="0" w:space="0" w:color="auto"/>
        <w:right w:val="none" w:sz="0" w:space="0" w:color="auto"/>
      </w:divBdr>
    </w:div>
    <w:div w:id="1585333511">
      <w:bodyDiv w:val="1"/>
      <w:marLeft w:val="0"/>
      <w:marRight w:val="0"/>
      <w:marTop w:val="0"/>
      <w:marBottom w:val="0"/>
      <w:divBdr>
        <w:top w:val="none" w:sz="0" w:space="0" w:color="auto"/>
        <w:left w:val="none" w:sz="0" w:space="0" w:color="auto"/>
        <w:bottom w:val="none" w:sz="0" w:space="0" w:color="auto"/>
        <w:right w:val="none" w:sz="0" w:space="0" w:color="auto"/>
      </w:divBdr>
    </w:div>
    <w:div w:id="1818260860">
      <w:bodyDiv w:val="1"/>
      <w:marLeft w:val="0"/>
      <w:marRight w:val="0"/>
      <w:marTop w:val="0"/>
      <w:marBottom w:val="0"/>
      <w:divBdr>
        <w:top w:val="none" w:sz="0" w:space="0" w:color="auto"/>
        <w:left w:val="none" w:sz="0" w:space="0" w:color="auto"/>
        <w:bottom w:val="none" w:sz="0" w:space="0" w:color="auto"/>
        <w:right w:val="none" w:sz="0" w:space="0" w:color="auto"/>
      </w:divBdr>
    </w:div>
    <w:div w:id="1893689881">
      <w:bodyDiv w:val="1"/>
      <w:marLeft w:val="0"/>
      <w:marRight w:val="0"/>
      <w:marTop w:val="0"/>
      <w:marBottom w:val="0"/>
      <w:divBdr>
        <w:top w:val="none" w:sz="0" w:space="0" w:color="auto"/>
        <w:left w:val="none" w:sz="0" w:space="0" w:color="auto"/>
        <w:bottom w:val="none" w:sz="0" w:space="0" w:color="auto"/>
        <w:right w:val="none" w:sz="0" w:space="0" w:color="auto"/>
      </w:divBdr>
      <w:divsChild>
        <w:div w:id="1240871392">
          <w:marLeft w:val="0"/>
          <w:marRight w:val="0"/>
          <w:marTop w:val="0"/>
          <w:marBottom w:val="0"/>
          <w:divBdr>
            <w:top w:val="none" w:sz="0" w:space="0" w:color="auto"/>
            <w:left w:val="none" w:sz="0" w:space="0" w:color="auto"/>
            <w:bottom w:val="none" w:sz="0" w:space="0" w:color="auto"/>
            <w:right w:val="none" w:sz="0" w:space="0" w:color="auto"/>
          </w:divBdr>
          <w:divsChild>
            <w:div w:id="1477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362">
      <w:bodyDiv w:val="1"/>
      <w:marLeft w:val="0"/>
      <w:marRight w:val="0"/>
      <w:marTop w:val="0"/>
      <w:marBottom w:val="0"/>
      <w:divBdr>
        <w:top w:val="none" w:sz="0" w:space="0" w:color="auto"/>
        <w:left w:val="none" w:sz="0" w:space="0" w:color="auto"/>
        <w:bottom w:val="none" w:sz="0" w:space="0" w:color="auto"/>
        <w:right w:val="none" w:sz="0" w:space="0" w:color="auto"/>
      </w:divBdr>
    </w:div>
    <w:div w:id="2089424591">
      <w:bodyDiv w:val="1"/>
      <w:marLeft w:val="0"/>
      <w:marRight w:val="0"/>
      <w:marTop w:val="0"/>
      <w:marBottom w:val="0"/>
      <w:divBdr>
        <w:top w:val="none" w:sz="0" w:space="0" w:color="auto"/>
        <w:left w:val="none" w:sz="0" w:space="0" w:color="auto"/>
        <w:bottom w:val="none" w:sz="0" w:space="0" w:color="auto"/>
        <w:right w:val="none" w:sz="0" w:space="0" w:color="auto"/>
      </w:divBdr>
    </w:div>
    <w:div w:id="21014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R/TXT/PDF/?uri=CELEX:52020DC0698" TargetMode="External"/><Relationship Id="rId18" Type="http://schemas.openxmlformats.org/officeDocument/2006/relationships/hyperlink" Target="https://commission.europa.eu/document/download/8731d6c1-3716-4c9e-a179-6db6de6064a6_fr?filename=final_guidelines_4-10-18_without_date_july.pdf" TargetMode="External"/><Relationship Id="rId3" Type="http://schemas.openxmlformats.org/officeDocument/2006/relationships/customXml" Target="../customXml/item3.xml"/><Relationship Id="rId21" Type="http://schemas.openxmlformats.org/officeDocument/2006/relationships/hyperlink" Target="https://fra.europa.eu/en/promising-practices-list" TargetMode="External"/><Relationship Id="rId7" Type="http://schemas.openxmlformats.org/officeDocument/2006/relationships/settings" Target="settings.xml"/><Relationship Id="rId12" Type="http://schemas.openxmlformats.org/officeDocument/2006/relationships/hyperlink" Target="https://eur-lex.europa.eu/legal-content/FR/TXT/?uri=CELEX%3A52020DC0152" TargetMode="External"/><Relationship Id="rId17" Type="http://schemas.openxmlformats.org/officeDocument/2006/relationships/hyperlink" Target="https://commission.europa.eu/strategy-and-policy/policies/justice-and-fundamental-rights/combatting-discrimination/equality-data-collec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info/policies/justice-and-fundamental-rights/combatting-discrimination/tackling-discrimination/network-experts-field-anti-discrimination_en" TargetMode="External"/><Relationship Id="rId20" Type="http://schemas.openxmlformats.org/officeDocument/2006/relationships/hyperlink" Target="https://commission.europa.eu/document/download/66adbc7e-99cb-4d88-a653-d7fbfba9d7e8_fr?filename=Guidance%20note%20on%20the%20collection%20and%20use%20of%20data%20for%20LGBTIQ%20equality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strategy-and-policy/eu-budget/performance-and-reporting/horizontal-priorities/gender-equality-mainstreaming_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ission.europa.eu/document/download/beb25da4-e6b9-459e-89f7-bcdbd3a8f0c8_fr?filename=a_union_of_equality_eu_action_plan_against_racism_2020_-2025_f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ommission.europa.eu/document/download/3e714806-d8e4-44a5-bdb8-3ceeb592d3f7_fr?filename=guidance_note_on_the_collection_and_use_of_equality_data_based_on_racial_or_ethnic_orig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resource.html?uri=cellar:9a007e7e-08ad-11eb-a511-01aa75ed71a1.0012.02/DOC_1&amp;format=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ing.com/ck/a?!&amp;&amp;p=3346eb0e48d18aa6227abb9c7c4320c46314cd8a575d8c4b485a27725144951dJmltdHM9MTczOTIzMjAwMA&amp;ptn=3&amp;ver=2&amp;hsh=4&amp;fclid=213163f5-fc22-612e-12f5-7689fd4e6063&amp;u=a1aHR0cHM6Ly93d3cuZXUtcGF0aWVudC5ldS9wb2xpY3kvUG9saWN5L0FudGktZGlzY3JpbWluYXRpb24vbGVnaXNsYXRpb24tc3VtbWFyeS0tLWhvdy1pcy1kaXNjcmltaW5hdGlvbi1hZGRyZXNzZWQtaW4tZXUtbGVnaXNsYXRpb24v&amp;ntb=1" TargetMode="External"/><Relationship Id="rId2" Type="http://schemas.openxmlformats.org/officeDocument/2006/relationships/hyperlink" Target="https://op.europa.eu/fr/publication-detail/-/publication/990fe2a6-8f52-11ef-a130-01aa75ed71a1" TargetMode="External"/><Relationship Id="rId1" Type="http://schemas.openxmlformats.org/officeDocument/2006/relationships/hyperlink" Target="https://commission.europa.eu/strategy-and-policy/eu-budget/performance-and-reporting/horizontal-priorities/gender-equality-mainstream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8893F7E4-B997-4D6A-B927-3B2C6B50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75302-26DB-4891-ADF5-1B6F66C0819B}">
  <ds:schemaRefs>
    <ds:schemaRef ds:uri="http://schemas.microsoft.com/sharepoint/v3/contenttype/forms"/>
  </ds:schemaRefs>
</ds:datastoreItem>
</file>

<file path=customXml/itemProps3.xml><?xml version="1.0" encoding="utf-8"?>
<ds:datastoreItem xmlns:ds="http://schemas.openxmlformats.org/officeDocument/2006/customXml" ds:itemID="{197BB05E-0363-4C70-8239-770F685DE277}">
  <ds:schemaRefs>
    <ds:schemaRef ds:uri="http://schemas.openxmlformats.org/officeDocument/2006/bibliography"/>
  </ds:schemaRefs>
</ds:datastoreItem>
</file>

<file path=customXml/itemProps4.xml><?xml version="1.0" encoding="utf-8"?>
<ds:datastoreItem xmlns:ds="http://schemas.openxmlformats.org/officeDocument/2006/customXml" ds:itemID="{F565B27A-7165-4F9A-8A23-92315F802EC6}">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2944</Words>
  <Characters>16075</Characters>
  <Application>Microsoft Office Word</Application>
  <DocSecurity>0</DocSecurity>
  <Lines>226</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18979</CharactersWithSpaces>
  <SharedDoc>false</SharedDoc>
  <HLinks>
    <vt:vector size="66" baseType="variant">
      <vt:variant>
        <vt:i4>71</vt:i4>
      </vt:variant>
      <vt:variant>
        <vt:i4>27</vt:i4>
      </vt:variant>
      <vt:variant>
        <vt:i4>0</vt:i4>
      </vt:variant>
      <vt:variant>
        <vt:i4>5</vt:i4>
      </vt:variant>
      <vt:variant>
        <vt:lpwstr>https://fra.europa.eu/en/promising-practices-list</vt:lpwstr>
      </vt:variant>
      <vt:variant>
        <vt:lpwstr/>
      </vt:variant>
      <vt:variant>
        <vt:i4>6553637</vt:i4>
      </vt:variant>
      <vt:variant>
        <vt:i4>24</vt:i4>
      </vt:variant>
      <vt:variant>
        <vt:i4>0</vt:i4>
      </vt:variant>
      <vt:variant>
        <vt:i4>5</vt:i4>
      </vt:variant>
      <vt:variant>
        <vt:lpwstr>https://commission.europa.eu/document/download/66adbc7e-99cb-4d88-a653-d7fbfba9d7e8_en?filename=Guidance%20note%20on%20the%20collection%20and%20use%20of%20data%20for%20LGBTIQ%20equality_FINAL.pdf</vt:lpwstr>
      </vt:variant>
      <vt:variant>
        <vt:lpwstr/>
      </vt:variant>
      <vt:variant>
        <vt:i4>1703960</vt:i4>
      </vt:variant>
      <vt:variant>
        <vt:i4>21</vt:i4>
      </vt:variant>
      <vt:variant>
        <vt:i4>0</vt:i4>
      </vt:variant>
      <vt:variant>
        <vt:i4>5</vt:i4>
      </vt:variant>
      <vt:variant>
        <vt:lpwstr>https://commission.europa.eu/document/download/3e714806-d8e4-44a5-bdb8-3ceeb592d3f7_en?filename=guidance_note_on_the_collection_and_use_of_equality_data_based_on_racial_or_ethnic_origin.pdf</vt:lpwstr>
      </vt:variant>
      <vt:variant>
        <vt:lpwstr/>
      </vt:variant>
      <vt:variant>
        <vt:i4>4980822</vt:i4>
      </vt:variant>
      <vt:variant>
        <vt:i4>18</vt:i4>
      </vt:variant>
      <vt:variant>
        <vt:i4>0</vt:i4>
      </vt:variant>
      <vt:variant>
        <vt:i4>5</vt:i4>
      </vt:variant>
      <vt:variant>
        <vt:lpwstr>https://commission.europa.eu/document/download/8731d6c1-3716-4c9e-a179-6db6de6064a6_en?filename=final_guidelines_4-10-18_without_date_july.pdf</vt:lpwstr>
      </vt:variant>
      <vt:variant>
        <vt:lpwstr/>
      </vt:variant>
      <vt:variant>
        <vt:i4>1835060</vt:i4>
      </vt:variant>
      <vt:variant>
        <vt:i4>15</vt:i4>
      </vt:variant>
      <vt:variant>
        <vt:i4>0</vt:i4>
      </vt:variant>
      <vt:variant>
        <vt:i4>5</vt:i4>
      </vt:variant>
      <vt:variant>
        <vt:lpwstr>https://commission.europa.eu/strategy-and-policy/policies/justice-and-fundamental-rights/combatting-discrimination/equality-data-collection_en</vt:lpwstr>
      </vt:variant>
      <vt:variant>
        <vt:lpwstr/>
      </vt:variant>
      <vt:variant>
        <vt:i4>2162706</vt:i4>
      </vt:variant>
      <vt:variant>
        <vt:i4>12</vt:i4>
      </vt:variant>
      <vt:variant>
        <vt:i4>0</vt:i4>
      </vt:variant>
      <vt:variant>
        <vt:i4>5</vt:i4>
      </vt:variant>
      <vt:variant>
        <vt:lpwstr>https://ec.europa.eu/info/policies/justice-and-fundamental-rights/combatting-discrimination/tackling-discrimination/network-experts-field-anti-discrimination_en</vt:lpwstr>
      </vt:variant>
      <vt:variant>
        <vt:lpwstr/>
      </vt:variant>
      <vt:variant>
        <vt:i4>3735566</vt:i4>
      </vt:variant>
      <vt:variant>
        <vt:i4>9</vt:i4>
      </vt:variant>
      <vt:variant>
        <vt:i4>0</vt:i4>
      </vt:variant>
      <vt:variant>
        <vt:i4>5</vt:i4>
      </vt:variant>
      <vt:variant>
        <vt:lpwstr>https://ec.europa.eu/info/sites/info/files/a_union_of_equality_eu_action_plan_against_racism_2020_-2025_en.pdf</vt:lpwstr>
      </vt:variant>
      <vt:variant>
        <vt:lpwstr/>
      </vt:variant>
      <vt:variant>
        <vt:i4>7208967</vt:i4>
      </vt:variant>
      <vt:variant>
        <vt:i4>6</vt:i4>
      </vt:variant>
      <vt:variant>
        <vt:i4>0</vt:i4>
      </vt:variant>
      <vt:variant>
        <vt:i4>5</vt:i4>
      </vt:variant>
      <vt:variant>
        <vt:lpwstr>https://ec.europa.eu/info/sites/info/files/eu_roma_strategic_framework_for_equality_inclusion_and_participation_for_2020_-_2030_0.pdf</vt:lpwstr>
      </vt:variant>
      <vt:variant>
        <vt:lpwstr/>
      </vt:variant>
      <vt:variant>
        <vt:i4>196642</vt:i4>
      </vt:variant>
      <vt:variant>
        <vt:i4>3</vt:i4>
      </vt:variant>
      <vt:variant>
        <vt:i4>0</vt:i4>
      </vt:variant>
      <vt:variant>
        <vt:i4>5</vt:i4>
      </vt:variant>
      <vt:variant>
        <vt:lpwstr>https://ec.europa.eu/info/sites/info/files/lgbtiq_strategy_2020-2025_en.pdf</vt:lpwstr>
      </vt:variant>
      <vt:variant>
        <vt:lpwstr/>
      </vt:variant>
      <vt:variant>
        <vt:i4>8060966</vt:i4>
      </vt:variant>
      <vt:variant>
        <vt:i4>0</vt:i4>
      </vt:variant>
      <vt:variant>
        <vt:i4>0</vt:i4>
      </vt:variant>
      <vt:variant>
        <vt:i4>5</vt:i4>
      </vt:variant>
      <vt:variant>
        <vt:lpwstr>https://eur-lex.europa.eu/legal-content/EN/TXT/?uri=CELEX%3A52020DC0152</vt:lpwstr>
      </vt:variant>
      <vt:variant>
        <vt:lpwstr/>
      </vt:variant>
      <vt:variant>
        <vt:i4>1179675</vt:i4>
      </vt:variant>
      <vt:variant>
        <vt:i4>0</vt:i4>
      </vt:variant>
      <vt:variant>
        <vt:i4>0</vt:i4>
      </vt:variant>
      <vt:variant>
        <vt:i4>5</vt:i4>
      </vt:variant>
      <vt:variant>
        <vt:lpwstr>https://op.europa.eu/en/publication-detail/-/publication/990fe2a6-8f52-11ef-a130-01aa75ed71a1/language-en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KALBUROV Ivan (INTPA)</dc:creator>
  <cp:keywords/>
  <dc:description/>
  <cp:lastModifiedBy>DELBAER Gerda (SG)</cp:lastModifiedBy>
  <cp:revision>2</cp:revision>
  <dcterms:created xsi:type="dcterms:W3CDTF">2025-04-22T08:24:00Z</dcterms:created>
  <dcterms:modified xsi:type="dcterms:W3CDTF">2025-04-22T08:24:00Z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2023-12-14T15:05:47Z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651af0e3-744b-471f-a97a-7eebb295dacb</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