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7952" w14:textId="1C5BD360" w:rsidR="00DC568A" w:rsidRPr="0019232D" w:rsidRDefault="009B1FF1" w:rsidP="00833CAE">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00A6166E">
        <w:rPr>
          <w:b/>
          <w:szCs w:val="24"/>
          <w:lang w:val="en-GB"/>
        </w:rPr>
        <w:t xml:space="preserve"> </w:t>
      </w:r>
      <w:r w:rsidR="003A13B0">
        <w:rPr>
          <w:b/>
          <w:szCs w:val="24"/>
          <w:lang w:val="en-GB"/>
        </w:rPr>
        <w:t xml:space="preserve">on </w:t>
      </w:r>
      <w:r w:rsidR="00EA160A">
        <w:rPr>
          <w:b/>
          <w:szCs w:val="24"/>
          <w:lang w:val="en-GB"/>
        </w:rPr>
        <w:t>the p</w:t>
      </w:r>
      <w:r w:rsidR="003A13B0">
        <w:rPr>
          <w:b/>
          <w:szCs w:val="24"/>
          <w:lang w:val="en-GB"/>
        </w:rPr>
        <w:t>roposal</w:t>
      </w:r>
      <w:r w:rsidR="00A6166E" w:rsidRPr="00A6166E">
        <w:rPr>
          <w:b/>
          <w:szCs w:val="24"/>
          <w:lang w:val="en-IE"/>
        </w:rPr>
        <w:t xml:space="preserve"> for a regulation of the European Parliament and of the Council </w:t>
      </w:r>
      <w:r w:rsidR="003A13B0" w:rsidRPr="00A6166E">
        <w:rPr>
          <w:b/>
          <w:szCs w:val="24"/>
          <w:lang w:val="en-IE"/>
        </w:rPr>
        <w:t xml:space="preserve">on </w:t>
      </w:r>
      <w:r w:rsidR="00384C16">
        <w:rPr>
          <w:b/>
          <w:bCs/>
          <w:szCs w:val="24"/>
          <w:lang w:val="en-GB"/>
        </w:rPr>
        <w:t>e</w:t>
      </w:r>
      <w:r w:rsidR="003A13B0" w:rsidRPr="00E377CD">
        <w:rPr>
          <w:b/>
          <w:bCs/>
          <w:szCs w:val="24"/>
          <w:lang w:val="en-GB"/>
        </w:rPr>
        <w:t>stablishing</w:t>
      </w:r>
      <w:r w:rsidR="008463BA" w:rsidRPr="008463BA">
        <w:rPr>
          <w:b/>
          <w:bCs/>
          <w:szCs w:val="24"/>
          <w:lang w:val="en-IE"/>
        </w:rPr>
        <w:t xml:space="preserve"> the Reform and Growth Facility for</w:t>
      </w:r>
      <w:r w:rsidR="001265D0">
        <w:rPr>
          <w:b/>
          <w:bCs/>
          <w:szCs w:val="24"/>
          <w:lang w:val="en-IE"/>
        </w:rPr>
        <w:t xml:space="preserve"> </w:t>
      </w:r>
      <w:r w:rsidR="001265D0" w:rsidRPr="001265D0">
        <w:rPr>
          <w:b/>
          <w:bCs/>
          <w:szCs w:val="24"/>
          <w:lang w:val="en-IE"/>
        </w:rPr>
        <w:t>the Republic of</w:t>
      </w:r>
      <w:r w:rsidR="008463BA" w:rsidRPr="008463BA">
        <w:rPr>
          <w:b/>
          <w:bCs/>
          <w:szCs w:val="24"/>
          <w:lang w:val="en-IE"/>
        </w:rPr>
        <w:t xml:space="preserve"> Moldova</w:t>
      </w:r>
    </w:p>
    <w:p w14:paraId="5481E768" w14:textId="4E2F5B69" w:rsidR="002B7441" w:rsidRPr="00E346B8" w:rsidRDefault="002B7441" w:rsidP="00D05171">
      <w:pPr>
        <w:spacing w:after="240"/>
        <w:ind w:left="567" w:hanging="567"/>
        <w:rPr>
          <w:lang w:val="en-GB"/>
        </w:rPr>
      </w:pPr>
      <w:r w:rsidRPr="00E346B8">
        <w:rPr>
          <w:b/>
          <w:lang w:val="en-GB"/>
        </w:rPr>
        <w:t>1.</w:t>
      </w:r>
      <w:r w:rsidRPr="00E346B8">
        <w:rPr>
          <w:b/>
          <w:lang w:val="en-GB"/>
        </w:rPr>
        <w:tab/>
        <w:t>Rapporteur</w:t>
      </w:r>
      <w:r w:rsidR="00FB5950" w:rsidRPr="00E346B8">
        <w:rPr>
          <w:b/>
          <w:lang w:val="en-GB"/>
        </w:rPr>
        <w:t>s</w:t>
      </w:r>
      <w:r w:rsidRPr="00E346B8">
        <w:rPr>
          <w:b/>
          <w:lang w:val="en-GB"/>
        </w:rPr>
        <w:t>:</w:t>
      </w:r>
      <w:r w:rsidR="00AC6F72" w:rsidRPr="00E346B8">
        <w:rPr>
          <w:b/>
          <w:lang w:val="en-GB"/>
        </w:rPr>
        <w:t xml:space="preserve"> </w:t>
      </w:r>
      <w:r w:rsidR="00833CAE" w:rsidRPr="00E346B8">
        <w:rPr>
          <w:bCs/>
          <w:lang w:val="en-GB"/>
        </w:rPr>
        <w:t xml:space="preserve">Sven </w:t>
      </w:r>
      <w:r w:rsidR="003A13B0" w:rsidRPr="00E346B8">
        <w:rPr>
          <w:bCs/>
          <w:lang w:val="en-GB"/>
        </w:rPr>
        <w:t>MIKSER (</w:t>
      </w:r>
      <w:r w:rsidR="00833CAE" w:rsidRPr="00E346B8">
        <w:rPr>
          <w:bCs/>
          <w:lang w:val="en-GB"/>
        </w:rPr>
        <w:t>S&amp;D</w:t>
      </w:r>
      <w:r w:rsidR="00FF0C02" w:rsidRPr="00E346B8">
        <w:rPr>
          <w:bCs/>
          <w:lang w:val="en-GB"/>
        </w:rPr>
        <w:t>/</w:t>
      </w:r>
      <w:r w:rsidR="00610FE9" w:rsidRPr="00E346B8">
        <w:rPr>
          <w:bCs/>
          <w:lang w:val="en-GB"/>
        </w:rPr>
        <w:t>E</w:t>
      </w:r>
      <w:r w:rsidR="003F1E9E" w:rsidRPr="00E346B8">
        <w:rPr>
          <w:bCs/>
          <w:lang w:val="en-GB"/>
        </w:rPr>
        <w:t>E</w:t>
      </w:r>
      <w:r w:rsidR="006B1A5C" w:rsidRPr="00E346B8">
        <w:rPr>
          <w:bCs/>
          <w:lang w:val="en-GB"/>
        </w:rPr>
        <w:t>), Siegfried</w:t>
      </w:r>
      <w:r w:rsidR="003F1E9E" w:rsidRPr="00E346B8">
        <w:rPr>
          <w:bCs/>
          <w:lang w:val="en-GB"/>
        </w:rPr>
        <w:t xml:space="preserve"> MUREŞAN </w:t>
      </w:r>
      <w:r w:rsidR="00317E90" w:rsidRPr="00E346B8">
        <w:rPr>
          <w:bCs/>
          <w:lang w:val="en-GB"/>
        </w:rPr>
        <w:t>(EPP/</w:t>
      </w:r>
      <w:r w:rsidR="00610FE9" w:rsidRPr="00E346B8">
        <w:rPr>
          <w:bCs/>
          <w:lang w:val="en-GB"/>
        </w:rPr>
        <w:t>RO)</w:t>
      </w:r>
    </w:p>
    <w:p w14:paraId="1C1E6CFB" w14:textId="74A24017" w:rsidR="003F1E9E" w:rsidRPr="003F1E9E" w:rsidRDefault="002B7441" w:rsidP="003F1E9E">
      <w:pPr>
        <w:spacing w:after="240"/>
        <w:ind w:left="567" w:hanging="567"/>
        <w:rPr>
          <w:rFonts w:ascii="Calibri" w:hAnsi="Calibri" w:cs="Calibri"/>
          <w:color w:val="000000"/>
          <w:lang w:val="en-IE"/>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B46D9D" w:rsidRPr="003F1E9E">
        <w:rPr>
          <w:color w:val="000000"/>
          <w:lang w:val="en-IE"/>
        </w:rPr>
        <w:t xml:space="preserve">2024/0258(COD) </w:t>
      </w:r>
      <w:r w:rsidR="00681191" w:rsidRPr="003F1E9E">
        <w:rPr>
          <w:i/>
          <w:lang w:val="en-GB"/>
        </w:rPr>
        <w:t xml:space="preserve">/ </w:t>
      </w:r>
      <w:r w:rsidR="009A18DB" w:rsidRPr="003F1E9E">
        <w:rPr>
          <w:color w:val="000000"/>
          <w:lang w:val="en-IE"/>
        </w:rPr>
        <w:t>A10-0006/2025</w:t>
      </w:r>
      <w:r w:rsidR="0036527D" w:rsidRPr="003F1E9E">
        <w:rPr>
          <w:color w:val="000000"/>
          <w:lang w:val="en-IE"/>
        </w:rPr>
        <w:t xml:space="preserve"> / </w:t>
      </w:r>
      <w:r w:rsidR="003F1E9E">
        <w:rPr>
          <w:color w:val="000000"/>
          <w:lang w:val="en-IE"/>
        </w:rPr>
        <w:t>P10_</w:t>
      </w:r>
      <w:r w:rsidR="0036527D" w:rsidRPr="003F1E9E">
        <w:rPr>
          <w:color w:val="000000"/>
          <w:lang w:val="en-IE"/>
        </w:rPr>
        <w:t>T</w:t>
      </w:r>
      <w:r w:rsidR="009278F3">
        <w:rPr>
          <w:lang w:val="en-IE"/>
        </w:rPr>
        <w:t>A</w:t>
      </w:r>
      <w:r w:rsidR="00953A41" w:rsidRPr="00953A41">
        <w:rPr>
          <w:color w:val="000000"/>
          <w:lang w:val="en-IE"/>
        </w:rPr>
        <w:t>(2025)0022</w:t>
      </w:r>
    </w:p>
    <w:p w14:paraId="474B79A2" w14:textId="0F81ABF8"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F2224A">
        <w:rPr>
          <w:i/>
          <w:szCs w:val="24"/>
          <w:lang w:val="en-IE"/>
        </w:rPr>
        <w:t xml:space="preserve"> </w:t>
      </w:r>
      <w:r w:rsidR="00F2224A" w:rsidRPr="00D6083E">
        <w:rPr>
          <w:iCs/>
          <w:szCs w:val="24"/>
          <w:lang w:val="en-IE"/>
        </w:rPr>
        <w:t>11</w:t>
      </w:r>
      <w:r w:rsidR="00EB2850">
        <w:rPr>
          <w:iCs/>
          <w:szCs w:val="24"/>
          <w:lang w:val="en-IE"/>
        </w:rPr>
        <w:t xml:space="preserve"> March </w:t>
      </w:r>
      <w:r w:rsidR="00F2224A" w:rsidRPr="00D6083E">
        <w:rPr>
          <w:iCs/>
          <w:szCs w:val="24"/>
          <w:lang w:val="en-IE"/>
        </w:rPr>
        <w:t>2025</w:t>
      </w:r>
    </w:p>
    <w:p w14:paraId="1287CA30" w14:textId="6AD2DA0A" w:rsidR="00D6083E" w:rsidRDefault="002B7441" w:rsidP="00D6083E">
      <w:pPr>
        <w:pBdr>
          <w:top w:val="nil"/>
          <w:left w:val="nil"/>
          <w:bottom w:val="nil"/>
          <w:right w:val="nil"/>
          <w:between w:val="nil"/>
          <w:bar w:val="nil"/>
        </w:pBdr>
        <w:spacing w:after="240"/>
        <w:rPr>
          <w:bCs/>
          <w:lang w:val="en-GB"/>
        </w:rPr>
      </w:pPr>
      <w:r w:rsidRPr="002B7441">
        <w:rPr>
          <w:b/>
          <w:lang w:val="en-GB"/>
        </w:rPr>
        <w:t>4.</w:t>
      </w:r>
      <w:r w:rsidR="00D6083E">
        <w:rPr>
          <w:b/>
          <w:lang w:val="en-GB"/>
        </w:rPr>
        <w:t xml:space="preserve">      </w:t>
      </w:r>
      <w:r w:rsidRPr="002B7441">
        <w:rPr>
          <w:b/>
          <w:lang w:val="en-GB"/>
        </w:rPr>
        <w:t xml:space="preserve">Legal basis: </w:t>
      </w:r>
    </w:p>
    <w:p w14:paraId="35860E93" w14:textId="7E6443B0" w:rsidR="002B7441" w:rsidRPr="00D6083E" w:rsidRDefault="00D6083E" w:rsidP="00D6083E">
      <w:pPr>
        <w:pBdr>
          <w:top w:val="nil"/>
          <w:left w:val="nil"/>
          <w:bottom w:val="nil"/>
          <w:right w:val="nil"/>
          <w:between w:val="nil"/>
          <w:bar w:val="nil"/>
        </w:pBdr>
        <w:spacing w:after="240"/>
        <w:ind w:left="567"/>
        <w:rPr>
          <w:rFonts w:eastAsia="Arial Unicode MS"/>
          <w:noProof/>
          <w:szCs w:val="22"/>
          <w:lang w:val="en-GB" w:eastAsia="en-US"/>
        </w:rPr>
      </w:pPr>
      <w:r w:rsidRPr="00D6083E">
        <w:rPr>
          <w:rFonts w:eastAsia="Arial Unicode MS"/>
          <w:noProof/>
          <w:szCs w:val="22"/>
          <w:lang w:val="en-GB" w:eastAsia="en-US"/>
        </w:rPr>
        <w:t>This proposal is based on Article 212 of the Treaty on the Functioning of the European Union (TFEU). It is presented by the Commission in line with the procedure laid down in Article 294 TFEU.</w:t>
      </w:r>
    </w:p>
    <w:p w14:paraId="5DE3F035" w14:textId="0D2640F5" w:rsidR="00DE04F8" w:rsidRPr="0019232D" w:rsidRDefault="002B7441" w:rsidP="0076073C">
      <w:pPr>
        <w:spacing w:after="240"/>
        <w:ind w:left="567" w:hanging="567"/>
        <w:jc w:val="both"/>
        <w:rPr>
          <w:szCs w:val="24"/>
          <w:lang w:val="en-IE"/>
        </w:rPr>
      </w:pPr>
      <w:r w:rsidRPr="002B7441">
        <w:rPr>
          <w:b/>
          <w:lang w:val="en-GB"/>
        </w:rPr>
        <w:t>5.</w:t>
      </w:r>
      <w:r w:rsidRPr="002B7441">
        <w:rPr>
          <w:b/>
          <w:lang w:val="en-GB"/>
        </w:rPr>
        <w:tab/>
        <w:t>Competent Parliamentary Committee</w:t>
      </w:r>
      <w:r w:rsidR="00131952">
        <w:rPr>
          <w:b/>
          <w:lang w:val="en-GB"/>
        </w:rPr>
        <w:t>s</w:t>
      </w:r>
      <w:r w:rsidRPr="002B7441">
        <w:rPr>
          <w:b/>
          <w:lang w:val="en-GB"/>
        </w:rPr>
        <w:t>:</w:t>
      </w:r>
      <w:r w:rsidRPr="00900DC1">
        <w:rPr>
          <w:bCs/>
          <w:lang w:val="en-GB"/>
        </w:rPr>
        <w:t xml:space="preserve"> </w:t>
      </w:r>
      <w:r w:rsidR="0076073C">
        <w:rPr>
          <w:szCs w:val="24"/>
          <w:lang w:val="en-IE"/>
        </w:rPr>
        <w:t xml:space="preserve">Committee on Foreign Affairs (AFET) and </w:t>
      </w:r>
      <w:r w:rsidR="0076073C" w:rsidRPr="00900DC1">
        <w:rPr>
          <w:bCs/>
          <w:lang w:val="en-GB"/>
        </w:rPr>
        <w:t>Committee</w:t>
      </w:r>
      <w:r w:rsidR="0076073C">
        <w:rPr>
          <w:szCs w:val="24"/>
          <w:lang w:val="en-GB"/>
        </w:rPr>
        <w:t xml:space="preserve"> </w:t>
      </w:r>
      <w:r w:rsidR="0076073C">
        <w:rPr>
          <w:szCs w:val="24"/>
          <w:lang w:val="en-IE"/>
        </w:rPr>
        <w:t>on Budgets (BUDG)</w:t>
      </w:r>
    </w:p>
    <w:p w14:paraId="4C23ED87" w14:textId="5672B461" w:rsidR="001265A9" w:rsidRDefault="002B7441" w:rsidP="00D05171">
      <w:pPr>
        <w:tabs>
          <w:tab w:val="left" w:pos="567"/>
        </w:tabs>
        <w:spacing w:after="200" w:line="276" w:lineRule="auto"/>
        <w:rPr>
          <w:color w:val="000000"/>
          <w:szCs w:val="24"/>
          <w:lang w:val="en-GB"/>
        </w:rPr>
      </w:pPr>
      <w:r w:rsidRPr="002B7441">
        <w:rPr>
          <w:b/>
          <w:lang w:val="en-GB"/>
        </w:rPr>
        <w:t>6.</w:t>
      </w:r>
      <w:r w:rsidR="002C2A06">
        <w:rPr>
          <w:b/>
          <w:lang w:val="en-GB"/>
        </w:rPr>
        <w:tab/>
      </w:r>
      <w:r w:rsidRPr="002B7441">
        <w:rPr>
          <w:b/>
          <w:lang w:val="en-GB"/>
        </w:rPr>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0ADF3E32" w14:textId="61CD233C" w:rsidR="00076F80" w:rsidRDefault="00076F80" w:rsidP="002C2A06">
      <w:pPr>
        <w:pStyle w:val="NormalWeb"/>
        <w:ind w:left="426"/>
        <w:jc w:val="both"/>
        <w:rPr>
          <w:b/>
          <w:bCs/>
          <w:i/>
        </w:rPr>
      </w:pPr>
      <w:r w:rsidRPr="00AA5CA4">
        <w:rPr>
          <w:b/>
          <w:bCs/>
          <w:i/>
        </w:rPr>
        <w:t xml:space="preserve">Statement by the Commission </w:t>
      </w:r>
      <w:r>
        <w:rPr>
          <w:b/>
          <w:bCs/>
          <w:i/>
        </w:rPr>
        <w:t>on the source of funding for the increased assistance provided under this Facility</w:t>
      </w:r>
      <w:r w:rsidRPr="00AA5CA4">
        <w:rPr>
          <w:b/>
          <w:bCs/>
          <w:i/>
        </w:rPr>
        <w:t> </w:t>
      </w:r>
    </w:p>
    <w:p w14:paraId="2A8B0ACE" w14:textId="77777777" w:rsidR="00483AC9" w:rsidRDefault="00483AC9" w:rsidP="00483AC9">
      <w:pPr>
        <w:ind w:left="426"/>
        <w:jc w:val="both"/>
        <w:rPr>
          <w:lang w:val="en-IE"/>
        </w:rPr>
      </w:pPr>
      <w:r>
        <w:rPr>
          <w:lang w:val="en-IE"/>
        </w:rPr>
        <w:t>In order to preserve adequate funding for other priorities under the Neighbourhood, Development and International Cooperation Instrument – Global Europe, the Commission will fund the additional EUR 100 million non-repayable support available for the Reform and Growth Facility for the Republic of Moldova through redeployment of unused funds under the budget line for macro-financial assistance grants (EUR 40 million), redeployment within the NDICI-GE Eastern Neighbourhood budget line (EUR 37 million), and from the NDICI-GE Emerging challenges and priorities cushion (EUR 23 million) in line with the provisions of the EU Financial Regulation.</w:t>
      </w:r>
    </w:p>
    <w:p w14:paraId="4C86F67B" w14:textId="76DB6BA1" w:rsidR="00862937" w:rsidRPr="002C2A06" w:rsidRDefault="00862937" w:rsidP="00D05171">
      <w:pPr>
        <w:tabs>
          <w:tab w:val="left" w:pos="567"/>
        </w:tabs>
        <w:spacing w:after="200" w:line="276" w:lineRule="auto"/>
        <w:rPr>
          <w:color w:val="000000"/>
          <w:szCs w:val="24"/>
          <w:lang w:val="en-IE"/>
        </w:rPr>
      </w:pPr>
    </w:p>
    <w:sectPr w:rsidR="00862937" w:rsidRPr="002C2A06"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CE5C" w14:textId="77777777" w:rsidR="00941DDF" w:rsidRDefault="00941DDF">
      <w:pPr>
        <w:spacing w:line="240" w:lineRule="auto"/>
      </w:pPr>
      <w:r>
        <w:separator/>
      </w:r>
    </w:p>
  </w:endnote>
  <w:endnote w:type="continuationSeparator" w:id="0">
    <w:p w14:paraId="217078D9" w14:textId="77777777" w:rsidR="00941DDF" w:rsidRDefault="00941DDF">
      <w:pPr>
        <w:spacing w:line="240" w:lineRule="auto"/>
      </w:pPr>
      <w:r>
        <w:continuationSeparator/>
      </w:r>
    </w:p>
  </w:endnote>
  <w:endnote w:type="continuationNotice" w:id="1">
    <w:p w14:paraId="03297376" w14:textId="77777777" w:rsidR="00941DDF" w:rsidRDefault="00941D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A58F" w14:textId="77777777" w:rsidR="00941DDF" w:rsidRDefault="00941DDF">
      <w:pPr>
        <w:spacing w:line="240" w:lineRule="auto"/>
      </w:pPr>
      <w:r>
        <w:separator/>
      </w:r>
    </w:p>
  </w:footnote>
  <w:footnote w:type="continuationSeparator" w:id="0">
    <w:p w14:paraId="64390B90" w14:textId="77777777" w:rsidR="00941DDF" w:rsidRDefault="00941DDF">
      <w:pPr>
        <w:spacing w:line="240" w:lineRule="auto"/>
      </w:pPr>
      <w:r>
        <w:continuationSeparator/>
      </w:r>
    </w:p>
  </w:footnote>
  <w:footnote w:type="continuationNotice" w:id="1">
    <w:p w14:paraId="16529D06" w14:textId="77777777" w:rsidR="00941DDF" w:rsidRDefault="00941D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76F80"/>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24B"/>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5D0"/>
    <w:rsid w:val="00126785"/>
    <w:rsid w:val="001275A0"/>
    <w:rsid w:val="00131053"/>
    <w:rsid w:val="00131952"/>
    <w:rsid w:val="00132F1E"/>
    <w:rsid w:val="00133937"/>
    <w:rsid w:val="00135201"/>
    <w:rsid w:val="00136113"/>
    <w:rsid w:val="0013685B"/>
    <w:rsid w:val="00137957"/>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5E93"/>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75D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2A06"/>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17E90"/>
    <w:rsid w:val="00322729"/>
    <w:rsid w:val="00322B0D"/>
    <w:rsid w:val="003233CF"/>
    <w:rsid w:val="003248B4"/>
    <w:rsid w:val="00325C34"/>
    <w:rsid w:val="00325CA1"/>
    <w:rsid w:val="00326EE0"/>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27D"/>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4C16"/>
    <w:rsid w:val="00390076"/>
    <w:rsid w:val="00390429"/>
    <w:rsid w:val="00391983"/>
    <w:rsid w:val="00391BEE"/>
    <w:rsid w:val="00391DAA"/>
    <w:rsid w:val="003924C5"/>
    <w:rsid w:val="00393E7F"/>
    <w:rsid w:val="00394375"/>
    <w:rsid w:val="00394A88"/>
    <w:rsid w:val="00394BAD"/>
    <w:rsid w:val="00395751"/>
    <w:rsid w:val="003A033C"/>
    <w:rsid w:val="003A1199"/>
    <w:rsid w:val="003A13B0"/>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1E9E"/>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83D"/>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AC9"/>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05C2"/>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79F5"/>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11A3"/>
    <w:rsid w:val="00584F67"/>
    <w:rsid w:val="00585C0A"/>
    <w:rsid w:val="00586B68"/>
    <w:rsid w:val="00586C9E"/>
    <w:rsid w:val="00586DAC"/>
    <w:rsid w:val="00586DD9"/>
    <w:rsid w:val="005932F3"/>
    <w:rsid w:val="0059401B"/>
    <w:rsid w:val="005960D2"/>
    <w:rsid w:val="005A05A6"/>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0FE9"/>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1191"/>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1A5C"/>
    <w:rsid w:val="006B40C2"/>
    <w:rsid w:val="006B64F3"/>
    <w:rsid w:val="006C05B6"/>
    <w:rsid w:val="006C080F"/>
    <w:rsid w:val="006C0DAC"/>
    <w:rsid w:val="006C1834"/>
    <w:rsid w:val="006C5154"/>
    <w:rsid w:val="006C7CE1"/>
    <w:rsid w:val="006D03D1"/>
    <w:rsid w:val="006D0602"/>
    <w:rsid w:val="006D129F"/>
    <w:rsid w:val="006D1FB5"/>
    <w:rsid w:val="006D211E"/>
    <w:rsid w:val="006D2E1A"/>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073C"/>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5875"/>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CAE"/>
    <w:rsid w:val="00833E91"/>
    <w:rsid w:val="00837721"/>
    <w:rsid w:val="00837EFB"/>
    <w:rsid w:val="008415A8"/>
    <w:rsid w:val="0084295B"/>
    <w:rsid w:val="0084581D"/>
    <w:rsid w:val="008463BA"/>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278F3"/>
    <w:rsid w:val="00930517"/>
    <w:rsid w:val="0093057B"/>
    <w:rsid w:val="009319CF"/>
    <w:rsid w:val="009322A6"/>
    <w:rsid w:val="00932F5F"/>
    <w:rsid w:val="0093322E"/>
    <w:rsid w:val="00933312"/>
    <w:rsid w:val="00934650"/>
    <w:rsid w:val="009348C1"/>
    <w:rsid w:val="00934D7B"/>
    <w:rsid w:val="00935ED8"/>
    <w:rsid w:val="00940133"/>
    <w:rsid w:val="009401CA"/>
    <w:rsid w:val="00941DDF"/>
    <w:rsid w:val="00941FDD"/>
    <w:rsid w:val="00942527"/>
    <w:rsid w:val="009425D1"/>
    <w:rsid w:val="00942723"/>
    <w:rsid w:val="009459F9"/>
    <w:rsid w:val="0094607D"/>
    <w:rsid w:val="00947A22"/>
    <w:rsid w:val="00950593"/>
    <w:rsid w:val="009513E8"/>
    <w:rsid w:val="009516C8"/>
    <w:rsid w:val="00951CE9"/>
    <w:rsid w:val="00953A41"/>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792"/>
    <w:rsid w:val="00985C84"/>
    <w:rsid w:val="00990A8B"/>
    <w:rsid w:val="00990B4B"/>
    <w:rsid w:val="0099139C"/>
    <w:rsid w:val="0099148A"/>
    <w:rsid w:val="00992253"/>
    <w:rsid w:val="00995361"/>
    <w:rsid w:val="00995AE6"/>
    <w:rsid w:val="00995B05"/>
    <w:rsid w:val="0099667E"/>
    <w:rsid w:val="00996CA0"/>
    <w:rsid w:val="00997D2F"/>
    <w:rsid w:val="009A1743"/>
    <w:rsid w:val="009A18DB"/>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5B9"/>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66E"/>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0C13"/>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6D9D"/>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7F2"/>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0838"/>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314F"/>
    <w:rsid w:val="00CB58EE"/>
    <w:rsid w:val="00CB5CB8"/>
    <w:rsid w:val="00CB6A82"/>
    <w:rsid w:val="00CB6BD6"/>
    <w:rsid w:val="00CB7537"/>
    <w:rsid w:val="00CC18F6"/>
    <w:rsid w:val="00CC1A54"/>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38D7"/>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83E"/>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4E0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D7DF6"/>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3E95"/>
    <w:rsid w:val="00E34040"/>
    <w:rsid w:val="00E346B8"/>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18BF"/>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60A"/>
    <w:rsid w:val="00EA1902"/>
    <w:rsid w:val="00EA1BCD"/>
    <w:rsid w:val="00EA3439"/>
    <w:rsid w:val="00EA38F2"/>
    <w:rsid w:val="00EA39ED"/>
    <w:rsid w:val="00EA40FB"/>
    <w:rsid w:val="00EA4AAC"/>
    <w:rsid w:val="00EA4E89"/>
    <w:rsid w:val="00EB2178"/>
    <w:rsid w:val="00EB2850"/>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5F16"/>
    <w:rsid w:val="00ED67FB"/>
    <w:rsid w:val="00ED7431"/>
    <w:rsid w:val="00EE31CA"/>
    <w:rsid w:val="00EE3656"/>
    <w:rsid w:val="00EE3814"/>
    <w:rsid w:val="00EE3B00"/>
    <w:rsid w:val="00EE4ECA"/>
    <w:rsid w:val="00EE5867"/>
    <w:rsid w:val="00EE5D74"/>
    <w:rsid w:val="00EE5F58"/>
    <w:rsid w:val="00EE64E6"/>
    <w:rsid w:val="00EE6AE3"/>
    <w:rsid w:val="00EE6D01"/>
    <w:rsid w:val="00EF273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224A"/>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87AC1"/>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5950"/>
    <w:rsid w:val="00FB5B4F"/>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63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8463BA"/>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71069577">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16CD8AE0-EEDB-400D-8045-87C465BD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1295</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1519</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2025-04-24T08:14:00Z</dcterms:created>
  <dcterms:modified xsi:type="dcterms:W3CDTF">2025-04-24T08:14:00Z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