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7952" w14:textId="1C5BD360" w:rsidR="00DC568A" w:rsidRPr="0019232D" w:rsidRDefault="009B1FF1" w:rsidP="00833CAE">
      <w:pPr>
        <w:spacing w:after="600" w:line="240" w:lineRule="auto"/>
        <w:jc w:val="center"/>
        <w:rPr>
          <w:b/>
          <w:bCs/>
          <w:szCs w:val="24"/>
        </w:rPr>
      </w:pPr>
      <w:r>
        <w:rPr>
          <w:b/>
        </w:rPr>
        <w:t>Suite donnée à la résolution législative du Parlement européen sur la proposition de règlement du Parlement européen et du Conseil établissant une facilité pour les réformes et la croissance en faveur de la République de Moldavie</w:t>
      </w:r>
    </w:p>
    <w:p w14:paraId="5481E768" w14:textId="4E2F5B69" w:rsidR="002B7441" w:rsidRPr="00E346B8" w:rsidRDefault="002B7441" w:rsidP="00D05171">
      <w:pPr>
        <w:spacing w:after="240"/>
        <w:ind w:left="567" w:hanging="567"/>
      </w:pPr>
      <w:r>
        <w:rPr>
          <w:b/>
        </w:rPr>
        <w:t>1.</w:t>
      </w:r>
      <w:r>
        <w:tab/>
      </w:r>
      <w:r>
        <w:rPr>
          <w:b/>
        </w:rPr>
        <w:t xml:space="preserve">Rapporteurs: </w:t>
      </w:r>
      <w:r>
        <w:t>Sven MIKSER (S&amp;D/EE), Siegfried MUREŞAN (PPE/RO)</w:t>
      </w:r>
    </w:p>
    <w:p w14:paraId="1C1E6CFB" w14:textId="74A24017" w:rsidR="003F1E9E" w:rsidRPr="003F1E9E" w:rsidRDefault="002B7441" w:rsidP="003F1E9E">
      <w:pPr>
        <w:spacing w:after="240"/>
        <w:ind w:left="567" w:hanging="567"/>
        <w:rPr>
          <w:rFonts w:ascii="Calibri" w:hAnsi="Calibri" w:cs="Calibri"/>
          <w:color w:val="000000"/>
        </w:rPr>
      </w:pPr>
      <w:r>
        <w:rPr>
          <w:b/>
        </w:rPr>
        <w:t>2.</w:t>
      </w:r>
      <w:r>
        <w:tab/>
      </w:r>
      <w:r>
        <w:rPr>
          <w:b/>
        </w:rPr>
        <w:t>Références:</w:t>
      </w:r>
      <w:r>
        <w:t xml:space="preserve"> </w:t>
      </w:r>
      <w:r>
        <w:rPr>
          <w:color w:val="000000"/>
        </w:rPr>
        <w:t xml:space="preserve">2024/0258(COD) </w:t>
      </w:r>
      <w:r>
        <w:rPr>
          <w:i/>
        </w:rPr>
        <w:t xml:space="preserve">/ </w:t>
      </w:r>
      <w:r>
        <w:rPr>
          <w:color w:val="000000"/>
        </w:rPr>
        <w:t>A10-0006/2025 / P10_T</w:t>
      </w:r>
      <w:r>
        <w:t>A</w:t>
      </w:r>
      <w:r>
        <w:rPr>
          <w:color w:val="000000"/>
        </w:rPr>
        <w:t>(2025)0022</w:t>
      </w:r>
    </w:p>
    <w:p w14:paraId="474B79A2" w14:textId="0F81ABF8" w:rsidR="002B7441" w:rsidRPr="0019232D" w:rsidRDefault="002B7441" w:rsidP="00D05171">
      <w:pPr>
        <w:spacing w:after="240"/>
        <w:ind w:left="567" w:hanging="567"/>
      </w:pPr>
      <w:r>
        <w:rPr>
          <w:b/>
        </w:rPr>
        <w:t>3.</w:t>
      </w:r>
      <w:r>
        <w:tab/>
      </w:r>
      <w:r>
        <w:rPr>
          <w:b/>
        </w:rPr>
        <w:t>Date d'adoption de la résolution:</w:t>
      </w:r>
      <w:r>
        <w:t xml:space="preserve"> </w:t>
      </w:r>
      <w:r>
        <w:rPr>
          <w:i/>
        </w:rPr>
        <w:t xml:space="preserve"> </w:t>
      </w:r>
      <w:r>
        <w:t>11 mars 2025</w:t>
      </w:r>
    </w:p>
    <w:p w14:paraId="1287CA30" w14:textId="6AD2DA0A" w:rsidR="00D6083E" w:rsidRDefault="002B7441" w:rsidP="00D6083E">
      <w:pPr>
        <w:pBdr>
          <w:top w:val="nil"/>
          <w:left w:val="nil"/>
          <w:bottom w:val="nil"/>
          <w:right w:val="nil"/>
          <w:between w:val="nil"/>
          <w:bar w:val="nil"/>
        </w:pBdr>
        <w:spacing w:after="240"/>
        <w:rPr>
          <w:bCs/>
        </w:rPr>
      </w:pPr>
      <w:r>
        <w:rPr>
          <w:b/>
        </w:rPr>
        <w:t xml:space="preserve">4. Base juridique: </w:t>
      </w:r>
    </w:p>
    <w:p w14:paraId="35860E93" w14:textId="7E6443B0" w:rsidR="002B7441" w:rsidRPr="00D6083E" w:rsidRDefault="00D6083E" w:rsidP="00D6083E">
      <w:pPr>
        <w:pBdr>
          <w:top w:val="nil"/>
          <w:left w:val="nil"/>
          <w:bottom w:val="nil"/>
          <w:right w:val="nil"/>
          <w:between w:val="nil"/>
          <w:bar w:val="nil"/>
        </w:pBdr>
        <w:spacing w:after="240"/>
        <w:ind w:left="567"/>
        <w:rPr>
          <w:rFonts w:eastAsia="Arial Unicode MS"/>
          <w:noProof/>
          <w:szCs w:val="22"/>
        </w:rPr>
      </w:pPr>
      <w:r>
        <w:t>La présente proposition est fondée sur l’article 212 du traité sur le fonctionnement de l’Union européenne (TFUE). Elle est présentée par la Commission conformément à la procédure prévue à l’article 294 du TFUE.</w:t>
      </w:r>
    </w:p>
    <w:p w14:paraId="5DE3F035" w14:textId="0D2640F5" w:rsidR="00DE04F8" w:rsidRPr="0019232D" w:rsidRDefault="002B7441" w:rsidP="0076073C">
      <w:pPr>
        <w:spacing w:after="240"/>
        <w:ind w:left="567" w:hanging="567"/>
        <w:jc w:val="both"/>
        <w:rPr>
          <w:szCs w:val="24"/>
        </w:rPr>
      </w:pPr>
      <w:r>
        <w:rPr>
          <w:b/>
        </w:rPr>
        <w:t>5.</w:t>
      </w:r>
      <w:r>
        <w:tab/>
      </w:r>
      <w:r>
        <w:rPr>
          <w:b/>
        </w:rPr>
        <w:t>Commission parlementaire compétente:</w:t>
      </w:r>
      <w:r>
        <w:t xml:space="preserve"> commission des affaires étrangères (AFET) et commission des budgets (BUDG)</w:t>
      </w:r>
    </w:p>
    <w:p w14:paraId="4C23ED87" w14:textId="5672B461"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0ADF3E32" w14:textId="61CD233C" w:rsidR="00076F80" w:rsidRDefault="00076F80" w:rsidP="002C2A06">
      <w:pPr>
        <w:pStyle w:val="NormalWeb"/>
        <w:ind w:left="426"/>
        <w:jc w:val="both"/>
        <w:rPr>
          <w:b/>
          <w:bCs/>
          <w:i/>
        </w:rPr>
      </w:pPr>
      <w:r>
        <w:rPr>
          <w:b/>
          <w:i/>
        </w:rPr>
        <w:t xml:space="preserve">Déclaration de la Commission sur la source de financement dans le contexte de l’accroissement de l’aide fournie au titre de cette facilité </w:t>
      </w:r>
    </w:p>
    <w:p w14:paraId="2A8B0ACE" w14:textId="77777777" w:rsidR="00483AC9" w:rsidRDefault="00483AC9" w:rsidP="00483AC9">
      <w:pPr>
        <w:ind w:left="426"/>
        <w:jc w:val="both"/>
      </w:pPr>
      <w:r>
        <w:t>Afin de préserver un financement adéquat pour d’autres priorités au titre de l’instrument de voisinage, de coopération au développement et de coopération internationale (IVCDCI) — Europe dans le monde, la Commission financera le soutien non remboursable supplémentaire de 100 millions d’EUR disponible pour la facilité pour les réformes et la croissance en faveur de la République de Moldavie grâce au redéploiement de fonds inutilisés relevant de la ligne budgétaire pour les subventions au titre de l’assistance macrofinancière (40 millions d’EUR), à un redéploiement au sein de la ligne budgétaire du voisinage oriental de l’IVCDCI — Europe dans le monde (37 millions d’EUR) et à partir de la réserve pour les défis et priorités émergents de l’IVCDCI — Europe dans le monde (23 millions d’EUR), conformément aux dispositions du règlement financier de l’UE.</w:t>
      </w:r>
    </w:p>
    <w:p w14:paraId="4C86F67B" w14:textId="76DB6BA1" w:rsidR="00862937" w:rsidRPr="002C2A06" w:rsidRDefault="00862937" w:rsidP="00D05171">
      <w:pPr>
        <w:tabs>
          <w:tab w:val="left" w:pos="567"/>
        </w:tabs>
        <w:spacing w:after="200" w:line="276" w:lineRule="auto"/>
        <w:rPr>
          <w:color w:val="000000"/>
          <w:szCs w:val="24"/>
          <w:lang w:val="en-IE"/>
        </w:rPr>
      </w:pPr>
    </w:p>
    <w:sectPr w:rsidR="00862937" w:rsidRPr="002C2A06"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CE5C" w14:textId="77777777" w:rsidR="00941DDF" w:rsidRDefault="00941DDF">
      <w:pPr>
        <w:spacing w:line="240" w:lineRule="auto"/>
      </w:pPr>
      <w:r>
        <w:separator/>
      </w:r>
    </w:p>
  </w:endnote>
  <w:endnote w:type="continuationSeparator" w:id="0">
    <w:p w14:paraId="217078D9" w14:textId="77777777" w:rsidR="00941DDF" w:rsidRDefault="00941DDF">
      <w:pPr>
        <w:spacing w:line="240" w:lineRule="auto"/>
      </w:pPr>
      <w:r>
        <w:continuationSeparator/>
      </w:r>
    </w:p>
  </w:endnote>
  <w:endnote w:type="continuationNotice" w:id="1">
    <w:p w14:paraId="03297376" w14:textId="77777777" w:rsidR="00941DDF" w:rsidRDefault="00941D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16FA" w14:textId="77777777" w:rsidR="00EC7926" w:rsidRDefault="00EC7926" w:rsidP="008A1A0C">
    <w:pPr>
      <w:pStyle w:val="Footer"/>
      <w:jc w:val="both"/>
    </w:pPr>
    <w:r>
      <w:t>Commission européenne, 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A58F" w14:textId="77777777" w:rsidR="00941DDF" w:rsidRDefault="00941DDF">
      <w:pPr>
        <w:spacing w:line="240" w:lineRule="auto"/>
      </w:pPr>
      <w:r>
        <w:separator/>
      </w:r>
    </w:p>
  </w:footnote>
  <w:footnote w:type="continuationSeparator" w:id="0">
    <w:p w14:paraId="64390B90" w14:textId="77777777" w:rsidR="00941DDF" w:rsidRDefault="00941DDF">
      <w:pPr>
        <w:spacing w:line="240" w:lineRule="auto"/>
      </w:pPr>
      <w:r>
        <w:continuationSeparator/>
      </w:r>
    </w:p>
  </w:footnote>
  <w:footnote w:type="continuationNotice" w:id="1">
    <w:p w14:paraId="16529D06" w14:textId="77777777" w:rsidR="00941DDF" w:rsidRDefault="00941D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76F80"/>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24B"/>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5D0"/>
    <w:rsid w:val="00126785"/>
    <w:rsid w:val="001275A0"/>
    <w:rsid w:val="00131053"/>
    <w:rsid w:val="00131952"/>
    <w:rsid w:val="00132F1E"/>
    <w:rsid w:val="00133937"/>
    <w:rsid w:val="00135201"/>
    <w:rsid w:val="00136113"/>
    <w:rsid w:val="0013685B"/>
    <w:rsid w:val="00137957"/>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5E93"/>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375D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2A06"/>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17E90"/>
    <w:rsid w:val="00322729"/>
    <w:rsid w:val="00322B0D"/>
    <w:rsid w:val="003233CF"/>
    <w:rsid w:val="003248B4"/>
    <w:rsid w:val="00325C34"/>
    <w:rsid w:val="00325CA1"/>
    <w:rsid w:val="00326EE0"/>
    <w:rsid w:val="0032750A"/>
    <w:rsid w:val="00327AED"/>
    <w:rsid w:val="00327E44"/>
    <w:rsid w:val="00331238"/>
    <w:rsid w:val="00332C11"/>
    <w:rsid w:val="003350A3"/>
    <w:rsid w:val="00335951"/>
    <w:rsid w:val="003362DC"/>
    <w:rsid w:val="00336317"/>
    <w:rsid w:val="00336E86"/>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27D"/>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4C16"/>
    <w:rsid w:val="00390076"/>
    <w:rsid w:val="00390429"/>
    <w:rsid w:val="00391983"/>
    <w:rsid w:val="00391BEE"/>
    <w:rsid w:val="00391DAA"/>
    <w:rsid w:val="003924C5"/>
    <w:rsid w:val="00393E7F"/>
    <w:rsid w:val="00394375"/>
    <w:rsid w:val="00394A88"/>
    <w:rsid w:val="00394BAD"/>
    <w:rsid w:val="00395751"/>
    <w:rsid w:val="003A033C"/>
    <w:rsid w:val="003A1199"/>
    <w:rsid w:val="003A13B0"/>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1E9E"/>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83D"/>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AC9"/>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05C2"/>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C79F5"/>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11A3"/>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0FE9"/>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1191"/>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1A5C"/>
    <w:rsid w:val="006B40C2"/>
    <w:rsid w:val="006B64F3"/>
    <w:rsid w:val="006C05B6"/>
    <w:rsid w:val="006C080F"/>
    <w:rsid w:val="006C0DAC"/>
    <w:rsid w:val="006C1834"/>
    <w:rsid w:val="006C5154"/>
    <w:rsid w:val="006C7CE1"/>
    <w:rsid w:val="006D03D1"/>
    <w:rsid w:val="006D0602"/>
    <w:rsid w:val="006D129F"/>
    <w:rsid w:val="006D1FB5"/>
    <w:rsid w:val="006D211E"/>
    <w:rsid w:val="006D2E1A"/>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A4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073C"/>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5875"/>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CAE"/>
    <w:rsid w:val="00833E91"/>
    <w:rsid w:val="00837721"/>
    <w:rsid w:val="00837EFB"/>
    <w:rsid w:val="008415A8"/>
    <w:rsid w:val="0084295B"/>
    <w:rsid w:val="0084581D"/>
    <w:rsid w:val="008463BA"/>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278F3"/>
    <w:rsid w:val="00930517"/>
    <w:rsid w:val="0093057B"/>
    <w:rsid w:val="009319CF"/>
    <w:rsid w:val="009322A6"/>
    <w:rsid w:val="00932F5F"/>
    <w:rsid w:val="0093322E"/>
    <w:rsid w:val="00933312"/>
    <w:rsid w:val="00934650"/>
    <w:rsid w:val="009348C1"/>
    <w:rsid w:val="00934D7B"/>
    <w:rsid w:val="00935ED8"/>
    <w:rsid w:val="00940133"/>
    <w:rsid w:val="009401CA"/>
    <w:rsid w:val="00941DDF"/>
    <w:rsid w:val="00941FDD"/>
    <w:rsid w:val="00942527"/>
    <w:rsid w:val="009425D1"/>
    <w:rsid w:val="00942723"/>
    <w:rsid w:val="009459F9"/>
    <w:rsid w:val="0094607D"/>
    <w:rsid w:val="00947A22"/>
    <w:rsid w:val="00950593"/>
    <w:rsid w:val="009513E8"/>
    <w:rsid w:val="009516C8"/>
    <w:rsid w:val="00951CE9"/>
    <w:rsid w:val="00953A41"/>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4792"/>
    <w:rsid w:val="00985C84"/>
    <w:rsid w:val="00990A8B"/>
    <w:rsid w:val="00990B4B"/>
    <w:rsid w:val="0099139C"/>
    <w:rsid w:val="0099148A"/>
    <w:rsid w:val="00992253"/>
    <w:rsid w:val="00995361"/>
    <w:rsid w:val="00995AE6"/>
    <w:rsid w:val="00995B05"/>
    <w:rsid w:val="0099667E"/>
    <w:rsid w:val="00996CA0"/>
    <w:rsid w:val="00997D2F"/>
    <w:rsid w:val="009A1743"/>
    <w:rsid w:val="009A18DB"/>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5B9"/>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66E"/>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0C13"/>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6D9D"/>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7F2"/>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0838"/>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314F"/>
    <w:rsid w:val="00CB58EE"/>
    <w:rsid w:val="00CB5CB8"/>
    <w:rsid w:val="00CB6A82"/>
    <w:rsid w:val="00CB6BD6"/>
    <w:rsid w:val="00CB7537"/>
    <w:rsid w:val="00CC18F6"/>
    <w:rsid w:val="00CC1A54"/>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38D7"/>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1EE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83E"/>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4E0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D7DF6"/>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46B8"/>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18BF"/>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60A"/>
    <w:rsid w:val="00EA1BCD"/>
    <w:rsid w:val="00EA3439"/>
    <w:rsid w:val="00EA38F2"/>
    <w:rsid w:val="00EA39ED"/>
    <w:rsid w:val="00EA40FB"/>
    <w:rsid w:val="00EA4AAC"/>
    <w:rsid w:val="00EA4E89"/>
    <w:rsid w:val="00EB2178"/>
    <w:rsid w:val="00EB2850"/>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5F16"/>
    <w:rsid w:val="00ED67FB"/>
    <w:rsid w:val="00ED7431"/>
    <w:rsid w:val="00EE31CA"/>
    <w:rsid w:val="00EE3656"/>
    <w:rsid w:val="00EE3814"/>
    <w:rsid w:val="00EE3B00"/>
    <w:rsid w:val="00EE4ECA"/>
    <w:rsid w:val="00EE5867"/>
    <w:rsid w:val="00EE5D74"/>
    <w:rsid w:val="00EE5F58"/>
    <w:rsid w:val="00EE64E6"/>
    <w:rsid w:val="00EE6AE3"/>
    <w:rsid w:val="00EE6D01"/>
    <w:rsid w:val="00EF273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224A"/>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87AC1"/>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5950"/>
    <w:rsid w:val="00FB5B4F"/>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463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8463BA"/>
    <w:rPr>
      <w:rFonts w:asciiTheme="majorHAnsi" w:eastAsiaTheme="majorEastAsia" w:hAnsiTheme="majorHAnsi" w:cstheme="majorBidi"/>
      <w:color w:val="365F91" w:themeColor="accent1" w:themeShade="BF"/>
      <w:sz w:val="26"/>
      <w:szCs w:val="2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71069577">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16CD8AE0-EEDB-400D-8045-87C465BD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1560</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1822</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2025-04-25T07:07:00Z</dcterms:created>
  <dcterms:modified xsi:type="dcterms:W3CDTF">2025-04-25T07:07:00Z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