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7CDC52E4" w:rsidR="005125FE" w:rsidRPr="0074107D" w:rsidRDefault="005125FE" w:rsidP="00561A22">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la décision d’exécution (UE) 2024/2627 de la Commission autorisant la mise sur le marché de produits contenant du coton génétiquement modifié COT102, consistant en ce coton ou produits à partir de celui-ci, en application du règlement (CE) nº 1829/2003 du Parlement européen et du Conseil</w:t>
      </w:r>
    </w:p>
    <w:bookmarkEnd w:id="0"/>
    <w:p w14:paraId="6E468E57" w14:textId="10719519"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rPr>
          <w:rFonts w:ascii="Times New Roman" w:hAnsi="Times New Roman"/>
        </w:rPr>
        <w:tab/>
      </w:r>
      <w:r>
        <w:rPr>
          <w:rFonts w:ascii="Times New Roman" w:hAnsi="Times New Roman"/>
          <w:b/>
        </w:rPr>
        <w:t>Résolution présentée conformément à l’article 11</w:t>
      </w:r>
      <w:r w:rsidR="00D87DCF">
        <w:rPr>
          <w:rFonts w:ascii="Times New Roman" w:hAnsi="Times New Roman"/>
          <w:b/>
        </w:rPr>
        <w:t>5</w:t>
      </w:r>
      <w:r>
        <w:rPr>
          <w:rFonts w:ascii="Times New Roman" w:hAnsi="Times New Roman"/>
          <w:b/>
        </w:rPr>
        <w:t>, paragraphes 2 et 3, du règlement intérieur du Parlement européen</w:t>
      </w:r>
    </w:p>
    <w:p w14:paraId="23CF86DC" w14:textId="708D12DE" w:rsidR="005125FE" w:rsidRPr="0074107D" w:rsidRDefault="005125FE" w:rsidP="00561A22">
      <w:pPr>
        <w:spacing w:line="259" w:lineRule="auto"/>
        <w:ind w:left="720" w:hanging="720"/>
        <w:jc w:val="left"/>
        <w:rPr>
          <w:rFonts w:ascii="Times New Roman" w:eastAsia="Calibri" w:hAnsi="Times New Roman"/>
          <w:szCs w:val="24"/>
        </w:rPr>
      </w:pPr>
      <w:r>
        <w:rPr>
          <w:rFonts w:ascii="Times New Roman" w:hAnsi="Times New Roman"/>
          <w:b/>
        </w:rPr>
        <w:t>2.</w:t>
      </w:r>
      <w:r>
        <w:rPr>
          <w:rFonts w:ascii="Times New Roman" w:hAnsi="Times New Roman"/>
        </w:rPr>
        <w:tab/>
      </w:r>
      <w:r>
        <w:rPr>
          <w:rFonts w:ascii="Times New Roman" w:hAnsi="Times New Roman"/>
          <w:b/>
        </w:rPr>
        <w:t xml:space="preserve">Numéros de </w:t>
      </w:r>
      <w:proofErr w:type="gramStart"/>
      <w:r>
        <w:rPr>
          <w:rFonts w:ascii="Times New Roman" w:hAnsi="Times New Roman"/>
          <w:b/>
        </w:rPr>
        <w:t>référence:</w:t>
      </w:r>
      <w:proofErr w:type="gramEnd"/>
      <w:r>
        <w:rPr>
          <w:rFonts w:ascii="Times New Roman" w:hAnsi="Times New Roman"/>
        </w:rPr>
        <w:t xml:space="preserve"> 2024/2835(RSP) / B10-0145/2024 / P10_TA(2024)0039</w:t>
      </w:r>
    </w:p>
    <w:p w14:paraId="6B756516" w14:textId="401B241E"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rPr>
          <w:rFonts w:ascii="Times New Roman" w:hAnsi="Times New Roman"/>
        </w:rPr>
        <w:tab/>
      </w: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26 novembre 2024</w:t>
      </w:r>
    </w:p>
    <w:p w14:paraId="11B3DB8E" w14:textId="4955AA26"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rPr>
          <w:rFonts w:ascii="Times New Roman" w:hAnsi="Times New Roman"/>
          <w:b/>
        </w:rPr>
        <w:tab/>
        <w:t xml:space="preserve">Commission parlementaire </w:t>
      </w:r>
      <w:proofErr w:type="gramStart"/>
      <w:r>
        <w:rPr>
          <w:rFonts w:ascii="Times New Roman" w:hAnsi="Times New Roman"/>
          <w:b/>
        </w:rPr>
        <w:t>compétente:</w:t>
      </w:r>
      <w:proofErr w:type="gramEnd"/>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rPr>
          <w:rFonts w:ascii="Times New Roman" w:hAnsi="Times New Roman"/>
          <w:b/>
        </w:rPr>
        <w:tab/>
        <w:t xml:space="preserve">Analyse/évaluation succincte de la résolution et des demandes qu’elle </w:t>
      </w:r>
      <w:proofErr w:type="gramStart"/>
      <w:r>
        <w:rPr>
          <w:rFonts w:ascii="Times New Roman" w:hAnsi="Times New Roman"/>
          <w:b/>
        </w:rPr>
        <w:t>contient:</w:t>
      </w:r>
      <w:proofErr w:type="gramEnd"/>
    </w:p>
    <w:p w14:paraId="16E849F8" w14:textId="42E561BB" w:rsidR="005125FE" w:rsidRDefault="005125FE" w:rsidP="005125FE">
      <w:pPr>
        <w:spacing w:after="120"/>
        <w:rPr>
          <w:rFonts w:ascii="Times New Roman" w:eastAsia="Calibri" w:hAnsi="Times New Roman"/>
          <w:szCs w:val="24"/>
        </w:rPr>
      </w:pPr>
      <w:r>
        <w:rPr>
          <w:rFonts w:ascii="Times New Roman" w:hAnsi="Times New Roman"/>
        </w:rPr>
        <w:t>Dans sa résolution, le Parlement demande à la Commission d’abroger la décision d’exécution de la Commission (</w:t>
      </w:r>
      <w:r>
        <w:rPr>
          <w:rFonts w:ascii="Times New Roman" w:hAnsi="Times New Roman"/>
          <w:b/>
        </w:rPr>
        <w:t>paragraphe 3</w:t>
      </w:r>
      <w:r>
        <w:rPr>
          <w:rFonts w:ascii="Times New Roman" w:hAnsi="Times New Roman"/>
        </w:rPr>
        <w:t>), au motif qu’elle excède les compétences d’exécution prévues dans le règlement (CE) nº 1829/2003 (</w:t>
      </w:r>
      <w:r>
        <w:rPr>
          <w:rFonts w:ascii="Times New Roman" w:hAnsi="Times New Roman"/>
          <w:b/>
        </w:rPr>
        <w:t>paragraphe 1</w:t>
      </w:r>
      <w:r>
        <w:rPr>
          <w:rFonts w:ascii="Times New Roman" w:hAnsi="Times New Roman"/>
        </w:rPr>
        <w:t>) et qu’elle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rPr>
        <w:t>paragraphe 2</w:t>
      </w:r>
      <w:r>
        <w:rPr>
          <w:rFonts w:ascii="Times New Roman" w:hAnsi="Times New Roman"/>
        </w:rPr>
        <w:t>).</w:t>
      </w:r>
    </w:p>
    <w:p w14:paraId="0FC911C3" w14:textId="067AF758" w:rsidR="002958A3" w:rsidRPr="0074107D" w:rsidRDefault="002958A3" w:rsidP="002958A3">
      <w:pPr>
        <w:pStyle w:val="Text1"/>
        <w:spacing w:after="180"/>
        <w:ind w:left="0"/>
        <w:rPr>
          <w:rFonts w:eastAsia="Calibri"/>
          <w:szCs w:val="24"/>
        </w:rPr>
      </w:pPr>
      <w:r>
        <w:rPr>
          <w:color w:val="000000"/>
        </w:rPr>
        <w:t xml:space="preserve">La résolution soulève des questions sur la toxicité des toxines </w:t>
      </w:r>
      <w:r>
        <w:rPr>
          <w:i/>
          <w:color w:val="000000"/>
        </w:rPr>
        <w:t>Bt</w:t>
      </w:r>
      <w:r>
        <w:rPr>
          <w:color w:val="000000"/>
        </w:rPr>
        <w:t xml:space="preserve"> (</w:t>
      </w:r>
      <w:r>
        <w:rPr>
          <w:b/>
          <w:color w:val="000000"/>
        </w:rPr>
        <w:t>considérants E</w:t>
      </w:r>
      <w:r>
        <w:rPr>
          <w:color w:val="000000"/>
        </w:rPr>
        <w:t xml:space="preserve"> à </w:t>
      </w:r>
      <w:r>
        <w:rPr>
          <w:b/>
          <w:color w:val="000000"/>
        </w:rPr>
        <w:t>G</w:t>
      </w:r>
      <w:r>
        <w:rPr>
          <w:color w:val="000000"/>
        </w:rPr>
        <w:t xml:space="preserve">) et sur les effets néfastes potentiels des cultures </w:t>
      </w:r>
      <w:r>
        <w:rPr>
          <w:i/>
          <w:color w:val="000000"/>
        </w:rPr>
        <w:t>Bt</w:t>
      </w:r>
      <w:r>
        <w:rPr>
          <w:color w:val="000000"/>
        </w:rPr>
        <w:t xml:space="preserve"> sur les organismes non ciblés (</w:t>
      </w:r>
      <w:r>
        <w:rPr>
          <w:b/>
          <w:color w:val="000000"/>
        </w:rPr>
        <w:t>considérants L</w:t>
      </w:r>
      <w:r>
        <w:rPr>
          <w:color w:val="000000"/>
        </w:rPr>
        <w:t xml:space="preserve"> et </w:t>
      </w:r>
      <w:r>
        <w:rPr>
          <w:b/>
          <w:color w:val="000000"/>
        </w:rPr>
        <w:t>M</w:t>
      </w:r>
      <w:r>
        <w:rPr>
          <w:color w:val="000000"/>
        </w:rPr>
        <w:t>).</w:t>
      </w:r>
    </w:p>
    <w:p w14:paraId="4740B154" w14:textId="74E31534" w:rsidR="00462C3D" w:rsidRPr="00462C3D" w:rsidRDefault="00462C3D" w:rsidP="00462C3D">
      <w:pPr>
        <w:pStyle w:val="NormalHanging12a"/>
        <w:spacing w:after="180"/>
        <w:ind w:left="0" w:firstLine="0"/>
        <w:jc w:val="both"/>
      </w:pPr>
      <w:r>
        <w:t>La résolution soulève également des préoccupations quant à l’utilisation de gènes marqueurs de résistance aux antibiotiques (</w:t>
      </w:r>
      <w:r>
        <w:rPr>
          <w:b/>
        </w:rPr>
        <w:t>considérants L</w:t>
      </w:r>
      <w:r>
        <w:t xml:space="preserve"> à </w:t>
      </w:r>
      <w:r>
        <w:rPr>
          <w:b/>
        </w:rPr>
        <w:t>R</w:t>
      </w:r>
      <w:r>
        <w:t>) et demande une nouvelle fois à la Commission de ne pas autoriser la mise sur le marché de plantes génétiquement modifiées contenant des gènes qui confèrent une résistance antimicrobienne et estime que l’autorisation serait contraire à l’article 4, paragraphe 2, de la directive 2001/18/CE, qui demande l’élimination progressive des gènes marqueurs de résistance aux antibiotiques susceptibles d’avoir des effets néfastes sur la santé humaine ou sur l’environnement (</w:t>
      </w:r>
      <w:r>
        <w:rPr>
          <w:b/>
        </w:rPr>
        <w:t>paragraphe 4</w:t>
      </w:r>
      <w:r>
        <w:t xml:space="preserve">). </w:t>
      </w:r>
    </w:p>
    <w:p w14:paraId="4AD06A0A" w14:textId="603D45A9" w:rsidR="005125FE" w:rsidRDefault="005125FE" w:rsidP="005125FE">
      <w:pPr>
        <w:spacing w:after="120"/>
        <w:rPr>
          <w:rFonts w:ascii="Times New Roman" w:eastAsia="Calibri" w:hAnsi="Times New Roman"/>
          <w:szCs w:val="24"/>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rFonts w:ascii="Times New Roman" w:hAnsi="Times New Roman"/>
          <w:b/>
        </w:rPr>
        <w:t>paragraphe 5</w:t>
      </w:r>
      <w:r>
        <w:rPr>
          <w:rFonts w:ascii="Times New Roman" w:hAnsi="Times New Roman"/>
        </w:rPr>
        <w:t>).</w:t>
      </w:r>
    </w:p>
    <w:p w14:paraId="53EF3001" w14:textId="07282BBA" w:rsidR="00D015D1" w:rsidRDefault="00D015D1" w:rsidP="005125FE">
      <w:pPr>
        <w:spacing w:after="120"/>
        <w:rPr>
          <w:rFonts w:ascii="Times New Roman" w:eastAsia="Calibri" w:hAnsi="Times New Roman"/>
          <w:szCs w:val="24"/>
        </w:rPr>
      </w:pPr>
      <w:r>
        <w:rPr>
          <w:rFonts w:ascii="Times New Roman" w:hAnsi="Times New Roman"/>
        </w:rPr>
        <w:t>La résolution mentionne la nécessité de réduire la dépendance à l’égard des aliments pour animaux importés (</w:t>
      </w:r>
      <w:r>
        <w:rPr>
          <w:rFonts w:ascii="Times New Roman" w:hAnsi="Times New Roman"/>
          <w:b/>
        </w:rPr>
        <w:t>considérant K</w:t>
      </w:r>
      <w:r>
        <w:rPr>
          <w:rFonts w:ascii="Times New Roman" w:hAnsi="Times New Roman"/>
        </w:rPr>
        <w:t xml:space="preserve">).  </w:t>
      </w:r>
    </w:p>
    <w:p w14:paraId="4F587FE7" w14:textId="5F6C1428" w:rsidR="00D015D1" w:rsidRPr="0074107D" w:rsidRDefault="00D015D1" w:rsidP="005125FE">
      <w:pPr>
        <w:spacing w:after="120"/>
        <w:rPr>
          <w:rFonts w:ascii="Times New Roman" w:eastAsia="Calibri" w:hAnsi="Times New Roman"/>
          <w:szCs w:val="24"/>
        </w:rPr>
      </w:pPr>
      <w:r>
        <w:rPr>
          <w:rFonts w:ascii="Times New Roman" w:hAnsi="Times New Roman"/>
        </w:rPr>
        <w:lastRenderedPageBreak/>
        <w:t>Dans sa résolution, le Parlement demande instamment à la Commission de tenir compte des obligations qui incombent à l’UE en vertu d’accords internationaux, tels que l’accord de Paris sur le climat, la convention des Nations unies sur la diversité biologique et les objectifs de développement durable des Nations unies (</w:t>
      </w:r>
      <w:r>
        <w:rPr>
          <w:rFonts w:ascii="Times New Roman" w:hAnsi="Times New Roman"/>
          <w:b/>
        </w:rPr>
        <w:t>paragraphe 6</w:t>
      </w:r>
      <w:r>
        <w:rPr>
          <w:rFonts w:ascii="Times New Roman" w:hAnsi="Times New Roman"/>
        </w:rPr>
        <w:t>).</w:t>
      </w:r>
      <w:r>
        <w:rPr>
          <w:rFonts w:ascii="Times New Roman" w:hAnsi="Times New Roman"/>
          <w:b/>
        </w:rPr>
        <w:t xml:space="preserve"> </w:t>
      </w:r>
    </w:p>
    <w:p w14:paraId="43819658" w14:textId="5A3851E1" w:rsidR="005125FE" w:rsidRPr="0074107D" w:rsidRDefault="005125FE" w:rsidP="005125FE">
      <w:pPr>
        <w:widowControl w:val="0"/>
        <w:spacing w:after="120"/>
        <w:rPr>
          <w:rFonts w:ascii="Times New Roman" w:eastAsia="Calibri" w:hAnsi="Times New Roman"/>
          <w:szCs w:val="24"/>
        </w:rPr>
      </w:pPr>
      <w:r>
        <w:rPr>
          <w:rFonts w:ascii="Times New Roman" w:hAnsi="Times New Roman"/>
        </w:rPr>
        <w:t>La résolution renvoie aux préoccupations des États membres et des parties prenantes (</w:t>
      </w:r>
      <w:r>
        <w:rPr>
          <w:rFonts w:ascii="Times New Roman" w:hAnsi="Times New Roman"/>
          <w:b/>
        </w:rPr>
        <w:t>considérants S</w:t>
      </w:r>
      <w:r>
        <w:rPr>
          <w:rFonts w:ascii="Times New Roman" w:hAnsi="Times New Roman"/>
        </w:rPr>
        <w:t xml:space="preserve"> et </w:t>
      </w:r>
      <w:r>
        <w:rPr>
          <w:rFonts w:ascii="Times New Roman" w:hAnsi="Times New Roman"/>
          <w:b/>
        </w:rPr>
        <w:t>T</w:t>
      </w:r>
      <w:r>
        <w:rPr>
          <w:rFonts w:ascii="Times New Roman" w:hAnsi="Times New Roman"/>
        </w:rPr>
        <w:t>) et rappelle que le fait que les décisions d’autorisation continuent 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rFonts w:ascii="Times New Roman" w:hAnsi="Times New Roman"/>
          <w:b/>
        </w:rPr>
        <w:t>considérants V</w:t>
      </w:r>
      <w:r>
        <w:rPr>
          <w:rFonts w:ascii="Times New Roman" w:hAnsi="Times New Roman"/>
        </w:rPr>
        <w:t xml:space="preserve"> et </w:t>
      </w:r>
      <w:r>
        <w:rPr>
          <w:rFonts w:ascii="Times New Roman" w:hAnsi="Times New Roman"/>
          <w:b/>
        </w:rPr>
        <w:t>X</w:t>
      </w:r>
      <w:r>
        <w:rPr>
          <w:rFonts w:ascii="Times New Roman" w:hAnsi="Times New Roman"/>
        </w:rPr>
        <w:t>). De plus, le Parlement rappelle les nombreuses résolutions s’opposant à l’autorisation d’OGM qu’il a adoptées au cours de ses huitième et neuvième législatures (</w:t>
      </w:r>
      <w:r>
        <w:rPr>
          <w:rFonts w:ascii="Times New Roman" w:hAnsi="Times New Roman"/>
          <w:b/>
        </w:rPr>
        <w:t>considérant U</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rPr>
        <w:t>considérant W</w:t>
      </w:r>
      <w:r>
        <w:rPr>
          <w:rFonts w:ascii="Times New Roman" w:hAnsi="Times New Roman"/>
        </w:rPr>
        <w:t>).</w:t>
      </w:r>
    </w:p>
    <w:p w14:paraId="5D717F7D" w14:textId="77777777" w:rsidR="005125FE" w:rsidRPr="0074107D" w:rsidRDefault="005125FE" w:rsidP="00D036D1">
      <w:pPr>
        <w:keepNext/>
        <w:widowControl w:val="0"/>
        <w:spacing w:before="240" w:line="259" w:lineRule="auto"/>
        <w:ind w:left="720" w:hanging="720"/>
        <w:rPr>
          <w:rFonts w:ascii="Times New Roman" w:eastAsia="Calibri" w:hAnsi="Times New Roman"/>
          <w:b/>
          <w:bCs/>
          <w:szCs w:val="24"/>
        </w:rPr>
      </w:pPr>
      <w:r>
        <w:rPr>
          <w:rFonts w:ascii="Times New Roman" w:hAnsi="Times New Roman"/>
          <w:b/>
        </w:rPr>
        <w:t>6.</w:t>
      </w:r>
      <w:r>
        <w:rPr>
          <w:rFonts w:ascii="Times New Roman" w:hAnsi="Times New Roman"/>
          <w:b/>
        </w:rPr>
        <w:tab/>
        <w:t xml:space="preserve">Réponse à ces demandes et aperçu des mesures que la Commission a prises ou envisage de </w:t>
      </w:r>
      <w:proofErr w:type="gramStart"/>
      <w:r>
        <w:rPr>
          <w:rFonts w:ascii="Times New Roman" w:hAnsi="Times New Roman"/>
          <w:b/>
        </w:rPr>
        <w:t>prendre:</w:t>
      </w:r>
      <w:proofErr w:type="gramEnd"/>
    </w:p>
    <w:p w14:paraId="6634D039" w14:textId="29A647AD" w:rsidR="005125FE" w:rsidRPr="0074107D" w:rsidRDefault="005125FE" w:rsidP="005125FE">
      <w:pPr>
        <w:spacing w:after="120"/>
        <w:rPr>
          <w:rFonts w:ascii="Times New Roman" w:eastAsia="Calibri" w:hAnsi="Times New Roman"/>
          <w:szCs w:val="24"/>
        </w:rPr>
      </w:pPr>
      <w:r>
        <w:rPr>
          <w:rFonts w:ascii="Times New Roman" w:hAnsi="Times New Roman"/>
        </w:rPr>
        <w:t xml:space="preserve">La Commission tient à préciser que la décision d’exécution en question concerne l’autorisation de mise sur le marché de produits contenant du coton génétiquement modifié COT102, consistant en ce coton ou produits à partir de celui-ci, mais non la culture de ce coton. </w:t>
      </w:r>
    </w:p>
    <w:p w14:paraId="1325178A" w14:textId="6B18852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 </w:t>
      </w:r>
      <w:r>
        <w:rPr>
          <w:rFonts w:ascii="Times New Roman" w:hAnsi="Times New Roman"/>
          <w:b/>
        </w:rPr>
        <w:t>3</w:t>
      </w:r>
      <w:r>
        <w:rPr>
          <w:rFonts w:ascii="Times New Roman" w:hAnsi="Times New Roman"/>
        </w:rPr>
        <w:t xml:space="preserve"> de la résolution, la Commission tient à souligner que l’élaboration de la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w:t>
      </w:r>
      <w:proofErr w:type="gramStart"/>
      <w:r>
        <w:rPr>
          <w:rFonts w:ascii="Times New Roman" w:hAnsi="Times New Roman"/>
        </w:rPr>
        <w:t>dessous:</w:t>
      </w:r>
      <w:proofErr w:type="gramEnd"/>
    </w:p>
    <w:p w14:paraId="298E6089" w14:textId="584BBA86" w:rsidR="003A1CB2" w:rsidRDefault="00266E38" w:rsidP="00446377">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31 mars 2017, Syngenta Crop Protection NV/SA a soumis à l’autorité nationale compétente allemande une demande d’autorisation de mise sur le marché du coton génétiquement modifié COT102 destiné à l’alimentation humaine ou animale et à d’autres utilisations, à l’exception de la culture;</w:t>
      </w:r>
    </w:p>
    <w:p w14:paraId="014B15BD" w14:textId="1E8EF299" w:rsidR="005125FE" w:rsidRDefault="00266E38" w:rsidP="00446377">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26 juin 2023, l’Autorité européenne de sécurité des aliments (EFSA) a rendu un avis scientifique favorable, concluant que le coton génétiquement modifié COT102 est aussi sûr que le produit conventionnel de référence et que les variétés de référence de coton non génétiquement modifié testées en ce qui concerne ses effets potentiels sur la santé humaine et animale et sur l’environnement;</w:t>
      </w:r>
    </w:p>
    <w:p w14:paraId="388DB107" w14:textId="10D12878" w:rsidR="005125FE" w:rsidRDefault="00266E38" w:rsidP="00446377">
      <w:pPr>
        <w:numPr>
          <w:ilvl w:val="0"/>
          <w:numId w:val="3"/>
        </w:numPr>
        <w:spacing w:after="120"/>
        <w:rPr>
          <w:rFonts w:ascii="Times New Roman" w:eastAsia="Calibri" w:hAnsi="Times New Roman"/>
          <w:szCs w:val="24"/>
        </w:rPr>
      </w:pPr>
      <w:proofErr w:type="gramStart"/>
      <w:r>
        <w:rPr>
          <w:rFonts w:ascii="Times New Roman" w:hAnsi="Times New Roman"/>
        </w:rPr>
        <w:t>dans</w:t>
      </w:r>
      <w:proofErr w:type="gramEnd"/>
      <w:r>
        <w:rPr>
          <w:rFonts w:ascii="Times New Roman" w:hAnsi="Times New Roman"/>
        </w:rPr>
        <w:t xml:space="preserve">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3A7076DB" w14:textId="77777777" w:rsidR="00266E38" w:rsidRDefault="00266E38" w:rsidP="00446377">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public a commenté l’avis de l’EFSA et toutes les observations scientifiques reçues ont été examinées par l’EFSA, laquelle a confirmé les conclusions de son avis scientifique initial;</w:t>
      </w:r>
    </w:p>
    <w:p w14:paraId="703B8701" w14:textId="6C3F8DEE" w:rsidR="003A1CB2" w:rsidRDefault="003A1CB2" w:rsidP="00446377">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projet de décision a fait l’objet d’un vote au sein du comité permanent le 8 juillet 2024 et aucune majorité qualifiée favorable ou défavorable n’a été dégagée;</w:t>
      </w:r>
    </w:p>
    <w:p w14:paraId="366EFE43" w14:textId="5D34C8D6" w:rsidR="005125FE" w:rsidRPr="0074107D" w:rsidRDefault="003A1CB2" w:rsidP="00446377">
      <w:pPr>
        <w:numPr>
          <w:ilvl w:val="0"/>
          <w:numId w:val="3"/>
        </w:numPr>
        <w:spacing w:after="120"/>
        <w:rPr>
          <w:rFonts w:ascii="Times New Roman" w:eastAsia="Calibri" w:hAnsi="Times New Roman"/>
          <w:szCs w:val="24"/>
        </w:rPr>
      </w:pPr>
      <w:proofErr w:type="gramStart"/>
      <w:r>
        <w:rPr>
          <w:rFonts w:ascii="Times New Roman" w:hAnsi="Times New Roman"/>
        </w:rPr>
        <w:lastRenderedPageBreak/>
        <w:t>le</w:t>
      </w:r>
      <w:proofErr w:type="gramEnd"/>
      <w:r>
        <w:rPr>
          <w:rFonts w:ascii="Times New Roman" w:hAnsi="Times New Roman"/>
        </w:rPr>
        <w:t xml:space="preserve"> projet de décision a fait l’objet d’un vote au sein du comité d’appel le 3 septembre 2024, et aucune majorité qualifiée favorable ou défavorable n’a été dégagée;</w:t>
      </w:r>
    </w:p>
    <w:p w14:paraId="7488F574" w14:textId="6194931D" w:rsidR="003A1CB2" w:rsidRPr="003A1CB2" w:rsidRDefault="003A1CB2" w:rsidP="00446377">
      <w:pPr>
        <w:pStyle w:val="ListParagraph"/>
        <w:numPr>
          <w:ilvl w:val="0"/>
          <w:numId w:val="3"/>
        </w:numPr>
        <w:spacing w:after="120"/>
        <w:contextualSpacing w:val="0"/>
        <w:rPr>
          <w:rFonts w:ascii="Times New Roman" w:eastAsia="Calibri" w:hAnsi="Times New Roman"/>
          <w:szCs w:val="24"/>
        </w:rPr>
      </w:pPr>
      <w:proofErr w:type="gramStart"/>
      <w:r>
        <w:rPr>
          <w:rFonts w:ascii="Times New Roman" w:hAnsi="Times New Roman"/>
        </w:rPr>
        <w:t>conformément</w:t>
      </w:r>
      <w:proofErr w:type="gramEnd"/>
      <w:r>
        <w:rPr>
          <w:rFonts w:ascii="Times New Roman" w:hAnsi="Times New Roman"/>
        </w:rPr>
        <w:t xml:space="preserve"> aux règles énoncées dans le règlement (UE) n° 182/2011 relatif à la comitologie, il appartient à la Commission de se prononcer sur l’adoption;</w:t>
      </w:r>
    </w:p>
    <w:p w14:paraId="5B1D2D40" w14:textId="0C4EBFC6" w:rsidR="005125FE" w:rsidRPr="003A1CB2" w:rsidRDefault="003A1CB2" w:rsidP="00446377">
      <w:pPr>
        <w:numPr>
          <w:ilvl w:val="0"/>
          <w:numId w:val="3"/>
        </w:numPr>
        <w:ind w:left="714" w:hanging="357"/>
        <w:rPr>
          <w:rFonts w:ascii="Times New Roman" w:eastAsia="Calibri" w:hAnsi="Times New Roman"/>
          <w:szCs w:val="24"/>
        </w:rPr>
      </w:pPr>
      <w:proofErr w:type="gramStart"/>
      <w:r>
        <w:rPr>
          <w:rFonts w:ascii="Times New Roman" w:hAnsi="Times New Roman"/>
        </w:rPr>
        <w:t>sur</w:t>
      </w:r>
      <w:proofErr w:type="gramEnd"/>
      <w:r>
        <w:rPr>
          <w:rFonts w:ascii="Times New Roman" w:hAnsi="Times New Roman"/>
        </w:rPr>
        <w:t xml:space="preserve"> cette base, la décision de la Commission a été adoptée le 8 octobre 2024. </w:t>
      </w:r>
    </w:p>
    <w:p w14:paraId="095DD316" w14:textId="63B41DE7" w:rsidR="005125FE" w:rsidRPr="0074107D" w:rsidRDefault="005125FE" w:rsidP="005125FE">
      <w:pPr>
        <w:spacing w:after="120"/>
        <w:rPr>
          <w:rFonts w:ascii="Times New Roman" w:eastAsia="Calibri" w:hAnsi="Times New Roman"/>
          <w:szCs w:val="24"/>
        </w:rPr>
      </w:pPr>
      <w:r>
        <w:rPr>
          <w:rFonts w:ascii="Times New Roman" w:hAnsi="Times New Roman"/>
        </w:rPr>
        <w:t>La Commission considère donc qu’en poursuivant le processus d’adoption d’une décision qui respecte pleinement les étapes procédurales définies par les colégislateurs dans la législation sur les OGM et qui est conforme à l’avis scientifique de l’EFSA, cet avis, après avoir pris en considération toutes les observations scientifiques soumises par les États membres, n’excède pas ses compétences d’exécution. Par conséquent, il n’y avait aucune raison de ne pas adopter la décision autorisant le coton génétiquement modifié COT102.</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 xml:space="preserve">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w:t>
      </w:r>
      <w:proofErr w:type="gramStart"/>
      <w:r>
        <w:rPr>
          <w:rFonts w:ascii="Times New Roman" w:hAnsi="Times New Roman"/>
        </w:rPr>
        <w:t>suivent:</w:t>
      </w:r>
      <w:proofErr w:type="gramEnd"/>
    </w:p>
    <w:p w14:paraId="338D9CA9" w14:textId="01B819D8" w:rsidR="00A945CA" w:rsidRDefault="00A945CA" w:rsidP="005125FE">
      <w:pPr>
        <w:spacing w:after="120"/>
        <w:rPr>
          <w:rFonts w:ascii="Times New Roman" w:eastAsia="Calibri" w:hAnsi="Times New Roman"/>
          <w:szCs w:val="24"/>
        </w:rPr>
      </w:pPr>
      <w:r>
        <w:rPr>
          <w:rFonts w:ascii="Times New Roman" w:hAnsi="Times New Roman"/>
        </w:rPr>
        <w:t>L’EFSA a réalisé une évaluation complète des risques qui a abouti à une conclusion positive, après avoir pris en considération les observations des États membres ainsi que les observations du public. Par conséquent, la Commission estime que sa décision est pleinement conforme aux objectifs de la législation de l’Union sur les denrées alimentaires et les aliments pour animaux génétiquement modifiés et à la législation alimentaire générale de l’UE visant à protéger la santé et l’environnement après une évaluation scientifique objective, indépendante et transparente des risques (</w:t>
      </w:r>
      <w:r>
        <w:rPr>
          <w:rFonts w:ascii="Times New Roman" w:hAnsi="Times New Roman"/>
          <w:b/>
        </w:rPr>
        <w:t>paragraphe 2</w:t>
      </w:r>
      <w:r>
        <w:rPr>
          <w:rFonts w:ascii="Times New Roman" w:hAnsi="Times New Roman"/>
        </w:rPr>
        <w:t>).</w:t>
      </w:r>
    </w:p>
    <w:p w14:paraId="797163DB" w14:textId="76A26120" w:rsidR="00894953" w:rsidRPr="00ED5513" w:rsidRDefault="00780241" w:rsidP="00780241">
      <w:pPr>
        <w:spacing w:after="120"/>
        <w:rPr>
          <w:rFonts w:ascii="Times New Roman" w:eastAsia="Calibri" w:hAnsi="Times New Roman"/>
          <w:szCs w:val="24"/>
        </w:rPr>
      </w:pPr>
      <w:r>
        <w:rPr>
          <w:rFonts w:ascii="Times New Roman" w:hAnsi="Times New Roman"/>
        </w:rPr>
        <w:t xml:space="preserve">En ce qui concerne les craintes soulevées dans les </w:t>
      </w:r>
      <w:r>
        <w:rPr>
          <w:rFonts w:ascii="Times New Roman" w:hAnsi="Times New Roman"/>
          <w:b/>
        </w:rPr>
        <w:t>considérants E</w:t>
      </w:r>
      <w:r>
        <w:rPr>
          <w:rFonts w:ascii="Times New Roman" w:hAnsi="Times New Roman"/>
        </w:rPr>
        <w:t xml:space="preserve"> à </w:t>
      </w:r>
      <w:r>
        <w:rPr>
          <w:rFonts w:ascii="Times New Roman" w:hAnsi="Times New Roman"/>
          <w:b/>
        </w:rPr>
        <w:t>J</w:t>
      </w:r>
      <w:r>
        <w:rPr>
          <w:rFonts w:ascii="Times New Roman" w:hAnsi="Times New Roman"/>
        </w:rPr>
        <w:t xml:space="preserve"> en ce qui concerne les toxines </w:t>
      </w:r>
      <w:r>
        <w:rPr>
          <w:rFonts w:ascii="Times New Roman" w:hAnsi="Times New Roman"/>
          <w:i/>
        </w:rPr>
        <w:t>Bt</w:t>
      </w:r>
      <w:r>
        <w:rPr>
          <w:rFonts w:ascii="Times New Roman" w:hAnsi="Times New Roman"/>
        </w:rPr>
        <w:t xml:space="preserve"> et les cultures </w:t>
      </w:r>
      <w:r>
        <w:rPr>
          <w:rFonts w:ascii="Times New Roman" w:hAnsi="Times New Roman"/>
          <w:i/>
        </w:rPr>
        <w:t>Bt</w:t>
      </w:r>
      <w:r>
        <w:rPr>
          <w:rFonts w:ascii="Times New Roman" w:hAnsi="Times New Roman"/>
        </w:rPr>
        <w:t xml:space="preserve">, la Commission tient à souligner que le groupe scientifique de l’EFSA sur les OGM a examiné de manière approfondie les propriétés allergéniques et adjuvantes potentielles de ces protéines en tenant compte de toutes les informations disponibles, y compris de la littérature sur le sujet, et qu’il n’a pas mis en lumière de préoccupations en matière de sécurité. Dans son évaluation des risques relative à cette demande, l’EFSA a conclu à l’absence de risque en ce qui concerne la toxicité des protéines </w:t>
      </w:r>
      <w:r>
        <w:rPr>
          <w:rFonts w:ascii="Times New Roman" w:hAnsi="Times New Roman"/>
          <w:i/>
        </w:rPr>
        <w:t>Bt</w:t>
      </w:r>
      <w:r>
        <w:rPr>
          <w:rFonts w:ascii="Times New Roman" w:hAnsi="Times New Roman"/>
        </w:rPr>
        <w:t xml:space="preserve"> exprimées et à l’incidence potentielle sur des organismes non ciblés.  </w:t>
      </w:r>
    </w:p>
    <w:p w14:paraId="65AADC52" w14:textId="7035B27C" w:rsidR="00C127D5" w:rsidRDefault="00D529F7" w:rsidP="005125FE">
      <w:pPr>
        <w:spacing w:after="120"/>
        <w:rPr>
          <w:rFonts w:ascii="Times New Roman" w:eastAsia="Calibri" w:hAnsi="Times New Roman"/>
          <w:szCs w:val="24"/>
        </w:rPr>
      </w:pPr>
      <w:r>
        <w:rPr>
          <w:rFonts w:ascii="Times New Roman" w:hAnsi="Times New Roman"/>
        </w:rPr>
        <w:t>En ce qui concerne l’objection et les observations formulées sur les gènes marqueurs de la résistance aux antibiotiques (</w:t>
      </w:r>
      <w:r>
        <w:rPr>
          <w:rFonts w:ascii="Times New Roman" w:hAnsi="Times New Roman"/>
          <w:b/>
        </w:rPr>
        <w:t>paragraphe 4</w:t>
      </w:r>
      <w:r>
        <w:rPr>
          <w:rFonts w:ascii="Times New Roman" w:hAnsi="Times New Roman"/>
        </w:rPr>
        <w:t xml:space="preserve"> et </w:t>
      </w:r>
      <w:r>
        <w:rPr>
          <w:rFonts w:ascii="Times New Roman" w:hAnsi="Times New Roman"/>
          <w:b/>
        </w:rPr>
        <w:t>considérants L</w:t>
      </w:r>
      <w:r>
        <w:rPr>
          <w:rFonts w:ascii="Times New Roman" w:hAnsi="Times New Roman"/>
        </w:rPr>
        <w:t xml:space="preserve"> à </w:t>
      </w:r>
      <w:r>
        <w:rPr>
          <w:rFonts w:ascii="Times New Roman" w:hAnsi="Times New Roman"/>
          <w:b/>
        </w:rPr>
        <w:t>R</w:t>
      </w:r>
      <w:r>
        <w:rPr>
          <w:rFonts w:ascii="Times New Roman" w:hAnsi="Times New Roman"/>
        </w:rPr>
        <w:t xml:space="preserve">), la Commission tient à souligner qu’en vertu de la législation sur les OGM (article 4, paragraphe 2, de la directive 2001/18/CE), la Commission doit veiller à ce que les OGM contenant des gènes exprimant une résistance aux antibiotiques utilisés pour des traitements médicaux ou vétérinaires soient particulièrement pris en considération lors de l’évaluation des risques pour l’environnement, en vue d’identifier et d’éliminer progressivement les marqueurs de résistance aux antibiotiques dans les OGM susceptibles d’avoir des effets néfastes sur la santé humaine et l’environnement. En l’espèce, l’EFSA, en consultation avec l’Agence européenne des médicaments (EMA), a confirmé que ce coton génétiquement modifié — qui contient un gène marqueur lié à l’antibiotique hygromycine B — ne relevait pas de cette catégorie. Il n’y a jamais eu et il n’existe actuellement aucune autorisation au niveau national ou de l’UE pour des médicaments à usage humain ou </w:t>
      </w:r>
      <w:r>
        <w:rPr>
          <w:rFonts w:ascii="Times New Roman" w:hAnsi="Times New Roman"/>
        </w:rPr>
        <w:lastRenderedPageBreak/>
        <w:t>vétérinaire contenant de l’hygromycine B. En outre, dans son évaluation des risques pour cette demande, l’EFSA a conclu qu’il n’existait aucun problème de sécurité lié à la présence de ce gène de résistance aux antibiotiques dans le coton génétiquement modifié COT102.</w:t>
      </w:r>
    </w:p>
    <w:p w14:paraId="596A2CFC" w14:textId="2A546581" w:rsidR="00A32CA1" w:rsidRPr="0074107D" w:rsidRDefault="00A32CA1" w:rsidP="00A32CA1">
      <w:pPr>
        <w:pStyle w:val="NoSpacing"/>
        <w:spacing w:after="180"/>
        <w:rPr>
          <w:rFonts w:eastAsia="Calibri"/>
        </w:rPr>
      </w:pPr>
      <w:r>
        <w:t xml:space="preserve">En ce qui concerne l’appel exprimé au </w:t>
      </w:r>
      <w:r>
        <w:rPr>
          <w:b/>
        </w:rPr>
        <w:t>paragraphe 5</w:t>
      </w:r>
      <w:r>
        <w:t xml:space="preserve"> visant à tenir compte de la durabilité dans l’autorisation des OGM, cet aspect est essentiel pour la Commission. La Commission définira la voie à suivre en s’appuyant sur les recommandations du dialogue stratégique sur l’avenir de l’agriculture dans l’UE et sur la collaboration avec les parties prenantes. La communication intitulée</w:t>
      </w:r>
      <w:proofErr w:type="gramStart"/>
      <w:r>
        <w:t xml:space="preserve"> «Une</w:t>
      </w:r>
      <w:proofErr w:type="gramEnd"/>
      <w:r>
        <w:t xml:space="preserve"> vision pour l’agriculture et l’alimentation» a été adoptée le 19 février 2025.</w:t>
      </w:r>
    </w:p>
    <w:p w14:paraId="6DABD564" w14:textId="639BB6E8" w:rsidR="00C127D5" w:rsidRDefault="00A945CA" w:rsidP="005125FE">
      <w:pPr>
        <w:spacing w:after="120"/>
        <w:rPr>
          <w:rFonts w:ascii="Times New Roman" w:eastAsia="Calibri" w:hAnsi="Times New Roman"/>
          <w:szCs w:val="24"/>
        </w:rPr>
      </w:pPr>
      <w:r>
        <w:rPr>
          <w:rFonts w:ascii="Times New Roman" w:hAnsi="Times New Roman"/>
        </w:rPr>
        <w:t>En ce qui concerne l’appel à prendre en considération les obligations internationales de l’UE (</w:t>
      </w:r>
      <w:r>
        <w:rPr>
          <w:rFonts w:ascii="Times New Roman" w:hAnsi="Times New Roman"/>
          <w:b/>
        </w:rPr>
        <w:t>paragraphe 6</w:t>
      </w:r>
      <w:r>
        <w:rPr>
          <w:rFonts w:ascii="Times New Roman" w:hAnsi="Times New Roman"/>
        </w:rPr>
        <w:t xml:space="preserve">),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 En ce qui concerne la demande énoncée au </w:t>
      </w:r>
      <w:r>
        <w:rPr>
          <w:rFonts w:ascii="Times New Roman" w:hAnsi="Times New Roman"/>
          <w:b/>
        </w:rPr>
        <w:t>paragraphe 6</w:t>
      </w:r>
      <w:r>
        <w:rPr>
          <w:rFonts w:ascii="Times New Roman" w:hAnsi="Times New Roman"/>
        </w:rPr>
        <w:t xml:space="preserve">, visant à ce que les projets d’actes d’exécution soient accompagnés d’un exposé des motifs expliquant comment ils respectent le principe consistant à «ne pas </w:t>
      </w:r>
      <w:proofErr w:type="gramStart"/>
      <w:r>
        <w:rPr>
          <w:rFonts w:ascii="Times New Roman" w:hAnsi="Times New Roman"/>
        </w:rPr>
        <w:t>nuire»</w:t>
      </w:r>
      <w:proofErr w:type="gramEnd"/>
      <w:r>
        <w:rPr>
          <w:rFonts w:ascii="Times New Roman" w:hAnsi="Times New Roman"/>
        </w:rPr>
        <w:t>, la Commission tient à souligner que la décision est fondée sur un avis scientifique positif de l’EFSA, comme mentionné ci-dessus.</w:t>
      </w:r>
    </w:p>
    <w:p w14:paraId="185E5A81" w14:textId="5876D990" w:rsidR="00D015D1" w:rsidRDefault="00D015D1" w:rsidP="00D015D1">
      <w:pPr>
        <w:rPr>
          <w:rFonts w:ascii="Times New Roman" w:eastAsia="Calibri" w:hAnsi="Times New Roman"/>
          <w:szCs w:val="24"/>
        </w:rPr>
      </w:pPr>
      <w:r>
        <w:rPr>
          <w:rFonts w:ascii="Times New Roman" w:hAnsi="Times New Roman"/>
        </w:rPr>
        <w:t>Les questions liées à la réduction de la dépendance à l’égard des produits de base critiques importés (</w:t>
      </w:r>
      <w:r>
        <w:rPr>
          <w:rFonts w:ascii="Times New Roman" w:hAnsi="Times New Roman"/>
          <w:b/>
        </w:rPr>
        <w:t>considérant K</w:t>
      </w:r>
      <w:r>
        <w:rPr>
          <w:rFonts w:ascii="Times New Roman" w:hAnsi="Times New Roman"/>
        </w:rPr>
        <w:t>) feront partie des travaux de la Commission conformément à ses orientations politiques et aux lettres de mission des commissaires responsables. Toutefois, ces questions vont bien au-delà du cadre de la présente analyse et ne peuvent pas être traitées dans le contexte des décisions de la Commission relatives à la mise sur le marché d’OGM.</w:t>
      </w:r>
    </w:p>
    <w:p w14:paraId="217E7FCF" w14:textId="0DC83362" w:rsidR="001B3C26" w:rsidRPr="00607ACF" w:rsidRDefault="005125FE" w:rsidP="001B3C26">
      <w:pPr>
        <w:spacing w:after="160" w:line="259" w:lineRule="auto"/>
        <w:rPr>
          <w:rFonts w:ascii="Times New Roman" w:eastAsia="Calibri" w:hAnsi="Times New Roman"/>
          <w:lang w:eastAsia="en-US"/>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rPr>
        <w:t>considérants U</w:t>
      </w:r>
      <w:r>
        <w:rPr>
          <w:rFonts w:ascii="Times New Roman" w:hAnsi="Times New Roman"/>
        </w:rPr>
        <w:t xml:space="preserve"> à </w:t>
      </w:r>
      <w:r>
        <w:rPr>
          <w:rFonts w:ascii="Times New Roman" w:hAnsi="Times New Roman"/>
          <w:b/>
        </w:rPr>
        <w:t>X</w:t>
      </w:r>
      <w:r>
        <w:rPr>
          <w:rFonts w:ascii="Times New Roman" w:hAnsi="Times New Roman"/>
        </w:rPr>
        <w:t>), la Commission a présenté au Conseil et au Parlement, le 14 février 2017, une proposition visant à modifier le règlement (UE) nº 182/2011, changeant les règles de vote au sein du comité d’appel</w:t>
      </w:r>
      <w:r w:rsidR="001B3C26">
        <w:rPr>
          <w:rFonts w:ascii="Times New Roman" w:hAnsi="Times New Roman"/>
        </w:rPr>
        <w:t xml:space="preserve"> </w:t>
      </w:r>
      <w:r w:rsidR="001B3C26">
        <w:rPr>
          <w:rFonts w:ascii="Times New Roman" w:eastAsia="Calibri" w:hAnsi="Times New Roman"/>
          <w:lang w:eastAsia="en-US"/>
        </w:rPr>
        <w:t>p</w:t>
      </w:r>
      <w:r w:rsidR="001B3C26" w:rsidRPr="152C0082">
        <w:rPr>
          <w:rFonts w:ascii="Times New Roman" w:eastAsia="Calibri" w:hAnsi="Times New Roman"/>
          <w:lang w:eastAsia="en-US"/>
        </w:rPr>
        <w:t>our renforcer la transparence et l’obligation de rendre des comptes dans le processus décisionnel relatif aux OGM. Cependant, cette proposition n’a pas été adoptée par les colégislateurs. Au vu des circonstances, la Commission se doit d’appliquer les procédures prévues dans le règlement (UE) nº 182/2011 relatif à la comitologie et dans le règlement (CE) nº 1829/2003 concernant les denrées alimentaires et les aliments pour animaux génétiquement modifiés.</w:t>
      </w:r>
    </w:p>
    <w:p w14:paraId="0078C097" w14:textId="0CF9F408" w:rsidR="005125FE" w:rsidRPr="0074107D" w:rsidRDefault="005125FE" w:rsidP="005125FE">
      <w:pPr>
        <w:spacing w:after="120"/>
        <w:rPr>
          <w:rFonts w:ascii="Times New Roman" w:eastAsia="Calibri" w:hAnsi="Times New Roman"/>
          <w:szCs w:val="24"/>
        </w:rPr>
      </w:pPr>
      <w:r>
        <w:rPr>
          <w:rFonts w:ascii="Times New Roman" w:hAnsi="Times New Roman"/>
        </w:rPr>
        <w:t xml:space="preserve">. </w:t>
      </w:r>
    </w:p>
    <w:p w14:paraId="7C1FC158" w14:textId="77777777" w:rsidR="00562C22" w:rsidRPr="00D87DCF" w:rsidRDefault="00562C22">
      <w:pPr>
        <w:rPr>
          <w:lang w:val="fr-BE"/>
        </w:rPr>
      </w:pPr>
    </w:p>
    <w:sectPr w:rsidR="00562C22" w:rsidRPr="00D87D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4EA0" w14:textId="77777777" w:rsidR="00A700E5" w:rsidRDefault="00A700E5" w:rsidP="00B3302F">
      <w:pPr>
        <w:spacing w:after="0"/>
      </w:pPr>
      <w:r>
        <w:separator/>
      </w:r>
    </w:p>
  </w:endnote>
  <w:endnote w:type="continuationSeparator" w:id="0">
    <w:p w14:paraId="5066F36B" w14:textId="77777777" w:rsidR="00A700E5" w:rsidRDefault="00A700E5" w:rsidP="00B33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AF8" w14:textId="77777777" w:rsidR="00B3302F" w:rsidRDefault="00B3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032099"/>
      <w:docPartObj>
        <w:docPartGallery w:val="Page Numbers (Bottom of Page)"/>
        <w:docPartUnique/>
      </w:docPartObj>
    </w:sdtPr>
    <w:sdtEndPr>
      <w:rPr>
        <w:noProof/>
      </w:rPr>
    </w:sdtEndPr>
    <w:sdtContent>
      <w:p w14:paraId="25E6D2E4" w14:textId="28746B18" w:rsidR="00B3302F" w:rsidRDefault="00B3302F">
        <w:pPr>
          <w:pStyle w:val="Footer"/>
          <w:jc w:val="center"/>
        </w:pPr>
        <w:r>
          <w:fldChar w:fldCharType="begin"/>
        </w:r>
        <w:r>
          <w:instrText xml:space="preserve"> PAGE   \* MERGEFORMAT </w:instrText>
        </w:r>
        <w:r>
          <w:fldChar w:fldCharType="separate"/>
        </w:r>
        <w:r>
          <w:t>2</w:t>
        </w:r>
        <w:r>
          <w:fldChar w:fldCharType="end"/>
        </w:r>
      </w:p>
    </w:sdtContent>
  </w:sdt>
  <w:p w14:paraId="7E222CBF" w14:textId="77777777" w:rsidR="00B3302F" w:rsidRDefault="00B33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2A47" w14:textId="77777777" w:rsidR="00B3302F" w:rsidRDefault="00B3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EC88" w14:textId="77777777" w:rsidR="00A700E5" w:rsidRDefault="00A700E5" w:rsidP="00B3302F">
      <w:pPr>
        <w:spacing w:after="0"/>
      </w:pPr>
      <w:r>
        <w:separator/>
      </w:r>
    </w:p>
  </w:footnote>
  <w:footnote w:type="continuationSeparator" w:id="0">
    <w:p w14:paraId="58E61147" w14:textId="77777777" w:rsidR="00A700E5" w:rsidRDefault="00A700E5" w:rsidP="00B33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E16" w14:textId="77777777" w:rsidR="00B3302F" w:rsidRDefault="00B3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A999" w14:textId="77777777" w:rsidR="00B3302F" w:rsidRDefault="00B33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50BC" w14:textId="77777777" w:rsidR="00B3302F" w:rsidRDefault="00B3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8E3"/>
    <w:multiLevelType w:val="hybridMultilevel"/>
    <w:tmpl w:val="90EC124E"/>
    <w:lvl w:ilvl="0" w:tplc="85604D72">
      <w:start w:val="1"/>
      <w:numFmt w:val="bullet"/>
      <w:lvlText w:val=""/>
      <w:lvlJc w:val="left"/>
      <w:pPr>
        <w:ind w:left="720" w:hanging="360"/>
      </w:pPr>
      <w:rPr>
        <w:rFonts w:ascii="Symbol" w:hAnsi="Symbol"/>
      </w:rPr>
    </w:lvl>
    <w:lvl w:ilvl="1" w:tplc="A12A60A6">
      <w:start w:val="1"/>
      <w:numFmt w:val="bullet"/>
      <w:lvlText w:val=""/>
      <w:lvlJc w:val="left"/>
      <w:pPr>
        <w:ind w:left="720" w:hanging="360"/>
      </w:pPr>
      <w:rPr>
        <w:rFonts w:ascii="Symbol" w:hAnsi="Symbol"/>
      </w:rPr>
    </w:lvl>
    <w:lvl w:ilvl="2" w:tplc="48BE1B4A">
      <w:start w:val="1"/>
      <w:numFmt w:val="bullet"/>
      <w:lvlText w:val=""/>
      <w:lvlJc w:val="left"/>
      <w:pPr>
        <w:ind w:left="720" w:hanging="360"/>
      </w:pPr>
      <w:rPr>
        <w:rFonts w:ascii="Symbol" w:hAnsi="Symbol"/>
      </w:rPr>
    </w:lvl>
    <w:lvl w:ilvl="3" w:tplc="5A7EF1F4">
      <w:start w:val="1"/>
      <w:numFmt w:val="bullet"/>
      <w:lvlText w:val=""/>
      <w:lvlJc w:val="left"/>
      <w:pPr>
        <w:ind w:left="720" w:hanging="360"/>
      </w:pPr>
      <w:rPr>
        <w:rFonts w:ascii="Symbol" w:hAnsi="Symbol"/>
      </w:rPr>
    </w:lvl>
    <w:lvl w:ilvl="4" w:tplc="DBBA1D54">
      <w:start w:val="1"/>
      <w:numFmt w:val="bullet"/>
      <w:lvlText w:val=""/>
      <w:lvlJc w:val="left"/>
      <w:pPr>
        <w:ind w:left="720" w:hanging="360"/>
      </w:pPr>
      <w:rPr>
        <w:rFonts w:ascii="Symbol" w:hAnsi="Symbol"/>
      </w:rPr>
    </w:lvl>
    <w:lvl w:ilvl="5" w:tplc="8D30F442">
      <w:start w:val="1"/>
      <w:numFmt w:val="bullet"/>
      <w:lvlText w:val=""/>
      <w:lvlJc w:val="left"/>
      <w:pPr>
        <w:ind w:left="720" w:hanging="360"/>
      </w:pPr>
      <w:rPr>
        <w:rFonts w:ascii="Symbol" w:hAnsi="Symbol"/>
      </w:rPr>
    </w:lvl>
    <w:lvl w:ilvl="6" w:tplc="1C0A2394">
      <w:start w:val="1"/>
      <w:numFmt w:val="bullet"/>
      <w:lvlText w:val=""/>
      <w:lvlJc w:val="left"/>
      <w:pPr>
        <w:ind w:left="720" w:hanging="360"/>
      </w:pPr>
      <w:rPr>
        <w:rFonts w:ascii="Symbol" w:hAnsi="Symbol"/>
      </w:rPr>
    </w:lvl>
    <w:lvl w:ilvl="7" w:tplc="5B043D02">
      <w:start w:val="1"/>
      <w:numFmt w:val="bullet"/>
      <w:lvlText w:val=""/>
      <w:lvlJc w:val="left"/>
      <w:pPr>
        <w:ind w:left="720" w:hanging="360"/>
      </w:pPr>
      <w:rPr>
        <w:rFonts w:ascii="Symbol" w:hAnsi="Symbol"/>
      </w:rPr>
    </w:lvl>
    <w:lvl w:ilvl="8" w:tplc="E2B61090">
      <w:start w:val="1"/>
      <w:numFmt w:val="bullet"/>
      <w:lvlText w:val=""/>
      <w:lvlJc w:val="left"/>
      <w:pPr>
        <w:ind w:left="720" w:hanging="360"/>
      </w:pPr>
      <w:rPr>
        <w:rFonts w:ascii="Symbol" w:hAnsi="Symbol"/>
      </w:rPr>
    </w:lvl>
  </w:abstractNum>
  <w:abstractNum w:abstractNumId="1" w15:restartNumberingAfterBreak="0">
    <w:nsid w:val="66436DD7"/>
    <w:multiLevelType w:val="hybridMultilevel"/>
    <w:tmpl w:val="6DACED6C"/>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262109143">
    <w:abstractNumId w:val="1"/>
  </w:num>
  <w:num w:numId="4" w16cid:durableId="185422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64D3"/>
    <w:rsid w:val="000210D1"/>
    <w:rsid w:val="00026412"/>
    <w:rsid w:val="00032119"/>
    <w:rsid w:val="000A114D"/>
    <w:rsid w:val="000B6629"/>
    <w:rsid w:val="000B794A"/>
    <w:rsid w:val="000F5600"/>
    <w:rsid w:val="0011095E"/>
    <w:rsid w:val="00191574"/>
    <w:rsid w:val="001B3C26"/>
    <w:rsid w:val="001C31EB"/>
    <w:rsid w:val="00240C72"/>
    <w:rsid w:val="002536C2"/>
    <w:rsid w:val="00266E38"/>
    <w:rsid w:val="00290707"/>
    <w:rsid w:val="002958A3"/>
    <w:rsid w:val="002B024C"/>
    <w:rsid w:val="002B357B"/>
    <w:rsid w:val="002E1419"/>
    <w:rsid w:val="003A1CB2"/>
    <w:rsid w:val="003D482F"/>
    <w:rsid w:val="003F036B"/>
    <w:rsid w:val="00446377"/>
    <w:rsid w:val="00446422"/>
    <w:rsid w:val="00454563"/>
    <w:rsid w:val="00462C3D"/>
    <w:rsid w:val="004D1CCA"/>
    <w:rsid w:val="005125FE"/>
    <w:rsid w:val="005146FE"/>
    <w:rsid w:val="00561A22"/>
    <w:rsid w:val="00562C22"/>
    <w:rsid w:val="00574221"/>
    <w:rsid w:val="005815F0"/>
    <w:rsid w:val="005C7F87"/>
    <w:rsid w:val="00601136"/>
    <w:rsid w:val="0068500A"/>
    <w:rsid w:val="00730BAA"/>
    <w:rsid w:val="00776424"/>
    <w:rsid w:val="00780241"/>
    <w:rsid w:val="00796106"/>
    <w:rsid w:val="007B5F14"/>
    <w:rsid w:val="00814B41"/>
    <w:rsid w:val="00886F58"/>
    <w:rsid w:val="00894953"/>
    <w:rsid w:val="008D1483"/>
    <w:rsid w:val="008E6D54"/>
    <w:rsid w:val="009A0B97"/>
    <w:rsid w:val="009C08BA"/>
    <w:rsid w:val="009F27CC"/>
    <w:rsid w:val="00A103E7"/>
    <w:rsid w:val="00A32CA1"/>
    <w:rsid w:val="00A67628"/>
    <w:rsid w:val="00A700E5"/>
    <w:rsid w:val="00A945CA"/>
    <w:rsid w:val="00AE5D5F"/>
    <w:rsid w:val="00B15764"/>
    <w:rsid w:val="00B3302F"/>
    <w:rsid w:val="00B41972"/>
    <w:rsid w:val="00B76205"/>
    <w:rsid w:val="00B77967"/>
    <w:rsid w:val="00BC7399"/>
    <w:rsid w:val="00BF4C8D"/>
    <w:rsid w:val="00C127D5"/>
    <w:rsid w:val="00C12B8F"/>
    <w:rsid w:val="00C741DE"/>
    <w:rsid w:val="00C90C31"/>
    <w:rsid w:val="00CB65F2"/>
    <w:rsid w:val="00CC5440"/>
    <w:rsid w:val="00D015D1"/>
    <w:rsid w:val="00D036D1"/>
    <w:rsid w:val="00D529F7"/>
    <w:rsid w:val="00D87DCF"/>
    <w:rsid w:val="00DB46C0"/>
    <w:rsid w:val="00DC3365"/>
    <w:rsid w:val="00DF3206"/>
    <w:rsid w:val="00DF4C98"/>
    <w:rsid w:val="00E60DC7"/>
    <w:rsid w:val="00E9170A"/>
    <w:rsid w:val="00E91D3A"/>
    <w:rsid w:val="00E92CFB"/>
    <w:rsid w:val="00ED5513"/>
    <w:rsid w:val="00EF670A"/>
    <w:rsid w:val="00F062A0"/>
    <w:rsid w:val="00F241D5"/>
    <w:rsid w:val="00F45102"/>
    <w:rsid w:val="00F56941"/>
    <w:rsid w:val="00F7417B"/>
    <w:rsid w:val="00FE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customStyle="1" w:styleId="NormalHanging12a">
    <w:name w:val="NormalHanging12a"/>
    <w:basedOn w:val="Normal"/>
    <w:rsid w:val="00462C3D"/>
    <w:pPr>
      <w:widowControl w:val="0"/>
      <w:ind w:left="567" w:hanging="567"/>
      <w:jc w:val="left"/>
    </w:pPr>
    <w:rPr>
      <w:rFonts w:ascii="Times New Roman" w:hAnsi="Times New Roman"/>
    </w:rPr>
  </w:style>
  <w:style w:type="paragraph" w:styleId="Revision">
    <w:name w:val="Revision"/>
    <w:hidden/>
    <w:uiPriority w:val="99"/>
    <w:semiHidden/>
    <w:rsid w:val="00A945CA"/>
    <w:pPr>
      <w:spacing w:after="0" w:line="240" w:lineRule="auto"/>
    </w:pPr>
    <w:rPr>
      <w:rFonts w:ascii="Courier New" w:eastAsia="Times New Roman" w:hAnsi="Courier New" w:cs="Times New Roman"/>
      <w:kern w:val="0"/>
      <w:sz w:val="24"/>
      <w:szCs w:val="20"/>
      <w:lang w:eastAsia="en-GB"/>
      <w14:ligatures w14:val="none"/>
    </w:rPr>
  </w:style>
  <w:style w:type="paragraph" w:customStyle="1" w:styleId="Text1">
    <w:name w:val="Text 1"/>
    <w:basedOn w:val="Normal"/>
    <w:rsid w:val="002958A3"/>
    <w:pPr>
      <w:ind w:left="482"/>
    </w:pPr>
    <w:rPr>
      <w:rFonts w:ascii="Times New Roman" w:hAnsi="Times New Roman"/>
      <w:lang w:eastAsia="en-US"/>
    </w:rPr>
  </w:style>
  <w:style w:type="paragraph" w:styleId="NoSpacing">
    <w:name w:val="No Spacing"/>
    <w:basedOn w:val="Normal"/>
    <w:uiPriority w:val="1"/>
    <w:qFormat/>
    <w:rsid w:val="00A32CA1"/>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B3302F"/>
    <w:pPr>
      <w:tabs>
        <w:tab w:val="center" w:pos="4513"/>
        <w:tab w:val="right" w:pos="9026"/>
      </w:tabs>
      <w:spacing w:after="0"/>
    </w:pPr>
  </w:style>
  <w:style w:type="character" w:customStyle="1" w:styleId="HeaderChar">
    <w:name w:val="Header Char"/>
    <w:basedOn w:val="DefaultParagraphFont"/>
    <w:link w:val="Header"/>
    <w:uiPriority w:val="99"/>
    <w:rsid w:val="00B3302F"/>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B3302F"/>
    <w:pPr>
      <w:tabs>
        <w:tab w:val="center" w:pos="4513"/>
        <w:tab w:val="right" w:pos="9026"/>
      </w:tabs>
      <w:spacing w:after="0"/>
    </w:pPr>
  </w:style>
  <w:style w:type="character" w:customStyle="1" w:styleId="FooterChar">
    <w:name w:val="Footer Char"/>
    <w:basedOn w:val="DefaultParagraphFont"/>
    <w:link w:val="Footer"/>
    <w:uiPriority w:val="99"/>
    <w:rsid w:val="00B3302F"/>
    <w:rPr>
      <w:rFonts w:ascii="Courier New" w:eastAsia="Times New Roman" w:hAnsi="Courier New" w:cs="Times New Roman"/>
      <w:kern w:val="0"/>
      <w:sz w:val="24"/>
      <w:szCs w:val="2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E94A6-F179-4FAE-9196-F09A721A45F3}">
  <ds:schemaRefs>
    <ds:schemaRef ds:uri="http://schemas.microsoft.com/sharepoint/v3/contenttype/forms"/>
  </ds:schemaRefs>
</ds:datastoreItem>
</file>

<file path=customXml/itemProps2.xml><?xml version="1.0" encoding="utf-8"?>
<ds:datastoreItem xmlns:ds="http://schemas.openxmlformats.org/officeDocument/2006/customXml" ds:itemID="{A8B66F39-CE6A-44D6-8AD8-3794437D1D33}">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099EC8ED-7236-4C06-ADB1-5F887995B838}">
  <ds:schemaRefs>
    <ds:schemaRef ds:uri="http://schemas.openxmlformats.org/officeDocument/2006/bibliography"/>
  </ds:schemaRefs>
</ds:datastoreItem>
</file>

<file path=customXml/itemProps4.xml><?xml version="1.0" encoding="utf-8"?>
<ds:datastoreItem xmlns:ds="http://schemas.openxmlformats.org/officeDocument/2006/customXml" ds:itemID="{64CAAD48-63F7-4293-8920-D10DC181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2085</Words>
  <Characters>10741</Characters>
  <Application>Microsoft Office Word</Application>
  <DocSecurity>0</DocSecurity>
  <Lines>228</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ARCARESE Tiziana (SG)</cp:lastModifiedBy>
  <cp:revision>5</cp:revision>
  <cp:lastPrinted>2024-12-06T08:40:00Z</cp:lastPrinted>
  <dcterms:created xsi:type="dcterms:W3CDTF">2025-03-13T14:33:00Z</dcterms:created>
  <dcterms:modified xsi:type="dcterms:W3CDTF">2025-04-08T08:18:00Z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