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07BE6" w14:textId="233037CC" w:rsidR="00855105" w:rsidRPr="00FD0655" w:rsidRDefault="00855105" w:rsidP="00EF39F3">
      <w:pPr>
        <w:autoSpaceDE w:val="0"/>
        <w:autoSpaceDN w:val="0"/>
        <w:adjustRightInd w:val="0"/>
        <w:spacing w:after="600"/>
        <w:jc w:val="center"/>
        <w:rPr>
          <w:b/>
          <w:lang w:val="en-GB"/>
        </w:rPr>
      </w:pPr>
      <w:r w:rsidRPr="00437F0D">
        <w:rPr>
          <w:b/>
          <w:lang w:val="en-GB"/>
        </w:rPr>
        <w:t>Follow up to the European Parliam</w:t>
      </w:r>
      <w:r w:rsidRPr="00FD0655">
        <w:rPr>
          <w:b/>
          <w:lang w:val="en-GB"/>
        </w:rPr>
        <w:t xml:space="preserve">ent non-legislative resolution on the </w:t>
      </w:r>
      <w:r w:rsidR="00844506" w:rsidRPr="00FD0655">
        <w:rPr>
          <w:b/>
          <w:lang w:val="en-GB"/>
        </w:rPr>
        <w:t>Commission decision</w:t>
      </w:r>
      <w:r w:rsidRPr="00844506">
        <w:rPr>
          <w:b/>
          <w:lang w:val="en-GB"/>
        </w:rPr>
        <w:t xml:space="preserve"> </w:t>
      </w:r>
      <w:r w:rsidR="001B5B28" w:rsidRPr="00844506">
        <w:rPr>
          <w:b/>
          <w:lang w:val="en-GB"/>
        </w:rPr>
        <w:t>(EU) 2024/</w:t>
      </w:r>
      <w:r w:rsidR="00B11727">
        <w:rPr>
          <w:b/>
          <w:lang w:val="en-GB"/>
        </w:rPr>
        <w:t>18</w:t>
      </w:r>
      <w:r w:rsidR="001B5B28" w:rsidRPr="00844506">
        <w:rPr>
          <w:b/>
          <w:lang w:val="en-GB"/>
        </w:rPr>
        <w:t>28</w:t>
      </w:r>
      <w:r w:rsidR="001B5B28">
        <w:rPr>
          <w:b/>
          <w:lang w:val="en-GB"/>
        </w:rPr>
        <w:t xml:space="preserve"> </w:t>
      </w:r>
      <w:r w:rsidR="00FB1260">
        <w:rPr>
          <w:b/>
          <w:lang w:val="en-GB"/>
        </w:rPr>
        <w:t xml:space="preserve">renewing the authorisation for </w:t>
      </w:r>
      <w:r w:rsidRPr="00FD0655">
        <w:rPr>
          <w:b/>
          <w:lang w:val="en-GB"/>
        </w:rPr>
        <w:t xml:space="preserve">the placing on the market of products containing, consisting of or produced from genetically modified </w:t>
      </w:r>
      <w:r w:rsidR="00471A88">
        <w:rPr>
          <w:b/>
          <w:lang w:val="en-GB"/>
        </w:rPr>
        <w:t xml:space="preserve">maize </w:t>
      </w:r>
      <w:r w:rsidR="00471A88" w:rsidRPr="00471A88">
        <w:rPr>
          <w:b/>
          <w:lang w:val="en-GB"/>
        </w:rPr>
        <w:t>MON 8</w:t>
      </w:r>
      <w:r w:rsidR="00B11727">
        <w:rPr>
          <w:b/>
          <w:lang w:val="en-GB"/>
        </w:rPr>
        <w:t>10</w:t>
      </w:r>
      <w:r w:rsidRPr="00FD0655">
        <w:rPr>
          <w:b/>
          <w:lang w:val="en-GB"/>
        </w:rPr>
        <w:t>, pursuant to Regulation (EC) No 1829/2003 of the European Parliament and of the Council</w:t>
      </w:r>
    </w:p>
    <w:p w14:paraId="17D83436" w14:textId="7684DF8F" w:rsidR="008F2E79" w:rsidRPr="00FD0655" w:rsidRDefault="008F2E79" w:rsidP="00EF39F3">
      <w:pPr>
        <w:spacing w:after="240"/>
        <w:ind w:left="720" w:hanging="720"/>
        <w:rPr>
          <w:b/>
          <w:lang w:val="en-IE"/>
        </w:rPr>
      </w:pPr>
      <w:r w:rsidRPr="00FD0655">
        <w:rPr>
          <w:b/>
          <w:lang w:val="en-IE"/>
        </w:rPr>
        <w:t>1.</w:t>
      </w:r>
      <w:r w:rsidRPr="00FD0655">
        <w:rPr>
          <w:b/>
          <w:lang w:val="en-IE"/>
        </w:rPr>
        <w:tab/>
        <w:t>Resolution tabled pursuant to Rules 11</w:t>
      </w:r>
      <w:r w:rsidR="005F50A5">
        <w:rPr>
          <w:b/>
          <w:lang w:val="en-IE"/>
        </w:rPr>
        <w:t>5</w:t>
      </w:r>
      <w:r w:rsidRPr="00FD0655">
        <w:rPr>
          <w:b/>
          <w:lang w:val="en-IE"/>
        </w:rPr>
        <w:t>(2) and (3) of the European Parliament’s Rules of procedure</w:t>
      </w:r>
    </w:p>
    <w:p w14:paraId="5C57B131" w14:textId="018BE53E" w:rsidR="008F2E79" w:rsidRPr="00801807" w:rsidRDefault="008F2E79" w:rsidP="00A047CB">
      <w:pPr>
        <w:spacing w:after="240"/>
        <w:ind w:left="720" w:hanging="720"/>
      </w:pPr>
      <w:r w:rsidRPr="00801807">
        <w:rPr>
          <w:b/>
          <w:bCs/>
        </w:rPr>
        <w:t>2.</w:t>
      </w:r>
      <w:r>
        <w:tab/>
      </w:r>
      <w:r w:rsidRPr="00801807">
        <w:rPr>
          <w:b/>
          <w:bCs/>
        </w:rPr>
        <w:t>Reference</w:t>
      </w:r>
      <w:r w:rsidR="000547F6" w:rsidRPr="00801807">
        <w:rPr>
          <w:b/>
          <w:bCs/>
        </w:rPr>
        <w:t>s</w:t>
      </w:r>
      <w:r w:rsidRPr="00801807">
        <w:rPr>
          <w:b/>
          <w:bCs/>
        </w:rPr>
        <w:t>:</w:t>
      </w:r>
      <w:r w:rsidRPr="00801807">
        <w:t xml:space="preserve"> </w:t>
      </w:r>
      <w:r w:rsidR="001B5B28" w:rsidRPr="00801807">
        <w:t>2024/28</w:t>
      </w:r>
      <w:r w:rsidR="00B11727" w:rsidRPr="00801807">
        <w:t>40</w:t>
      </w:r>
      <w:r w:rsidR="001B5B28" w:rsidRPr="00801807">
        <w:t>(RSP)</w:t>
      </w:r>
      <w:r w:rsidR="00C51014" w:rsidRPr="00801807">
        <w:t xml:space="preserve"> </w:t>
      </w:r>
      <w:r w:rsidR="001B5B28" w:rsidRPr="00801807">
        <w:t>/</w:t>
      </w:r>
      <w:r w:rsidR="00C51014" w:rsidRPr="00801807">
        <w:t xml:space="preserve"> </w:t>
      </w:r>
      <w:r w:rsidR="00A047CB" w:rsidRPr="00801807">
        <w:t>B10-0146/2024</w:t>
      </w:r>
      <w:r w:rsidR="00C51014" w:rsidRPr="00801807">
        <w:t xml:space="preserve"> </w:t>
      </w:r>
      <w:r w:rsidR="00FF48EB" w:rsidRPr="00801807">
        <w:t>/</w:t>
      </w:r>
      <w:r w:rsidR="00E20FD4" w:rsidRPr="00801807">
        <w:t xml:space="preserve"> </w:t>
      </w:r>
      <w:r w:rsidR="001B5B28" w:rsidRPr="00801807">
        <w:t>P10_TA(2024)00</w:t>
      </w:r>
      <w:r w:rsidR="00B11727" w:rsidRPr="00801807">
        <w:t>41</w:t>
      </w:r>
    </w:p>
    <w:p w14:paraId="2B3579C5" w14:textId="085CDE05" w:rsidR="008F2E79" w:rsidRPr="00FD0655" w:rsidRDefault="008F2E79" w:rsidP="00EF39F3">
      <w:pPr>
        <w:spacing w:after="240"/>
        <w:ind w:left="720" w:hanging="720"/>
        <w:rPr>
          <w:lang w:val="en-IE"/>
        </w:rPr>
      </w:pPr>
      <w:r w:rsidRPr="00FD0655">
        <w:rPr>
          <w:b/>
          <w:lang w:val="en-IE"/>
        </w:rPr>
        <w:t>3.</w:t>
      </w:r>
      <w:r w:rsidRPr="00FD0655">
        <w:rPr>
          <w:b/>
          <w:lang w:val="en-IE"/>
        </w:rPr>
        <w:tab/>
        <w:t>Date of adoption of the resolution:</w:t>
      </w:r>
      <w:r w:rsidR="00471A88">
        <w:rPr>
          <w:b/>
          <w:lang w:val="en-IE"/>
        </w:rPr>
        <w:t xml:space="preserve"> </w:t>
      </w:r>
      <w:r w:rsidR="00471A88" w:rsidRPr="001B5B28">
        <w:rPr>
          <w:bCs/>
          <w:lang w:val="en-IE"/>
        </w:rPr>
        <w:t>26</w:t>
      </w:r>
      <w:r w:rsidR="00C921E5">
        <w:rPr>
          <w:b/>
          <w:lang w:val="en-IE"/>
        </w:rPr>
        <w:t xml:space="preserve"> </w:t>
      </w:r>
      <w:r w:rsidR="00471A88">
        <w:rPr>
          <w:bCs/>
          <w:lang w:val="en-IE"/>
        </w:rPr>
        <w:t xml:space="preserve">November </w:t>
      </w:r>
      <w:r w:rsidR="006A38BB" w:rsidRPr="00FD0655">
        <w:rPr>
          <w:lang w:val="en-IE"/>
        </w:rPr>
        <w:t>202</w:t>
      </w:r>
      <w:r w:rsidR="00C921E5">
        <w:rPr>
          <w:lang w:val="en-IE"/>
        </w:rPr>
        <w:t>4</w:t>
      </w:r>
    </w:p>
    <w:p w14:paraId="3D8D53A8" w14:textId="146179D9" w:rsidR="008F2E79" w:rsidRPr="00FD0655" w:rsidRDefault="008F2E79" w:rsidP="00EF39F3">
      <w:pPr>
        <w:spacing w:after="240"/>
        <w:ind w:left="720" w:hanging="720"/>
        <w:rPr>
          <w:lang w:val="en-IE"/>
        </w:rPr>
      </w:pPr>
      <w:r w:rsidRPr="00FD0655">
        <w:rPr>
          <w:b/>
          <w:lang w:val="en-IE"/>
        </w:rPr>
        <w:t>4.</w:t>
      </w:r>
      <w:r w:rsidRPr="00FD0655">
        <w:rPr>
          <w:b/>
          <w:lang w:val="en-IE"/>
        </w:rPr>
        <w:tab/>
        <w:t>Competent Parliamentary Committee:</w:t>
      </w:r>
      <w:r w:rsidRPr="00FD0655">
        <w:rPr>
          <w:lang w:val="en-IE"/>
        </w:rPr>
        <w:t xml:space="preserve"> Committee on</w:t>
      </w:r>
      <w:r w:rsidR="00EA0DA8">
        <w:rPr>
          <w:lang w:val="en-IE"/>
        </w:rPr>
        <w:t xml:space="preserve"> </w:t>
      </w:r>
      <w:r w:rsidR="00EA0DA8" w:rsidRPr="00EA0DA8">
        <w:rPr>
          <w:lang w:val="en-IE"/>
        </w:rPr>
        <w:t>the Environment, Climate and Food Safety</w:t>
      </w:r>
      <w:r w:rsidRPr="00FD0655">
        <w:rPr>
          <w:lang w:val="en-IE"/>
        </w:rPr>
        <w:t xml:space="preserve"> (ENVI)</w:t>
      </w:r>
    </w:p>
    <w:p w14:paraId="71CF2CBE" w14:textId="77777777" w:rsidR="008F2E79" w:rsidRPr="00FD0655" w:rsidRDefault="008F2E79" w:rsidP="00EF39F3">
      <w:pPr>
        <w:spacing w:after="240"/>
        <w:ind w:left="720" w:hanging="720"/>
        <w:rPr>
          <w:b/>
          <w:lang w:val="en-IE"/>
        </w:rPr>
      </w:pPr>
      <w:r w:rsidRPr="00FD0655">
        <w:rPr>
          <w:b/>
          <w:lang w:val="en-IE"/>
        </w:rPr>
        <w:t>5.</w:t>
      </w:r>
      <w:r w:rsidRPr="00FD0655">
        <w:rPr>
          <w:b/>
          <w:lang w:val="en-IE"/>
        </w:rPr>
        <w:tab/>
        <w:t>Brief analysis/assessment of the resolution and requests made in it:</w:t>
      </w:r>
    </w:p>
    <w:p w14:paraId="4C873221" w14:textId="3B060749" w:rsidR="008451E3" w:rsidRPr="0074107D" w:rsidRDefault="008451E3" w:rsidP="008451E3">
      <w:pPr>
        <w:spacing w:after="120"/>
        <w:rPr>
          <w:rFonts w:eastAsia="Calibri"/>
          <w:szCs w:val="24"/>
          <w:lang w:val="en-IE"/>
        </w:rPr>
      </w:pPr>
      <w:r w:rsidRPr="0074107D">
        <w:rPr>
          <w:rFonts w:eastAsia="Calibri"/>
          <w:szCs w:val="24"/>
          <w:lang w:val="en-IE"/>
        </w:rPr>
        <w:t>The resolution calls</w:t>
      </w:r>
      <w:r>
        <w:rPr>
          <w:rFonts w:eastAsia="Calibri"/>
          <w:szCs w:val="24"/>
          <w:lang w:val="en-IE"/>
        </w:rPr>
        <w:t xml:space="preserve"> </w:t>
      </w:r>
      <w:r w:rsidR="00D42686">
        <w:rPr>
          <w:rFonts w:eastAsia="Calibri"/>
          <w:szCs w:val="24"/>
          <w:lang w:val="en-IE"/>
        </w:rPr>
        <w:t>on the Commission</w:t>
      </w:r>
      <w:r w:rsidR="00B91A09">
        <w:rPr>
          <w:rFonts w:eastAsia="Calibri"/>
          <w:szCs w:val="24"/>
          <w:lang w:val="en-IE"/>
        </w:rPr>
        <w:t xml:space="preserve"> </w:t>
      </w:r>
      <w:r>
        <w:rPr>
          <w:rFonts w:eastAsia="Calibri"/>
          <w:szCs w:val="24"/>
          <w:lang w:val="en-IE"/>
        </w:rPr>
        <w:t xml:space="preserve">to repeal </w:t>
      </w:r>
      <w:r w:rsidRPr="0074107D">
        <w:rPr>
          <w:rFonts w:eastAsia="Calibri"/>
          <w:szCs w:val="24"/>
          <w:lang w:val="en-IE"/>
        </w:rPr>
        <w:t>the Commission implementing decision (</w:t>
      </w:r>
      <w:r w:rsidRPr="0074107D">
        <w:rPr>
          <w:rFonts w:eastAsia="Calibri"/>
          <w:b/>
          <w:szCs w:val="24"/>
          <w:lang w:val="en-IE"/>
        </w:rPr>
        <w:t xml:space="preserve">paragraph </w:t>
      </w:r>
      <w:r w:rsidR="00B11727">
        <w:rPr>
          <w:rFonts w:eastAsia="Calibri"/>
          <w:b/>
          <w:szCs w:val="24"/>
          <w:lang w:val="en-IE"/>
        </w:rPr>
        <w:t>3</w:t>
      </w:r>
      <w:r w:rsidRPr="0074107D">
        <w:rPr>
          <w:rFonts w:eastAsia="Calibri"/>
          <w:szCs w:val="24"/>
          <w:lang w:val="en-IE"/>
        </w:rPr>
        <w:t xml:space="preserve">) on the grounds that it exceeds the implementing powers provided for in </w:t>
      </w:r>
      <w:r w:rsidR="00D42686">
        <w:rPr>
          <w:rFonts w:eastAsia="Calibri"/>
          <w:szCs w:val="24"/>
          <w:lang w:val="en-IE"/>
        </w:rPr>
        <w:t>R</w:t>
      </w:r>
      <w:r w:rsidRPr="0074107D">
        <w:rPr>
          <w:rFonts w:eastAsia="Calibri"/>
          <w:szCs w:val="24"/>
          <w:lang w:val="en-IE"/>
        </w:rPr>
        <w:t>egulation (EC) No 1829/2003 (</w:t>
      </w:r>
      <w:r w:rsidRPr="0074107D">
        <w:rPr>
          <w:rFonts w:eastAsia="Calibri"/>
          <w:b/>
          <w:szCs w:val="24"/>
          <w:lang w:val="en-IE"/>
        </w:rPr>
        <w:t>paragraph 1</w:t>
      </w:r>
      <w:r w:rsidRPr="0074107D">
        <w:rPr>
          <w:rFonts w:eastAsia="Calibri"/>
          <w:szCs w:val="24"/>
          <w:lang w:val="en-IE"/>
        </w:rPr>
        <w:t>) and that it is not compatible with the aim of that regulation and the general principles of Regulation (EC) No 178/2002, i.e. the protection of human life and health, animal health and welfare, the environment and consumer interests (</w:t>
      </w:r>
      <w:r w:rsidRPr="0074107D">
        <w:rPr>
          <w:rFonts w:eastAsia="Calibri"/>
          <w:b/>
          <w:szCs w:val="24"/>
          <w:lang w:val="en-IE"/>
        </w:rPr>
        <w:t>paragraph 2</w:t>
      </w:r>
      <w:r w:rsidRPr="0074107D">
        <w:rPr>
          <w:rFonts w:eastAsia="Calibri"/>
          <w:szCs w:val="24"/>
          <w:lang w:val="en-IE"/>
        </w:rPr>
        <w:t>).</w:t>
      </w:r>
    </w:p>
    <w:p w14:paraId="0D4BC4F2" w14:textId="7DCFABF7" w:rsidR="002D3DE5" w:rsidRDefault="002D3DE5" w:rsidP="002D3DE5">
      <w:pPr>
        <w:pStyle w:val="Text1"/>
        <w:spacing w:after="180"/>
        <w:ind w:left="0"/>
        <w:rPr>
          <w:color w:val="000000"/>
          <w:lang w:val="en-IE"/>
        </w:rPr>
      </w:pPr>
      <w:r>
        <w:rPr>
          <w:color w:val="000000"/>
        </w:rPr>
        <w:t xml:space="preserve">The resolution raise </w:t>
      </w:r>
      <w:r>
        <w:rPr>
          <w:color w:val="000000"/>
          <w:lang w:val="en-IE"/>
        </w:rPr>
        <w:t xml:space="preserve">questions on the safety of the authorisation of the insecticidal </w:t>
      </w:r>
      <w:r>
        <w:rPr>
          <w:i/>
          <w:color w:val="000000"/>
          <w:lang w:val="en-IE"/>
        </w:rPr>
        <w:t>Bt</w:t>
      </w:r>
      <w:r>
        <w:rPr>
          <w:color w:val="000000"/>
          <w:lang w:val="en-IE"/>
        </w:rPr>
        <w:t xml:space="preserve"> toxins (</w:t>
      </w:r>
      <w:r w:rsidRPr="00A047CB">
        <w:rPr>
          <w:b/>
          <w:bCs/>
          <w:color w:val="000000"/>
          <w:lang w:val="en-IE"/>
        </w:rPr>
        <w:t xml:space="preserve">recital </w:t>
      </w:r>
      <w:r w:rsidR="00B11727">
        <w:rPr>
          <w:b/>
          <w:bCs/>
          <w:color w:val="000000"/>
          <w:lang w:val="en-IE"/>
        </w:rPr>
        <w:t>D</w:t>
      </w:r>
      <w:r>
        <w:rPr>
          <w:color w:val="000000"/>
          <w:lang w:val="en-IE"/>
        </w:rPr>
        <w:t xml:space="preserve">) and </w:t>
      </w:r>
      <w:r>
        <w:rPr>
          <w:i/>
          <w:color w:val="000000"/>
          <w:lang w:val="en-IE"/>
        </w:rPr>
        <w:t>Bt</w:t>
      </w:r>
      <w:r>
        <w:rPr>
          <w:color w:val="000000"/>
          <w:lang w:val="en-IE"/>
        </w:rPr>
        <w:t xml:space="preserve"> crops, with specific concerns for their potential adverse effects on non-target organisms (</w:t>
      </w:r>
      <w:r w:rsidRPr="00A047CB">
        <w:rPr>
          <w:b/>
          <w:bCs/>
          <w:color w:val="000000"/>
          <w:lang w:val="en-IE"/>
        </w:rPr>
        <w:t>recital</w:t>
      </w:r>
      <w:r w:rsidR="00B11727" w:rsidRPr="00A047CB">
        <w:rPr>
          <w:b/>
          <w:bCs/>
          <w:color w:val="000000"/>
          <w:lang w:val="en-IE"/>
        </w:rPr>
        <w:t>s</w:t>
      </w:r>
      <w:r w:rsidRPr="00A047CB">
        <w:rPr>
          <w:b/>
          <w:bCs/>
          <w:color w:val="000000"/>
          <w:lang w:val="en-IE"/>
        </w:rPr>
        <w:t xml:space="preserve"> </w:t>
      </w:r>
      <w:r w:rsidR="00B11727">
        <w:rPr>
          <w:b/>
          <w:bCs/>
          <w:color w:val="000000"/>
          <w:lang w:val="en-IE"/>
        </w:rPr>
        <w:t xml:space="preserve">E </w:t>
      </w:r>
      <w:r>
        <w:rPr>
          <w:color w:val="000000"/>
          <w:lang w:val="en-IE"/>
        </w:rPr>
        <w:t xml:space="preserve">and </w:t>
      </w:r>
      <w:r w:rsidR="00B11727">
        <w:rPr>
          <w:b/>
          <w:bCs/>
          <w:color w:val="000000"/>
          <w:lang w:val="en-IE"/>
        </w:rPr>
        <w:t>F</w:t>
      </w:r>
      <w:r w:rsidRPr="002D3DE5">
        <w:rPr>
          <w:b/>
          <w:bCs/>
          <w:color w:val="000000"/>
          <w:lang w:val="en-IE"/>
        </w:rPr>
        <w:t>)</w:t>
      </w:r>
      <w:r w:rsidRPr="00FA7B4F">
        <w:rPr>
          <w:color w:val="000000"/>
          <w:lang w:val="en-IE"/>
        </w:rPr>
        <w:t>.</w:t>
      </w:r>
    </w:p>
    <w:p w14:paraId="56663615" w14:textId="7AA70CC0" w:rsidR="008451E3" w:rsidRDefault="008451E3" w:rsidP="008451E3">
      <w:pPr>
        <w:spacing w:after="120"/>
        <w:rPr>
          <w:rFonts w:eastAsia="Calibri"/>
          <w:szCs w:val="24"/>
          <w:lang w:val="en-IE"/>
        </w:rPr>
      </w:pPr>
      <w:r w:rsidRPr="0074107D">
        <w:rPr>
          <w:rFonts w:eastAsia="Calibri"/>
          <w:szCs w:val="24"/>
          <w:lang w:val="en-IE"/>
        </w:rPr>
        <w:t>The resolution welcomes that the Commission recognises the need to take sustainability into account for the authorisation of genetically modified organisms (GMOs) and expresses its disappointment that the Commission proceeds with GMO authorisations for import despite ongoing European Parliament objections and in the absence of a qualified majority of Member States voting in favour (</w:t>
      </w:r>
      <w:r w:rsidRPr="0074107D">
        <w:rPr>
          <w:rFonts w:eastAsia="Calibri"/>
          <w:b/>
          <w:bCs/>
          <w:szCs w:val="24"/>
          <w:lang w:val="en-IE"/>
        </w:rPr>
        <w:t xml:space="preserve">paragraph </w:t>
      </w:r>
      <w:r w:rsidR="00B11727">
        <w:rPr>
          <w:rFonts w:eastAsia="Calibri"/>
          <w:b/>
          <w:bCs/>
          <w:szCs w:val="24"/>
          <w:lang w:val="en-IE"/>
        </w:rPr>
        <w:t>4</w:t>
      </w:r>
      <w:r w:rsidRPr="0074107D">
        <w:rPr>
          <w:rFonts w:eastAsia="Calibri"/>
          <w:szCs w:val="24"/>
          <w:lang w:val="en-IE"/>
        </w:rPr>
        <w:t>).</w:t>
      </w:r>
    </w:p>
    <w:p w14:paraId="0284902E" w14:textId="51B975D2" w:rsidR="00F15E26" w:rsidRPr="0074107D" w:rsidRDefault="00F15E26" w:rsidP="008451E3">
      <w:pPr>
        <w:spacing w:after="120"/>
        <w:rPr>
          <w:rFonts w:eastAsia="Calibri"/>
          <w:szCs w:val="24"/>
          <w:lang w:val="en-IE"/>
        </w:rPr>
      </w:pPr>
      <w:r w:rsidRPr="00F15E26">
        <w:rPr>
          <w:rFonts w:eastAsia="Calibri"/>
          <w:szCs w:val="24"/>
          <w:lang w:val="en-IE"/>
        </w:rPr>
        <w:t xml:space="preserve">The resolution refers to the need to reduce dependency </w:t>
      </w:r>
      <w:r w:rsidR="00226FD6">
        <w:rPr>
          <w:rFonts w:eastAsia="Calibri"/>
          <w:szCs w:val="24"/>
          <w:lang w:val="en-IE"/>
        </w:rPr>
        <w:t>on</w:t>
      </w:r>
      <w:r w:rsidRPr="00F15E26">
        <w:rPr>
          <w:rFonts w:eastAsia="Calibri"/>
          <w:szCs w:val="24"/>
          <w:lang w:val="en-IE"/>
        </w:rPr>
        <w:t xml:space="preserve"> imported feed (</w:t>
      </w:r>
      <w:r w:rsidRPr="00F15E26">
        <w:rPr>
          <w:rFonts w:eastAsia="Calibri"/>
          <w:b/>
          <w:bCs/>
          <w:szCs w:val="24"/>
          <w:lang w:val="en-IE"/>
        </w:rPr>
        <w:t>recital I</w:t>
      </w:r>
      <w:r w:rsidRPr="00F15E26">
        <w:rPr>
          <w:rFonts w:eastAsia="Calibri"/>
          <w:szCs w:val="24"/>
          <w:lang w:val="en-IE"/>
        </w:rPr>
        <w:t>).</w:t>
      </w:r>
    </w:p>
    <w:p w14:paraId="2A35AD21" w14:textId="19774C63" w:rsidR="008451E3" w:rsidRPr="0074107D" w:rsidRDefault="008451E3" w:rsidP="008451E3">
      <w:pPr>
        <w:spacing w:after="120"/>
        <w:rPr>
          <w:rFonts w:eastAsia="Calibri"/>
          <w:szCs w:val="24"/>
          <w:lang w:val="en-IE"/>
        </w:rPr>
      </w:pPr>
      <w:r w:rsidRPr="0074107D">
        <w:rPr>
          <w:rFonts w:eastAsia="Calibri"/>
          <w:szCs w:val="24"/>
          <w:lang w:val="en-IE"/>
        </w:rPr>
        <w:t>The resolution urges the Commission to consider the E</w:t>
      </w:r>
      <w:r w:rsidR="00FA7B4F">
        <w:rPr>
          <w:rFonts w:eastAsia="Calibri"/>
          <w:szCs w:val="24"/>
          <w:lang w:val="en-IE"/>
        </w:rPr>
        <w:t xml:space="preserve">uropean Union’s (EU) </w:t>
      </w:r>
      <w:r w:rsidRPr="0074107D">
        <w:rPr>
          <w:rFonts w:eastAsia="Calibri"/>
          <w:szCs w:val="24"/>
          <w:lang w:val="en-IE"/>
        </w:rPr>
        <w:t>obligations under international agreements, such as the Paris Climate Agreement, the United Nations (UN) Convention on Biological Diversity and the UN Sustainable Development Goals</w:t>
      </w:r>
      <w:r w:rsidR="000A0779">
        <w:rPr>
          <w:rFonts w:eastAsia="Calibri"/>
          <w:szCs w:val="24"/>
          <w:lang w:val="en-IE"/>
        </w:rPr>
        <w:t xml:space="preserve"> and</w:t>
      </w:r>
      <w:r w:rsidR="000A0779" w:rsidRPr="00E27506">
        <w:rPr>
          <w:rFonts w:eastAsia="Calibri"/>
          <w:szCs w:val="24"/>
          <w:lang w:val="en-IE"/>
        </w:rPr>
        <w:t xml:space="preserve"> calls on the Commission to deliver on a proposal to ensure that hazardous chemicals banned in the EU are not produced for export</w:t>
      </w:r>
      <w:r w:rsidRPr="0074107D">
        <w:rPr>
          <w:rFonts w:eastAsia="Calibri"/>
          <w:szCs w:val="24"/>
          <w:lang w:val="en-IE"/>
        </w:rPr>
        <w:t xml:space="preserve"> (</w:t>
      </w:r>
      <w:r w:rsidRPr="0074107D">
        <w:rPr>
          <w:rFonts w:eastAsia="Calibri"/>
          <w:b/>
          <w:bCs/>
          <w:szCs w:val="24"/>
          <w:lang w:val="en-IE"/>
        </w:rPr>
        <w:t>paragraph</w:t>
      </w:r>
      <w:r w:rsidR="00B11727">
        <w:rPr>
          <w:rFonts w:eastAsia="Calibri"/>
          <w:b/>
          <w:bCs/>
          <w:szCs w:val="24"/>
          <w:lang w:val="en-IE"/>
        </w:rPr>
        <w:t xml:space="preserve"> 5</w:t>
      </w:r>
      <w:r w:rsidRPr="0074107D">
        <w:rPr>
          <w:rFonts w:eastAsia="Calibri"/>
          <w:szCs w:val="24"/>
          <w:lang w:val="en-IE"/>
        </w:rPr>
        <w:t>).</w:t>
      </w:r>
    </w:p>
    <w:p w14:paraId="683F9B3C" w14:textId="0E2C97FE" w:rsidR="008451E3" w:rsidRPr="0074107D" w:rsidRDefault="008451E3" w:rsidP="008451E3">
      <w:pPr>
        <w:widowControl w:val="0"/>
        <w:spacing w:after="120"/>
        <w:rPr>
          <w:rFonts w:eastAsia="Calibri"/>
          <w:szCs w:val="24"/>
          <w:lang w:val="en-IE"/>
        </w:rPr>
      </w:pPr>
      <w:r w:rsidRPr="0074107D">
        <w:rPr>
          <w:rFonts w:eastAsia="Calibri"/>
          <w:szCs w:val="24"/>
          <w:lang w:val="en-IE"/>
        </w:rPr>
        <w:t xml:space="preserve">The resolution </w:t>
      </w:r>
      <w:r w:rsidR="00D42686">
        <w:rPr>
          <w:rFonts w:eastAsia="Calibri"/>
          <w:szCs w:val="24"/>
          <w:lang w:val="en-IE"/>
        </w:rPr>
        <w:t>refers to Member State and stakeholder concerns (</w:t>
      </w:r>
      <w:r w:rsidR="00D42686" w:rsidRPr="009C1591">
        <w:rPr>
          <w:rFonts w:eastAsia="Calibri"/>
          <w:b/>
          <w:bCs/>
          <w:szCs w:val="24"/>
          <w:lang w:val="en-IE"/>
        </w:rPr>
        <w:t>recital</w:t>
      </w:r>
      <w:r w:rsidR="00B91A09">
        <w:rPr>
          <w:rFonts w:eastAsia="Calibri"/>
          <w:b/>
          <w:bCs/>
          <w:szCs w:val="24"/>
          <w:lang w:val="en-IE"/>
        </w:rPr>
        <w:t>s</w:t>
      </w:r>
      <w:r w:rsidR="00D42686">
        <w:rPr>
          <w:rFonts w:eastAsia="Calibri"/>
          <w:b/>
          <w:bCs/>
          <w:szCs w:val="24"/>
          <w:lang w:val="en-IE"/>
        </w:rPr>
        <w:t xml:space="preserve"> G </w:t>
      </w:r>
      <w:r w:rsidR="00D42686" w:rsidRPr="00B91A09">
        <w:rPr>
          <w:rFonts w:eastAsia="Calibri"/>
          <w:szCs w:val="24"/>
          <w:lang w:val="en-IE"/>
        </w:rPr>
        <w:t>and</w:t>
      </w:r>
      <w:r w:rsidR="00D42686">
        <w:rPr>
          <w:rFonts w:eastAsia="Calibri"/>
          <w:b/>
          <w:bCs/>
          <w:szCs w:val="24"/>
          <w:lang w:val="en-IE"/>
        </w:rPr>
        <w:t xml:space="preserve"> H</w:t>
      </w:r>
      <w:r w:rsidR="00D42686">
        <w:rPr>
          <w:rFonts w:eastAsia="Calibri"/>
          <w:szCs w:val="24"/>
          <w:lang w:val="en-IE"/>
        </w:rPr>
        <w:t xml:space="preserve">) and </w:t>
      </w:r>
      <w:r w:rsidRPr="0074107D">
        <w:rPr>
          <w:rFonts w:eastAsia="Calibri"/>
          <w:szCs w:val="24"/>
          <w:lang w:val="en-IE"/>
        </w:rPr>
        <w:t xml:space="preserve">recalls that the fact that authorising decisions continue to be adopted by the Commission without a qualified majority of Member States in favour has become the norm for decision-making on </w:t>
      </w:r>
      <w:r w:rsidR="00A51FD8">
        <w:rPr>
          <w:rFonts w:eastAsia="Calibri"/>
          <w:szCs w:val="24"/>
          <w:lang w:val="en-IE"/>
        </w:rPr>
        <w:t>genetically modified (</w:t>
      </w:r>
      <w:r w:rsidRPr="0074107D">
        <w:rPr>
          <w:rFonts w:eastAsia="Calibri"/>
          <w:szCs w:val="24"/>
          <w:lang w:val="en-IE"/>
        </w:rPr>
        <w:t>GM</w:t>
      </w:r>
      <w:r w:rsidR="00A51FD8">
        <w:rPr>
          <w:rFonts w:eastAsia="Calibri"/>
          <w:szCs w:val="24"/>
          <w:lang w:val="en-IE"/>
        </w:rPr>
        <w:t>)</w:t>
      </w:r>
      <w:r w:rsidRPr="0074107D">
        <w:rPr>
          <w:rFonts w:eastAsia="Calibri"/>
          <w:szCs w:val="24"/>
          <w:lang w:val="en-IE"/>
        </w:rPr>
        <w:t xml:space="preserve"> food and feed authorisations (</w:t>
      </w:r>
      <w:r w:rsidRPr="0074107D">
        <w:rPr>
          <w:rFonts w:eastAsia="Calibri"/>
          <w:b/>
          <w:szCs w:val="24"/>
          <w:lang w:val="en-IE"/>
        </w:rPr>
        <w:t xml:space="preserve">recital </w:t>
      </w:r>
      <w:r w:rsidR="00B236FD">
        <w:rPr>
          <w:rFonts w:eastAsia="Calibri"/>
          <w:b/>
          <w:szCs w:val="24"/>
          <w:lang w:val="en-IE"/>
        </w:rPr>
        <w:t>J</w:t>
      </w:r>
      <w:r w:rsidRPr="0074107D">
        <w:rPr>
          <w:rFonts w:eastAsia="Calibri"/>
          <w:b/>
          <w:szCs w:val="24"/>
          <w:lang w:val="en-IE"/>
        </w:rPr>
        <w:t>)</w:t>
      </w:r>
      <w:r w:rsidRPr="0074107D">
        <w:rPr>
          <w:rFonts w:eastAsia="Calibri"/>
          <w:szCs w:val="24"/>
          <w:lang w:val="en-IE"/>
        </w:rPr>
        <w:t>. Furthermore, the resolution recalls the numerous resolutions objecting to GMO authorisations adopted by the European Parliament in its eighth and ninth terms (</w:t>
      </w:r>
      <w:r w:rsidRPr="0074107D">
        <w:rPr>
          <w:rFonts w:eastAsia="Calibri"/>
          <w:b/>
          <w:szCs w:val="24"/>
          <w:lang w:val="en-IE"/>
        </w:rPr>
        <w:t xml:space="preserve">recital </w:t>
      </w:r>
      <w:r w:rsidR="00B11727">
        <w:rPr>
          <w:rFonts w:eastAsia="Calibri"/>
          <w:b/>
          <w:szCs w:val="24"/>
          <w:lang w:val="en-IE"/>
        </w:rPr>
        <w:t>K</w:t>
      </w:r>
      <w:r w:rsidRPr="0074107D">
        <w:rPr>
          <w:rFonts w:eastAsia="Calibri"/>
          <w:szCs w:val="24"/>
          <w:lang w:val="en-IE"/>
        </w:rPr>
        <w:t xml:space="preserve">), and states that no change of </w:t>
      </w:r>
      <w:r w:rsidRPr="0074107D">
        <w:rPr>
          <w:rFonts w:eastAsia="Calibri"/>
          <w:szCs w:val="24"/>
          <w:lang w:val="en-IE"/>
        </w:rPr>
        <w:lastRenderedPageBreak/>
        <w:t xml:space="preserve">law is required for the Commission not to authorise GMOs in the absence of a qualified majority of Member States in favour in the </w:t>
      </w:r>
      <w:r w:rsidR="00A726C7">
        <w:rPr>
          <w:rFonts w:eastAsia="Calibri"/>
          <w:szCs w:val="24"/>
          <w:lang w:val="en-IE"/>
        </w:rPr>
        <w:t>A</w:t>
      </w:r>
      <w:r w:rsidRPr="0074107D">
        <w:rPr>
          <w:rFonts w:eastAsia="Calibri"/>
          <w:szCs w:val="24"/>
          <w:lang w:val="en-IE"/>
        </w:rPr>
        <w:t xml:space="preserve">ppeal </w:t>
      </w:r>
      <w:r w:rsidR="00A726C7">
        <w:rPr>
          <w:rFonts w:eastAsia="Calibri"/>
          <w:szCs w:val="24"/>
          <w:lang w:val="en-IE"/>
        </w:rPr>
        <w:t>C</w:t>
      </w:r>
      <w:r w:rsidRPr="0074107D">
        <w:rPr>
          <w:rFonts w:eastAsia="Calibri"/>
          <w:szCs w:val="24"/>
          <w:lang w:val="en-IE"/>
        </w:rPr>
        <w:t>ommittee (</w:t>
      </w:r>
      <w:r w:rsidRPr="0074107D">
        <w:rPr>
          <w:rFonts w:eastAsia="Calibri"/>
          <w:b/>
          <w:szCs w:val="24"/>
          <w:lang w:val="en-IE"/>
        </w:rPr>
        <w:t xml:space="preserve">recital </w:t>
      </w:r>
      <w:r w:rsidR="00B11727">
        <w:rPr>
          <w:rFonts w:eastAsia="Calibri"/>
          <w:b/>
          <w:szCs w:val="24"/>
          <w:lang w:val="en-IE"/>
        </w:rPr>
        <w:t>M</w:t>
      </w:r>
      <w:r>
        <w:rPr>
          <w:rFonts w:eastAsia="Calibri"/>
          <w:bCs/>
          <w:szCs w:val="24"/>
          <w:lang w:val="en-IE"/>
        </w:rPr>
        <w:t>)</w:t>
      </w:r>
      <w:r w:rsidRPr="0074107D">
        <w:rPr>
          <w:rFonts w:eastAsia="Calibri"/>
          <w:szCs w:val="24"/>
          <w:lang w:val="en-IE"/>
        </w:rPr>
        <w:t>.</w:t>
      </w:r>
    </w:p>
    <w:p w14:paraId="79E3B653" w14:textId="77044892" w:rsidR="000A4038" w:rsidRPr="00FD0655" w:rsidRDefault="000A4038" w:rsidP="00A51FD8">
      <w:pPr>
        <w:keepNext/>
        <w:widowControl w:val="0"/>
        <w:spacing w:before="240" w:after="240"/>
        <w:ind w:left="720" w:hanging="720"/>
        <w:rPr>
          <w:b/>
          <w:lang w:val="en-IE"/>
        </w:rPr>
      </w:pPr>
      <w:r w:rsidRPr="00FD0655">
        <w:rPr>
          <w:b/>
          <w:lang w:val="en-IE"/>
        </w:rPr>
        <w:t>6.</w:t>
      </w:r>
      <w:r w:rsidRPr="00FD0655">
        <w:rPr>
          <w:b/>
          <w:lang w:val="en-IE"/>
        </w:rPr>
        <w:tab/>
        <w:t>Responses to requests and overview of actions taken, or intended to be taken, by the Commission</w:t>
      </w:r>
    </w:p>
    <w:p w14:paraId="2FD690D4" w14:textId="45ACA03A" w:rsidR="000A4038" w:rsidRPr="00FD0655" w:rsidRDefault="000A4038" w:rsidP="00EF39F3">
      <w:pPr>
        <w:spacing w:after="120" w:line="240" w:lineRule="auto"/>
        <w:rPr>
          <w:lang w:val="en-IE"/>
        </w:rPr>
      </w:pPr>
      <w:r w:rsidRPr="00FD0655">
        <w:rPr>
          <w:lang w:val="en-IE"/>
        </w:rPr>
        <w:t>The Commissio</w:t>
      </w:r>
      <w:r w:rsidR="006F6FAE" w:rsidRPr="00FD0655">
        <w:rPr>
          <w:lang w:val="en-IE"/>
        </w:rPr>
        <w:t>n would like to recall that the</w:t>
      </w:r>
      <w:r w:rsidRPr="00FD0655">
        <w:rPr>
          <w:lang w:val="en-IE"/>
        </w:rPr>
        <w:t xml:space="preserve"> </w:t>
      </w:r>
      <w:r w:rsidR="00177ADD">
        <w:rPr>
          <w:lang w:val="en-IE"/>
        </w:rPr>
        <w:t>Commission</w:t>
      </w:r>
      <w:r w:rsidR="00FA17AB">
        <w:rPr>
          <w:lang w:val="en-IE"/>
        </w:rPr>
        <w:t xml:space="preserve"> </w:t>
      </w:r>
      <w:r w:rsidRPr="00FD0655">
        <w:rPr>
          <w:lang w:val="en-IE"/>
        </w:rPr>
        <w:t xml:space="preserve">implementing decision </w:t>
      </w:r>
      <w:r w:rsidR="00C0061C" w:rsidRPr="00FD0655">
        <w:rPr>
          <w:lang w:val="en-IE"/>
        </w:rPr>
        <w:t xml:space="preserve">concerns the </w:t>
      </w:r>
      <w:r w:rsidR="008451E3">
        <w:rPr>
          <w:lang w:val="en-IE"/>
        </w:rPr>
        <w:t>renewal</w:t>
      </w:r>
      <w:r w:rsidRPr="00FD0655">
        <w:rPr>
          <w:lang w:val="en-IE"/>
        </w:rPr>
        <w:t xml:space="preserve"> </w:t>
      </w:r>
      <w:r w:rsidR="00C0061C" w:rsidRPr="00FD0655">
        <w:rPr>
          <w:lang w:val="en-IE"/>
        </w:rPr>
        <w:t xml:space="preserve">for </w:t>
      </w:r>
      <w:r w:rsidRPr="00FD0655">
        <w:rPr>
          <w:lang w:val="en-IE"/>
        </w:rPr>
        <w:t xml:space="preserve">the placing on the market of products containing, consisting of or produced from GM </w:t>
      </w:r>
      <w:r w:rsidR="008451E3" w:rsidRPr="008451E3">
        <w:rPr>
          <w:lang w:val="en-IE"/>
        </w:rPr>
        <w:t>maize MON</w:t>
      </w:r>
      <w:r w:rsidR="00B11727">
        <w:rPr>
          <w:lang w:val="en-IE"/>
        </w:rPr>
        <w:t xml:space="preserve"> 810</w:t>
      </w:r>
      <w:r w:rsidR="008451E3">
        <w:rPr>
          <w:lang w:val="en-IE"/>
        </w:rPr>
        <w:t xml:space="preserve"> </w:t>
      </w:r>
      <w:r w:rsidR="00E45881" w:rsidRPr="00FD0655">
        <w:rPr>
          <w:lang w:val="en-IE"/>
        </w:rPr>
        <w:t xml:space="preserve">for food and feed </w:t>
      </w:r>
      <w:r w:rsidR="009554C9" w:rsidRPr="00FD0655">
        <w:rPr>
          <w:lang w:val="en-IE"/>
        </w:rPr>
        <w:t xml:space="preserve">and other </w:t>
      </w:r>
      <w:r w:rsidR="00E45881" w:rsidRPr="00FD0655">
        <w:rPr>
          <w:lang w:val="en-IE"/>
        </w:rPr>
        <w:t>uses</w:t>
      </w:r>
      <w:r w:rsidR="00D73FFC" w:rsidRPr="00FD0655">
        <w:rPr>
          <w:lang w:val="en-IE"/>
        </w:rPr>
        <w:t xml:space="preserve">, </w:t>
      </w:r>
      <w:r w:rsidR="009554C9" w:rsidRPr="00FD0655">
        <w:rPr>
          <w:lang w:val="en-IE"/>
        </w:rPr>
        <w:t>with the exception of</w:t>
      </w:r>
      <w:r w:rsidR="00D73FFC" w:rsidRPr="00FD0655">
        <w:rPr>
          <w:lang w:val="en-IE"/>
        </w:rPr>
        <w:t xml:space="preserve"> cultivation</w:t>
      </w:r>
      <w:r w:rsidRPr="00FD0655">
        <w:rPr>
          <w:lang w:val="en-IE"/>
        </w:rPr>
        <w:t>.</w:t>
      </w:r>
      <w:r w:rsidR="00C0061C" w:rsidRPr="00FD0655">
        <w:rPr>
          <w:lang w:val="en-IE"/>
        </w:rPr>
        <w:t xml:space="preserve"> </w:t>
      </w:r>
    </w:p>
    <w:p w14:paraId="557EE676" w14:textId="75A11177" w:rsidR="000A4038" w:rsidRPr="00FD0655" w:rsidRDefault="000A4038" w:rsidP="00EF39F3">
      <w:pPr>
        <w:spacing w:after="120" w:line="240" w:lineRule="auto"/>
        <w:rPr>
          <w:lang w:val="en-IE"/>
        </w:rPr>
      </w:pPr>
      <w:r w:rsidRPr="00FD0655">
        <w:rPr>
          <w:lang w:val="en-IE"/>
        </w:rPr>
        <w:t xml:space="preserve">With respect to </w:t>
      </w:r>
      <w:r w:rsidRPr="00FD0655">
        <w:rPr>
          <w:b/>
          <w:lang w:val="en-IE"/>
        </w:rPr>
        <w:t>paragraphs 1</w:t>
      </w:r>
      <w:r w:rsidR="00B11727">
        <w:rPr>
          <w:b/>
          <w:lang w:val="en-IE"/>
        </w:rPr>
        <w:t xml:space="preserve"> </w:t>
      </w:r>
      <w:r w:rsidR="00D42686" w:rsidRPr="00B91A09">
        <w:rPr>
          <w:bCs/>
          <w:lang w:val="en-IE"/>
        </w:rPr>
        <w:t>and</w:t>
      </w:r>
      <w:r w:rsidR="00B11727">
        <w:rPr>
          <w:b/>
          <w:lang w:val="en-IE"/>
        </w:rPr>
        <w:t xml:space="preserve"> 3</w:t>
      </w:r>
      <w:r w:rsidR="008451E3">
        <w:rPr>
          <w:b/>
          <w:lang w:val="en-IE"/>
        </w:rPr>
        <w:t xml:space="preserve"> </w:t>
      </w:r>
      <w:r w:rsidRPr="00FD0655">
        <w:rPr>
          <w:lang w:val="en-IE"/>
        </w:rPr>
        <w:t xml:space="preserve">of the resolution, the Commission would like to point out that the </w:t>
      </w:r>
      <w:r w:rsidR="006B7B8D" w:rsidRPr="00FD0655">
        <w:rPr>
          <w:lang w:val="en-IE"/>
        </w:rPr>
        <w:t>d</w:t>
      </w:r>
      <w:r w:rsidRPr="00FD0655">
        <w:rPr>
          <w:lang w:val="en-IE"/>
        </w:rPr>
        <w:t>ecision has been prepared in line with</w:t>
      </w:r>
      <w:r w:rsidR="00DE633E" w:rsidRPr="00FD0655">
        <w:rPr>
          <w:lang w:val="en-IE"/>
        </w:rPr>
        <w:t>,</w:t>
      </w:r>
      <w:r w:rsidRPr="00FD0655">
        <w:rPr>
          <w:lang w:val="en-IE"/>
        </w:rPr>
        <w:t xml:space="preserve"> and has undergone the procedural steps set out in</w:t>
      </w:r>
      <w:r w:rsidR="00DE633E" w:rsidRPr="00FD0655">
        <w:rPr>
          <w:lang w:val="en-IE"/>
        </w:rPr>
        <w:t>,</w:t>
      </w:r>
      <w:r w:rsidRPr="00FD0655">
        <w:rPr>
          <w:lang w:val="en-IE"/>
        </w:rPr>
        <w:t xml:space="preserve"> </w:t>
      </w:r>
      <w:r w:rsidR="00953000" w:rsidRPr="00FD0655">
        <w:rPr>
          <w:lang w:val="en-IE"/>
        </w:rPr>
        <w:t xml:space="preserve">Regulation (EC) No 1829/2003 on GM food and feed and in </w:t>
      </w:r>
      <w:r w:rsidRPr="00FD0655">
        <w:rPr>
          <w:lang w:val="en-IE"/>
        </w:rPr>
        <w:t>Regulation (EU)</w:t>
      </w:r>
      <w:r w:rsidR="00953000" w:rsidRPr="00FD0655">
        <w:rPr>
          <w:lang w:val="en-IE"/>
        </w:rPr>
        <w:t xml:space="preserve"> No</w:t>
      </w:r>
      <w:r w:rsidRPr="00FD0655">
        <w:rPr>
          <w:lang w:val="en-IE"/>
        </w:rPr>
        <w:t xml:space="preserve"> 182/2011 on comitology, as illustrated below:</w:t>
      </w:r>
    </w:p>
    <w:p w14:paraId="005C27B8" w14:textId="562CB48E" w:rsidR="000A4038" w:rsidRPr="00FD0655" w:rsidRDefault="00716D7A" w:rsidP="00EF39F3">
      <w:pPr>
        <w:pStyle w:val="ListParagraph"/>
        <w:numPr>
          <w:ilvl w:val="0"/>
          <w:numId w:val="3"/>
        </w:numPr>
        <w:spacing w:after="120" w:line="240" w:lineRule="auto"/>
        <w:ind w:left="714" w:hanging="357"/>
        <w:contextualSpacing w:val="0"/>
        <w:rPr>
          <w:lang w:val="en-IE"/>
        </w:rPr>
      </w:pPr>
      <w:r w:rsidRPr="00FD0655">
        <w:rPr>
          <w:lang w:val="en-IE"/>
        </w:rPr>
        <w:t xml:space="preserve">on </w:t>
      </w:r>
      <w:r w:rsidR="00B11727">
        <w:rPr>
          <w:lang w:val="en-IE"/>
        </w:rPr>
        <w:t>6</w:t>
      </w:r>
      <w:r w:rsidR="001B5B28">
        <w:rPr>
          <w:lang w:val="en-IE"/>
        </w:rPr>
        <w:t xml:space="preserve"> October 2022</w:t>
      </w:r>
      <w:r w:rsidRPr="00FD0655">
        <w:rPr>
          <w:lang w:val="en-IE"/>
        </w:rPr>
        <w:t xml:space="preserve">, </w:t>
      </w:r>
      <w:r w:rsidR="00B11727">
        <w:rPr>
          <w:lang w:val="en-IE"/>
        </w:rPr>
        <w:t>Bayer Agriculture</w:t>
      </w:r>
      <w:r w:rsidR="002D3DE5">
        <w:rPr>
          <w:lang w:val="en-IE"/>
        </w:rPr>
        <w:t xml:space="preserve"> B.V., </w:t>
      </w:r>
      <w:r w:rsidR="007244A0">
        <w:rPr>
          <w:lang w:val="en-IE"/>
        </w:rPr>
        <w:t xml:space="preserve">submitted </w:t>
      </w:r>
      <w:r w:rsidR="007244A0" w:rsidRPr="007244A0">
        <w:rPr>
          <w:lang w:val="en-IE"/>
        </w:rPr>
        <w:t>an application to the Commission for the renewal of that authorisation</w:t>
      </w:r>
      <w:r w:rsidR="007244A0" w:rsidRPr="007244A0" w:rsidDel="007244A0">
        <w:rPr>
          <w:lang w:val="en-IE"/>
        </w:rPr>
        <w:t xml:space="preserve"> </w:t>
      </w:r>
      <w:r w:rsidR="0001392F" w:rsidRPr="00FD0655">
        <w:rPr>
          <w:lang w:val="en-IE"/>
        </w:rPr>
        <w:t xml:space="preserve">in accordance with Articles </w:t>
      </w:r>
      <w:r w:rsidR="007244A0">
        <w:rPr>
          <w:lang w:val="en-IE"/>
        </w:rPr>
        <w:t>11</w:t>
      </w:r>
      <w:r w:rsidR="0001392F" w:rsidRPr="00FD0655">
        <w:rPr>
          <w:lang w:val="en-IE"/>
        </w:rPr>
        <w:t xml:space="preserve"> and </w:t>
      </w:r>
      <w:r w:rsidR="007244A0">
        <w:rPr>
          <w:lang w:val="en-IE"/>
        </w:rPr>
        <w:t>23</w:t>
      </w:r>
      <w:r w:rsidR="0001392F" w:rsidRPr="00FD0655">
        <w:rPr>
          <w:lang w:val="en-IE"/>
        </w:rPr>
        <w:t xml:space="preserve"> of Regulation (EC) No 1829/2003 for the authorisation of the placing on the market of </w:t>
      </w:r>
      <w:r w:rsidRPr="00FD0655">
        <w:rPr>
          <w:lang w:val="en-IE"/>
        </w:rPr>
        <w:t xml:space="preserve">this </w:t>
      </w:r>
      <w:r w:rsidR="00BC2C6E" w:rsidRPr="00FD0655">
        <w:rPr>
          <w:lang w:val="en-IE"/>
        </w:rPr>
        <w:t xml:space="preserve">GM </w:t>
      </w:r>
      <w:r w:rsidR="001B5B28">
        <w:rPr>
          <w:lang w:val="en-IE"/>
        </w:rPr>
        <w:t xml:space="preserve">maize </w:t>
      </w:r>
      <w:r w:rsidR="0001392F" w:rsidRPr="00FD0655">
        <w:rPr>
          <w:lang w:val="en-IE"/>
        </w:rPr>
        <w:t xml:space="preserve">for food/feed and other uses, </w:t>
      </w:r>
      <w:r w:rsidR="009554C9" w:rsidRPr="00FD0655">
        <w:rPr>
          <w:lang w:val="en-IE"/>
        </w:rPr>
        <w:t>with the exception</w:t>
      </w:r>
      <w:r w:rsidR="0001392F" w:rsidRPr="00FD0655">
        <w:rPr>
          <w:lang w:val="en-IE"/>
        </w:rPr>
        <w:t xml:space="preserve"> of cultivation</w:t>
      </w:r>
      <w:r w:rsidRPr="00FD0655">
        <w:rPr>
          <w:lang w:val="en-IE"/>
        </w:rPr>
        <w:t>;</w:t>
      </w:r>
    </w:p>
    <w:p w14:paraId="6A5CF628" w14:textId="208D7ACC" w:rsidR="00B16BA4" w:rsidRPr="00FD0655" w:rsidRDefault="00716D7A" w:rsidP="00EF39F3">
      <w:pPr>
        <w:pStyle w:val="ListParagraph"/>
        <w:numPr>
          <w:ilvl w:val="0"/>
          <w:numId w:val="3"/>
        </w:numPr>
        <w:spacing w:after="120" w:line="240" w:lineRule="auto"/>
        <w:ind w:left="714" w:hanging="357"/>
        <w:contextualSpacing w:val="0"/>
        <w:rPr>
          <w:lang w:val="en-IE"/>
        </w:rPr>
      </w:pPr>
      <w:r w:rsidRPr="00FD0655">
        <w:rPr>
          <w:lang w:val="en-IE"/>
        </w:rPr>
        <w:t>o</w:t>
      </w:r>
      <w:r w:rsidR="00FE5E38" w:rsidRPr="00FD0655">
        <w:rPr>
          <w:lang w:val="en-IE"/>
        </w:rPr>
        <w:t xml:space="preserve">n </w:t>
      </w:r>
      <w:r w:rsidR="00B11727">
        <w:rPr>
          <w:lang w:val="en-IE"/>
        </w:rPr>
        <w:t xml:space="preserve">19 January </w:t>
      </w:r>
      <w:r w:rsidR="005A7B78" w:rsidRPr="00FD0655">
        <w:rPr>
          <w:lang w:val="en-IE"/>
        </w:rPr>
        <w:t>202</w:t>
      </w:r>
      <w:r w:rsidR="001B5B28">
        <w:rPr>
          <w:lang w:val="en-IE"/>
        </w:rPr>
        <w:t>4</w:t>
      </w:r>
      <w:r w:rsidR="0001392F" w:rsidRPr="00FD0655">
        <w:rPr>
          <w:lang w:val="en-IE"/>
        </w:rPr>
        <w:t xml:space="preserve">, EFSA published </w:t>
      </w:r>
      <w:r w:rsidR="00B16BA4" w:rsidRPr="00FD0655">
        <w:rPr>
          <w:lang w:val="en-IE"/>
        </w:rPr>
        <w:t>an opinion in accord</w:t>
      </w:r>
      <w:r w:rsidR="0001392F" w:rsidRPr="00FD0655">
        <w:rPr>
          <w:lang w:val="en-IE"/>
        </w:rPr>
        <w:t>ance with Articles 6 and 18 o</w:t>
      </w:r>
      <w:r w:rsidR="00B16BA4" w:rsidRPr="00FD0655">
        <w:rPr>
          <w:lang w:val="en-IE"/>
        </w:rPr>
        <w:t xml:space="preserve">f Regulation (EC) No </w:t>
      </w:r>
      <w:r w:rsidR="00BC2C6E" w:rsidRPr="00FD0655">
        <w:rPr>
          <w:lang w:val="en-IE"/>
        </w:rPr>
        <w:t xml:space="preserve">1829/2003 concluding that </w:t>
      </w:r>
      <w:r w:rsidRPr="00FD0655">
        <w:rPr>
          <w:lang w:val="en-IE"/>
        </w:rPr>
        <w:t>this</w:t>
      </w:r>
      <w:r w:rsidR="00BC2C6E" w:rsidRPr="00FD0655">
        <w:rPr>
          <w:lang w:val="en-IE"/>
        </w:rPr>
        <w:t xml:space="preserve"> </w:t>
      </w:r>
      <w:r w:rsidR="001B5B28">
        <w:rPr>
          <w:lang w:val="en-IE"/>
        </w:rPr>
        <w:t>maize</w:t>
      </w:r>
      <w:r w:rsidR="007244A0">
        <w:rPr>
          <w:lang w:val="en-IE"/>
        </w:rPr>
        <w:t xml:space="preserve"> is </w:t>
      </w:r>
      <w:r w:rsidR="00BC2C6E" w:rsidRPr="00FD0655">
        <w:rPr>
          <w:lang w:val="en-IE"/>
        </w:rPr>
        <w:t xml:space="preserve">as safe as its </w:t>
      </w:r>
      <w:r w:rsidR="00784E7F" w:rsidRPr="00784E7F">
        <w:rPr>
          <w:lang w:val="en-IE"/>
        </w:rPr>
        <w:t>conventional counterpart</w:t>
      </w:r>
      <w:r w:rsidR="00BC2C6E" w:rsidRPr="00FD0655">
        <w:rPr>
          <w:lang w:val="en-IE"/>
        </w:rPr>
        <w:t xml:space="preserve"> and the tested non-</w:t>
      </w:r>
      <w:r w:rsidR="00606CFE">
        <w:rPr>
          <w:lang w:val="en-IE"/>
        </w:rPr>
        <w:t>GM</w:t>
      </w:r>
      <w:r w:rsidR="00EE6521">
        <w:rPr>
          <w:lang w:val="en-IE"/>
        </w:rPr>
        <w:t xml:space="preserve"> maize</w:t>
      </w:r>
      <w:r w:rsidR="00BC2C6E" w:rsidRPr="00FD0655">
        <w:rPr>
          <w:lang w:val="en-IE"/>
        </w:rPr>
        <w:t xml:space="preserve"> reference varieties with respect to the potential effects on human and animal health and the environment</w:t>
      </w:r>
      <w:r w:rsidRPr="00FD0655">
        <w:rPr>
          <w:lang w:val="en-IE"/>
        </w:rPr>
        <w:t>;</w:t>
      </w:r>
    </w:p>
    <w:p w14:paraId="3DE1D4EC" w14:textId="0C18318A" w:rsidR="00B16BA4" w:rsidRPr="00FD0655" w:rsidRDefault="00716D7A" w:rsidP="00EF39F3">
      <w:pPr>
        <w:pStyle w:val="ListParagraph"/>
        <w:numPr>
          <w:ilvl w:val="0"/>
          <w:numId w:val="3"/>
        </w:numPr>
        <w:spacing w:after="120" w:line="240" w:lineRule="auto"/>
        <w:ind w:left="714" w:hanging="357"/>
        <w:contextualSpacing w:val="0"/>
        <w:rPr>
          <w:lang w:val="en-IE"/>
        </w:rPr>
      </w:pPr>
      <w:r w:rsidRPr="00FD0655">
        <w:rPr>
          <w:lang w:val="en-IE"/>
        </w:rPr>
        <w:t>i</w:t>
      </w:r>
      <w:r w:rsidR="00B16BA4" w:rsidRPr="00FD0655">
        <w:rPr>
          <w:lang w:val="en-IE"/>
        </w:rPr>
        <w:t>n its opinion</w:t>
      </w:r>
      <w:r w:rsidR="000A4038" w:rsidRPr="00FD0655">
        <w:rPr>
          <w:lang w:val="en-IE"/>
        </w:rPr>
        <w:t xml:space="preserve">, EFSA considered all the specific questions and concerns raised by the Member States in the context of the consultation of the national competent authorities as provided for by Article 6(4) and Article 18(4) </w:t>
      </w:r>
      <w:r w:rsidR="00B16BA4" w:rsidRPr="00FD0655">
        <w:rPr>
          <w:lang w:val="en-IE"/>
        </w:rPr>
        <w:t>of Regulation (EC) No 1829/2003</w:t>
      </w:r>
      <w:r w:rsidR="00CC67C3" w:rsidRPr="00FD0655">
        <w:rPr>
          <w:lang w:val="en-IE"/>
        </w:rPr>
        <w:t>;</w:t>
      </w:r>
    </w:p>
    <w:p w14:paraId="6991418C" w14:textId="595C0C66" w:rsidR="000A4038" w:rsidRPr="00FD0655" w:rsidRDefault="00716D7A" w:rsidP="00EF39F3">
      <w:pPr>
        <w:pStyle w:val="ListParagraph"/>
        <w:numPr>
          <w:ilvl w:val="0"/>
          <w:numId w:val="3"/>
        </w:numPr>
        <w:spacing w:after="120" w:line="240" w:lineRule="auto"/>
        <w:ind w:left="714" w:hanging="357"/>
        <w:contextualSpacing w:val="0"/>
        <w:rPr>
          <w:lang w:val="en-IE"/>
        </w:rPr>
      </w:pPr>
      <w:r w:rsidRPr="00FD0655">
        <w:rPr>
          <w:lang w:val="en-IE"/>
        </w:rPr>
        <w:t>t</w:t>
      </w:r>
      <w:r w:rsidR="000A4038" w:rsidRPr="00FD0655">
        <w:rPr>
          <w:lang w:val="en-IE"/>
        </w:rPr>
        <w:t xml:space="preserve">he public commented on the EFSA </w:t>
      </w:r>
      <w:r w:rsidR="002D3DE5" w:rsidRPr="00FD0655">
        <w:rPr>
          <w:lang w:val="en-IE"/>
        </w:rPr>
        <w:t>opinion,</w:t>
      </w:r>
      <w:r w:rsidR="00691F8F">
        <w:rPr>
          <w:lang w:val="en-IE"/>
        </w:rPr>
        <w:t xml:space="preserve"> and a</w:t>
      </w:r>
      <w:r w:rsidR="00F67F06" w:rsidRPr="00FD0655">
        <w:rPr>
          <w:lang w:val="en-IE"/>
        </w:rPr>
        <w:t>ll</w:t>
      </w:r>
      <w:r w:rsidR="000559C3" w:rsidRPr="00FD0655">
        <w:rPr>
          <w:lang w:val="en-IE"/>
        </w:rPr>
        <w:t xml:space="preserve"> </w:t>
      </w:r>
      <w:r w:rsidR="000A4038" w:rsidRPr="00FD0655">
        <w:rPr>
          <w:lang w:val="en-IE"/>
        </w:rPr>
        <w:t>the scientific comments received were scrutinised by EFSA</w:t>
      </w:r>
      <w:r w:rsidR="00A53400" w:rsidRPr="00FD0655">
        <w:rPr>
          <w:rStyle w:val="FootnoteReference"/>
          <w:lang w:val="en-IE"/>
        </w:rPr>
        <w:footnoteReference w:id="2"/>
      </w:r>
      <w:r w:rsidR="00681FA3">
        <w:rPr>
          <w:lang w:val="en-IE"/>
        </w:rPr>
        <w:t xml:space="preserve">, </w:t>
      </w:r>
      <w:r w:rsidR="002D3DE5">
        <w:rPr>
          <w:lang w:val="en-IE"/>
        </w:rPr>
        <w:t>who c</w:t>
      </w:r>
      <w:r w:rsidRPr="00FD0655">
        <w:rPr>
          <w:lang w:val="en-IE"/>
        </w:rPr>
        <w:t>onfirm</w:t>
      </w:r>
      <w:r w:rsidR="00681FA3">
        <w:rPr>
          <w:lang w:val="en-IE"/>
        </w:rPr>
        <w:t>ed</w:t>
      </w:r>
      <w:r w:rsidRPr="00FD0655">
        <w:rPr>
          <w:lang w:val="en-IE"/>
        </w:rPr>
        <w:t xml:space="preserve"> the conclusions of its initial scientific opinion;</w:t>
      </w:r>
    </w:p>
    <w:p w14:paraId="048C8B67" w14:textId="24FF82DA" w:rsidR="000A4038" w:rsidRPr="00FD0655" w:rsidRDefault="00716D7A" w:rsidP="00EF39F3">
      <w:pPr>
        <w:pStyle w:val="ListParagraph"/>
        <w:numPr>
          <w:ilvl w:val="0"/>
          <w:numId w:val="3"/>
        </w:numPr>
        <w:spacing w:after="120" w:line="240" w:lineRule="auto"/>
        <w:ind w:left="714" w:hanging="357"/>
        <w:contextualSpacing w:val="0"/>
        <w:rPr>
          <w:lang w:val="en-IE"/>
        </w:rPr>
      </w:pPr>
      <w:r w:rsidRPr="00FD0655">
        <w:rPr>
          <w:lang w:val="en-IE"/>
        </w:rPr>
        <w:t>t</w:t>
      </w:r>
      <w:r w:rsidR="000A4038" w:rsidRPr="00FD0655">
        <w:rPr>
          <w:lang w:val="en-IE"/>
        </w:rPr>
        <w:t>he draft</w:t>
      </w:r>
      <w:r w:rsidR="006B7B8D" w:rsidRPr="00FD0655">
        <w:rPr>
          <w:lang w:val="en-IE"/>
        </w:rPr>
        <w:t xml:space="preserve"> d</w:t>
      </w:r>
      <w:r w:rsidR="000A4038" w:rsidRPr="00FD0655">
        <w:rPr>
          <w:lang w:val="en-IE"/>
        </w:rPr>
        <w:t xml:space="preserve">ecision was </w:t>
      </w:r>
      <w:r w:rsidR="00BC2C6E" w:rsidRPr="00FD0655">
        <w:rPr>
          <w:lang w:val="en-IE"/>
        </w:rPr>
        <w:t>voted</w:t>
      </w:r>
      <w:r w:rsidR="000A4038" w:rsidRPr="00FD0655">
        <w:rPr>
          <w:lang w:val="en-IE"/>
        </w:rPr>
        <w:t xml:space="preserve"> </w:t>
      </w:r>
      <w:r w:rsidR="00BC2C6E" w:rsidRPr="00FD0655">
        <w:rPr>
          <w:lang w:val="en-IE"/>
        </w:rPr>
        <w:t>in</w:t>
      </w:r>
      <w:r w:rsidR="000A4038" w:rsidRPr="00FD0655">
        <w:rPr>
          <w:lang w:val="en-IE"/>
        </w:rPr>
        <w:t xml:space="preserve"> the Standing C</w:t>
      </w:r>
      <w:r w:rsidR="001B3F31" w:rsidRPr="00FD0655">
        <w:rPr>
          <w:lang w:val="en-IE"/>
        </w:rPr>
        <w:t xml:space="preserve">ommittee on </w:t>
      </w:r>
      <w:r w:rsidR="002B5F85">
        <w:rPr>
          <w:lang w:val="en-IE"/>
        </w:rPr>
        <w:t>26 April</w:t>
      </w:r>
      <w:r w:rsidR="007244A0">
        <w:rPr>
          <w:lang w:val="en-IE"/>
        </w:rPr>
        <w:t xml:space="preserve"> </w:t>
      </w:r>
      <w:r w:rsidR="00E736EB" w:rsidRPr="00FD0655">
        <w:rPr>
          <w:lang w:val="en-IE"/>
        </w:rPr>
        <w:t>202</w:t>
      </w:r>
      <w:r w:rsidR="001B5B28">
        <w:rPr>
          <w:lang w:val="en-IE"/>
        </w:rPr>
        <w:t>4</w:t>
      </w:r>
      <w:r w:rsidR="005629A3" w:rsidRPr="00FD0655">
        <w:rPr>
          <w:lang w:val="en-IE"/>
        </w:rPr>
        <w:t xml:space="preserve"> </w:t>
      </w:r>
      <w:r w:rsidR="00BC2C6E" w:rsidRPr="00FD0655">
        <w:rPr>
          <w:lang w:val="en-IE"/>
        </w:rPr>
        <w:t>with</w:t>
      </w:r>
      <w:r w:rsidR="005629A3" w:rsidRPr="00FD0655">
        <w:rPr>
          <w:lang w:val="en-IE"/>
        </w:rPr>
        <w:t xml:space="preserve"> no qualified majority </w:t>
      </w:r>
      <w:r w:rsidR="00226FD6">
        <w:rPr>
          <w:lang w:val="en-IE"/>
        </w:rPr>
        <w:t xml:space="preserve">in favour or </w:t>
      </w:r>
      <w:r w:rsidR="005629A3" w:rsidRPr="00FD0655">
        <w:rPr>
          <w:lang w:val="en-IE"/>
        </w:rPr>
        <w:t>against</w:t>
      </w:r>
      <w:r w:rsidR="00CC67C3" w:rsidRPr="00FD0655">
        <w:rPr>
          <w:lang w:val="en-IE"/>
        </w:rPr>
        <w:t>;</w:t>
      </w:r>
    </w:p>
    <w:p w14:paraId="1ECCA558" w14:textId="66EEB522" w:rsidR="00FC726F" w:rsidRPr="00415ACA" w:rsidRDefault="00CC67C3" w:rsidP="00EF39F3">
      <w:pPr>
        <w:pStyle w:val="ListParagraph"/>
        <w:numPr>
          <w:ilvl w:val="0"/>
          <w:numId w:val="3"/>
        </w:numPr>
        <w:spacing w:after="120" w:line="240" w:lineRule="auto"/>
        <w:ind w:left="714" w:hanging="357"/>
        <w:contextualSpacing w:val="0"/>
        <w:rPr>
          <w:lang w:val="en-IE"/>
        </w:rPr>
      </w:pPr>
      <w:r w:rsidRPr="00FD0655">
        <w:rPr>
          <w:lang w:val="en-IE"/>
        </w:rPr>
        <w:t>i</w:t>
      </w:r>
      <w:r w:rsidR="00FC726F" w:rsidRPr="00FD0655">
        <w:rPr>
          <w:lang w:val="en-IE"/>
        </w:rPr>
        <w:t xml:space="preserve">n accordance with the rules set </w:t>
      </w:r>
      <w:r w:rsidR="00953000" w:rsidRPr="00FD0655">
        <w:rPr>
          <w:lang w:val="en-IE"/>
        </w:rPr>
        <w:t xml:space="preserve">out </w:t>
      </w:r>
      <w:r w:rsidR="00FC726F" w:rsidRPr="00FD0655">
        <w:rPr>
          <w:lang w:val="en-IE"/>
        </w:rPr>
        <w:t xml:space="preserve">in Regulation (EU) </w:t>
      </w:r>
      <w:r w:rsidR="00953000" w:rsidRPr="00FD0655">
        <w:rPr>
          <w:lang w:val="en-IE"/>
        </w:rPr>
        <w:t xml:space="preserve">No </w:t>
      </w:r>
      <w:r w:rsidR="00FC726F" w:rsidRPr="00FD0655">
        <w:rPr>
          <w:lang w:val="en-IE"/>
        </w:rPr>
        <w:t xml:space="preserve">182/2011 on comitology, the Commission </w:t>
      </w:r>
      <w:r w:rsidR="00BC2C6E" w:rsidRPr="00FD0655">
        <w:rPr>
          <w:lang w:val="en-IE"/>
        </w:rPr>
        <w:t>referred</w:t>
      </w:r>
      <w:r w:rsidR="006B7B8D" w:rsidRPr="00FD0655">
        <w:rPr>
          <w:lang w:val="en-IE"/>
        </w:rPr>
        <w:t xml:space="preserve"> the draft d</w:t>
      </w:r>
      <w:r w:rsidR="00FC726F" w:rsidRPr="00FD0655">
        <w:rPr>
          <w:lang w:val="en-IE"/>
        </w:rPr>
        <w:t xml:space="preserve">ecision to the </w:t>
      </w:r>
      <w:r w:rsidR="00894287" w:rsidRPr="00FD0655">
        <w:rPr>
          <w:lang w:val="en-IE"/>
        </w:rPr>
        <w:t xml:space="preserve">Appeal Committee </w:t>
      </w:r>
      <w:r w:rsidR="00FC726F" w:rsidRPr="00FD0655">
        <w:rPr>
          <w:lang w:val="en-IE"/>
        </w:rPr>
        <w:t xml:space="preserve">on </w:t>
      </w:r>
      <w:r w:rsidR="002B5F85">
        <w:rPr>
          <w:lang w:val="en-IE"/>
        </w:rPr>
        <w:t>29 May</w:t>
      </w:r>
      <w:r w:rsidR="002D3DE5">
        <w:rPr>
          <w:lang w:val="en-IE"/>
        </w:rPr>
        <w:t xml:space="preserve"> </w:t>
      </w:r>
      <w:r w:rsidR="002D3DE5" w:rsidRPr="00FD0655">
        <w:rPr>
          <w:lang w:val="en-IE"/>
        </w:rPr>
        <w:t>2024</w:t>
      </w:r>
      <w:r w:rsidR="00FC726F" w:rsidRPr="00FD0655">
        <w:rPr>
          <w:lang w:val="en-IE"/>
        </w:rPr>
        <w:t xml:space="preserve">, </w:t>
      </w:r>
      <w:r w:rsidR="00BC2C6E" w:rsidRPr="00FD0655">
        <w:rPr>
          <w:lang w:val="en-IE"/>
        </w:rPr>
        <w:t>where</w:t>
      </w:r>
      <w:r w:rsidR="001B3F31" w:rsidRPr="00FD0655">
        <w:rPr>
          <w:lang w:val="en-IE"/>
        </w:rPr>
        <w:t xml:space="preserve"> no </w:t>
      </w:r>
      <w:r w:rsidR="001B3F31" w:rsidRPr="00415ACA">
        <w:rPr>
          <w:lang w:val="en-IE"/>
        </w:rPr>
        <w:t>qualified majority</w:t>
      </w:r>
      <w:r w:rsidR="00226FD6">
        <w:rPr>
          <w:lang w:val="en-IE"/>
        </w:rPr>
        <w:t xml:space="preserve"> in favour or</w:t>
      </w:r>
      <w:r w:rsidR="001B3F31" w:rsidRPr="00415ACA">
        <w:rPr>
          <w:lang w:val="en-IE"/>
        </w:rPr>
        <w:t xml:space="preserve"> against</w:t>
      </w:r>
      <w:r w:rsidR="00BC2C6E" w:rsidRPr="00415ACA">
        <w:rPr>
          <w:lang w:val="en-IE"/>
        </w:rPr>
        <w:t xml:space="preserve"> </w:t>
      </w:r>
      <w:r w:rsidR="00BC2C6E" w:rsidRPr="00415ACA">
        <w:rPr>
          <w:szCs w:val="24"/>
          <w:lang w:val="en-IE"/>
        </w:rPr>
        <w:t>was obtained either</w:t>
      </w:r>
      <w:r w:rsidRPr="00415ACA">
        <w:rPr>
          <w:lang w:val="en-IE"/>
        </w:rPr>
        <w:t>;</w:t>
      </w:r>
    </w:p>
    <w:p w14:paraId="5DA9541E" w14:textId="28E1F439" w:rsidR="001B5B28" w:rsidRPr="001B5B28" w:rsidRDefault="00CC67C3" w:rsidP="001B5B28">
      <w:pPr>
        <w:pStyle w:val="ListParagraph"/>
        <w:numPr>
          <w:ilvl w:val="0"/>
          <w:numId w:val="3"/>
        </w:numPr>
        <w:spacing w:after="120" w:line="240" w:lineRule="auto"/>
        <w:ind w:left="714" w:hanging="357"/>
        <w:contextualSpacing w:val="0"/>
        <w:rPr>
          <w:lang w:val="en-IE"/>
        </w:rPr>
      </w:pPr>
      <w:r w:rsidRPr="00415ACA">
        <w:rPr>
          <w:lang w:val="en-IE"/>
        </w:rPr>
        <w:t>i</w:t>
      </w:r>
      <w:r w:rsidR="00203678" w:rsidRPr="00415ACA">
        <w:rPr>
          <w:lang w:val="en-IE"/>
        </w:rPr>
        <w:t>n accordance with the rules set out in Regulation (EC) No 182/2011 on comitology, it is for the Commission to decide on the adoption of the draft decision</w:t>
      </w:r>
      <w:r w:rsidR="0039525B" w:rsidRPr="00415ACA">
        <w:rPr>
          <w:lang w:val="en-IE"/>
        </w:rPr>
        <w:t>;</w:t>
      </w:r>
    </w:p>
    <w:p w14:paraId="63FBF275" w14:textId="7031B7CD" w:rsidR="00203678" w:rsidRPr="001B5B28" w:rsidRDefault="001B5B28" w:rsidP="00A71570">
      <w:pPr>
        <w:numPr>
          <w:ilvl w:val="0"/>
          <w:numId w:val="3"/>
        </w:numPr>
        <w:spacing w:after="240" w:line="240" w:lineRule="auto"/>
        <w:ind w:left="714" w:hanging="357"/>
        <w:rPr>
          <w:rFonts w:eastAsia="Calibri"/>
          <w:szCs w:val="24"/>
          <w:lang w:val="en-IE"/>
        </w:rPr>
      </w:pPr>
      <w:r w:rsidRPr="003A1CB2">
        <w:rPr>
          <w:rFonts w:eastAsia="Calibri"/>
          <w:szCs w:val="24"/>
          <w:lang w:val="en-IE"/>
        </w:rPr>
        <w:t xml:space="preserve">on that basis, the Commission decision </w:t>
      </w:r>
      <w:r w:rsidR="00A51FD8">
        <w:rPr>
          <w:rFonts w:eastAsia="Calibri"/>
          <w:szCs w:val="24"/>
          <w:lang w:val="en-IE"/>
        </w:rPr>
        <w:t>w</w:t>
      </w:r>
      <w:r w:rsidRPr="003A1CB2">
        <w:rPr>
          <w:rFonts w:eastAsia="Calibri"/>
          <w:szCs w:val="24"/>
          <w:lang w:val="en-IE"/>
        </w:rPr>
        <w:t xml:space="preserve">as adopted on </w:t>
      </w:r>
      <w:r w:rsidR="00B11727">
        <w:rPr>
          <w:rFonts w:eastAsia="Calibri"/>
          <w:szCs w:val="24"/>
          <w:lang w:val="en-IE"/>
        </w:rPr>
        <w:t xml:space="preserve">2 July </w:t>
      </w:r>
      <w:r w:rsidRPr="003A1CB2">
        <w:rPr>
          <w:rFonts w:eastAsia="Calibri"/>
          <w:szCs w:val="24"/>
          <w:lang w:val="en-IE"/>
        </w:rPr>
        <w:t xml:space="preserve">2024. </w:t>
      </w:r>
    </w:p>
    <w:p w14:paraId="18C53B71" w14:textId="3F295C21" w:rsidR="00203678" w:rsidRPr="00FD0655" w:rsidRDefault="00203678" w:rsidP="00EF39F3">
      <w:pPr>
        <w:spacing w:after="120" w:line="240" w:lineRule="auto"/>
        <w:rPr>
          <w:lang w:val="en-IE"/>
        </w:rPr>
      </w:pPr>
      <w:r w:rsidRPr="00415ACA">
        <w:rPr>
          <w:lang w:val="en-IE"/>
        </w:rPr>
        <w:t xml:space="preserve">The Commission therefore considers that by going forward with the adoption process </w:t>
      </w:r>
      <w:r w:rsidR="00262D94" w:rsidRPr="00415ACA">
        <w:rPr>
          <w:lang w:val="en-IE"/>
        </w:rPr>
        <w:t xml:space="preserve">of </w:t>
      </w:r>
      <w:r w:rsidRPr="00415ACA">
        <w:rPr>
          <w:lang w:val="en-IE"/>
        </w:rPr>
        <w:t>a decision that fully complies with the procedural steps set out by the</w:t>
      </w:r>
      <w:r w:rsidRPr="00FD0655">
        <w:rPr>
          <w:lang w:val="en-IE"/>
        </w:rPr>
        <w:t xml:space="preserve"> co-legislators in the GMO legislation</w:t>
      </w:r>
      <w:r w:rsidR="00226FD6" w:rsidRPr="00226FD6">
        <w:rPr>
          <w:rFonts w:eastAsia="Calibri"/>
          <w:szCs w:val="24"/>
          <w:lang w:val="en-IE"/>
        </w:rPr>
        <w:t xml:space="preserve"> </w:t>
      </w:r>
      <w:r w:rsidR="00226FD6">
        <w:rPr>
          <w:rFonts w:eastAsia="Calibri"/>
          <w:szCs w:val="24"/>
          <w:lang w:val="en-IE"/>
        </w:rPr>
        <w:t>and is in line with EFSA’s scientific opinion, that opinion having considered all the scientific comments having been submitted by Member States</w:t>
      </w:r>
      <w:r w:rsidRPr="00FD0655">
        <w:rPr>
          <w:lang w:val="en-IE"/>
        </w:rPr>
        <w:t xml:space="preserve">, it </w:t>
      </w:r>
      <w:r w:rsidR="00A51FD8">
        <w:rPr>
          <w:lang w:val="en-IE"/>
        </w:rPr>
        <w:t>does</w:t>
      </w:r>
      <w:r w:rsidR="00FA17AB">
        <w:rPr>
          <w:lang w:val="en-IE"/>
        </w:rPr>
        <w:t xml:space="preserve"> </w:t>
      </w:r>
      <w:r w:rsidRPr="00FD0655">
        <w:rPr>
          <w:lang w:val="en-IE"/>
        </w:rPr>
        <w:t>not exceed its implementing powers.</w:t>
      </w:r>
      <w:r w:rsidR="00A51FD8">
        <w:rPr>
          <w:rFonts w:eastAsia="Calibri"/>
          <w:szCs w:val="24"/>
          <w:lang w:val="en-IE"/>
        </w:rPr>
        <w:t>.</w:t>
      </w:r>
    </w:p>
    <w:p w14:paraId="4C3EB3EC" w14:textId="2748DB7E" w:rsidR="00203678" w:rsidRDefault="00203678" w:rsidP="00EF39F3">
      <w:pPr>
        <w:spacing w:after="120" w:line="240" w:lineRule="auto"/>
        <w:rPr>
          <w:lang w:val="en-IE"/>
        </w:rPr>
      </w:pPr>
      <w:r w:rsidRPr="00FD0655">
        <w:rPr>
          <w:lang w:val="en-IE"/>
        </w:rPr>
        <w:lastRenderedPageBreak/>
        <w:t>With respect to the other p</w:t>
      </w:r>
      <w:r w:rsidR="00681FA3">
        <w:rPr>
          <w:lang w:val="en-IE"/>
        </w:rPr>
        <w:t>oints</w:t>
      </w:r>
      <w:r w:rsidRPr="00FD0655">
        <w:rPr>
          <w:lang w:val="en-IE"/>
        </w:rPr>
        <w:t xml:space="preserve"> of the resolution, the Commission considers that they fall outside the remit of the right of scrutiny, which is limited to the question of whether the implementing act exceeds the implementing powers provided for in the basic act. The Commission is not required to justify the implementing act as regards these points. Nevertheless, the Commission has carefully considered the position expressed by the Parliament and would like to make the following comments</w:t>
      </w:r>
      <w:r w:rsidR="006D5510">
        <w:rPr>
          <w:lang w:val="en-IE"/>
        </w:rPr>
        <w:t>:</w:t>
      </w:r>
    </w:p>
    <w:p w14:paraId="2B460A33" w14:textId="1C06315B" w:rsidR="00D42686" w:rsidRPr="00FD0655" w:rsidRDefault="00D42686" w:rsidP="00EF39F3">
      <w:pPr>
        <w:spacing w:after="120" w:line="240" w:lineRule="auto"/>
        <w:rPr>
          <w:lang w:val="en-IE"/>
        </w:rPr>
      </w:pPr>
      <w:r w:rsidRPr="1463EDCA">
        <w:rPr>
          <w:lang w:val="en-IE"/>
        </w:rPr>
        <w:t xml:space="preserve">EFSA performed a comprehensive risk assessment which concluded positively, after considering Member States’ comments as well as comments from the public. </w:t>
      </w:r>
      <w:r w:rsidRPr="1463EDCA">
        <w:rPr>
          <w:color w:val="000000" w:themeColor="text1"/>
          <w:lang w:val="en-IE"/>
        </w:rPr>
        <w:t>Therefore, the Commission considers that its decision</w:t>
      </w:r>
      <w:r>
        <w:rPr>
          <w:color w:val="000000" w:themeColor="text1"/>
          <w:lang w:val="en-IE"/>
        </w:rPr>
        <w:t xml:space="preserve"> is</w:t>
      </w:r>
      <w:r w:rsidRPr="1463EDCA">
        <w:rPr>
          <w:color w:val="000000" w:themeColor="text1"/>
          <w:lang w:val="en-IE"/>
        </w:rPr>
        <w:t xml:space="preserve"> fully in line with the objectives of EU legislation on GM food and feed</w:t>
      </w:r>
      <w:r>
        <w:rPr>
          <w:color w:val="000000" w:themeColor="text1"/>
          <w:lang w:val="en-IE"/>
        </w:rPr>
        <w:t xml:space="preserve"> and of </w:t>
      </w:r>
      <w:r w:rsidRPr="1463EDCA">
        <w:rPr>
          <w:color w:val="000000" w:themeColor="text1"/>
          <w:lang w:val="en-IE"/>
        </w:rPr>
        <w:t>the EU’s General Food Law to protect health and the environment</w:t>
      </w:r>
      <w:r>
        <w:rPr>
          <w:color w:val="000000" w:themeColor="text1"/>
          <w:lang w:val="en-IE"/>
        </w:rPr>
        <w:t xml:space="preserve"> </w:t>
      </w:r>
      <w:r w:rsidR="00226FD6">
        <w:rPr>
          <w:rFonts w:eastAsia="Calibri"/>
          <w:szCs w:val="24"/>
          <w:lang w:val="en-IE"/>
        </w:rPr>
        <w:t>after an objective, independent and transparent scientific assessment of the risks</w:t>
      </w:r>
      <w:r w:rsidR="00226FD6">
        <w:rPr>
          <w:color w:val="000000" w:themeColor="text1"/>
          <w:lang w:val="en-IE"/>
        </w:rPr>
        <w:t xml:space="preserve"> </w:t>
      </w:r>
      <w:r>
        <w:rPr>
          <w:color w:val="000000" w:themeColor="text1"/>
          <w:lang w:val="en-IE"/>
        </w:rPr>
        <w:t>(</w:t>
      </w:r>
      <w:r>
        <w:rPr>
          <w:b/>
          <w:bCs/>
          <w:color w:val="000000" w:themeColor="text1"/>
          <w:lang w:val="en-IE"/>
        </w:rPr>
        <w:t>p</w:t>
      </w:r>
      <w:r w:rsidRPr="00A30E01">
        <w:rPr>
          <w:b/>
          <w:bCs/>
          <w:color w:val="000000" w:themeColor="text1"/>
          <w:lang w:val="en-IE"/>
        </w:rPr>
        <w:t>aragra</w:t>
      </w:r>
      <w:r>
        <w:rPr>
          <w:b/>
          <w:bCs/>
          <w:color w:val="000000" w:themeColor="text1"/>
          <w:lang w:val="en-IE"/>
        </w:rPr>
        <w:t>p</w:t>
      </w:r>
      <w:r w:rsidRPr="00A30E01">
        <w:rPr>
          <w:b/>
          <w:bCs/>
          <w:color w:val="000000" w:themeColor="text1"/>
          <w:lang w:val="en-IE"/>
        </w:rPr>
        <w:t>h 2</w:t>
      </w:r>
      <w:r>
        <w:rPr>
          <w:color w:val="000000" w:themeColor="text1"/>
          <w:lang w:val="en-IE"/>
        </w:rPr>
        <w:t>)</w:t>
      </w:r>
      <w:r w:rsidRPr="1463EDCA">
        <w:rPr>
          <w:color w:val="000000" w:themeColor="text1"/>
          <w:lang w:val="en-IE"/>
        </w:rPr>
        <w:t>.</w:t>
      </w:r>
    </w:p>
    <w:p w14:paraId="25CC4D64" w14:textId="55C4923A" w:rsidR="00374382" w:rsidRDefault="00374382" w:rsidP="00374382">
      <w:pPr>
        <w:spacing w:after="120"/>
        <w:rPr>
          <w:lang w:val="en-IE"/>
        </w:rPr>
      </w:pPr>
      <w:r w:rsidRPr="00A51FD8">
        <w:rPr>
          <w:lang w:val="en-IE"/>
        </w:rPr>
        <w:t xml:space="preserve">With respect to the concerns raised in </w:t>
      </w:r>
      <w:r w:rsidRPr="00EE6521">
        <w:rPr>
          <w:b/>
          <w:bCs/>
          <w:lang w:val="en-IE"/>
        </w:rPr>
        <w:t>recitals D</w:t>
      </w:r>
      <w:r w:rsidRPr="00A51FD8">
        <w:rPr>
          <w:lang w:val="en-IE"/>
        </w:rPr>
        <w:t xml:space="preserve"> </w:t>
      </w:r>
      <w:r w:rsidR="00B91A09" w:rsidRPr="00A51FD8">
        <w:rPr>
          <w:lang w:val="en-IE"/>
        </w:rPr>
        <w:t>to</w:t>
      </w:r>
      <w:r w:rsidRPr="00A51FD8">
        <w:rPr>
          <w:lang w:val="en-IE"/>
        </w:rPr>
        <w:t xml:space="preserve"> </w:t>
      </w:r>
      <w:r w:rsidRPr="00EE6521">
        <w:rPr>
          <w:b/>
          <w:bCs/>
          <w:lang w:val="en-IE"/>
        </w:rPr>
        <w:t>F</w:t>
      </w:r>
      <w:r w:rsidRPr="00A51FD8">
        <w:rPr>
          <w:lang w:val="en-IE"/>
        </w:rPr>
        <w:t xml:space="preserve"> in relation to </w:t>
      </w:r>
      <w:r w:rsidRPr="00821479">
        <w:rPr>
          <w:i/>
          <w:iCs/>
          <w:lang w:val="en-IE"/>
        </w:rPr>
        <w:t>Bt</w:t>
      </w:r>
      <w:r w:rsidRPr="00A51FD8">
        <w:rPr>
          <w:lang w:val="en-IE"/>
        </w:rPr>
        <w:t xml:space="preserve"> toxins and </w:t>
      </w:r>
      <w:r w:rsidRPr="00821479">
        <w:rPr>
          <w:i/>
          <w:iCs/>
          <w:lang w:val="en-IE"/>
        </w:rPr>
        <w:t xml:space="preserve">Bt </w:t>
      </w:r>
      <w:r w:rsidRPr="00A51FD8">
        <w:rPr>
          <w:lang w:val="en-IE"/>
        </w:rPr>
        <w:t xml:space="preserve">crops, the Commission would like to stress that the EFSA GMO Panel has extensively discussed the potential allergenic and adjuvant capacity of such proteins considering all available information, including literature on the topic, and has not identified safety concerns. </w:t>
      </w:r>
      <w:r w:rsidR="00A51FD8">
        <w:rPr>
          <w:lang w:val="en-IE"/>
        </w:rPr>
        <w:t xml:space="preserve">In its </w:t>
      </w:r>
      <w:r w:rsidRPr="00A51FD8">
        <w:rPr>
          <w:lang w:val="en-IE"/>
        </w:rPr>
        <w:t xml:space="preserve">risk assessment for this application </w:t>
      </w:r>
      <w:r w:rsidR="00A51FD8">
        <w:rPr>
          <w:lang w:val="en-IE"/>
        </w:rPr>
        <w:t xml:space="preserve">EFSA </w:t>
      </w:r>
      <w:r w:rsidRPr="00A51FD8">
        <w:rPr>
          <w:lang w:val="en-IE"/>
        </w:rPr>
        <w:t xml:space="preserve">concluded on the absence of risk regarding toxicity of the </w:t>
      </w:r>
      <w:r w:rsidRPr="00821479">
        <w:rPr>
          <w:i/>
          <w:iCs/>
          <w:lang w:val="en-IE"/>
        </w:rPr>
        <w:t>Bt</w:t>
      </w:r>
      <w:r w:rsidRPr="00A51FD8">
        <w:rPr>
          <w:lang w:val="en-IE"/>
        </w:rPr>
        <w:t xml:space="preserve"> proteins expressed and the potential impact on non-targeted organisms.  </w:t>
      </w:r>
    </w:p>
    <w:p w14:paraId="4E529210" w14:textId="4353F0C4" w:rsidR="00E512B3" w:rsidRPr="00E512B3" w:rsidRDefault="00E512B3" w:rsidP="00E512B3">
      <w:pPr>
        <w:pStyle w:val="NoSpacing"/>
        <w:spacing w:after="180"/>
        <w:rPr>
          <w:b/>
          <w:bCs/>
          <w:lang w:val="en-IE"/>
        </w:rPr>
      </w:pPr>
      <w:r w:rsidRPr="00F26419">
        <w:rPr>
          <w:lang w:val="en-IE"/>
        </w:rPr>
        <w:t>Regarding the call</w:t>
      </w:r>
      <w:r>
        <w:rPr>
          <w:lang w:val="en-IE"/>
        </w:rPr>
        <w:t xml:space="preserve"> expressed</w:t>
      </w:r>
      <w:r w:rsidRPr="00F26419">
        <w:rPr>
          <w:lang w:val="en-IE"/>
        </w:rPr>
        <w:t xml:space="preserve"> </w:t>
      </w:r>
      <w:r>
        <w:rPr>
          <w:lang w:val="en-IE"/>
        </w:rPr>
        <w:t xml:space="preserve">in </w:t>
      </w:r>
      <w:r w:rsidRPr="00EA63E0">
        <w:rPr>
          <w:b/>
          <w:bCs/>
          <w:lang w:val="en-IE"/>
        </w:rPr>
        <w:t xml:space="preserve">paragraph </w:t>
      </w:r>
      <w:r>
        <w:rPr>
          <w:b/>
          <w:bCs/>
          <w:lang w:val="en-IE"/>
        </w:rPr>
        <w:t xml:space="preserve">4 </w:t>
      </w:r>
      <w:r w:rsidRPr="00F26419">
        <w:rPr>
          <w:lang w:val="en-IE"/>
        </w:rPr>
        <w:t>to take sustainability into account in the authorisation of GMOs, sustainability is central to the Commission.</w:t>
      </w:r>
      <w:r>
        <w:rPr>
          <w:lang w:val="en-IE"/>
        </w:rPr>
        <w:t xml:space="preserve"> </w:t>
      </w:r>
      <w:r w:rsidRPr="00E91959">
        <w:rPr>
          <w:lang w:val="en-IE"/>
        </w:rPr>
        <w:t xml:space="preserve">The Commission will shape the way forward by building on the recommendations of the Strategic Dialogue on the future of agriculture in the EU and on stakeholder engagement. </w:t>
      </w:r>
      <w:r w:rsidR="009938C2" w:rsidRPr="009938C2">
        <w:rPr>
          <w:lang w:val="en-IE"/>
        </w:rPr>
        <w:t xml:space="preserve">A </w:t>
      </w:r>
      <w:r w:rsidR="008821F1">
        <w:rPr>
          <w:lang w:val="en-IE"/>
        </w:rPr>
        <w:t>‘</w:t>
      </w:r>
      <w:r w:rsidR="009938C2" w:rsidRPr="009938C2">
        <w:rPr>
          <w:lang w:val="en-IE"/>
        </w:rPr>
        <w:t>Vision for Agriculture and Food</w:t>
      </w:r>
      <w:r w:rsidR="008821F1">
        <w:rPr>
          <w:lang w:val="en-IE"/>
        </w:rPr>
        <w:t>’</w:t>
      </w:r>
      <w:r w:rsidR="009938C2" w:rsidRPr="009938C2">
        <w:rPr>
          <w:lang w:val="en-IE"/>
        </w:rPr>
        <w:t xml:space="preserve"> has been adopted on 19 February 2025</w:t>
      </w:r>
      <w:r w:rsidRPr="00E91959">
        <w:rPr>
          <w:lang w:val="en-IE"/>
        </w:rPr>
        <w:t>.</w:t>
      </w:r>
    </w:p>
    <w:p w14:paraId="342538C5" w14:textId="56A5E10C" w:rsidR="005442E2" w:rsidRDefault="00823002" w:rsidP="00EF39F3">
      <w:pPr>
        <w:spacing w:after="120" w:line="240" w:lineRule="auto"/>
        <w:rPr>
          <w:lang w:val="en-IE"/>
        </w:rPr>
      </w:pPr>
      <w:r>
        <w:rPr>
          <w:lang w:val="en-IE"/>
        </w:rPr>
        <w:t xml:space="preserve">As regards </w:t>
      </w:r>
      <w:r w:rsidR="00606CFE">
        <w:rPr>
          <w:lang w:val="en-IE"/>
        </w:rPr>
        <w:t xml:space="preserve">the call </w:t>
      </w:r>
      <w:r>
        <w:rPr>
          <w:lang w:val="en-IE"/>
        </w:rPr>
        <w:t>to</w:t>
      </w:r>
      <w:r w:rsidR="00606CFE">
        <w:rPr>
          <w:lang w:val="en-IE"/>
        </w:rPr>
        <w:t xml:space="preserve"> consider</w:t>
      </w:r>
      <w:r>
        <w:rPr>
          <w:lang w:val="en-IE"/>
        </w:rPr>
        <w:t xml:space="preserve"> </w:t>
      </w:r>
      <w:r w:rsidRPr="00A65BC7">
        <w:rPr>
          <w:bCs/>
          <w:lang w:val="en-IE"/>
        </w:rPr>
        <w:t>the EU’s international obligations</w:t>
      </w:r>
      <w:r>
        <w:rPr>
          <w:bCs/>
          <w:lang w:val="en-IE"/>
        </w:rPr>
        <w:t xml:space="preserve"> (</w:t>
      </w:r>
      <w:r w:rsidRPr="00B8056F">
        <w:rPr>
          <w:b/>
          <w:lang w:val="en-IE"/>
        </w:rPr>
        <w:t>paragraph</w:t>
      </w:r>
      <w:r w:rsidR="000A0779">
        <w:rPr>
          <w:b/>
          <w:lang w:val="en-IE"/>
        </w:rPr>
        <w:t xml:space="preserve"> 5 </w:t>
      </w:r>
      <w:r w:rsidR="000A0779" w:rsidRPr="00001435">
        <w:rPr>
          <w:bCs/>
          <w:lang w:val="en-IE"/>
        </w:rPr>
        <w:t>and</w:t>
      </w:r>
      <w:r w:rsidR="000A0779">
        <w:rPr>
          <w:b/>
          <w:lang w:val="en-IE"/>
        </w:rPr>
        <w:t xml:space="preserve"> </w:t>
      </w:r>
      <w:r w:rsidR="00631F5B" w:rsidRPr="00B8056F">
        <w:rPr>
          <w:b/>
          <w:lang w:val="en-IE"/>
        </w:rPr>
        <w:t>recital</w:t>
      </w:r>
      <w:r w:rsidR="008451E3">
        <w:rPr>
          <w:b/>
          <w:lang w:val="en-IE"/>
        </w:rPr>
        <w:t xml:space="preserve"> </w:t>
      </w:r>
      <w:r w:rsidR="000A0779">
        <w:rPr>
          <w:b/>
          <w:lang w:val="en-IE"/>
        </w:rPr>
        <w:t>H</w:t>
      </w:r>
      <w:r>
        <w:rPr>
          <w:bCs/>
          <w:lang w:val="en-IE"/>
        </w:rPr>
        <w:t xml:space="preserve">), </w:t>
      </w:r>
      <w:r>
        <w:rPr>
          <w:lang w:val="en-IE"/>
        </w:rPr>
        <w:t>t</w:t>
      </w:r>
      <w:r w:rsidRPr="008C2CC3">
        <w:rPr>
          <w:lang w:val="en-IE"/>
        </w:rPr>
        <w:t xml:space="preserve">he Commission is highly committed to respecting </w:t>
      </w:r>
      <w:r w:rsidR="00D42686">
        <w:rPr>
          <w:lang w:val="en-IE"/>
        </w:rPr>
        <w:t xml:space="preserve">the </w:t>
      </w:r>
      <w:r w:rsidRPr="008C2CC3">
        <w:rPr>
          <w:lang w:val="en-IE"/>
        </w:rPr>
        <w:t>EU international commitments in the field of the environment</w:t>
      </w:r>
      <w:r w:rsidR="00D42686">
        <w:rPr>
          <w:lang w:val="en-IE"/>
        </w:rPr>
        <w:t xml:space="preserve">. </w:t>
      </w:r>
      <w:r w:rsidR="00D42686" w:rsidRPr="001328C0">
        <w:rPr>
          <w:lang w:val="en-IE"/>
        </w:rPr>
        <w:t xml:space="preserve">However, the </w:t>
      </w:r>
      <w:r w:rsidR="00D42686">
        <w:rPr>
          <w:lang w:val="en-IE"/>
        </w:rPr>
        <w:t xml:space="preserve">adoption of </w:t>
      </w:r>
      <w:r w:rsidR="00D42686" w:rsidRPr="001328C0">
        <w:rPr>
          <w:lang w:val="en-IE"/>
        </w:rPr>
        <w:t>Commission decisions for the placing on the market of GMOs that do not present risks to health or to the environment do not run counter to such international commitments</w:t>
      </w:r>
      <w:r w:rsidR="00D42686">
        <w:rPr>
          <w:lang w:val="en-IE"/>
        </w:rPr>
        <w:t>.</w:t>
      </w:r>
      <w:r w:rsidR="006D5510">
        <w:rPr>
          <w:lang w:val="en-IE"/>
        </w:rPr>
        <w:t xml:space="preserve"> </w:t>
      </w:r>
      <w:r w:rsidR="007E5650">
        <w:rPr>
          <w:lang w:val="en-IE"/>
        </w:rPr>
        <w:t>As regards the call</w:t>
      </w:r>
      <w:r w:rsidR="00E0139B">
        <w:rPr>
          <w:lang w:val="en-IE"/>
        </w:rPr>
        <w:t xml:space="preserve"> </w:t>
      </w:r>
      <w:r w:rsidR="007E5650">
        <w:rPr>
          <w:lang w:val="en-IE"/>
        </w:rPr>
        <w:t xml:space="preserve">in </w:t>
      </w:r>
      <w:r w:rsidR="007E5650" w:rsidRPr="00A958D1">
        <w:rPr>
          <w:b/>
          <w:bCs/>
          <w:lang w:val="en-IE"/>
        </w:rPr>
        <w:t xml:space="preserve">paragraph </w:t>
      </w:r>
      <w:r w:rsidR="000A0779">
        <w:rPr>
          <w:b/>
          <w:bCs/>
          <w:lang w:val="en-IE"/>
        </w:rPr>
        <w:t>5</w:t>
      </w:r>
      <w:r w:rsidR="007E5650">
        <w:rPr>
          <w:lang w:val="en-IE"/>
        </w:rPr>
        <w:t xml:space="preserve"> </w:t>
      </w:r>
      <w:r w:rsidR="007E5650" w:rsidRPr="00A958D1">
        <w:rPr>
          <w:lang w:val="en-IE"/>
        </w:rPr>
        <w:t>for draft implementing acts to be accompanied by an explanatory memorandum explaining how they uphold the principle of ‘do no harm’</w:t>
      </w:r>
      <w:r w:rsidR="007E5650">
        <w:rPr>
          <w:lang w:val="en-IE"/>
        </w:rPr>
        <w:t xml:space="preserve">, the Commission would like to stress that the draft decision is </w:t>
      </w:r>
      <w:r w:rsidR="000B76A0">
        <w:rPr>
          <w:lang w:val="en-IE"/>
        </w:rPr>
        <w:t xml:space="preserve">based on </w:t>
      </w:r>
      <w:r w:rsidR="007E5650">
        <w:rPr>
          <w:lang w:val="en-IE"/>
        </w:rPr>
        <w:t xml:space="preserve">a positive EFSA </w:t>
      </w:r>
      <w:r w:rsidR="000B76A0">
        <w:rPr>
          <w:lang w:val="en-IE"/>
        </w:rPr>
        <w:t xml:space="preserve">scientific </w:t>
      </w:r>
      <w:r w:rsidR="007E5650">
        <w:rPr>
          <w:lang w:val="en-IE"/>
        </w:rPr>
        <w:t>opinion, as described above.</w:t>
      </w:r>
    </w:p>
    <w:p w14:paraId="7C9D687F" w14:textId="446038A6" w:rsidR="00F15E26" w:rsidRPr="00F15E26" w:rsidRDefault="00F15E26" w:rsidP="00DB6542">
      <w:pPr>
        <w:spacing w:line="240" w:lineRule="auto"/>
        <w:rPr>
          <w:rFonts w:eastAsia="Calibri"/>
          <w:szCs w:val="24"/>
          <w:lang w:val="en-IE"/>
        </w:rPr>
      </w:pPr>
      <w:r>
        <w:rPr>
          <w:rFonts w:eastAsia="Calibri"/>
          <w:szCs w:val="24"/>
          <w:lang w:val="en-IE"/>
        </w:rPr>
        <w:t>Issues related to reducing dependency o</w:t>
      </w:r>
      <w:r w:rsidR="00226FD6">
        <w:rPr>
          <w:rFonts w:eastAsia="Calibri"/>
          <w:szCs w:val="24"/>
          <w:lang w:val="en-IE"/>
        </w:rPr>
        <w:t>f</w:t>
      </w:r>
      <w:r>
        <w:rPr>
          <w:rFonts w:eastAsia="Calibri"/>
          <w:szCs w:val="24"/>
          <w:lang w:val="en-IE"/>
        </w:rPr>
        <w:t xml:space="preserve"> imported critical commodities </w:t>
      </w:r>
      <w:r w:rsidR="00A51FD8" w:rsidRPr="00F15E26">
        <w:rPr>
          <w:rFonts w:eastAsia="Calibri"/>
          <w:szCs w:val="24"/>
          <w:lang w:val="en-IE"/>
        </w:rPr>
        <w:t>(</w:t>
      </w:r>
      <w:r w:rsidR="00A51FD8" w:rsidRPr="00F15E26">
        <w:rPr>
          <w:rFonts w:eastAsia="Calibri"/>
          <w:b/>
          <w:bCs/>
          <w:szCs w:val="24"/>
          <w:lang w:val="en-IE"/>
        </w:rPr>
        <w:t>recital I</w:t>
      </w:r>
      <w:r w:rsidR="00A51FD8" w:rsidRPr="00F15E26">
        <w:rPr>
          <w:rFonts w:eastAsia="Calibri"/>
          <w:szCs w:val="24"/>
          <w:lang w:val="en-IE"/>
        </w:rPr>
        <w:t>)</w:t>
      </w:r>
      <w:r w:rsidR="00A51FD8">
        <w:rPr>
          <w:rFonts w:eastAsia="Calibri"/>
          <w:szCs w:val="24"/>
          <w:lang w:val="en-IE"/>
        </w:rPr>
        <w:t xml:space="preserve"> </w:t>
      </w:r>
      <w:r>
        <w:rPr>
          <w:rFonts w:eastAsia="Calibri"/>
          <w:szCs w:val="24"/>
          <w:lang w:val="en-IE"/>
        </w:rPr>
        <w:t xml:space="preserve">will be part of the Commission’s work in accordance with its political guidelines and the mission letters of the responsible Commissioners. However, such issues go well beyond </w:t>
      </w:r>
      <w:r w:rsidR="00226FD6">
        <w:rPr>
          <w:rFonts w:eastAsia="Calibri"/>
          <w:szCs w:val="24"/>
          <w:lang w:val="en-IE"/>
        </w:rPr>
        <w:t xml:space="preserve">the remit </w:t>
      </w:r>
      <w:r>
        <w:rPr>
          <w:rFonts w:eastAsia="Calibri"/>
          <w:szCs w:val="24"/>
          <w:lang w:val="en-IE"/>
        </w:rPr>
        <w:t xml:space="preserve">and cannot be addressed in the context of the </w:t>
      </w:r>
      <w:r w:rsidRPr="00EA63E0">
        <w:rPr>
          <w:lang w:val="en-IE"/>
        </w:rPr>
        <w:t xml:space="preserve">Commission decisions </w:t>
      </w:r>
      <w:r w:rsidR="00226FD6">
        <w:rPr>
          <w:lang w:val="en-IE"/>
        </w:rPr>
        <w:t>regarding</w:t>
      </w:r>
      <w:r w:rsidRPr="00EA63E0">
        <w:rPr>
          <w:lang w:val="en-IE"/>
        </w:rPr>
        <w:t xml:space="preserve"> the placing on the market of GMOs</w:t>
      </w:r>
      <w:r w:rsidR="00EE6521">
        <w:rPr>
          <w:lang w:val="en-IE"/>
        </w:rPr>
        <w:t>.</w:t>
      </w:r>
      <w:r w:rsidR="00EE6521">
        <w:rPr>
          <w:rFonts w:eastAsia="Calibri"/>
          <w:szCs w:val="24"/>
          <w:lang w:val="en-IE"/>
        </w:rPr>
        <w:t xml:space="preserve"> </w:t>
      </w:r>
    </w:p>
    <w:p w14:paraId="1A700F0C" w14:textId="246C9EF9" w:rsidR="008F2E79" w:rsidRPr="008F2E79" w:rsidRDefault="005442E2" w:rsidP="00801807">
      <w:pPr>
        <w:spacing w:after="120"/>
        <w:rPr>
          <w:lang w:val="en-IE"/>
        </w:rPr>
      </w:pPr>
      <w:r w:rsidRPr="008C2CC3">
        <w:rPr>
          <w:lang w:val="en-IE"/>
        </w:rPr>
        <w:t xml:space="preserve">Finally, </w:t>
      </w:r>
      <w:r w:rsidR="00A53400" w:rsidRPr="008C2CC3">
        <w:rPr>
          <w:lang w:val="en-IE"/>
        </w:rPr>
        <w:t>regarding</w:t>
      </w:r>
      <w:r w:rsidRPr="008C2CC3">
        <w:rPr>
          <w:lang w:val="en-IE"/>
        </w:rPr>
        <w:t xml:space="preserve"> the arguments concerning the decision-making process and the lack of support by the Member States for any GMO authorisation for food and feed uses (</w:t>
      </w:r>
      <w:r w:rsidRPr="008C2CC3">
        <w:rPr>
          <w:b/>
          <w:lang w:val="en-IE"/>
        </w:rPr>
        <w:t>recitals</w:t>
      </w:r>
      <w:r w:rsidR="002D3DE5">
        <w:rPr>
          <w:b/>
          <w:lang w:val="en-IE"/>
        </w:rPr>
        <w:t xml:space="preserve"> </w:t>
      </w:r>
      <w:r w:rsidR="00125545">
        <w:rPr>
          <w:b/>
          <w:lang w:val="en-IE"/>
        </w:rPr>
        <w:t>J</w:t>
      </w:r>
      <w:r w:rsidRPr="008C2CC3">
        <w:rPr>
          <w:lang w:val="en-IE"/>
        </w:rPr>
        <w:t xml:space="preserve"> to </w:t>
      </w:r>
      <w:r w:rsidR="000A0779">
        <w:rPr>
          <w:b/>
          <w:lang w:val="en-IE"/>
        </w:rPr>
        <w:t>L</w:t>
      </w:r>
      <w:r w:rsidRPr="008C2CC3">
        <w:rPr>
          <w:lang w:val="en-IE"/>
        </w:rPr>
        <w:t xml:space="preserve">), the Commission submitted a proposal to the Council and the Parliament on 14 February 2017 to amend Regulation (EU) No 182/2011, </w:t>
      </w:r>
      <w:r w:rsidR="00DF4C33" w:rsidRPr="0074107D">
        <w:rPr>
          <w:rFonts w:eastAsia="Calibri"/>
          <w:szCs w:val="24"/>
          <w:lang w:val="en-IE"/>
        </w:rPr>
        <w:t>changing the voting rules at the Appeal Committee</w:t>
      </w:r>
      <w:r w:rsidR="00DF4C33">
        <w:rPr>
          <w:rFonts w:eastAsia="Calibri"/>
          <w:szCs w:val="24"/>
          <w:lang w:val="en-IE"/>
        </w:rPr>
        <w:t xml:space="preserve"> to</w:t>
      </w:r>
      <w:r w:rsidR="00DF4C33" w:rsidRPr="0074107D">
        <w:rPr>
          <w:rFonts w:eastAsia="Calibri"/>
          <w:szCs w:val="24"/>
          <w:lang w:val="en-IE"/>
        </w:rPr>
        <w:t xml:space="preserve"> increase transparency and accountability in the GMO decision-making process. </w:t>
      </w:r>
      <w:r w:rsidR="00DF4C33">
        <w:rPr>
          <w:rFonts w:eastAsia="Calibri"/>
          <w:szCs w:val="24"/>
          <w:lang w:val="en-IE"/>
        </w:rPr>
        <w:t>However</w:t>
      </w:r>
      <w:r w:rsidR="00DF4C33" w:rsidRPr="0074107D">
        <w:rPr>
          <w:rFonts w:eastAsia="Calibri"/>
          <w:szCs w:val="24"/>
          <w:lang w:val="en-IE"/>
        </w:rPr>
        <w:t>,</w:t>
      </w:r>
      <w:r w:rsidR="00DF4C33">
        <w:rPr>
          <w:rFonts w:eastAsia="Calibri"/>
          <w:szCs w:val="24"/>
          <w:lang w:val="en-IE"/>
        </w:rPr>
        <w:t xml:space="preserve"> this proposal has not been adopted by the co-legislators</w:t>
      </w:r>
      <w:r w:rsidR="00B7280D">
        <w:rPr>
          <w:rStyle w:val="FootnoteReference"/>
          <w:rFonts w:eastAsia="Calibri"/>
          <w:szCs w:val="24"/>
          <w:lang w:val="en-IE"/>
        </w:rPr>
        <w:footnoteReference w:id="3"/>
      </w:r>
      <w:r w:rsidR="00DF4C33">
        <w:rPr>
          <w:rFonts w:eastAsia="Calibri"/>
          <w:szCs w:val="24"/>
          <w:lang w:val="en-IE"/>
        </w:rPr>
        <w:t xml:space="preserve">. In such </w:t>
      </w:r>
      <w:r w:rsidR="00DF4C33">
        <w:rPr>
          <w:rFonts w:eastAsia="Calibri"/>
          <w:szCs w:val="24"/>
          <w:lang w:val="en-IE"/>
        </w:rPr>
        <w:lastRenderedPageBreak/>
        <w:t>circumstances,</w:t>
      </w:r>
      <w:r w:rsidR="00DF4C33" w:rsidRPr="0074107D">
        <w:rPr>
          <w:rFonts w:eastAsia="Calibri"/>
          <w:szCs w:val="24"/>
          <w:lang w:val="en-IE"/>
        </w:rPr>
        <w:t xml:space="preserve"> the Commission </w:t>
      </w:r>
      <w:r w:rsidR="00DF4C33">
        <w:rPr>
          <w:rFonts w:eastAsia="Calibri"/>
          <w:szCs w:val="24"/>
          <w:lang w:val="en-IE"/>
        </w:rPr>
        <w:t>is bound</w:t>
      </w:r>
      <w:r w:rsidR="00DF4C33" w:rsidRPr="0074107D">
        <w:rPr>
          <w:rFonts w:eastAsia="Calibri"/>
          <w:szCs w:val="24"/>
          <w:lang w:val="en-IE"/>
        </w:rPr>
        <w:t xml:space="preserve"> to apply the procedures laid down in Regulation (EU) No 182/2011 on comitology and in Regulation (EC) No 1829/2003 on GM food and feed.</w:t>
      </w:r>
    </w:p>
    <w:sectPr w:rsidR="008F2E79" w:rsidRPr="008F2E7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882AA" w14:textId="77777777" w:rsidR="005B209F" w:rsidRDefault="005B209F" w:rsidP="000A4038">
      <w:pPr>
        <w:spacing w:after="0" w:line="240" w:lineRule="auto"/>
      </w:pPr>
      <w:r>
        <w:separator/>
      </w:r>
    </w:p>
  </w:endnote>
  <w:endnote w:type="continuationSeparator" w:id="0">
    <w:p w14:paraId="1AB81B8C" w14:textId="77777777" w:rsidR="005B209F" w:rsidRDefault="005B209F" w:rsidP="000A4038">
      <w:pPr>
        <w:spacing w:after="0" w:line="240" w:lineRule="auto"/>
      </w:pPr>
      <w:r>
        <w:continuationSeparator/>
      </w:r>
    </w:p>
  </w:endnote>
  <w:endnote w:type="continuationNotice" w:id="1">
    <w:p w14:paraId="20CC692F" w14:textId="77777777" w:rsidR="004669A1" w:rsidRDefault="004669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860106"/>
      <w:docPartObj>
        <w:docPartGallery w:val="Page Numbers (Bottom of Page)"/>
        <w:docPartUnique/>
      </w:docPartObj>
    </w:sdtPr>
    <w:sdtEndPr>
      <w:rPr>
        <w:noProof/>
      </w:rPr>
    </w:sdtEndPr>
    <w:sdtContent>
      <w:p w14:paraId="4E6EA145" w14:textId="7BAD19D1" w:rsidR="00A51FD8" w:rsidRDefault="00A51F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DB0BB6" w14:textId="77777777" w:rsidR="00CE7CF0" w:rsidRDefault="00CE7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1BAA8" w14:textId="77777777" w:rsidR="005B209F" w:rsidRDefault="005B209F" w:rsidP="000A4038">
      <w:pPr>
        <w:spacing w:after="0" w:line="240" w:lineRule="auto"/>
      </w:pPr>
      <w:r>
        <w:separator/>
      </w:r>
    </w:p>
  </w:footnote>
  <w:footnote w:type="continuationSeparator" w:id="0">
    <w:p w14:paraId="14112A23" w14:textId="77777777" w:rsidR="005B209F" w:rsidRDefault="005B209F" w:rsidP="000A4038">
      <w:pPr>
        <w:spacing w:after="0" w:line="240" w:lineRule="auto"/>
      </w:pPr>
      <w:r>
        <w:continuationSeparator/>
      </w:r>
    </w:p>
  </w:footnote>
  <w:footnote w:type="continuationNotice" w:id="1">
    <w:p w14:paraId="4D8A9E77" w14:textId="77777777" w:rsidR="004669A1" w:rsidRDefault="004669A1">
      <w:pPr>
        <w:spacing w:after="0" w:line="240" w:lineRule="auto"/>
      </w:pPr>
    </w:p>
  </w:footnote>
  <w:footnote w:id="2">
    <w:p w14:paraId="40C88F38" w14:textId="23ADC3B1" w:rsidR="00A53400" w:rsidRPr="00A53400" w:rsidRDefault="00A53400" w:rsidP="00E557F2">
      <w:pPr>
        <w:pStyle w:val="FootnoteText"/>
        <w:ind w:left="357" w:hanging="357"/>
        <w:rPr>
          <w:lang w:val="en-IE"/>
        </w:rPr>
      </w:pPr>
      <w:r>
        <w:rPr>
          <w:rStyle w:val="FootnoteReference"/>
        </w:rPr>
        <w:footnoteRef/>
      </w:r>
      <w:r w:rsidRPr="00801807">
        <w:rPr>
          <w:lang w:val="en-GB"/>
        </w:rPr>
        <w:t xml:space="preserve"> </w:t>
      </w:r>
      <w:r w:rsidR="00E557F2" w:rsidRPr="00801807">
        <w:rPr>
          <w:lang w:val="en-GB"/>
        </w:rPr>
        <w:tab/>
      </w:r>
      <w:hyperlink r:id="rId1" w:history="1">
        <w:r w:rsidRPr="00801807">
          <w:rPr>
            <w:rStyle w:val="Hyperlink"/>
            <w:lang w:val="en-GB"/>
          </w:rPr>
          <w:t>Public consultations (europa.eu)</w:t>
        </w:r>
      </w:hyperlink>
    </w:p>
  </w:footnote>
  <w:footnote w:id="3">
    <w:p w14:paraId="1D46F075" w14:textId="564C81AA" w:rsidR="00B7280D" w:rsidRPr="00B7280D" w:rsidRDefault="00B7280D" w:rsidP="00B7280D">
      <w:pPr>
        <w:pStyle w:val="FootnoteText"/>
        <w:ind w:left="360"/>
        <w:rPr>
          <w:rFonts w:ascii="Courier New" w:eastAsia="Times New Roman" w:hAnsi="Courier New"/>
          <w:lang w:val="en-US" w:eastAsia="en-GB"/>
        </w:rPr>
      </w:pPr>
      <w:r>
        <w:rPr>
          <w:rStyle w:val="FootnoteReference"/>
        </w:rPr>
        <w:footnoteRef/>
      </w:r>
      <w:r w:rsidRPr="00801807">
        <w:rPr>
          <w:lang w:val="en-GB"/>
        </w:rPr>
        <w:t xml:space="preserve"> </w:t>
      </w:r>
      <w:r w:rsidRPr="00B7280D">
        <w:rPr>
          <w:rFonts w:eastAsia="Times New Roman"/>
          <w:lang w:val="en-GB" w:eastAsia="en-GB"/>
        </w:rPr>
        <w:t>T</w:t>
      </w:r>
      <w:r w:rsidRPr="00B7280D">
        <w:rPr>
          <w:rFonts w:eastAsia="Times New Roman"/>
          <w:i/>
          <w:iCs/>
          <w:lang w:val="en-IE" w:eastAsia="en-GB"/>
        </w:rPr>
        <w:t>his proposal was included in the Commission Work Programme 2025 in the list of proposed withdrawals and is currently awaiting the views of the co-legislators.</w:t>
      </w:r>
    </w:p>
    <w:p w14:paraId="4733374B" w14:textId="45836B9B" w:rsidR="00B7280D" w:rsidRPr="00801807" w:rsidRDefault="00B7280D">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04D14"/>
    <w:multiLevelType w:val="hybridMultilevel"/>
    <w:tmpl w:val="9E8875F6"/>
    <w:lvl w:ilvl="0" w:tplc="CE8A182C">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796540D"/>
    <w:multiLevelType w:val="hybridMultilevel"/>
    <w:tmpl w:val="388242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FF7541B"/>
    <w:multiLevelType w:val="hybridMultilevel"/>
    <w:tmpl w:val="1E922C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76D6459"/>
    <w:multiLevelType w:val="hybridMultilevel"/>
    <w:tmpl w:val="6B1A5F26"/>
    <w:lvl w:ilvl="0" w:tplc="ACE42A70">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ECD5971"/>
    <w:multiLevelType w:val="hybridMultilevel"/>
    <w:tmpl w:val="B1244E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3462028">
    <w:abstractNumId w:val="2"/>
  </w:num>
  <w:num w:numId="2" w16cid:durableId="2065640137">
    <w:abstractNumId w:val="1"/>
  </w:num>
  <w:num w:numId="3" w16cid:durableId="938876156">
    <w:abstractNumId w:val="3"/>
  </w:num>
  <w:num w:numId="4" w16cid:durableId="1235312917">
    <w:abstractNumId w:val="0"/>
  </w:num>
  <w:num w:numId="5" w16cid:durableId="338578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0" w:nlCheck="1" w:checkStyle="0"/>
  <w:activeWritingStyle w:appName="MSWord" w:lang="en-GB" w:vendorID="64" w:dllVersion="0" w:nlCheck="1" w:checkStyle="0"/>
  <w:activeWritingStyle w:appName="MSWord" w:lang="en-I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F2E79"/>
    <w:rsid w:val="00001435"/>
    <w:rsid w:val="00004964"/>
    <w:rsid w:val="000110A9"/>
    <w:rsid w:val="00011123"/>
    <w:rsid w:val="0001392F"/>
    <w:rsid w:val="00013EBE"/>
    <w:rsid w:val="000547F6"/>
    <w:rsid w:val="000559C3"/>
    <w:rsid w:val="000632B2"/>
    <w:rsid w:val="00071145"/>
    <w:rsid w:val="000A0779"/>
    <w:rsid w:val="000A4038"/>
    <w:rsid w:val="000A4837"/>
    <w:rsid w:val="000A7667"/>
    <w:rsid w:val="000B76A0"/>
    <w:rsid w:val="000E17AA"/>
    <w:rsid w:val="000E253B"/>
    <w:rsid w:val="000E61EC"/>
    <w:rsid w:val="001004B8"/>
    <w:rsid w:val="00100A3D"/>
    <w:rsid w:val="00121179"/>
    <w:rsid w:val="00125545"/>
    <w:rsid w:val="0013195B"/>
    <w:rsid w:val="00156426"/>
    <w:rsid w:val="001570B1"/>
    <w:rsid w:val="00167B41"/>
    <w:rsid w:val="00177ADD"/>
    <w:rsid w:val="001821C6"/>
    <w:rsid w:val="00182600"/>
    <w:rsid w:val="00184038"/>
    <w:rsid w:val="00196C15"/>
    <w:rsid w:val="001B350C"/>
    <w:rsid w:val="001B3F31"/>
    <w:rsid w:val="001B5B28"/>
    <w:rsid w:val="001C22E9"/>
    <w:rsid w:val="001C46A2"/>
    <w:rsid w:val="001D45AE"/>
    <w:rsid w:val="00203678"/>
    <w:rsid w:val="00203728"/>
    <w:rsid w:val="0020676E"/>
    <w:rsid w:val="00207077"/>
    <w:rsid w:val="002215C9"/>
    <w:rsid w:val="00221720"/>
    <w:rsid w:val="00226FD6"/>
    <w:rsid w:val="00233A35"/>
    <w:rsid w:val="00262D94"/>
    <w:rsid w:val="002876D8"/>
    <w:rsid w:val="00295CF3"/>
    <w:rsid w:val="002B5F85"/>
    <w:rsid w:val="002C7FCB"/>
    <w:rsid w:val="002D3DE5"/>
    <w:rsid w:val="002F53BB"/>
    <w:rsid w:val="003126B1"/>
    <w:rsid w:val="00331402"/>
    <w:rsid w:val="00336794"/>
    <w:rsid w:val="00342006"/>
    <w:rsid w:val="00363AC2"/>
    <w:rsid w:val="00365DDE"/>
    <w:rsid w:val="00374382"/>
    <w:rsid w:val="00386EF0"/>
    <w:rsid w:val="00387A04"/>
    <w:rsid w:val="00392E51"/>
    <w:rsid w:val="00393AE0"/>
    <w:rsid w:val="0039525B"/>
    <w:rsid w:val="00395383"/>
    <w:rsid w:val="0039591E"/>
    <w:rsid w:val="003C2D04"/>
    <w:rsid w:val="003C5248"/>
    <w:rsid w:val="003D7A74"/>
    <w:rsid w:val="003E528B"/>
    <w:rsid w:val="003F0AAF"/>
    <w:rsid w:val="00415ACA"/>
    <w:rsid w:val="00420A68"/>
    <w:rsid w:val="00420EC8"/>
    <w:rsid w:val="00425EE3"/>
    <w:rsid w:val="00427213"/>
    <w:rsid w:val="0043150D"/>
    <w:rsid w:val="00437F0D"/>
    <w:rsid w:val="00442C80"/>
    <w:rsid w:val="00450763"/>
    <w:rsid w:val="00460F4D"/>
    <w:rsid w:val="004669A1"/>
    <w:rsid w:val="00471A88"/>
    <w:rsid w:val="00482E19"/>
    <w:rsid w:val="004A0578"/>
    <w:rsid w:val="004A2007"/>
    <w:rsid w:val="004A6B37"/>
    <w:rsid w:val="004A741D"/>
    <w:rsid w:val="004B5C21"/>
    <w:rsid w:val="004B6BE9"/>
    <w:rsid w:val="004C04EE"/>
    <w:rsid w:val="004C524A"/>
    <w:rsid w:val="004E0FF1"/>
    <w:rsid w:val="004F3A18"/>
    <w:rsid w:val="00514AA9"/>
    <w:rsid w:val="0052139A"/>
    <w:rsid w:val="005257BD"/>
    <w:rsid w:val="00541402"/>
    <w:rsid w:val="0054197B"/>
    <w:rsid w:val="005442E2"/>
    <w:rsid w:val="005568CB"/>
    <w:rsid w:val="005629A3"/>
    <w:rsid w:val="00591B07"/>
    <w:rsid w:val="005929CB"/>
    <w:rsid w:val="0059387E"/>
    <w:rsid w:val="005A0FAE"/>
    <w:rsid w:val="005A274D"/>
    <w:rsid w:val="005A2F63"/>
    <w:rsid w:val="005A7B78"/>
    <w:rsid w:val="005B209F"/>
    <w:rsid w:val="005B4FF0"/>
    <w:rsid w:val="005B74FF"/>
    <w:rsid w:val="005D2740"/>
    <w:rsid w:val="005F50A5"/>
    <w:rsid w:val="005F66A2"/>
    <w:rsid w:val="005F6B5E"/>
    <w:rsid w:val="0060070B"/>
    <w:rsid w:val="00603DD0"/>
    <w:rsid w:val="0060447D"/>
    <w:rsid w:val="00606CFE"/>
    <w:rsid w:val="00611E9E"/>
    <w:rsid w:val="00620936"/>
    <w:rsid w:val="00631F5B"/>
    <w:rsid w:val="0063458F"/>
    <w:rsid w:val="00663C0F"/>
    <w:rsid w:val="00674AE4"/>
    <w:rsid w:val="00680494"/>
    <w:rsid w:val="00681FA3"/>
    <w:rsid w:val="00691F8F"/>
    <w:rsid w:val="00697E91"/>
    <w:rsid w:val="006A38BB"/>
    <w:rsid w:val="006A5521"/>
    <w:rsid w:val="006A7D30"/>
    <w:rsid w:val="006B2B0B"/>
    <w:rsid w:val="006B7185"/>
    <w:rsid w:val="006B7B8D"/>
    <w:rsid w:val="006C25F4"/>
    <w:rsid w:val="006C2CE2"/>
    <w:rsid w:val="006C3E10"/>
    <w:rsid w:val="006C7A82"/>
    <w:rsid w:val="006D0770"/>
    <w:rsid w:val="006D5510"/>
    <w:rsid w:val="006E13D4"/>
    <w:rsid w:val="006F1522"/>
    <w:rsid w:val="006F4B7E"/>
    <w:rsid w:val="006F6FAE"/>
    <w:rsid w:val="0070388B"/>
    <w:rsid w:val="00716D7A"/>
    <w:rsid w:val="007244A0"/>
    <w:rsid w:val="0073753B"/>
    <w:rsid w:val="007539CC"/>
    <w:rsid w:val="0076081A"/>
    <w:rsid w:val="0077482F"/>
    <w:rsid w:val="00776B63"/>
    <w:rsid w:val="007841C1"/>
    <w:rsid w:val="00784E7F"/>
    <w:rsid w:val="00786CA3"/>
    <w:rsid w:val="00794098"/>
    <w:rsid w:val="007B4CEF"/>
    <w:rsid w:val="007B4F36"/>
    <w:rsid w:val="007D2F0B"/>
    <w:rsid w:val="007E2552"/>
    <w:rsid w:val="007E526B"/>
    <w:rsid w:val="007E5650"/>
    <w:rsid w:val="007F6D41"/>
    <w:rsid w:val="00801807"/>
    <w:rsid w:val="00805F67"/>
    <w:rsid w:val="00811B20"/>
    <w:rsid w:val="008211B6"/>
    <w:rsid w:val="00821479"/>
    <w:rsid w:val="00823002"/>
    <w:rsid w:val="00844506"/>
    <w:rsid w:val="008451E3"/>
    <w:rsid w:val="00855105"/>
    <w:rsid w:val="008569AE"/>
    <w:rsid w:val="008677BD"/>
    <w:rsid w:val="00867C24"/>
    <w:rsid w:val="00870720"/>
    <w:rsid w:val="008821F1"/>
    <w:rsid w:val="00894287"/>
    <w:rsid w:val="008B6415"/>
    <w:rsid w:val="008C2CC3"/>
    <w:rsid w:val="008E3C1E"/>
    <w:rsid w:val="008F2E79"/>
    <w:rsid w:val="008F538E"/>
    <w:rsid w:val="008F7F7E"/>
    <w:rsid w:val="00910E2E"/>
    <w:rsid w:val="00911C12"/>
    <w:rsid w:val="00916577"/>
    <w:rsid w:val="00943449"/>
    <w:rsid w:val="00944E01"/>
    <w:rsid w:val="00953000"/>
    <w:rsid w:val="009554C9"/>
    <w:rsid w:val="0096075F"/>
    <w:rsid w:val="009855B7"/>
    <w:rsid w:val="009856AD"/>
    <w:rsid w:val="009938C2"/>
    <w:rsid w:val="009E6311"/>
    <w:rsid w:val="00A047CB"/>
    <w:rsid w:val="00A14CCC"/>
    <w:rsid w:val="00A511DE"/>
    <w:rsid w:val="00A51FD8"/>
    <w:rsid w:val="00A53400"/>
    <w:rsid w:val="00A5475D"/>
    <w:rsid w:val="00A6770F"/>
    <w:rsid w:val="00A71570"/>
    <w:rsid w:val="00A726C7"/>
    <w:rsid w:val="00A8083B"/>
    <w:rsid w:val="00AA0912"/>
    <w:rsid w:val="00AA4693"/>
    <w:rsid w:val="00AA57F0"/>
    <w:rsid w:val="00AA7644"/>
    <w:rsid w:val="00AD532D"/>
    <w:rsid w:val="00AE033C"/>
    <w:rsid w:val="00AF5510"/>
    <w:rsid w:val="00B03A4D"/>
    <w:rsid w:val="00B11727"/>
    <w:rsid w:val="00B16BA4"/>
    <w:rsid w:val="00B236FD"/>
    <w:rsid w:val="00B37DF7"/>
    <w:rsid w:val="00B44EB4"/>
    <w:rsid w:val="00B45EC3"/>
    <w:rsid w:val="00B7280D"/>
    <w:rsid w:val="00B8056F"/>
    <w:rsid w:val="00B91A09"/>
    <w:rsid w:val="00B92A74"/>
    <w:rsid w:val="00B97F7C"/>
    <w:rsid w:val="00BB358B"/>
    <w:rsid w:val="00BB5072"/>
    <w:rsid w:val="00BC2C6E"/>
    <w:rsid w:val="00BD726E"/>
    <w:rsid w:val="00BE6B9D"/>
    <w:rsid w:val="00C0061C"/>
    <w:rsid w:val="00C01D09"/>
    <w:rsid w:val="00C10156"/>
    <w:rsid w:val="00C13A9C"/>
    <w:rsid w:val="00C24D63"/>
    <w:rsid w:val="00C27CAA"/>
    <w:rsid w:val="00C46C16"/>
    <w:rsid w:val="00C47368"/>
    <w:rsid w:val="00C51014"/>
    <w:rsid w:val="00C51953"/>
    <w:rsid w:val="00C878FC"/>
    <w:rsid w:val="00C921E5"/>
    <w:rsid w:val="00CB150F"/>
    <w:rsid w:val="00CB6FD9"/>
    <w:rsid w:val="00CC67C3"/>
    <w:rsid w:val="00CD1370"/>
    <w:rsid w:val="00CD483B"/>
    <w:rsid w:val="00CE0CB5"/>
    <w:rsid w:val="00CE7CF0"/>
    <w:rsid w:val="00D157FD"/>
    <w:rsid w:val="00D30945"/>
    <w:rsid w:val="00D342C5"/>
    <w:rsid w:val="00D34337"/>
    <w:rsid w:val="00D42686"/>
    <w:rsid w:val="00D53BE0"/>
    <w:rsid w:val="00D56036"/>
    <w:rsid w:val="00D573BD"/>
    <w:rsid w:val="00D73FFC"/>
    <w:rsid w:val="00D75E09"/>
    <w:rsid w:val="00D771B0"/>
    <w:rsid w:val="00D8355F"/>
    <w:rsid w:val="00D9756C"/>
    <w:rsid w:val="00DA7F5F"/>
    <w:rsid w:val="00DB6542"/>
    <w:rsid w:val="00DD0784"/>
    <w:rsid w:val="00DE633E"/>
    <w:rsid w:val="00DF3741"/>
    <w:rsid w:val="00DF392E"/>
    <w:rsid w:val="00DF4C33"/>
    <w:rsid w:val="00DF54E1"/>
    <w:rsid w:val="00E00B1F"/>
    <w:rsid w:val="00E0139B"/>
    <w:rsid w:val="00E20FD4"/>
    <w:rsid w:val="00E27506"/>
    <w:rsid w:val="00E3062B"/>
    <w:rsid w:val="00E33538"/>
    <w:rsid w:val="00E45881"/>
    <w:rsid w:val="00E512B3"/>
    <w:rsid w:val="00E557F2"/>
    <w:rsid w:val="00E736EB"/>
    <w:rsid w:val="00E84659"/>
    <w:rsid w:val="00EA0DA8"/>
    <w:rsid w:val="00EA38A1"/>
    <w:rsid w:val="00ED5787"/>
    <w:rsid w:val="00EE0CC4"/>
    <w:rsid w:val="00EE6521"/>
    <w:rsid w:val="00EF39F3"/>
    <w:rsid w:val="00EF4051"/>
    <w:rsid w:val="00F10A93"/>
    <w:rsid w:val="00F15E26"/>
    <w:rsid w:val="00F202F0"/>
    <w:rsid w:val="00F2647B"/>
    <w:rsid w:val="00F32C50"/>
    <w:rsid w:val="00F36ECD"/>
    <w:rsid w:val="00F61DBC"/>
    <w:rsid w:val="00F656CA"/>
    <w:rsid w:val="00F67F06"/>
    <w:rsid w:val="00F72B7C"/>
    <w:rsid w:val="00F82AEC"/>
    <w:rsid w:val="00F92009"/>
    <w:rsid w:val="00F9479C"/>
    <w:rsid w:val="00F96AC8"/>
    <w:rsid w:val="00F972B0"/>
    <w:rsid w:val="00FA17AB"/>
    <w:rsid w:val="00FA7B4F"/>
    <w:rsid w:val="00FB1260"/>
    <w:rsid w:val="00FB221C"/>
    <w:rsid w:val="00FB6B9B"/>
    <w:rsid w:val="00FC726F"/>
    <w:rsid w:val="00FC7A56"/>
    <w:rsid w:val="00FD0655"/>
    <w:rsid w:val="00FD5899"/>
    <w:rsid w:val="00FE57DD"/>
    <w:rsid w:val="00FE5E38"/>
    <w:rsid w:val="00FE6F29"/>
    <w:rsid w:val="00FF0146"/>
    <w:rsid w:val="00FF12B6"/>
    <w:rsid w:val="00FF48EB"/>
    <w:rsid w:val="35468459"/>
    <w:rsid w:val="70016E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FE60C"/>
  <w15:chartTrackingRefBased/>
  <w15:docId w15:val="{72459054-D114-4B2C-AC00-6DF3E8EF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E79"/>
    <w:pPr>
      <w:jc w:val="both"/>
    </w:pPr>
    <w:rPr>
      <w:rFonts w:ascii="Times New Roman" w:hAnsi="Times New Roman" w:cs="Times New Roman"/>
      <w:sz w:val="24"/>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E79"/>
    <w:pPr>
      <w:ind w:left="720"/>
      <w:contextualSpacing/>
    </w:pPr>
  </w:style>
  <w:style w:type="paragraph" w:styleId="FootnoteText">
    <w:name w:val="footnote text"/>
    <w:basedOn w:val="Normal"/>
    <w:link w:val="FootnoteTextChar"/>
    <w:uiPriority w:val="99"/>
    <w:semiHidden/>
    <w:unhideWhenUsed/>
    <w:rsid w:val="000A40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4038"/>
    <w:rPr>
      <w:rFonts w:ascii="Times New Roman" w:hAnsi="Times New Roman" w:cs="Times New Roman"/>
      <w:sz w:val="20"/>
      <w:szCs w:val="20"/>
      <w:lang w:val="fr-BE"/>
    </w:rPr>
  </w:style>
  <w:style w:type="character" w:styleId="FootnoteReference">
    <w:name w:val="footnote reference"/>
    <w:basedOn w:val="DefaultParagraphFont"/>
    <w:uiPriority w:val="99"/>
    <w:semiHidden/>
    <w:unhideWhenUsed/>
    <w:rsid w:val="000A4038"/>
    <w:rPr>
      <w:vertAlign w:val="superscript"/>
    </w:rPr>
  </w:style>
  <w:style w:type="character" w:styleId="Hyperlink">
    <w:name w:val="Hyperlink"/>
    <w:aliases w:val="Char1"/>
    <w:uiPriority w:val="99"/>
    <w:rsid w:val="000A4038"/>
    <w:rPr>
      <w:color w:val="0000FF"/>
      <w:u w:val="single"/>
    </w:rPr>
  </w:style>
  <w:style w:type="character" w:customStyle="1" w:styleId="highlight">
    <w:name w:val="highlight"/>
    <w:rsid w:val="00D9756C"/>
  </w:style>
  <w:style w:type="character" w:styleId="CommentReference">
    <w:name w:val="annotation reference"/>
    <w:basedOn w:val="DefaultParagraphFont"/>
    <w:uiPriority w:val="99"/>
    <w:semiHidden/>
    <w:unhideWhenUsed/>
    <w:rsid w:val="00CD483B"/>
    <w:rPr>
      <w:sz w:val="16"/>
      <w:szCs w:val="16"/>
    </w:rPr>
  </w:style>
  <w:style w:type="paragraph" w:styleId="CommentText">
    <w:name w:val="annotation text"/>
    <w:basedOn w:val="Normal"/>
    <w:link w:val="CommentTextChar"/>
    <w:uiPriority w:val="99"/>
    <w:unhideWhenUsed/>
    <w:rsid w:val="00CD483B"/>
    <w:pPr>
      <w:spacing w:line="240" w:lineRule="auto"/>
    </w:pPr>
    <w:rPr>
      <w:sz w:val="20"/>
      <w:szCs w:val="20"/>
    </w:rPr>
  </w:style>
  <w:style w:type="character" w:customStyle="1" w:styleId="CommentTextChar">
    <w:name w:val="Comment Text Char"/>
    <w:basedOn w:val="DefaultParagraphFont"/>
    <w:link w:val="CommentText"/>
    <w:uiPriority w:val="99"/>
    <w:rsid w:val="00CD483B"/>
    <w:rPr>
      <w:rFonts w:ascii="Times New Roman" w:hAnsi="Times New Roman" w:cs="Times New Roman"/>
      <w:sz w:val="20"/>
      <w:szCs w:val="20"/>
      <w:lang w:val="fr-BE"/>
    </w:rPr>
  </w:style>
  <w:style w:type="paragraph" w:styleId="CommentSubject">
    <w:name w:val="annotation subject"/>
    <w:basedOn w:val="CommentText"/>
    <w:next w:val="CommentText"/>
    <w:link w:val="CommentSubjectChar"/>
    <w:uiPriority w:val="99"/>
    <w:semiHidden/>
    <w:unhideWhenUsed/>
    <w:rsid w:val="00CD483B"/>
    <w:rPr>
      <w:b/>
      <w:bCs/>
    </w:rPr>
  </w:style>
  <w:style w:type="character" w:customStyle="1" w:styleId="CommentSubjectChar">
    <w:name w:val="Comment Subject Char"/>
    <w:basedOn w:val="CommentTextChar"/>
    <w:link w:val="CommentSubject"/>
    <w:uiPriority w:val="99"/>
    <w:semiHidden/>
    <w:rsid w:val="00CD483B"/>
    <w:rPr>
      <w:rFonts w:ascii="Times New Roman" w:hAnsi="Times New Roman" w:cs="Times New Roman"/>
      <w:b/>
      <w:bCs/>
      <w:sz w:val="20"/>
      <w:szCs w:val="20"/>
      <w:lang w:val="fr-BE"/>
    </w:rPr>
  </w:style>
  <w:style w:type="paragraph" w:styleId="BalloonText">
    <w:name w:val="Balloon Text"/>
    <w:basedOn w:val="Normal"/>
    <w:link w:val="BalloonTextChar"/>
    <w:uiPriority w:val="99"/>
    <w:semiHidden/>
    <w:unhideWhenUsed/>
    <w:rsid w:val="00CD4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83B"/>
    <w:rPr>
      <w:rFonts w:ascii="Segoe UI" w:hAnsi="Segoe UI" w:cs="Segoe UI"/>
      <w:sz w:val="18"/>
      <w:szCs w:val="18"/>
      <w:lang w:val="fr-BE"/>
    </w:rPr>
  </w:style>
  <w:style w:type="character" w:customStyle="1" w:styleId="sup">
    <w:name w:val="sup"/>
    <w:basedOn w:val="DefaultParagraphFont"/>
    <w:rsid w:val="00CD483B"/>
  </w:style>
  <w:style w:type="paragraph" w:styleId="Header">
    <w:name w:val="header"/>
    <w:basedOn w:val="Normal"/>
    <w:link w:val="HeaderChar"/>
    <w:uiPriority w:val="99"/>
    <w:unhideWhenUsed/>
    <w:rsid w:val="00CE7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CF0"/>
    <w:rPr>
      <w:rFonts w:ascii="Times New Roman" w:hAnsi="Times New Roman" w:cs="Times New Roman"/>
      <w:sz w:val="24"/>
      <w:lang w:val="fr-BE"/>
    </w:rPr>
  </w:style>
  <w:style w:type="paragraph" w:styleId="Footer">
    <w:name w:val="footer"/>
    <w:basedOn w:val="Normal"/>
    <w:link w:val="FooterChar"/>
    <w:uiPriority w:val="99"/>
    <w:unhideWhenUsed/>
    <w:rsid w:val="00CE7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CF0"/>
    <w:rPr>
      <w:rFonts w:ascii="Times New Roman" w:hAnsi="Times New Roman" w:cs="Times New Roman"/>
      <w:sz w:val="24"/>
      <w:lang w:val="fr-BE"/>
    </w:rPr>
  </w:style>
  <w:style w:type="character" w:styleId="FollowedHyperlink">
    <w:name w:val="FollowedHyperlink"/>
    <w:basedOn w:val="DefaultParagraphFont"/>
    <w:uiPriority w:val="99"/>
    <w:semiHidden/>
    <w:unhideWhenUsed/>
    <w:rsid w:val="00FE5E38"/>
    <w:rPr>
      <w:color w:val="954F72" w:themeColor="followedHyperlink"/>
      <w:u w:val="single"/>
    </w:rPr>
  </w:style>
  <w:style w:type="paragraph" w:styleId="Revision">
    <w:name w:val="Revision"/>
    <w:hidden/>
    <w:uiPriority w:val="99"/>
    <w:semiHidden/>
    <w:rsid w:val="008E3C1E"/>
    <w:pPr>
      <w:spacing w:after="0" w:line="240" w:lineRule="auto"/>
    </w:pPr>
    <w:rPr>
      <w:rFonts w:ascii="Times New Roman" w:hAnsi="Times New Roman" w:cs="Times New Roman"/>
      <w:sz w:val="24"/>
      <w:lang w:val="fr-BE"/>
    </w:rPr>
  </w:style>
  <w:style w:type="paragraph" w:styleId="NoSpacing">
    <w:name w:val="No Spacing"/>
    <w:basedOn w:val="Normal"/>
    <w:uiPriority w:val="1"/>
    <w:qFormat/>
    <w:rsid w:val="0039525B"/>
    <w:pPr>
      <w:pBdr>
        <w:top w:val="nil"/>
        <w:left w:val="nil"/>
        <w:bottom w:val="nil"/>
        <w:right w:val="nil"/>
        <w:between w:val="nil"/>
        <w:bar w:val="nil"/>
      </w:pBdr>
    </w:pPr>
    <w:rPr>
      <w:rFonts w:eastAsia="Arial Unicode MS"/>
      <w:szCs w:val="24"/>
      <w:bdr w:val="nil"/>
      <w:lang w:val="en-GB"/>
    </w:rPr>
  </w:style>
  <w:style w:type="character" w:customStyle="1" w:styleId="cf01">
    <w:name w:val="cf01"/>
    <w:basedOn w:val="DefaultParagraphFont"/>
    <w:rsid w:val="00295CF3"/>
    <w:rPr>
      <w:rFonts w:ascii="Segoe UI" w:hAnsi="Segoe UI" w:cs="Segoe UI" w:hint="default"/>
      <w:b/>
      <w:bCs/>
      <w:sz w:val="18"/>
      <w:szCs w:val="18"/>
    </w:rPr>
  </w:style>
  <w:style w:type="paragraph" w:customStyle="1" w:styleId="Text1">
    <w:name w:val="Text 1"/>
    <w:basedOn w:val="Normal"/>
    <w:rsid w:val="002D3DE5"/>
    <w:pPr>
      <w:spacing w:after="240" w:line="240" w:lineRule="auto"/>
      <w:ind w:left="482"/>
    </w:pPr>
    <w:rPr>
      <w:rFonts w:eastAsia="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5138">
      <w:bodyDiv w:val="1"/>
      <w:marLeft w:val="0"/>
      <w:marRight w:val="0"/>
      <w:marTop w:val="0"/>
      <w:marBottom w:val="0"/>
      <w:divBdr>
        <w:top w:val="none" w:sz="0" w:space="0" w:color="auto"/>
        <w:left w:val="none" w:sz="0" w:space="0" w:color="auto"/>
        <w:bottom w:val="none" w:sz="0" w:space="0" w:color="auto"/>
        <w:right w:val="none" w:sz="0" w:space="0" w:color="auto"/>
      </w:divBdr>
    </w:div>
    <w:div w:id="1452506242">
      <w:bodyDiv w:val="1"/>
      <w:marLeft w:val="0"/>
      <w:marRight w:val="0"/>
      <w:marTop w:val="0"/>
      <w:marBottom w:val="0"/>
      <w:divBdr>
        <w:top w:val="none" w:sz="0" w:space="0" w:color="auto"/>
        <w:left w:val="none" w:sz="0" w:space="0" w:color="auto"/>
        <w:bottom w:val="none" w:sz="0" w:space="0" w:color="auto"/>
        <w:right w:val="none" w:sz="0" w:space="0" w:color="auto"/>
      </w:divBdr>
    </w:div>
    <w:div w:id="178942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food.ec.europa.eu/plants/genetically-modified-organisms/public-consultatio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61889-0775-4B58-ABD7-94D73E4588EF}">
  <ds:schemaRefs>
    <ds:schemaRef ds:uri="http://schemas.microsoft.com/sharepoint/v3/contenttype/forms"/>
  </ds:schemaRefs>
</ds:datastoreItem>
</file>

<file path=customXml/itemProps2.xml><?xml version="1.0" encoding="utf-8"?>
<ds:datastoreItem xmlns:ds="http://schemas.openxmlformats.org/officeDocument/2006/customXml" ds:itemID="{FC96005D-821D-45CE-978A-966820A83549}">
  <ds:schemaRefs>
    <ds:schemaRef ds:uri="http://schemas.openxmlformats.org/officeDocument/2006/bibliography"/>
  </ds:schemaRefs>
</ds:datastoreItem>
</file>

<file path=customXml/itemProps3.xml><?xml version="1.0" encoding="utf-8"?>
<ds:datastoreItem xmlns:ds="http://schemas.openxmlformats.org/officeDocument/2006/customXml" ds:itemID="{97B617D4-2CF9-4C99-9C2E-D493E1FC2941}">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2CA3EB11-179F-49EE-9189-9034F7F17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1493</Words>
  <Characters>7919</Characters>
  <Application>Microsoft Office Word</Application>
  <DocSecurity>0</DocSecurity>
  <Lines>123</Lines>
  <Paragraphs>36</Paragraphs>
  <ScaleCrop>false</ScaleCrop>
  <Company>European Commission</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MARGUERITTE Juliette-Marie (SANTE)</dc:creator>
  <cp:keywords/>
  <dc:description/>
  <cp:lastModifiedBy>DELBAER Gerda (SG)</cp:lastModifiedBy>
  <cp:revision>2</cp:revision>
  <dcterms:created xsi:type="dcterms:W3CDTF">2025-05-02T07:22:00Z</dcterms:created>
  <dcterms:modified xsi:type="dcterms:W3CDTF">2025-05-02T07:22:00Z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2022-04-21T10:08:37Z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974cc6b9-a546-40ef-b2e9-7be6f98771ce</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