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6C05" w14:textId="362E4353" w:rsidR="009B1FF1" w:rsidRPr="009B1FF1" w:rsidRDefault="00DD5E3A" w:rsidP="008D59F9">
      <w:pPr>
        <w:spacing w:after="600" w:line="240" w:lineRule="auto"/>
        <w:ind w:left="720"/>
        <w:jc w:val="center"/>
      </w:pPr>
      <w:r>
        <w:rPr>
          <w:b/>
          <w:caps/>
        </w:rPr>
        <w:t>Procédure</w:t>
      </w:r>
      <w:r>
        <w:rPr>
          <w:b/>
        </w:rPr>
        <w:t xml:space="preserve"> LÉGISLATIVE SPÉCIALE</w:t>
      </w:r>
    </w:p>
    <w:p w14:paraId="65717952" w14:textId="03680141" w:rsidR="00DC568A" w:rsidRPr="00FE60A5" w:rsidRDefault="009B1FF1" w:rsidP="00DC568A">
      <w:pPr>
        <w:spacing w:after="600" w:line="240" w:lineRule="auto"/>
        <w:jc w:val="center"/>
        <w:rPr>
          <w:b/>
          <w:bCs/>
          <w:szCs w:val="24"/>
        </w:rPr>
      </w:pPr>
      <w:r>
        <w:rPr>
          <w:b/>
        </w:rPr>
        <w:t>Suite donnée à la résolution du Parlement européen du 2 avril 2025 sur la proposition de règlement du Conseil relatif au renforcement de la sécurité des cartes d’identité des citoyens de l’Union et des documents de séjour délivrés aux citoyens de l’Union et aux membres de leur famille exerçant leur droit à la libre circulation</w:t>
      </w:r>
    </w:p>
    <w:p w14:paraId="5481E768" w14:textId="74F2CB10" w:rsidR="002B7441" w:rsidRPr="00462F56" w:rsidRDefault="002B7441" w:rsidP="00BB4DD6">
      <w:pPr>
        <w:spacing w:after="240"/>
        <w:ind w:left="567" w:hanging="567"/>
      </w:pPr>
      <w:r>
        <w:rPr>
          <w:b/>
        </w:rPr>
        <w:t>1.</w:t>
      </w:r>
      <w:r>
        <w:tab/>
      </w:r>
      <w:r>
        <w:rPr>
          <w:b/>
        </w:rPr>
        <w:t xml:space="preserve">Rapporteur: </w:t>
      </w:r>
      <w:r>
        <w:t>Malik AZMANI (Renew/NL)</w:t>
      </w:r>
    </w:p>
    <w:p w14:paraId="61D6E453" w14:textId="779B2816" w:rsidR="00605133" w:rsidRPr="00901E23" w:rsidRDefault="002B7441" w:rsidP="00FF62A9">
      <w:pPr>
        <w:spacing w:after="240"/>
        <w:ind w:left="567" w:hanging="567"/>
      </w:pPr>
      <w:r>
        <w:rPr>
          <w:b/>
        </w:rPr>
        <w:t>2.</w:t>
      </w:r>
      <w:r>
        <w:tab/>
      </w:r>
      <w:r>
        <w:rPr>
          <w:b/>
        </w:rPr>
        <w:t>Références:</w:t>
      </w:r>
      <w:r>
        <w:t xml:space="preserve"> </w:t>
      </w:r>
      <w:hyperlink r:id="rId11" w:history="1">
        <w:hyperlink r:id="rId12" w:history="1">
          <w:r>
            <w:t xml:space="preserve"> 2024/0187(C</w:t>
          </w:r>
        </w:hyperlink>
      </w:hyperlink>
      <w:r>
        <w:t>NS) / A10-0041/2025 / P10_TA(2025)0056</w:t>
      </w:r>
    </w:p>
    <w:p w14:paraId="474B79A2" w14:textId="067E7C27" w:rsidR="002B7441" w:rsidRPr="00FF62A9" w:rsidRDefault="002B7441" w:rsidP="00BB4DD6">
      <w:pPr>
        <w:spacing w:after="240"/>
        <w:ind w:left="567" w:hanging="567"/>
        <w:rPr>
          <w:iCs/>
        </w:rPr>
      </w:pPr>
      <w:r>
        <w:rPr>
          <w:b/>
        </w:rPr>
        <w:t>3.</w:t>
      </w:r>
      <w:r>
        <w:tab/>
      </w:r>
      <w:r>
        <w:rPr>
          <w:b/>
        </w:rPr>
        <w:t>Date d’adoption de la résolution:</w:t>
      </w:r>
      <w:r>
        <w:t xml:space="preserve"> 2 avril 2025</w:t>
      </w:r>
    </w:p>
    <w:p w14:paraId="35860E93" w14:textId="7A01DA62" w:rsidR="002B7441" w:rsidRPr="00FF62A9" w:rsidRDefault="002B7441" w:rsidP="00BB4DD6">
      <w:pPr>
        <w:spacing w:after="240"/>
        <w:ind w:left="567" w:hanging="567"/>
        <w:jc w:val="both"/>
      </w:pPr>
      <w:r>
        <w:rPr>
          <w:b/>
        </w:rPr>
        <w:t>4.</w:t>
      </w:r>
      <w:r>
        <w:tab/>
      </w:r>
      <w:r>
        <w:rPr>
          <w:b/>
        </w:rPr>
        <w:t xml:space="preserve">Base juridique: </w:t>
      </w:r>
      <w:r>
        <w:t>article 77, paragraphe 3, du traité sur le fonctionnement de l’Union européenne.</w:t>
      </w:r>
    </w:p>
    <w:p w14:paraId="5DE3F035" w14:textId="76F5BDA0" w:rsidR="00DE04F8" w:rsidRPr="0019232D" w:rsidRDefault="002B7441" w:rsidP="00DE04F8">
      <w:pPr>
        <w:spacing w:after="240"/>
        <w:ind w:left="567" w:hanging="567"/>
        <w:jc w:val="both"/>
        <w:rPr>
          <w:szCs w:val="24"/>
        </w:rPr>
      </w:pPr>
      <w:r>
        <w:rPr>
          <w:b/>
        </w:rPr>
        <w:t>5.</w:t>
      </w:r>
      <w:r>
        <w:tab/>
      </w:r>
      <w:r>
        <w:rPr>
          <w:b/>
        </w:rPr>
        <w:t>Commission parlementaire compétente:</w:t>
      </w:r>
      <w:r>
        <w:t xml:space="preserve"> commission des libertés civiles, de la justice et des affaires intérieures (LIBE)</w:t>
      </w:r>
    </w:p>
    <w:p w14:paraId="219C8439" w14:textId="29B087C2" w:rsidR="00862937" w:rsidRPr="00FF62A9" w:rsidRDefault="002B7441" w:rsidP="00FF62A9">
      <w:pPr>
        <w:tabs>
          <w:tab w:val="left" w:pos="567"/>
        </w:tabs>
        <w:spacing w:after="240" w:line="240" w:lineRule="auto"/>
        <w:ind w:left="567" w:hanging="567"/>
        <w:jc w:val="both"/>
        <w:rPr>
          <w:color w:val="000000"/>
          <w:szCs w:val="24"/>
        </w:rPr>
      </w:pPr>
      <w:r>
        <w:rPr>
          <w:b/>
        </w:rPr>
        <w:t>6.</w:t>
      </w:r>
      <w:r>
        <w:tab/>
      </w:r>
      <w:r>
        <w:rPr>
          <w:b/>
        </w:rPr>
        <w:t>Position de la Commission:</w:t>
      </w:r>
      <w:r>
        <w:rPr>
          <w:color w:val="000000"/>
          <w:sz w:val="22"/>
        </w:rPr>
        <w:t xml:space="preserve"> </w:t>
      </w:r>
      <w:r>
        <w:rPr>
          <w:color w:val="000000"/>
        </w:rPr>
        <w:t>la Commission prend acte des amendements proposés par le Parlement européen, et réserve sa position sur ces amendements tant que la discussion au sein du Conseil est en cours.</w:t>
      </w:r>
    </w:p>
    <w:p w14:paraId="4C86F67B" w14:textId="77777777" w:rsidR="00862937" w:rsidRDefault="00862937" w:rsidP="00BB4DD6">
      <w:pPr>
        <w:tabs>
          <w:tab w:val="left" w:pos="567"/>
        </w:tabs>
        <w:spacing w:after="200" w:line="276" w:lineRule="auto"/>
        <w:rPr>
          <w:color w:val="000000"/>
          <w:szCs w:val="24"/>
          <w:lang w:val="en-GB"/>
        </w:rPr>
      </w:pPr>
    </w:p>
    <w:sectPr w:rsidR="00862937" w:rsidSect="00C85D7E">
      <w:headerReference w:type="even" r:id="rId13"/>
      <w:headerReference w:type="default" r:id="rId14"/>
      <w:footerReference w:type="even" r:id="rId15"/>
      <w:footerReference w:type="default" r:id="rId16"/>
      <w:headerReference w:type="first" r:id="rId17"/>
      <w:footerReference w:type="first" r:id="rId18"/>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1DE8" w14:textId="77777777" w:rsidR="004A6B38" w:rsidRDefault="004A6B38">
      <w:pPr>
        <w:spacing w:line="240" w:lineRule="auto"/>
      </w:pPr>
      <w:r>
        <w:separator/>
      </w:r>
    </w:p>
  </w:endnote>
  <w:endnote w:type="continuationSeparator" w:id="0">
    <w:p w14:paraId="20BCA5F6" w14:textId="77777777" w:rsidR="004A6B38" w:rsidRDefault="004A6B38">
      <w:pPr>
        <w:spacing w:line="240" w:lineRule="auto"/>
      </w:pPr>
      <w:r>
        <w:continuationSeparator/>
      </w:r>
    </w:p>
  </w:endnote>
  <w:endnote w:type="continuationNotice" w:id="1">
    <w:p w14:paraId="6F516C8C" w14:textId="77777777" w:rsidR="004A6B38" w:rsidRDefault="004A6B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16FA" w14:textId="77777777" w:rsidR="00EC7926" w:rsidRDefault="00EC7926" w:rsidP="008A1A0C">
    <w:pPr>
      <w:pStyle w:val="Footer"/>
      <w:jc w:val="both"/>
    </w:pPr>
    <w:r>
      <w:t>Commission européenne, B-1049 Bruxelles – Belgique, téléphone: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E78A" w14:textId="77777777" w:rsidR="004A6B38" w:rsidRDefault="004A6B38">
      <w:pPr>
        <w:spacing w:line="240" w:lineRule="auto"/>
      </w:pPr>
      <w:r>
        <w:separator/>
      </w:r>
    </w:p>
  </w:footnote>
  <w:footnote w:type="continuationSeparator" w:id="0">
    <w:p w14:paraId="02CD13C8" w14:textId="77777777" w:rsidR="004A6B38" w:rsidRDefault="004A6B38">
      <w:pPr>
        <w:spacing w:line="240" w:lineRule="auto"/>
      </w:pPr>
      <w:r>
        <w:continuationSeparator/>
      </w:r>
    </w:p>
  </w:footnote>
  <w:footnote w:type="continuationNotice" w:id="1">
    <w:p w14:paraId="16B7EA6F" w14:textId="77777777" w:rsidR="004A6B38" w:rsidRDefault="004A6B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68A9"/>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3097"/>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10DF"/>
    <w:rsid w:val="00164E15"/>
    <w:rsid w:val="001653DC"/>
    <w:rsid w:val="00165F24"/>
    <w:rsid w:val="0017144D"/>
    <w:rsid w:val="001731F2"/>
    <w:rsid w:val="001739C1"/>
    <w:rsid w:val="00175CEF"/>
    <w:rsid w:val="00177CD5"/>
    <w:rsid w:val="00177E49"/>
    <w:rsid w:val="00180624"/>
    <w:rsid w:val="001816F8"/>
    <w:rsid w:val="001838CA"/>
    <w:rsid w:val="00184159"/>
    <w:rsid w:val="001863B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6B8"/>
    <w:rsid w:val="001D2B20"/>
    <w:rsid w:val="001D6416"/>
    <w:rsid w:val="001D65E0"/>
    <w:rsid w:val="001E013A"/>
    <w:rsid w:val="001E1E30"/>
    <w:rsid w:val="001E216D"/>
    <w:rsid w:val="001E430C"/>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DBC"/>
    <w:rsid w:val="0024709A"/>
    <w:rsid w:val="00247145"/>
    <w:rsid w:val="00247E3D"/>
    <w:rsid w:val="00250F89"/>
    <w:rsid w:val="0025116B"/>
    <w:rsid w:val="002523DA"/>
    <w:rsid w:val="00254EB5"/>
    <w:rsid w:val="002566EF"/>
    <w:rsid w:val="002576E0"/>
    <w:rsid w:val="00257975"/>
    <w:rsid w:val="00262F21"/>
    <w:rsid w:val="002631A7"/>
    <w:rsid w:val="00263D68"/>
    <w:rsid w:val="0026424D"/>
    <w:rsid w:val="00264BF5"/>
    <w:rsid w:val="002654F8"/>
    <w:rsid w:val="00265AC1"/>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17A7"/>
    <w:rsid w:val="00322729"/>
    <w:rsid w:val="00322B0D"/>
    <w:rsid w:val="003233CF"/>
    <w:rsid w:val="003248B4"/>
    <w:rsid w:val="00325C34"/>
    <w:rsid w:val="00325CA1"/>
    <w:rsid w:val="0032750A"/>
    <w:rsid w:val="00327AED"/>
    <w:rsid w:val="00331238"/>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24C5"/>
    <w:rsid w:val="00393E7F"/>
    <w:rsid w:val="00394375"/>
    <w:rsid w:val="00394A88"/>
    <w:rsid w:val="00394B17"/>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3F6FED"/>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01DB"/>
    <w:rsid w:val="004513B3"/>
    <w:rsid w:val="004518F8"/>
    <w:rsid w:val="00452FE1"/>
    <w:rsid w:val="004533DF"/>
    <w:rsid w:val="004551A1"/>
    <w:rsid w:val="00455DE2"/>
    <w:rsid w:val="004564C9"/>
    <w:rsid w:val="004612AF"/>
    <w:rsid w:val="00462F56"/>
    <w:rsid w:val="00464769"/>
    <w:rsid w:val="00466693"/>
    <w:rsid w:val="00471C99"/>
    <w:rsid w:val="00471E49"/>
    <w:rsid w:val="00473C92"/>
    <w:rsid w:val="00473D53"/>
    <w:rsid w:val="004754B5"/>
    <w:rsid w:val="00475A2E"/>
    <w:rsid w:val="00477BCB"/>
    <w:rsid w:val="00481615"/>
    <w:rsid w:val="00481986"/>
    <w:rsid w:val="004821C7"/>
    <w:rsid w:val="00482A76"/>
    <w:rsid w:val="0048324E"/>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A6B38"/>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876"/>
    <w:rsid w:val="00566ED7"/>
    <w:rsid w:val="005675C4"/>
    <w:rsid w:val="00570C25"/>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E7B5B"/>
    <w:rsid w:val="005F0582"/>
    <w:rsid w:val="005F0778"/>
    <w:rsid w:val="005F07D6"/>
    <w:rsid w:val="005F088C"/>
    <w:rsid w:val="005F1E1E"/>
    <w:rsid w:val="005F2465"/>
    <w:rsid w:val="005F2744"/>
    <w:rsid w:val="005F2E7D"/>
    <w:rsid w:val="005F3A08"/>
    <w:rsid w:val="005F4127"/>
    <w:rsid w:val="005F4822"/>
    <w:rsid w:val="005F644B"/>
    <w:rsid w:val="005F6BB2"/>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18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0B5"/>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48A2"/>
    <w:rsid w:val="006B64F3"/>
    <w:rsid w:val="006C05B6"/>
    <w:rsid w:val="006C080F"/>
    <w:rsid w:val="006C0DAC"/>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37C17"/>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1F4"/>
    <w:rsid w:val="007752D7"/>
    <w:rsid w:val="00777847"/>
    <w:rsid w:val="00777920"/>
    <w:rsid w:val="007805B3"/>
    <w:rsid w:val="00782FF5"/>
    <w:rsid w:val="007833DC"/>
    <w:rsid w:val="00783CA0"/>
    <w:rsid w:val="007846F4"/>
    <w:rsid w:val="00784878"/>
    <w:rsid w:val="007859CD"/>
    <w:rsid w:val="00785A0C"/>
    <w:rsid w:val="00790968"/>
    <w:rsid w:val="007912D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6A4"/>
    <w:rsid w:val="007D33AD"/>
    <w:rsid w:val="007D5A06"/>
    <w:rsid w:val="007D5FC6"/>
    <w:rsid w:val="007D6810"/>
    <w:rsid w:val="007D7538"/>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701"/>
    <w:rsid w:val="008727CC"/>
    <w:rsid w:val="008734FD"/>
    <w:rsid w:val="00874346"/>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1E23"/>
    <w:rsid w:val="00903EA5"/>
    <w:rsid w:val="0090401E"/>
    <w:rsid w:val="00904C46"/>
    <w:rsid w:val="009053D7"/>
    <w:rsid w:val="00906C9D"/>
    <w:rsid w:val="0090729B"/>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6276"/>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2C9E"/>
    <w:rsid w:val="0097463E"/>
    <w:rsid w:val="00974D5C"/>
    <w:rsid w:val="00975B7E"/>
    <w:rsid w:val="0097657D"/>
    <w:rsid w:val="00976FDD"/>
    <w:rsid w:val="0097720A"/>
    <w:rsid w:val="0097799B"/>
    <w:rsid w:val="0098014E"/>
    <w:rsid w:val="00982190"/>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144D"/>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7C7"/>
    <w:rsid w:val="00A44323"/>
    <w:rsid w:val="00A44626"/>
    <w:rsid w:val="00A44C06"/>
    <w:rsid w:val="00A454EF"/>
    <w:rsid w:val="00A45962"/>
    <w:rsid w:val="00A46C12"/>
    <w:rsid w:val="00A50B5F"/>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31A"/>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5FD3"/>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001"/>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270E"/>
    <w:rsid w:val="00B82759"/>
    <w:rsid w:val="00B82CF0"/>
    <w:rsid w:val="00B82F50"/>
    <w:rsid w:val="00B834E7"/>
    <w:rsid w:val="00B83C0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501"/>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1492"/>
    <w:rsid w:val="00C34BE1"/>
    <w:rsid w:val="00C35A1E"/>
    <w:rsid w:val="00C36A94"/>
    <w:rsid w:val="00C37478"/>
    <w:rsid w:val="00C4000A"/>
    <w:rsid w:val="00C40971"/>
    <w:rsid w:val="00C4327A"/>
    <w:rsid w:val="00C44573"/>
    <w:rsid w:val="00C44E52"/>
    <w:rsid w:val="00C45897"/>
    <w:rsid w:val="00C47481"/>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DA9"/>
    <w:rsid w:val="00C71F57"/>
    <w:rsid w:val="00C73D57"/>
    <w:rsid w:val="00C75120"/>
    <w:rsid w:val="00C76640"/>
    <w:rsid w:val="00C76E10"/>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567"/>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284"/>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86112"/>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5E3A"/>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286"/>
    <w:rsid w:val="00E15F76"/>
    <w:rsid w:val="00E17411"/>
    <w:rsid w:val="00E21025"/>
    <w:rsid w:val="00E260B7"/>
    <w:rsid w:val="00E26A29"/>
    <w:rsid w:val="00E3344C"/>
    <w:rsid w:val="00E339A1"/>
    <w:rsid w:val="00E34040"/>
    <w:rsid w:val="00E3635F"/>
    <w:rsid w:val="00E377CD"/>
    <w:rsid w:val="00E41286"/>
    <w:rsid w:val="00E419B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11BD"/>
    <w:rsid w:val="00E52CA9"/>
    <w:rsid w:val="00E57DE1"/>
    <w:rsid w:val="00E63F27"/>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379"/>
    <w:rsid w:val="00E83411"/>
    <w:rsid w:val="00E86601"/>
    <w:rsid w:val="00E87F48"/>
    <w:rsid w:val="00E87FDC"/>
    <w:rsid w:val="00E906A2"/>
    <w:rsid w:val="00E92759"/>
    <w:rsid w:val="00E93D63"/>
    <w:rsid w:val="00E93FD7"/>
    <w:rsid w:val="00EA022C"/>
    <w:rsid w:val="00EA1BCD"/>
    <w:rsid w:val="00EA3439"/>
    <w:rsid w:val="00EA38F2"/>
    <w:rsid w:val="00EA40FB"/>
    <w:rsid w:val="00EA4AAC"/>
    <w:rsid w:val="00EA4E89"/>
    <w:rsid w:val="00EB2178"/>
    <w:rsid w:val="00EB221D"/>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D01"/>
    <w:rsid w:val="00EF3556"/>
    <w:rsid w:val="00EF63C8"/>
    <w:rsid w:val="00F01442"/>
    <w:rsid w:val="00F01881"/>
    <w:rsid w:val="00F018BC"/>
    <w:rsid w:val="00F01E32"/>
    <w:rsid w:val="00F03074"/>
    <w:rsid w:val="00F0344E"/>
    <w:rsid w:val="00F05CC4"/>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2D89"/>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E18"/>
    <w:rsid w:val="00FA0F1F"/>
    <w:rsid w:val="00FA291B"/>
    <w:rsid w:val="00FA3007"/>
    <w:rsid w:val="00FA3AF8"/>
    <w:rsid w:val="00FA55BA"/>
    <w:rsid w:val="00FA579A"/>
    <w:rsid w:val="00FA7FAD"/>
    <w:rsid w:val="00FB3789"/>
    <w:rsid w:val="00FB38F3"/>
    <w:rsid w:val="00FB74D2"/>
    <w:rsid w:val="00FB7C4A"/>
    <w:rsid w:val="00FB7CCD"/>
    <w:rsid w:val="00FC00EB"/>
    <w:rsid w:val="00FC09A7"/>
    <w:rsid w:val="00FC105F"/>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0A5"/>
    <w:rsid w:val="00FE62DF"/>
    <w:rsid w:val="00FE6C7E"/>
    <w:rsid w:val="00FE7491"/>
    <w:rsid w:val="00FE765B"/>
    <w:rsid w:val="00FF012B"/>
    <w:rsid w:val="00FF0C02"/>
    <w:rsid w:val="00FF1736"/>
    <w:rsid w:val="00FF3537"/>
    <w:rsid w:val="00FF39C1"/>
    <w:rsid w:val="00FF46C0"/>
    <w:rsid w:val="00FF62A9"/>
    <w:rsid w:val="00FF71DA"/>
    <w:rsid w:val="00FF7AE0"/>
    <w:rsid w:val="00FF7F71"/>
    <w:rsid w:val="02D86B7B"/>
    <w:rsid w:val="075BF409"/>
    <w:rsid w:val="24020B9C"/>
    <w:rsid w:val="3A2EF6A5"/>
    <w:rsid w:val="3FD67F2A"/>
    <w:rsid w:val="4337917C"/>
    <w:rsid w:val="4A77A29E"/>
    <w:rsid w:val="4BA2F45D"/>
    <w:rsid w:val="5D7E3421"/>
    <w:rsid w:val="63CFAA8F"/>
    <w:rsid w:val="64D3A5FD"/>
    <w:rsid w:val="68E048A9"/>
    <w:rsid w:val="7A3154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993723803">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il.secure.europarl.europa.eu/oeil/fr/procedure-file?reference=2016/2891(R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B0C22415-9EBC-47A5-AAF5-0329F6495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798</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STEPIEN Beata (SG)</dc:creator>
  <cp:lastModifiedBy>DELBAER Gerda (SG)</cp:lastModifiedBy>
  <cp:revision>2</cp:revision>
  <cp:lastPrinted>2019-01-09T14:37:00Z</cp:lastPrinted>
  <dcterms:created xsi:type="dcterms:W3CDTF">2025-06-06T07:14:00Z</dcterms:created>
  <dcterms:modified xsi:type="dcterms:W3CDTF">2025-06-06T07:14:00Z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