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E65B7" w14:textId="66FBBE55" w:rsidR="00963420" w:rsidRPr="00EB0371" w:rsidRDefault="00963420" w:rsidP="00EB0371">
      <w:pPr>
        <w:spacing w:after="720"/>
        <w:jc w:val="center"/>
        <w:rPr>
          <w:rFonts w:ascii="Times New Roman" w:hAnsi="Times New Roman"/>
          <w:b/>
        </w:rPr>
      </w:pPr>
      <w:r>
        <w:rPr>
          <w:rFonts w:ascii="Times New Roman" w:hAnsi="Times New Roman"/>
          <w:b/>
        </w:rPr>
        <w:t>Suite donnée à la résolution non législative du Parlement européen sur le Semestre européen pour la coordination des politiques économiques 2025</w:t>
      </w:r>
    </w:p>
    <w:p w14:paraId="7B0FC9AA" w14:textId="37B17020" w:rsidR="00B63D15" w:rsidRPr="00EB0371" w:rsidRDefault="00B63D15" w:rsidP="006F671D">
      <w:pPr>
        <w:pStyle w:val="Default"/>
        <w:numPr>
          <w:ilvl w:val="0"/>
          <w:numId w:val="34"/>
        </w:numPr>
        <w:spacing w:after="240"/>
        <w:ind w:left="567" w:hanging="567"/>
        <w:jc w:val="both"/>
        <w:rPr>
          <w:color w:val="auto"/>
        </w:rPr>
      </w:pPr>
      <w:r>
        <w:rPr>
          <w:b/>
        </w:rPr>
        <w:t>Rapporteur:</w:t>
      </w:r>
      <w:r>
        <w:t xml:space="preserve"> Fernando </w:t>
      </w:r>
      <w:r>
        <w:rPr>
          <w:caps/>
        </w:rPr>
        <w:t>Navarrete Rojas</w:t>
      </w:r>
      <w:r>
        <w:t xml:space="preserve"> (EPP / ES)</w:t>
      </w:r>
    </w:p>
    <w:p w14:paraId="513031A8" w14:textId="67DFD4BB" w:rsidR="00F86F34" w:rsidRPr="00EB0371" w:rsidRDefault="00063DCE" w:rsidP="00B63D15">
      <w:pPr>
        <w:pStyle w:val="Default"/>
        <w:numPr>
          <w:ilvl w:val="0"/>
          <w:numId w:val="34"/>
        </w:numPr>
        <w:spacing w:after="240"/>
        <w:ind w:left="567" w:hanging="567"/>
        <w:jc w:val="both"/>
        <w:rPr>
          <w:color w:val="auto"/>
        </w:rPr>
      </w:pPr>
      <w:r>
        <w:rPr>
          <w:b/>
          <w:color w:val="auto"/>
        </w:rPr>
        <w:t xml:space="preserve">Références: </w:t>
      </w:r>
      <w:r>
        <w:rPr>
          <w:color w:val="auto"/>
        </w:rPr>
        <w:t>2024/2112(INI)</w:t>
      </w:r>
      <w:r>
        <w:rPr>
          <w:b/>
          <w:color w:val="auto"/>
        </w:rPr>
        <w:t xml:space="preserve"> /</w:t>
      </w:r>
      <w:r>
        <w:rPr>
          <w:i/>
        </w:rPr>
        <w:t xml:space="preserve"> </w:t>
      </w:r>
      <w:r>
        <w:t>A10-0022/2025</w:t>
      </w:r>
      <w:r>
        <w:rPr>
          <w:i/>
        </w:rPr>
        <w:t xml:space="preserve"> </w:t>
      </w:r>
      <w:r>
        <w:t>/ P10_TA(2025)0031</w:t>
      </w:r>
      <w:r>
        <w:tab/>
      </w:r>
    </w:p>
    <w:p w14:paraId="61D85C18" w14:textId="62C1B4EB" w:rsidR="001F0B89" w:rsidRPr="008E1D4B" w:rsidRDefault="00963420" w:rsidP="0084310E">
      <w:pPr>
        <w:numPr>
          <w:ilvl w:val="0"/>
          <w:numId w:val="34"/>
        </w:numPr>
        <w:ind w:left="567" w:hanging="567"/>
        <w:rPr>
          <w:rFonts w:ascii="Times New Roman" w:hAnsi="Times New Roman"/>
          <w:iCs/>
          <w:szCs w:val="24"/>
        </w:rPr>
      </w:pPr>
      <w:r>
        <w:rPr>
          <w:rFonts w:ascii="Times New Roman" w:hAnsi="Times New Roman"/>
          <w:b/>
        </w:rPr>
        <w:t>Date d'adoption de la résolution:</w:t>
      </w:r>
      <w:r>
        <w:rPr>
          <w:rFonts w:ascii="Times New Roman" w:hAnsi="Times New Roman"/>
        </w:rPr>
        <w:t xml:space="preserve"> 12 mars 2025</w:t>
      </w:r>
    </w:p>
    <w:p w14:paraId="4451E813" w14:textId="6AA1E17E" w:rsidR="00963420" w:rsidRPr="008E1D4B" w:rsidRDefault="00963420" w:rsidP="0084310E">
      <w:pPr>
        <w:numPr>
          <w:ilvl w:val="0"/>
          <w:numId w:val="34"/>
        </w:numPr>
        <w:ind w:left="567" w:hanging="567"/>
        <w:rPr>
          <w:rFonts w:ascii="Times New Roman" w:hAnsi="Times New Roman"/>
          <w:i/>
          <w:szCs w:val="24"/>
        </w:rPr>
      </w:pPr>
      <w:r>
        <w:rPr>
          <w:rFonts w:ascii="Times New Roman" w:hAnsi="Times New Roman"/>
          <w:b/>
        </w:rPr>
        <w:t xml:space="preserve">Commission parlementaire compétente: </w:t>
      </w:r>
      <w:r>
        <w:rPr>
          <w:rFonts w:ascii="Times New Roman" w:hAnsi="Times New Roman"/>
        </w:rPr>
        <w:t>commission des affaires économiques et monétaires (ECON)</w:t>
      </w:r>
    </w:p>
    <w:p w14:paraId="1540F533" w14:textId="067D90F0" w:rsidR="00963420" w:rsidRPr="00EB0371" w:rsidRDefault="00963420" w:rsidP="00761C87">
      <w:pPr>
        <w:widowControl w:val="0"/>
        <w:numPr>
          <w:ilvl w:val="0"/>
          <w:numId w:val="34"/>
        </w:numPr>
        <w:ind w:left="567" w:hanging="567"/>
        <w:rPr>
          <w:rFonts w:ascii="Times New Roman" w:hAnsi="Times New Roman"/>
          <w:b/>
          <w:szCs w:val="24"/>
        </w:rPr>
      </w:pPr>
      <w:r>
        <w:rPr>
          <w:rFonts w:ascii="Times New Roman" w:hAnsi="Times New Roman"/>
          <w:b/>
        </w:rPr>
        <w:t xml:space="preserve">Analyse/évaluation succincte de la résolution et des demandes qu’elle contient: </w:t>
      </w:r>
      <w:r>
        <w:rPr>
          <w:rFonts w:ascii="Times New Roman" w:hAnsi="Times New Roman"/>
        </w:rPr>
        <w:t>Le Parlement européen invite la Commission à renforcer le Semestre européen en assurant une meilleure coordination entre les politiques économiques, sociales et environnementales. Il conseille vivement à la Commission de mettre en œuvre le cadre de gouvernance économique révisé qui concilie responsabilité budgétaire et investissements majeurs, en particulier dans les transitions écologique et numérique. Le Parlement souligne également la nécessité d’un contrôle renforcé de la facilité pour la reprise et la résilience (ci</w:t>
      </w:r>
      <w:r>
        <w:rPr>
          <w:rFonts w:ascii="Times New Roman" w:hAnsi="Times New Roman"/>
        </w:rPr>
        <w:noBreakHyphen/>
        <w:t>après la «FRR») afin de garantir une utilisation efficace des fonds, tout en remédiant aux déséquilibres macroéconomiques et en promouvant une croissance inclusive. En outre, il appelle à intégrer des objectifs sociaux, tels que des salaires équitables et la qualité de l’emploi, dans l’élaboration des politiques économiques, en s’alignant sur le pacte vert pour l’Europe et les objectifs de durabilité à long terme.</w:t>
      </w:r>
    </w:p>
    <w:p w14:paraId="5F1C7910" w14:textId="17793D02" w:rsidR="006F671D" w:rsidRPr="008E1D4B" w:rsidRDefault="00963420" w:rsidP="006F671D">
      <w:pPr>
        <w:widowControl w:val="0"/>
        <w:numPr>
          <w:ilvl w:val="0"/>
          <w:numId w:val="34"/>
        </w:numPr>
        <w:ind w:left="567" w:hanging="567"/>
        <w:rPr>
          <w:rFonts w:ascii="Times New Roman" w:hAnsi="Times New Roman"/>
          <w:b/>
          <w:szCs w:val="24"/>
        </w:rPr>
      </w:pPr>
      <w:r>
        <w:rPr>
          <w:rFonts w:ascii="Times New Roman" w:hAnsi="Times New Roman"/>
          <w:b/>
        </w:rPr>
        <w:t xml:space="preserve">Réponse à ces demandes et aperçu des mesures que la Commission a prises ou envisage de prendre: </w:t>
      </w:r>
    </w:p>
    <w:p w14:paraId="4F8E69FC" w14:textId="4E0F91DB" w:rsidR="006F671D" w:rsidRPr="00EB0371" w:rsidRDefault="006F671D" w:rsidP="006F671D">
      <w:pPr>
        <w:widowControl w:val="0"/>
        <w:numPr>
          <w:ilvl w:val="0"/>
          <w:numId w:val="40"/>
        </w:numPr>
        <w:rPr>
          <w:rFonts w:ascii="Times New Roman" w:hAnsi="Times New Roman"/>
          <w:bCs/>
          <w:szCs w:val="24"/>
        </w:rPr>
      </w:pPr>
      <w:r>
        <w:rPr>
          <w:rFonts w:ascii="Times New Roman" w:hAnsi="Times New Roman"/>
          <w:b/>
          <w:u w:val="single"/>
        </w:rPr>
        <w:t>Au paragraphe 6,</w:t>
      </w:r>
      <w:r>
        <w:rPr>
          <w:rFonts w:ascii="Times New Roman" w:hAnsi="Times New Roman"/>
        </w:rPr>
        <w:t xml:space="preserve"> </w:t>
      </w:r>
      <w:r>
        <w:rPr>
          <w:rFonts w:ascii="Times New Roman" w:hAnsi="Times New Roman"/>
          <w:b/>
        </w:rPr>
        <w:t>le Parlement européen</w:t>
      </w:r>
      <w:r>
        <w:rPr>
          <w:rFonts w:ascii="Times New Roman" w:hAnsi="Times New Roman"/>
        </w:rPr>
        <w:t xml:space="preserve"> invite la Commission à prendre des initiatives sur la base de la Déclaration de Budapest, afin de rendre l’Union européenne plus compétitive, plus productive, plus innovante et plus durable, en s’appuyant sur la cohésion économique, sociale et territoriale et en garantissant la convergence et les conditions de concurrence équitables aussi bien dans l’Union qu’au niveau mondial; prend acte de la mise au point d’un nouvel outil de coordination de la compétitivité; attend de la Commission qu’elle précise la manière dont cet outil interagira avec le Semestre européen; souligne qu’il importe de soutenir les micro, petites et moyennes entreprises, qui jouent un rôle essentiel dans la croissance économique et l’emploi au sein de l’Union. </w:t>
      </w:r>
    </w:p>
    <w:p w14:paraId="42661B40" w14:textId="7B643D3E" w:rsidR="006F671D" w:rsidRPr="00EB0371" w:rsidRDefault="006F671D" w:rsidP="006F671D">
      <w:pPr>
        <w:widowControl w:val="0"/>
        <w:ind w:left="720"/>
        <w:rPr>
          <w:rFonts w:ascii="Times New Roman" w:hAnsi="Times New Roman"/>
          <w:bCs/>
          <w:szCs w:val="24"/>
        </w:rPr>
      </w:pPr>
      <w:r>
        <w:rPr>
          <w:rFonts w:ascii="Times New Roman" w:hAnsi="Times New Roman"/>
        </w:rPr>
        <w:t xml:space="preserve">La Commission européenne a fait </w:t>
      </w:r>
      <w:r>
        <w:rPr>
          <w:rFonts w:ascii="Times New Roman" w:hAnsi="Times New Roman"/>
          <w:b/>
        </w:rPr>
        <w:t>de la compétitivité un pilier essentiel de son nouveau mandat</w:t>
      </w:r>
      <w:r>
        <w:rPr>
          <w:rFonts w:ascii="Times New Roman" w:hAnsi="Times New Roman"/>
        </w:rPr>
        <w:t>, en veillant à ce que la résilience économique, l’innovation et la productivité stimulent la politique de l’UE. Le lancement de la boussole pour la compétitivité a constitué une première étape, transformant les conclusions du rapport Draghi en actions concrètes qui renforcent l’économie européenne.</w:t>
      </w:r>
    </w:p>
    <w:p w14:paraId="62303A05" w14:textId="194F4BDD" w:rsidR="006F671D" w:rsidRPr="00EB0371" w:rsidRDefault="006F671D" w:rsidP="008270C1">
      <w:pPr>
        <w:widowControl w:val="0"/>
        <w:ind w:left="720"/>
        <w:rPr>
          <w:rFonts w:ascii="Times New Roman" w:hAnsi="Times New Roman"/>
        </w:rPr>
      </w:pPr>
      <w:r>
        <w:rPr>
          <w:rFonts w:ascii="Times New Roman" w:hAnsi="Times New Roman"/>
        </w:rPr>
        <w:t xml:space="preserve">Pour concrétiser ces priorités, la Commission a fait </w:t>
      </w:r>
      <w:r>
        <w:rPr>
          <w:rFonts w:ascii="Times New Roman" w:hAnsi="Times New Roman"/>
          <w:b/>
        </w:rPr>
        <w:t>de la simplification et de l’efficacité de la réglementation</w:t>
      </w:r>
      <w:r>
        <w:rPr>
          <w:rFonts w:ascii="Times New Roman" w:hAnsi="Times New Roman"/>
        </w:rPr>
        <w:t xml:space="preserve"> une pierre angulaire de son programme. Introduite dans le programme de travail annuel de la Commission, l’initiative «Une Europe plus simple et plus rapide» vise principalement à alléger les formalités administratives et à rendre la législation de l’UE plus claire et plus efficace. En seulement trois mois de son mandat, la Commission a déjà mis en œuvre (en février) </w:t>
      </w:r>
      <w:r>
        <w:rPr>
          <w:rFonts w:ascii="Times New Roman" w:hAnsi="Times New Roman"/>
        </w:rPr>
        <w:lastRenderedPageBreak/>
        <w:t xml:space="preserve">deux trains de mesures omnibus, axés sur la rationalisation de la publication d’informations en matière de durabilité et la simplification des procédures d’investissement, </w:t>
      </w:r>
      <w:r>
        <w:rPr>
          <w:rFonts w:ascii="Times New Roman" w:hAnsi="Times New Roman"/>
          <w:b/>
        </w:rPr>
        <w:t xml:space="preserve">afin de mieux atteindre leurs objectifs stratégiques tout en réduisant les coûts et en renforçant la sécurité juridique. </w:t>
      </w:r>
      <w:r>
        <w:rPr>
          <w:rFonts w:ascii="Times New Roman" w:hAnsi="Times New Roman"/>
        </w:rPr>
        <w:t>La Commission s’est engagée à réduire les obligations de déclaration existantes d’au moins 25 % et d’au moins 35 % pour les PME et à introduire un nouveau contrôle des PME et de la compétitivité afin de mieux prendre ces aspects en considération dans les analyses d’impact de la nouvelle législation. La Commission entend également évaluer l’ensemble de la législation de l’UE au cours du mandat législatif actuel et exposer régulièrement des propositions visant à simplifier la législation existante. Le programme de travail de la Commission pour 2025 présente déjà plusieurs propositions dans des domaines tels que les petites entreprises à moyenne capitalisation, l’agriculture, certains aspects numériques ou la défense et la Commission examine également d’autres domaines.</w:t>
      </w:r>
    </w:p>
    <w:p w14:paraId="42283542" w14:textId="4F14FF90" w:rsidR="00D75626" w:rsidRPr="008E1D4B" w:rsidRDefault="00D75626" w:rsidP="00D75626">
      <w:pPr>
        <w:widowControl w:val="0"/>
        <w:ind w:left="720"/>
        <w:rPr>
          <w:rFonts w:ascii="Times New Roman" w:hAnsi="Times New Roman"/>
        </w:rPr>
      </w:pPr>
      <w:r>
        <w:rPr>
          <w:rFonts w:ascii="Times New Roman" w:hAnsi="Times New Roman"/>
        </w:rPr>
        <w:t xml:space="preserve">Au-delà de la simplification, la Commission améliore aussi </w:t>
      </w:r>
      <w:r>
        <w:rPr>
          <w:rFonts w:ascii="Times New Roman" w:hAnsi="Times New Roman"/>
          <w:b/>
        </w:rPr>
        <w:t>la coordination des politiques afin de renforcer la compétitivité dans l’ensemble de l’UE.</w:t>
      </w:r>
      <w:r>
        <w:rPr>
          <w:rFonts w:ascii="Times New Roman" w:hAnsi="Times New Roman"/>
        </w:rPr>
        <w:t xml:space="preserve"> Pour se concentrer sur la compétitivité de cette dernière, il est nécessaire de définir d’un commun accord et au moyen d’un mécanisme renforcé d’orientation des politiques, un ensemble de priorités de financement et de projets d’investissement multinationaux. Le nouvel </w:t>
      </w:r>
      <w:r>
        <w:rPr>
          <w:rFonts w:ascii="Times New Roman" w:hAnsi="Times New Roman"/>
          <w:b/>
        </w:rPr>
        <w:t>outil de coordination de la compétitivité</w:t>
      </w:r>
      <w:r>
        <w:rPr>
          <w:rFonts w:ascii="Times New Roman" w:hAnsi="Times New Roman"/>
        </w:rPr>
        <w:t xml:space="preserve"> complétera le Semestre européen et tous deux feront partie intégrante d’un mécanisme de pilotage visant à garantir la prise en compte des priorités stratégiques en matière de compétitivité dans les réformes et les investissements nationaux, tout en renforçant la convergence des politiques économiques entre les États membres. </w:t>
      </w:r>
    </w:p>
    <w:p w14:paraId="1B8FED49" w14:textId="62D68DF8" w:rsidR="00D75626" w:rsidRPr="008E1D4B" w:rsidRDefault="00D75626" w:rsidP="00D75626">
      <w:pPr>
        <w:widowControl w:val="0"/>
        <w:ind w:left="720"/>
        <w:rPr>
          <w:rFonts w:ascii="Times New Roman" w:hAnsi="Times New Roman"/>
        </w:rPr>
      </w:pPr>
      <w:r>
        <w:rPr>
          <w:rFonts w:ascii="Times New Roman" w:hAnsi="Times New Roman"/>
        </w:rPr>
        <w:t>Le prochain cadre financier pluriannuel (ci</w:t>
      </w:r>
      <w:r>
        <w:rPr>
          <w:rFonts w:ascii="Times New Roman" w:hAnsi="Times New Roman"/>
        </w:rPr>
        <w:noBreakHyphen/>
        <w:t>après le «CFP») sera l’occasion d’aller plus loin et de repenser la structure et l’affectation du budget de l’Union à l’appui des priorités en matière de compétitivité. Dans le prochain CFP, un nouveau Fonds européen pour la compétitivité devrait répondre à ces besoins de manière plus intégrée. Le fonds mettra en place une capacité d’investissement qui soutiendra les technologies stratégiques et la production (de l’intelligence artificielle à l’espace, en passant par les technologies propres et le secteur des biotechnologies, etc.), qui sont essentielles pour la compétitivité européenne, y compris la recherche et l’innovation, et les projets importants d’intérêt européen commun (ci</w:t>
      </w:r>
      <w:r>
        <w:rPr>
          <w:rFonts w:ascii="Times New Roman" w:hAnsi="Times New Roman"/>
        </w:rPr>
        <w:noBreakHyphen/>
        <w:t>après les «PIIEC»). Ce fonds contribuera à mobiliser des investissements.</w:t>
      </w:r>
    </w:p>
    <w:p w14:paraId="6CE958C9" w14:textId="739D13FF" w:rsidR="006F671D" w:rsidRPr="008E1D4B" w:rsidRDefault="006F671D" w:rsidP="006F671D">
      <w:pPr>
        <w:widowControl w:val="0"/>
        <w:ind w:left="720"/>
        <w:rPr>
          <w:rFonts w:ascii="Times New Roman" w:hAnsi="Times New Roman"/>
          <w:bCs/>
          <w:szCs w:val="24"/>
        </w:rPr>
      </w:pPr>
      <w:r>
        <w:rPr>
          <w:rFonts w:ascii="Times New Roman" w:hAnsi="Times New Roman"/>
        </w:rPr>
        <w:t xml:space="preserve">Cet accent stratégique sur la compétitivité était déjà pris en compte dans le </w:t>
      </w:r>
      <w:r>
        <w:rPr>
          <w:rFonts w:ascii="Times New Roman" w:hAnsi="Times New Roman"/>
          <w:b/>
        </w:rPr>
        <w:t>paquet d’automne</w:t>
      </w:r>
      <w:r>
        <w:rPr>
          <w:rFonts w:ascii="Times New Roman" w:hAnsi="Times New Roman"/>
        </w:rPr>
        <w:t xml:space="preserve"> du Semestre européen publié en décembre. Ce paquet a été le premier depuis l’introduction du </w:t>
      </w:r>
      <w:r>
        <w:rPr>
          <w:rFonts w:ascii="Times New Roman" w:hAnsi="Times New Roman"/>
          <w:b/>
        </w:rPr>
        <w:t>nouveau cadre de gouvernance économique</w:t>
      </w:r>
      <w:r>
        <w:rPr>
          <w:rFonts w:ascii="Times New Roman" w:hAnsi="Times New Roman"/>
        </w:rPr>
        <w:t xml:space="preserve">. Les </w:t>
      </w:r>
      <w:r>
        <w:rPr>
          <w:rFonts w:ascii="Times New Roman" w:hAnsi="Times New Roman"/>
          <w:b/>
        </w:rPr>
        <w:t>plans budgétaires et structurels à moyen terme</w:t>
      </w:r>
      <w:r>
        <w:rPr>
          <w:rFonts w:ascii="Times New Roman" w:hAnsi="Times New Roman"/>
        </w:rPr>
        <w:t xml:space="preserve"> présentés par les États membres au titre de ce cadre sont conçus pour </w:t>
      </w:r>
      <w:r>
        <w:rPr>
          <w:rFonts w:ascii="Times New Roman" w:hAnsi="Times New Roman"/>
          <w:b/>
        </w:rPr>
        <w:t>renforcer la soutenabilité de la dette</w:t>
      </w:r>
      <w:r>
        <w:rPr>
          <w:rFonts w:ascii="Times New Roman" w:hAnsi="Times New Roman"/>
        </w:rPr>
        <w:t xml:space="preserve"> tout en </w:t>
      </w:r>
      <w:r>
        <w:rPr>
          <w:rFonts w:ascii="Times New Roman" w:hAnsi="Times New Roman"/>
          <w:b/>
        </w:rPr>
        <w:t>favorisant une croissance durable et inclusive</w:t>
      </w:r>
      <w:r>
        <w:rPr>
          <w:rFonts w:ascii="Times New Roman" w:hAnsi="Times New Roman"/>
        </w:rPr>
        <w:t xml:space="preserve"> au moyen </w:t>
      </w:r>
      <w:r>
        <w:rPr>
          <w:rFonts w:ascii="Times New Roman" w:hAnsi="Times New Roman"/>
          <w:b/>
        </w:rPr>
        <w:t>de réformes et d’investissements</w:t>
      </w:r>
      <w:r>
        <w:rPr>
          <w:rFonts w:ascii="Times New Roman" w:hAnsi="Times New Roman"/>
        </w:rPr>
        <w:t xml:space="preserve"> ciblés. En outre, les </w:t>
      </w:r>
      <w:r>
        <w:rPr>
          <w:rFonts w:ascii="Times New Roman" w:hAnsi="Times New Roman"/>
          <w:b/>
        </w:rPr>
        <w:t>recommandations pour la zone euro</w:t>
      </w:r>
      <w:r>
        <w:rPr>
          <w:rFonts w:ascii="Times New Roman" w:hAnsi="Times New Roman"/>
        </w:rPr>
        <w:t xml:space="preserve"> ont renforcé cet engagement en insistant sur </w:t>
      </w:r>
      <w:r>
        <w:rPr>
          <w:rFonts w:ascii="Times New Roman" w:hAnsi="Times New Roman"/>
          <w:b/>
        </w:rPr>
        <w:t>trois piliers clés, à savoir la compétitivité, la résilience et la stabilité macroéconomique, offrant une approche structurée</w:t>
      </w:r>
      <w:r>
        <w:rPr>
          <w:rFonts w:ascii="Times New Roman" w:hAnsi="Times New Roman"/>
        </w:rPr>
        <w:t xml:space="preserve"> pour relever les défis économiques urgents.</w:t>
      </w:r>
    </w:p>
    <w:p w14:paraId="4F0013A0" w14:textId="5C114E9D" w:rsidR="006F671D" w:rsidRPr="008E1D4B" w:rsidRDefault="00D75626" w:rsidP="006F671D">
      <w:pPr>
        <w:widowControl w:val="0"/>
        <w:ind w:left="720"/>
        <w:rPr>
          <w:rFonts w:ascii="Times New Roman" w:hAnsi="Times New Roman"/>
          <w:bCs/>
          <w:szCs w:val="24"/>
        </w:rPr>
      </w:pPr>
      <w:r>
        <w:rPr>
          <w:rFonts w:ascii="Times New Roman" w:hAnsi="Times New Roman"/>
        </w:rPr>
        <w:t xml:space="preserve">Alors que la compétitivité joue désormais un rôle plus important dans la politique de l’UE, la </w:t>
      </w:r>
      <w:r>
        <w:rPr>
          <w:rFonts w:ascii="Times New Roman" w:hAnsi="Times New Roman"/>
          <w:b/>
        </w:rPr>
        <w:t>facilité pour la reprise et la résilience soutient déjà les réformes structurelles et les investissements visant à stimuler la croissance à long terme.</w:t>
      </w:r>
      <w:r>
        <w:rPr>
          <w:rFonts w:ascii="Times New Roman" w:hAnsi="Times New Roman"/>
        </w:rPr>
        <w:t xml:space="preserve"> Dans le cadre de gouvernance économique révisé, la Commission montre son engagement à placer les réformes et les investissements au cœur du cadre économique de l’UE, en promouvant à la fois la modernisation et la croissance.</w:t>
      </w:r>
    </w:p>
    <w:p w14:paraId="0F7C12C0" w14:textId="3EDC3BA2" w:rsidR="0022313A" w:rsidRPr="008E1D4B" w:rsidRDefault="006F671D" w:rsidP="0022313A">
      <w:pPr>
        <w:widowControl w:val="0"/>
        <w:numPr>
          <w:ilvl w:val="0"/>
          <w:numId w:val="40"/>
        </w:numPr>
        <w:rPr>
          <w:rFonts w:ascii="Times New Roman" w:hAnsi="Times New Roman"/>
          <w:bCs/>
          <w:szCs w:val="24"/>
        </w:rPr>
      </w:pPr>
      <w:r>
        <w:rPr>
          <w:rFonts w:ascii="Times New Roman" w:hAnsi="Times New Roman"/>
          <w:b/>
          <w:u w:val="single"/>
        </w:rPr>
        <w:lastRenderedPageBreak/>
        <w:t>Au paragraphe 22,</w:t>
      </w:r>
      <w:r>
        <w:rPr>
          <w:rFonts w:ascii="Times New Roman" w:hAnsi="Times New Roman"/>
        </w:rPr>
        <w:t xml:space="preserve"> </w:t>
      </w:r>
      <w:r>
        <w:rPr>
          <w:rFonts w:ascii="Times New Roman" w:hAnsi="Times New Roman"/>
          <w:b/>
        </w:rPr>
        <w:t>le Parlement européen</w:t>
      </w:r>
      <w:r>
        <w:rPr>
          <w:rFonts w:ascii="Times New Roman" w:hAnsi="Times New Roman"/>
        </w:rPr>
        <w:t xml:space="preserve"> souligne que l’analyse de la soutenabilité de la dette joue un rôle essentiel dans le cadre des règles budgétaires révisées de l’Union; est d’avis que le rôle discrétionnaire de la Commission dans le règlement sur les services numériques exige que les évaluations pertinentes soient pleinement transparentes, prévisibles, reproductibles et stables; invite la Commission à examiner les éventuelles améliorations méthodologiques, telles que l’évaluation des effets induits entre les États membres, et à en informer dûment le Parlement à cet égard.</w:t>
      </w:r>
    </w:p>
    <w:p w14:paraId="25E80793" w14:textId="44B2D875" w:rsidR="0022313A" w:rsidRPr="008E1D4B" w:rsidRDefault="0022313A" w:rsidP="00672DE4">
      <w:pPr>
        <w:ind w:left="720"/>
        <w:rPr>
          <w:rFonts w:ascii="Times New Roman" w:hAnsi="Times New Roman"/>
        </w:rPr>
      </w:pPr>
      <w:r>
        <w:rPr>
          <w:rFonts w:ascii="Times New Roman" w:hAnsi="Times New Roman"/>
        </w:rPr>
        <w:t>La Commission européenne relève que, comme le prévoit le règlement (UE) 2024/1263</w:t>
      </w:r>
      <w:r>
        <w:rPr>
          <w:rStyle w:val="FootnoteReference"/>
          <w:rFonts w:ascii="Times New Roman" w:hAnsi="Times New Roman"/>
        </w:rPr>
        <w:footnoteReference w:id="2"/>
      </w:r>
      <w:r>
        <w:rPr>
          <w:rFonts w:ascii="Times New Roman" w:hAnsi="Times New Roman"/>
        </w:rPr>
        <w:t xml:space="preserve">, un </w:t>
      </w:r>
      <w:r>
        <w:rPr>
          <w:rFonts w:ascii="Times New Roman" w:hAnsi="Times New Roman"/>
          <w:b/>
        </w:rPr>
        <w:t>groupe de travail sur l’analyse de la soutenabilité de la dette a été créé afin d’étudier les améliorations méthodologiques possibles.</w:t>
      </w:r>
    </w:p>
    <w:p w14:paraId="5177523E" w14:textId="53529FA4" w:rsidR="0022313A" w:rsidRPr="008E1D4B" w:rsidRDefault="0022313A" w:rsidP="00672DE4">
      <w:pPr>
        <w:ind w:left="720"/>
        <w:rPr>
          <w:rFonts w:ascii="Times New Roman" w:hAnsi="Times New Roman"/>
        </w:rPr>
      </w:pPr>
      <w:r>
        <w:rPr>
          <w:rFonts w:ascii="Times New Roman" w:hAnsi="Times New Roman"/>
        </w:rPr>
        <w:t>Les retombées éventuelles pourraient être intégrées dans les plans présentés par les États membres de l’UE et, en tout état de cause, elles sont prises en compte dans les prévisions économiques de la Commission. Il convient également de noter qu’en vertu du nouveau cadre budgétaire de l’UE, les politiques budgétaires seront davantage différenciées en tenant compte de la dette publique et des défis économiques de chaque État membre. Cette différenciation fondée sur les risques réduit les exigences en matière d’assainissement global par rapport au cadre précédent</w:t>
      </w:r>
      <w:r>
        <w:rPr>
          <w:rStyle w:val="FootnoteReference"/>
          <w:rFonts w:ascii="Times New Roman" w:hAnsi="Times New Roman"/>
        </w:rPr>
        <w:footnoteReference w:id="3"/>
      </w:r>
      <w:r>
        <w:rPr>
          <w:rFonts w:ascii="Times New Roman" w:hAnsi="Times New Roman"/>
        </w:rPr>
        <w:t xml:space="preserve">, grâce à une meilleure articulation entre les politiques budgétaires et les politiques d’investissement et de réforme, ce qui accroît les possibilités de retombées positives. </w:t>
      </w:r>
    </w:p>
    <w:p w14:paraId="19C9D130" w14:textId="1372E9C3" w:rsidR="0022313A" w:rsidRPr="008E1D4B" w:rsidRDefault="0022313A" w:rsidP="00672DE4">
      <w:pPr>
        <w:ind w:left="720"/>
        <w:rPr>
          <w:rFonts w:ascii="Times New Roman" w:hAnsi="Times New Roman"/>
        </w:rPr>
      </w:pPr>
      <w:r>
        <w:rPr>
          <w:rFonts w:ascii="Times New Roman" w:hAnsi="Times New Roman"/>
        </w:rPr>
        <w:t>La Commission est résolue à rendre publique, en temps utile, toute modification de sa méthodologie afin de préserver sa transparence et sa reproductibilité. La méthodologie actuelle décrite dans le règlement sur les services numériques est déjà bien documentée et communiquée de manière transparente au Parlement européen et au Conseil. Le «Debt Sustainability Monitor» (rapport de suivi de la soutenabilité de la dette) fournit également une vue d’ensemble des défis auxquels sont confrontés les États membres de l’UE en matière de viabilité budgétaire à court, moyen et long terme, sur la base de la méthodologie du règlement sur les services numériques.</w:t>
      </w:r>
    </w:p>
    <w:p w14:paraId="0BE7DDC5" w14:textId="2C938C33" w:rsidR="0022313A" w:rsidRPr="008E1D4B" w:rsidRDefault="00DB637D" w:rsidP="0022313A">
      <w:pPr>
        <w:numPr>
          <w:ilvl w:val="0"/>
          <w:numId w:val="40"/>
        </w:numPr>
        <w:rPr>
          <w:rFonts w:ascii="Times New Roman" w:hAnsi="Times New Roman"/>
          <w:b/>
          <w:bCs/>
        </w:rPr>
      </w:pPr>
      <w:r>
        <w:rPr>
          <w:rFonts w:ascii="Times New Roman" w:hAnsi="Times New Roman"/>
          <w:b/>
          <w:u w:val="single"/>
        </w:rPr>
        <w:t>Au paragraphe 28,</w:t>
      </w:r>
      <w:r>
        <w:rPr>
          <w:rFonts w:ascii="Times New Roman" w:hAnsi="Times New Roman"/>
        </w:rPr>
        <w:t xml:space="preserve"> </w:t>
      </w:r>
      <w:r>
        <w:rPr>
          <w:rFonts w:ascii="Times New Roman" w:hAnsi="Times New Roman"/>
          <w:b/>
        </w:rPr>
        <w:t>le Parlement européen</w:t>
      </w:r>
      <w:r>
        <w:rPr>
          <w:rFonts w:ascii="Times New Roman" w:hAnsi="Times New Roman"/>
        </w:rPr>
        <w:t xml:space="preserve"> constate que 21 des 22 plans budgétaires et structurels nationaux à moyen terme examinés jusqu’à présent ont fait l’objet d’une évaluation positive; note que le nouveau cadre permet aux États membres de recourir à des hypothèses qui diffèrent de la législation sur les services numériques de la Commission à condition que ces différences soient expliquées et dûment justifiées de manière transparente et au moyen d’arguments économiques solides dans le cadre du dialogue technique avec les États membres; observe toutefois que, dans les plans présentés par cinq États membres, la Commission a constaté des incohérences et des écarts insuffisamment justifiés par rapport au cadre de la législation sur les services numériques dans les hypothèses macroéconomiques relatives au PIB potentiel et/ou au déflateur du PIB; souligne que ces écarts et ces risques de report pourraient menacer la viabilité budgétaire à l’avenir; relève que, </w:t>
      </w:r>
      <w:r>
        <w:rPr>
          <w:rFonts w:ascii="Times New Roman" w:hAnsi="Times New Roman"/>
        </w:rPr>
        <w:lastRenderedPageBreak/>
        <w:t>dans les plans présentés par trois États membres, la Commission constate une concentration des ajustements budgétaires vers la fin de la période; invite la Commission à veiller à ce que cette concentration des ajustements réponde aux exigences énoncées dans le règlement et l’invite à prévenir les politiques procycliques.</w:t>
      </w:r>
      <w:bookmarkStart w:id="0" w:name="_Hlk193985384"/>
    </w:p>
    <w:p w14:paraId="2177F8B5" w14:textId="2F9C555E" w:rsidR="0022313A" w:rsidRPr="008E1D4B" w:rsidRDefault="008270C1" w:rsidP="0022313A">
      <w:pPr>
        <w:ind w:left="720"/>
        <w:rPr>
          <w:rFonts w:ascii="Times New Roman" w:hAnsi="Times New Roman"/>
        </w:rPr>
      </w:pPr>
      <w:r>
        <w:rPr>
          <w:rFonts w:ascii="Times New Roman" w:hAnsi="Times New Roman"/>
          <w:b/>
        </w:rPr>
        <w:t>Dans ses recommandations respectives sur les plans à moyen terme, la Commission a constaté des différences insuffisamment justifiées dans les hypothèses macroéconomiques. Toutefois, cette évaluation a tenu compte du fait que ces différences étaient contrebalancées par d’autres hypothèses, plus prudentes.</w:t>
      </w:r>
      <w:r>
        <w:rPr>
          <w:rFonts w:ascii="Times New Roman" w:hAnsi="Times New Roman"/>
        </w:rPr>
        <w:t xml:space="preserve"> Par conséquent, ces différences insuffisamment justifiées dans les hypothèses macroéconomiques n’ont pas entraîné une croissance des dépenses nettes plus élevée que celle prévue dans les orientations préalables.</w:t>
      </w:r>
      <w:bookmarkEnd w:id="0"/>
    </w:p>
    <w:p w14:paraId="12B6332D" w14:textId="22D7A448" w:rsidR="0022313A" w:rsidRPr="008E1D4B" w:rsidRDefault="0022313A" w:rsidP="0022313A">
      <w:pPr>
        <w:ind w:left="720"/>
        <w:rPr>
          <w:rFonts w:ascii="Times New Roman" w:hAnsi="Times New Roman"/>
          <w:b/>
          <w:bCs/>
        </w:rPr>
      </w:pPr>
      <w:r>
        <w:rPr>
          <w:rFonts w:ascii="Times New Roman" w:hAnsi="Times New Roman"/>
        </w:rPr>
        <w:t>Les trajectoires des dépenses nettes présentées dans les trois plans, pour lesquelles un certain degré de concentration en fin de période a été relevé, sont compatibles avec la mesure de sauvegarde destinée à éviter une concentration en fin de période, prévue à l'article 6, point c), du règlement (UE) 2024/1263, et sont justifiées par la disposition transitoire de l’article 36, paragraphe 1, point e), du même règlement, et/ou expliquées par la structure des dépenses de défense. Le respect des trajectoires des dépenses nettes fera l’objet d’un suivi annuel dans le cadre du Semestre européen.</w:t>
      </w:r>
    </w:p>
    <w:p w14:paraId="76886075" w14:textId="77777777" w:rsidR="00953571" w:rsidRPr="008E1D4B" w:rsidRDefault="00953571" w:rsidP="00953571">
      <w:pPr>
        <w:widowControl w:val="0"/>
        <w:numPr>
          <w:ilvl w:val="0"/>
          <w:numId w:val="40"/>
        </w:numPr>
        <w:rPr>
          <w:rFonts w:ascii="Times New Roman" w:hAnsi="Times New Roman"/>
          <w:b/>
          <w:bCs/>
          <w:szCs w:val="24"/>
        </w:rPr>
      </w:pPr>
      <w:r>
        <w:rPr>
          <w:rFonts w:ascii="Times New Roman" w:hAnsi="Times New Roman"/>
          <w:b/>
          <w:u w:val="single"/>
        </w:rPr>
        <w:t>Au paragraphe 30,</w:t>
      </w:r>
      <w:r>
        <w:rPr>
          <w:rFonts w:ascii="Times New Roman" w:hAnsi="Times New Roman"/>
          <w:b/>
        </w:rPr>
        <w:t xml:space="preserve"> le Parlement européen</w:t>
      </w:r>
      <w:r>
        <w:rPr>
          <w:rFonts w:ascii="Times New Roman" w:hAnsi="Times New Roman"/>
        </w:rPr>
        <w:t xml:space="preserve"> invite la Commission à évaluer de manière effective ex post l’incidence des investissements et des réformes convenus sous-tendant une prolongation de la période d’ajustement. </w:t>
      </w:r>
    </w:p>
    <w:p w14:paraId="5A747B54" w14:textId="77777777" w:rsidR="00953571" w:rsidRPr="008E1D4B" w:rsidRDefault="00953571" w:rsidP="00953571">
      <w:pPr>
        <w:widowControl w:val="0"/>
        <w:ind w:left="720"/>
        <w:rPr>
          <w:rFonts w:ascii="Times New Roman" w:hAnsi="Times New Roman"/>
          <w:b/>
          <w:bCs/>
          <w:szCs w:val="24"/>
        </w:rPr>
      </w:pPr>
      <w:r>
        <w:rPr>
          <w:rFonts w:ascii="Times New Roman" w:hAnsi="Times New Roman"/>
        </w:rPr>
        <w:t xml:space="preserve">La Commission a évalué les propositions d’investissements et de réformes présentées dans les plans budgétaires et structurels à moyen terme et l’a fait conformément aux critères énoncés dans les articles 13, 14 et 36, point d), du règlement (UE) 2024/1263. </w:t>
      </w:r>
    </w:p>
    <w:p w14:paraId="6A8466DE" w14:textId="77777777" w:rsidR="00953571" w:rsidRPr="008E1D4B" w:rsidRDefault="00953571" w:rsidP="00953571">
      <w:pPr>
        <w:widowControl w:val="0"/>
        <w:ind w:left="720"/>
        <w:rPr>
          <w:rFonts w:ascii="Times New Roman" w:hAnsi="Times New Roman"/>
        </w:rPr>
      </w:pPr>
      <w:r>
        <w:rPr>
          <w:rFonts w:ascii="Times New Roman" w:hAnsi="Times New Roman"/>
          <w:b/>
        </w:rPr>
        <w:t>Cette évaluation figure dans les recommandations du Conseil approuvant les plans budgétaires et structurels nationaux à moyen terme.</w:t>
      </w:r>
      <w:r>
        <w:rPr>
          <w:rFonts w:ascii="Times New Roman" w:hAnsi="Times New Roman"/>
        </w:rPr>
        <w:t xml:space="preserve"> La mise en œuvre des réformes et des investissements fera l’objet d’un suivi par la Commission au moyen des «étapes clés» et des «indicateurs de suivi» énoncés à l’annexe II des recommandations du Conseil approuvant les plans budgétaires et structurels nationaux à moyen terme. </w:t>
      </w:r>
    </w:p>
    <w:p w14:paraId="3C870831" w14:textId="354EE8FC" w:rsidR="00953571" w:rsidRPr="008E1D4B" w:rsidRDefault="00953571" w:rsidP="00953571">
      <w:pPr>
        <w:widowControl w:val="0"/>
        <w:ind w:left="720"/>
        <w:rPr>
          <w:rFonts w:ascii="Times New Roman" w:hAnsi="Times New Roman"/>
        </w:rPr>
      </w:pPr>
      <w:r>
        <w:rPr>
          <w:rFonts w:ascii="Times New Roman" w:hAnsi="Times New Roman"/>
          <w:b/>
        </w:rPr>
        <w:t>Les États membres rendront compte de leurs progrès dans la mise en œuvre des réformes et des investissements dans leur rapport d’avancement annuel</w:t>
      </w:r>
      <w:r>
        <w:rPr>
          <w:rFonts w:ascii="Times New Roman" w:hAnsi="Times New Roman"/>
        </w:rPr>
        <w:t>, comme le prévoit le règlement (UE) 2024/1263. L’évaluation de la mise en œuvre des réformes dans le contexte plus large de la surveillance économique sera menée dans le cadre de l’exercice du Semestre européen. La Commission tient à souligner que les retombées des réformes se concrétisent généralement sur une longue période et qu’une telle évaluation serait difficile à prévoir à un stade précoce de la mise en œuvre des plans.</w:t>
      </w:r>
    </w:p>
    <w:p w14:paraId="5ECF7C2B" w14:textId="209DE9AC" w:rsidR="00953571" w:rsidRPr="008E1D4B" w:rsidRDefault="00953571" w:rsidP="006F671D">
      <w:pPr>
        <w:widowControl w:val="0"/>
        <w:numPr>
          <w:ilvl w:val="0"/>
          <w:numId w:val="40"/>
        </w:numPr>
        <w:rPr>
          <w:rFonts w:ascii="Times New Roman" w:hAnsi="Times New Roman"/>
          <w:b/>
          <w:szCs w:val="24"/>
          <w:u w:val="single"/>
        </w:rPr>
      </w:pPr>
      <w:r>
        <w:rPr>
          <w:rFonts w:ascii="Times New Roman" w:hAnsi="Times New Roman"/>
          <w:b/>
          <w:u w:val="single"/>
        </w:rPr>
        <w:t>Au paragraphe 33,</w:t>
      </w:r>
      <w:r>
        <w:rPr>
          <w:rFonts w:ascii="Times New Roman" w:hAnsi="Times New Roman"/>
          <w:b/>
        </w:rPr>
        <w:t xml:space="preserve"> le Parlement européen</w:t>
      </w:r>
      <w:r>
        <w:rPr>
          <w:rFonts w:ascii="Times New Roman" w:hAnsi="Times New Roman"/>
        </w:rPr>
        <w:t xml:space="preserve"> estime que la mise en œuvre effective des règles budgétaires, bien que nécessaire, n’est pas en soi suffisante pour parvenir à une orientation budgétaire optimale à tout moment et garantir un niveau de vie élevé à tous les Européens; note qu’en 2025, l’orientation budgétaire devrait encore varier considérablement d’un État membre à l’autre; invite la Commission à explorer des pistes pour un mécanisme qui contribue à ce que la position cyclique de l’Union </w:t>
      </w:r>
      <w:r>
        <w:rPr>
          <w:rFonts w:ascii="Times New Roman" w:hAnsi="Times New Roman"/>
        </w:rPr>
        <w:lastRenderedPageBreak/>
        <w:t>dans son ensemble soit à tout moment adaptée aux perspectives macroéconomiques.</w:t>
      </w:r>
    </w:p>
    <w:p w14:paraId="469254A0" w14:textId="57EC36BC" w:rsidR="0022313A" w:rsidRPr="00EB0371" w:rsidRDefault="0022313A" w:rsidP="0022313A">
      <w:pPr>
        <w:pStyle w:val="ListParagraph"/>
        <w:spacing w:after="160" w:line="259" w:lineRule="auto"/>
        <w:jc w:val="both"/>
        <w:rPr>
          <w:rFonts w:ascii="Times New Roman" w:hAnsi="Times New Roman"/>
          <w:i/>
          <w:iCs/>
          <w:sz w:val="24"/>
          <w:szCs w:val="24"/>
        </w:rPr>
      </w:pPr>
      <w:r>
        <w:rPr>
          <w:rFonts w:ascii="Times New Roman" w:hAnsi="Times New Roman"/>
          <w:b/>
          <w:sz w:val="24"/>
        </w:rPr>
        <w:t>La Commission européenne observe que les stabilisateurs automatiques au niveau national (par exemple, les systèmes fiscaux et de protection sociale) constituent la première ligne de défense pour atténuer les chocs économiques.</w:t>
      </w:r>
      <w:r>
        <w:rPr>
          <w:rFonts w:ascii="Times New Roman" w:hAnsi="Times New Roman"/>
          <w:sz w:val="24"/>
        </w:rPr>
        <w:t xml:space="preserve"> Ils agissent immédiatement et de manière anticyclique. Dans l’UE, les stabilisateurs devraient être suffisants pour atténuer les fluctuations conjoncturelles normales, si une marge de manœuvre budgétaire suffisante est prévue lorsque la conjoncture est favorable. Le nouveau cadre budgétaire de l’Union permet aux stabilisateurs automatiques de fonctionner pleinement, car ce cadre repose sur un indicateur opérationnel unique qui n’est pas influencé par le fonctionnement des stabilisateurs automatiques et d’autres fluctuations des dépenses échappant au contrôle direct du gouvernement. Il est également possible de renforcer les stabilisateurs automatiques au niveau national, en modifiant par exemple la composition et la structure du système fiscal et de protection sociale en faveur de catégories d’impôts plus cycliques.</w:t>
      </w:r>
    </w:p>
    <w:p w14:paraId="786DDC1F" w14:textId="77777777" w:rsidR="0022313A" w:rsidRPr="00EB0371" w:rsidRDefault="0022313A" w:rsidP="0022313A">
      <w:pPr>
        <w:pStyle w:val="ListParagraph"/>
        <w:spacing w:after="160" w:line="259" w:lineRule="auto"/>
        <w:jc w:val="both"/>
        <w:rPr>
          <w:rFonts w:ascii="Times New Roman" w:hAnsi="Times New Roman"/>
          <w:sz w:val="24"/>
          <w:szCs w:val="24"/>
          <w:lang w:val="en-GB"/>
        </w:rPr>
      </w:pPr>
    </w:p>
    <w:p w14:paraId="76C5562A" w14:textId="77777777" w:rsidR="0022313A" w:rsidRPr="00EB0371" w:rsidRDefault="0022313A" w:rsidP="0022313A">
      <w:pPr>
        <w:pStyle w:val="ListParagraph"/>
        <w:spacing w:after="160" w:line="259" w:lineRule="auto"/>
        <w:jc w:val="both"/>
        <w:rPr>
          <w:rFonts w:ascii="Times New Roman" w:hAnsi="Times New Roman"/>
          <w:sz w:val="24"/>
          <w:szCs w:val="24"/>
        </w:rPr>
      </w:pPr>
      <w:bookmarkStart w:id="1" w:name="_Hlk194412546"/>
      <w:r>
        <w:rPr>
          <w:rFonts w:ascii="Times New Roman" w:hAnsi="Times New Roman"/>
          <w:b/>
          <w:sz w:val="24"/>
        </w:rPr>
        <w:t>En plus de la stabilisation automatique, des mesures discrétionnaires peuvent compléter le soutien apporté par les stabilisateurs automatiques, tant au niveau national qu’au niveau de l’UE.</w:t>
      </w:r>
      <w:r>
        <w:rPr>
          <w:rFonts w:ascii="Times New Roman" w:hAnsi="Times New Roman"/>
          <w:sz w:val="24"/>
        </w:rPr>
        <w:t xml:space="preserve"> </w:t>
      </w:r>
      <w:bookmarkEnd w:id="1"/>
      <w:r>
        <w:rPr>
          <w:rFonts w:ascii="Times New Roman" w:hAnsi="Times New Roman"/>
          <w:sz w:val="24"/>
        </w:rPr>
        <w:t xml:space="preserve">L’Europe a subi trois chocs économiques majeurs au cours des 15 dernières années, à savoir la crise financière mondiale, la COVID-19 et les répercussions de l’agression de l’Ukraine par la Russie sur les prix de l’énergie. Ces crises ont engendré des réponses politiques dans l’UE, telles que l’union bancaire, le mécanisme européen de stabilité, l’instrument européen de soutien temporaire à l’atténuation des risques de chômage en situation d’urgence (SURE), NextGenerationEU et la FRR ainsi que REPowerEU. Ces réponses politiques ont toutes renforcé la résilience de l’UE et envoyé un message clair aux marchés témoignant de la solidarité des pays européens en temps de crise. </w:t>
      </w:r>
    </w:p>
    <w:p w14:paraId="5E48A1AA" w14:textId="77777777" w:rsidR="0022313A" w:rsidRPr="00EB0371" w:rsidRDefault="0022313A" w:rsidP="0022313A">
      <w:pPr>
        <w:pStyle w:val="ListParagraph"/>
        <w:spacing w:after="160" w:line="259" w:lineRule="auto"/>
        <w:jc w:val="both"/>
        <w:rPr>
          <w:rFonts w:ascii="Times New Roman" w:hAnsi="Times New Roman"/>
          <w:sz w:val="24"/>
          <w:szCs w:val="24"/>
          <w:lang w:val="en-GB"/>
        </w:rPr>
      </w:pPr>
    </w:p>
    <w:p w14:paraId="0B877382" w14:textId="77777777" w:rsidR="0022313A" w:rsidRPr="00EB0371" w:rsidRDefault="0022313A" w:rsidP="0022313A">
      <w:pPr>
        <w:pStyle w:val="ListParagraph"/>
        <w:spacing w:after="160" w:line="259" w:lineRule="auto"/>
        <w:jc w:val="both"/>
        <w:rPr>
          <w:rFonts w:ascii="Times New Roman" w:hAnsi="Times New Roman"/>
          <w:sz w:val="24"/>
          <w:szCs w:val="24"/>
        </w:rPr>
      </w:pPr>
      <w:r>
        <w:rPr>
          <w:rFonts w:ascii="Times New Roman" w:hAnsi="Times New Roman"/>
          <w:sz w:val="24"/>
        </w:rPr>
        <w:t>Plus récemment, le 19 mars 2025, en réponse à des préoccupations accrues en matière de sécurité, la Commission a présenté une proposition de règlement du Conseil établissant un instrument d’urgence intitulé «Agir pour la sécurité de l’Europe» (ci</w:t>
      </w:r>
      <w:r>
        <w:rPr>
          <w:rFonts w:ascii="Times New Roman" w:hAnsi="Times New Roman"/>
          <w:sz w:val="24"/>
        </w:rPr>
        <w:noBreakHyphen/>
        <w:t>après l’«instrument SAFE») [COM(2025) 122 final]. Une fois adopté par le Conseil, l’instrument SAFE fournira une assistance financière (sous la forme de prêts) aux États membres pour leur permettre d’investir dans des domaines clés de la défense.</w:t>
      </w:r>
    </w:p>
    <w:p w14:paraId="0424C2A6" w14:textId="77777777" w:rsidR="0022313A" w:rsidRPr="00EB0371" w:rsidRDefault="0022313A" w:rsidP="0022313A">
      <w:pPr>
        <w:pStyle w:val="ListParagraph"/>
        <w:spacing w:after="160" w:line="259" w:lineRule="auto"/>
        <w:jc w:val="both"/>
        <w:rPr>
          <w:rFonts w:ascii="Times New Roman" w:hAnsi="Times New Roman"/>
          <w:sz w:val="24"/>
          <w:szCs w:val="24"/>
          <w:lang w:val="en-GB"/>
        </w:rPr>
      </w:pPr>
    </w:p>
    <w:p w14:paraId="66670B94" w14:textId="47E3B0DC" w:rsidR="0022313A" w:rsidRPr="00EB0371" w:rsidRDefault="0022313A" w:rsidP="0022313A">
      <w:pPr>
        <w:pStyle w:val="ListParagraph"/>
        <w:spacing w:after="160" w:line="259" w:lineRule="auto"/>
        <w:jc w:val="both"/>
        <w:rPr>
          <w:rFonts w:ascii="Times New Roman" w:hAnsi="Times New Roman"/>
          <w:sz w:val="24"/>
          <w:szCs w:val="24"/>
        </w:rPr>
      </w:pPr>
      <w:r>
        <w:rPr>
          <w:rFonts w:ascii="Times New Roman" w:hAnsi="Times New Roman"/>
          <w:sz w:val="24"/>
        </w:rPr>
        <w:t>Sur la base des progrès réguliers réalisés dans l’intégration et le renforcement des marchés financiers, la Commission a également adopté, le 19 mars 2025, une stratégie globale sur l’union de l’épargne et de l’investissement, visant à garantir que tous les États membres bénéficient de marchés financiers forts et intégrés, ce qui devrait faciliter le partage des risques privés et pourrait atténuer les chocs touchant les revenus et la consommation.</w:t>
      </w:r>
    </w:p>
    <w:p w14:paraId="2E8E39C2" w14:textId="77777777" w:rsidR="0022313A" w:rsidRPr="00EB0371" w:rsidRDefault="0022313A" w:rsidP="0022313A">
      <w:pPr>
        <w:pStyle w:val="ListParagraph"/>
        <w:spacing w:after="160" w:line="259" w:lineRule="auto"/>
        <w:ind w:left="0"/>
        <w:jc w:val="both"/>
        <w:rPr>
          <w:rFonts w:ascii="Times New Roman" w:hAnsi="Times New Roman"/>
          <w:sz w:val="24"/>
          <w:szCs w:val="24"/>
          <w:lang w:val="en-GB"/>
        </w:rPr>
      </w:pPr>
    </w:p>
    <w:p w14:paraId="1A34264D" w14:textId="0504B8D9" w:rsidR="0022313A" w:rsidRPr="00EB0371" w:rsidRDefault="0022313A" w:rsidP="0022313A">
      <w:pPr>
        <w:pStyle w:val="ListParagraph"/>
        <w:spacing w:after="160" w:line="259" w:lineRule="auto"/>
        <w:jc w:val="both"/>
        <w:rPr>
          <w:rFonts w:ascii="Times New Roman" w:hAnsi="Times New Roman"/>
          <w:strike/>
          <w:sz w:val="24"/>
          <w:szCs w:val="24"/>
        </w:rPr>
      </w:pPr>
      <w:r>
        <w:rPr>
          <w:rFonts w:ascii="Times New Roman" w:hAnsi="Times New Roman"/>
          <w:sz w:val="24"/>
        </w:rPr>
        <w:t xml:space="preserve">Comme l’a annoncé la présidente von der Leyen dans ses orientations politiques, la Commission proposera également, dans le cadre du prochain cadre financier pluriannuel, un </w:t>
      </w:r>
      <w:r>
        <w:rPr>
          <w:rFonts w:ascii="Times New Roman" w:hAnsi="Times New Roman"/>
          <w:b/>
          <w:sz w:val="24"/>
        </w:rPr>
        <w:t>Fonds européen pour la compétitivité</w:t>
      </w:r>
      <w:r>
        <w:rPr>
          <w:rFonts w:ascii="Times New Roman" w:hAnsi="Times New Roman"/>
          <w:sz w:val="24"/>
        </w:rPr>
        <w:t xml:space="preserve"> qui mettra en place une capacité d’investissement soutenant les secteurs stratégiques essentiels pour la compétitivité de l’UE, dont la recherche et l’innovation, et les PIIEC.</w:t>
      </w:r>
    </w:p>
    <w:p w14:paraId="4754EF83" w14:textId="77777777" w:rsidR="0022313A" w:rsidRPr="00EB0371" w:rsidRDefault="0022313A" w:rsidP="0022313A">
      <w:pPr>
        <w:pStyle w:val="ListParagraph"/>
        <w:spacing w:after="160" w:line="259" w:lineRule="auto"/>
        <w:jc w:val="both"/>
        <w:rPr>
          <w:rFonts w:ascii="Times New Roman" w:hAnsi="Times New Roman"/>
          <w:sz w:val="24"/>
          <w:szCs w:val="24"/>
          <w:lang w:val="en-GB"/>
        </w:rPr>
      </w:pPr>
    </w:p>
    <w:p w14:paraId="7D4F555C" w14:textId="77777777" w:rsidR="00D0308A" w:rsidRPr="00EB0371" w:rsidRDefault="00D75626" w:rsidP="00D0308A">
      <w:pPr>
        <w:pStyle w:val="ListParagraph"/>
        <w:spacing w:after="160" w:line="259" w:lineRule="auto"/>
        <w:jc w:val="both"/>
        <w:rPr>
          <w:rFonts w:ascii="Times New Roman" w:hAnsi="Times New Roman"/>
          <w:b/>
          <w:bCs/>
          <w:sz w:val="24"/>
          <w:szCs w:val="24"/>
        </w:rPr>
      </w:pPr>
      <w:r>
        <w:rPr>
          <w:rFonts w:ascii="Times New Roman" w:hAnsi="Times New Roman"/>
          <w:b/>
          <w:sz w:val="24"/>
        </w:rPr>
        <w:lastRenderedPageBreak/>
        <w:t>Le budget de l’UE, malgré sa taille restreinte, fournit une capacité budgétaire centrale.</w:t>
      </w:r>
      <w:r>
        <w:rPr>
          <w:rFonts w:ascii="Times New Roman" w:hAnsi="Times New Roman"/>
          <w:sz w:val="24"/>
        </w:rPr>
        <w:t xml:space="preserve"> Il soutient les investissements à long terme établis dans les priorités de l’UE et a montré, en particulier ces dernières années, qu’il peut jouer un rôle important dans la gestion des crises touchant l’UE et ses États membres.</w:t>
      </w:r>
      <w:r>
        <w:rPr>
          <w:rFonts w:ascii="Times New Roman" w:hAnsi="Times New Roman"/>
          <w:b/>
          <w:sz w:val="24"/>
        </w:rPr>
        <w:t xml:space="preserve"> </w:t>
      </w:r>
    </w:p>
    <w:p w14:paraId="4D6771CE" w14:textId="77777777" w:rsidR="00D0308A" w:rsidRPr="00EB0371" w:rsidRDefault="00D0308A" w:rsidP="00D0308A">
      <w:pPr>
        <w:pStyle w:val="ListParagraph"/>
        <w:spacing w:after="160" w:line="259" w:lineRule="auto"/>
        <w:jc w:val="both"/>
        <w:rPr>
          <w:rFonts w:ascii="Times New Roman" w:hAnsi="Times New Roman"/>
          <w:b/>
          <w:bCs/>
          <w:sz w:val="24"/>
          <w:szCs w:val="24"/>
          <w:lang w:val="en-GB"/>
        </w:rPr>
      </w:pPr>
    </w:p>
    <w:p w14:paraId="0E6548EF" w14:textId="678AA84D" w:rsidR="00953571" w:rsidRPr="00EB0371" w:rsidRDefault="00953571" w:rsidP="00D0308A">
      <w:pPr>
        <w:pStyle w:val="ListParagraph"/>
        <w:spacing w:after="160" w:line="259" w:lineRule="auto"/>
        <w:jc w:val="both"/>
        <w:rPr>
          <w:rFonts w:ascii="Times New Roman" w:hAnsi="Times New Roman"/>
          <w:szCs w:val="24"/>
        </w:rPr>
      </w:pPr>
      <w:r>
        <w:rPr>
          <w:rFonts w:ascii="Times New Roman" w:hAnsi="Times New Roman"/>
          <w:b/>
          <w:u w:val="single"/>
        </w:rPr>
        <w:t>Au paragraphe 35,</w:t>
      </w:r>
      <w:r>
        <w:rPr>
          <w:rFonts w:ascii="Times New Roman" w:hAnsi="Times New Roman"/>
          <w:b/>
        </w:rPr>
        <w:t xml:space="preserve"> le Parlement européen</w:t>
      </w:r>
      <w:r>
        <w:rPr>
          <w:rFonts w:ascii="Times New Roman" w:hAnsi="Times New Roman"/>
        </w:rPr>
        <w:t xml:space="preserve"> invite la Commission à engager des discussions sur la manière de combler l’important déficit d’investissement dans l’Union et de réduire les coûts d’emprunt, de renforcer la stabilité financière et de permettre des investissements stratégiques conformément aux objectifs de l’Union, ainsi que pour la fourniture de biens publics européens, tels que les capacités de défense, afin de répondre aux besoins dans un contexte de menaces et défis en matière de sécurité allant croissant; demande que les gains d’efficacité qui pourraient découler de la fourniture de biens publics européens à l’échelle de l’Union soient pleinement exploités grâce à une coordination efficace des priorités d’investissement entre les États membres; estime que ce cadre devrait, le cas échéant, être renforcé par des instruments et des outils d’investissement au niveau de l’Union destinés à réduire au minimum le coût pour les contribuables de l’Union et à maximiser l’efficacité de la fourniture de biens publics européens.</w:t>
      </w:r>
    </w:p>
    <w:p w14:paraId="0799E979" w14:textId="213416E7" w:rsidR="000446B6" w:rsidRPr="008E1D4B" w:rsidRDefault="00953571" w:rsidP="000446B6">
      <w:pPr>
        <w:ind w:left="720"/>
        <w:rPr>
          <w:rFonts w:ascii="Times New Roman" w:hAnsi="Times New Roman"/>
        </w:rPr>
      </w:pPr>
      <w:r>
        <w:rPr>
          <w:rFonts w:ascii="Times New Roman" w:hAnsi="Times New Roman"/>
        </w:rPr>
        <w:t xml:space="preserve">La Commission admet que </w:t>
      </w:r>
      <w:r>
        <w:rPr>
          <w:rFonts w:ascii="Times New Roman" w:hAnsi="Times New Roman"/>
          <w:b/>
        </w:rPr>
        <w:t>la stimulation des investissements et le renforcement de la stabilité financière sont essentiels à la croissance et à la résilience à long terme de l’Europe.</w:t>
      </w:r>
      <w:r>
        <w:rPr>
          <w:rFonts w:ascii="Times New Roman" w:hAnsi="Times New Roman"/>
        </w:rPr>
        <w:t xml:space="preserve"> L’une des principales priorités du nouveau mandat est de parachever l’</w:t>
      </w:r>
      <w:r>
        <w:rPr>
          <w:rFonts w:ascii="Times New Roman" w:hAnsi="Times New Roman"/>
          <w:b/>
        </w:rPr>
        <w:t>union des marchés des capitaux (ou l’«UMC»)</w:t>
      </w:r>
      <w:r>
        <w:rPr>
          <w:rFonts w:ascii="Times New Roman" w:hAnsi="Times New Roman"/>
        </w:rPr>
        <w:t xml:space="preserve"> afin d’approfondir l’intégration financière, en veillant à ce que les entreprises à croissance rapide, en particulier dans les secteurs stratégiques, puissent accéder aux capitaux dont elles ont besoin pour se développer et être compétitives à l’échelle mondiale. En vue de mobiliser davantage de capitaux privés, la Commission travaille sur l’</w:t>
      </w:r>
      <w:r>
        <w:rPr>
          <w:rFonts w:ascii="Times New Roman" w:hAnsi="Times New Roman"/>
          <w:b/>
        </w:rPr>
        <w:t>union de l’épargne et des investissements (ci</w:t>
      </w:r>
      <w:r>
        <w:rPr>
          <w:rFonts w:ascii="Times New Roman" w:hAnsi="Times New Roman"/>
          <w:b/>
        </w:rPr>
        <w:noBreakHyphen/>
        <w:t>après l’«UEI»)</w:t>
      </w:r>
      <w:r>
        <w:rPr>
          <w:rFonts w:ascii="Times New Roman" w:hAnsi="Times New Roman"/>
        </w:rPr>
        <w:t>, une initiative conçue pour diriger l’épargne privée européenne vers des investissements productifs, en réduisant les coûts d’emprunt et en renforçant les marchés financiers. L’UEI est un catalyseur horizontal qui devrait créer un écosystème de financement au profit des investissements dans les objectifs stratégiques de l’UE. Une communication à ce propos a été publiée en mars 2025 et la mise en œuvre de l’UEI est en cours.</w:t>
      </w:r>
    </w:p>
    <w:p w14:paraId="4EF19930" w14:textId="7047D6FC" w:rsidR="008270C1" w:rsidRPr="00EB0371" w:rsidRDefault="00953571" w:rsidP="008270C1">
      <w:pPr>
        <w:pStyle w:val="ListParagraph"/>
        <w:spacing w:after="0" w:line="240" w:lineRule="auto"/>
        <w:jc w:val="both"/>
        <w:rPr>
          <w:rFonts w:ascii="Times New Roman" w:eastAsia="Times New Roman" w:hAnsi="Times New Roman"/>
          <w:sz w:val="24"/>
          <w:szCs w:val="24"/>
        </w:rPr>
      </w:pPr>
      <w:r>
        <w:rPr>
          <w:rFonts w:ascii="Times New Roman" w:hAnsi="Times New Roman"/>
          <w:sz w:val="24"/>
        </w:rPr>
        <w:t xml:space="preserve">Les instruments financiers de l’UE sont également cruciaux pour permettre de combler le déficit d’investissement. La </w:t>
      </w:r>
      <w:r>
        <w:rPr>
          <w:rFonts w:ascii="Times New Roman" w:hAnsi="Times New Roman"/>
          <w:b/>
          <w:sz w:val="24"/>
        </w:rPr>
        <w:t>FRR</w:t>
      </w:r>
      <w:r>
        <w:rPr>
          <w:rFonts w:ascii="Times New Roman" w:hAnsi="Times New Roman"/>
          <w:sz w:val="24"/>
        </w:rPr>
        <w:t xml:space="preserve"> a joué un rôle capital dans la promotion d’une croissance durable reposant sur la combinaison de réformes et d’investissements nationaux qui répondent à la fois aux défis nationaux et aux priorités communes de l’UE. Dans le même temps, le </w:t>
      </w:r>
      <w:r>
        <w:rPr>
          <w:rFonts w:ascii="Times New Roman" w:hAnsi="Times New Roman"/>
          <w:b/>
          <w:sz w:val="24"/>
        </w:rPr>
        <w:t>cadre de gouvernance économique révisé</w:t>
      </w:r>
      <w:r>
        <w:rPr>
          <w:rFonts w:ascii="Times New Roman" w:hAnsi="Times New Roman"/>
          <w:sz w:val="24"/>
        </w:rPr>
        <w:t xml:space="preserve"> a appuyé l’accent mis sur l’investissement en demandant aux États membres de </w:t>
      </w:r>
      <w:r>
        <w:rPr>
          <w:rFonts w:ascii="Times New Roman" w:hAnsi="Times New Roman"/>
          <w:b/>
          <w:sz w:val="24"/>
        </w:rPr>
        <w:t>détailler leurs besoins en investissement</w:t>
      </w:r>
      <w:r>
        <w:rPr>
          <w:rFonts w:ascii="Times New Roman" w:hAnsi="Times New Roman"/>
          <w:sz w:val="24"/>
        </w:rPr>
        <w:t xml:space="preserve"> dans leurs plans budgétaires à moyen terme. Ces efforts sont complétés par </w:t>
      </w:r>
      <w:r>
        <w:rPr>
          <w:rFonts w:ascii="Times New Roman" w:hAnsi="Times New Roman"/>
          <w:b/>
          <w:sz w:val="24"/>
        </w:rPr>
        <w:t>InvestEU,</w:t>
      </w:r>
      <w:r>
        <w:rPr>
          <w:rFonts w:ascii="Times New Roman" w:hAnsi="Times New Roman"/>
          <w:sz w:val="24"/>
        </w:rPr>
        <w:t xml:space="preserve"> qui continue de libérer des capitaux privés pour des secteurs clés tels que l’innovation, les infrastructures et les transitions écologique et numérique. Dans le cadre du </w:t>
      </w:r>
      <w:r>
        <w:rPr>
          <w:rFonts w:ascii="Times New Roman" w:hAnsi="Times New Roman"/>
          <w:b/>
          <w:sz w:val="24"/>
        </w:rPr>
        <w:t>pacte pour une industrie propre,</w:t>
      </w:r>
      <w:r>
        <w:rPr>
          <w:rFonts w:ascii="Times New Roman" w:hAnsi="Times New Roman"/>
          <w:sz w:val="24"/>
        </w:rPr>
        <w:t xml:space="preserve"> la Commission mobilisera également le programme InvestEU et travaillera en étroite collaboration avec la BEI sur de nouvelles initiatives. Cette collaboration portera notamment sur une modification ciblée du règlement InvestEU, ainsi que sur une nouvelle initiative pour soutenir les jeunes pousses et les entreprises en expansion dans le domaine des technologies propres.</w:t>
      </w:r>
    </w:p>
    <w:p w14:paraId="3043F22F" w14:textId="258E9A82" w:rsidR="00953571" w:rsidRPr="00EB0371" w:rsidRDefault="00953571" w:rsidP="00953571">
      <w:pPr>
        <w:pStyle w:val="ListParagraph"/>
        <w:spacing w:after="0" w:line="240" w:lineRule="auto"/>
        <w:contextualSpacing w:val="0"/>
        <w:jc w:val="both"/>
        <w:rPr>
          <w:rFonts w:ascii="Times New Roman" w:eastAsia="Times New Roman" w:hAnsi="Times New Roman"/>
          <w:sz w:val="24"/>
          <w:szCs w:val="24"/>
          <w:lang w:val="en-GB"/>
        </w:rPr>
      </w:pPr>
    </w:p>
    <w:p w14:paraId="39AEB956" w14:textId="77777777" w:rsidR="00953571" w:rsidRPr="00EB0371" w:rsidRDefault="00953571" w:rsidP="00953571">
      <w:pPr>
        <w:pStyle w:val="ListParagraph"/>
        <w:spacing w:after="0" w:line="240" w:lineRule="auto"/>
        <w:contextualSpacing w:val="0"/>
        <w:jc w:val="both"/>
        <w:rPr>
          <w:rFonts w:ascii="Times New Roman" w:eastAsia="Times New Roman" w:hAnsi="Times New Roman"/>
          <w:sz w:val="24"/>
          <w:szCs w:val="24"/>
        </w:rPr>
      </w:pPr>
      <w:r>
        <w:rPr>
          <w:rFonts w:ascii="Times New Roman" w:hAnsi="Times New Roman"/>
          <w:sz w:val="24"/>
        </w:rPr>
        <w:t xml:space="preserve">En raison de l’incertitude géopolitique grandissante, la Commission a rapidement répondu </w:t>
      </w:r>
      <w:r>
        <w:rPr>
          <w:rFonts w:ascii="Times New Roman" w:hAnsi="Times New Roman"/>
          <w:b/>
          <w:sz w:val="24"/>
        </w:rPr>
        <w:t>à la nécessité d’accroître les capacités de défense de l’Europe.</w:t>
      </w:r>
      <w:r>
        <w:rPr>
          <w:rFonts w:ascii="Times New Roman" w:hAnsi="Times New Roman"/>
          <w:sz w:val="24"/>
        </w:rPr>
        <w:t xml:space="preserve"> Le 19 mars, un </w:t>
      </w:r>
      <w:r>
        <w:rPr>
          <w:rFonts w:ascii="Times New Roman" w:hAnsi="Times New Roman"/>
          <w:b/>
          <w:sz w:val="24"/>
        </w:rPr>
        <w:t>livre blanc sur la défense</w:t>
      </w:r>
      <w:r>
        <w:rPr>
          <w:rFonts w:ascii="Times New Roman" w:hAnsi="Times New Roman"/>
          <w:sz w:val="24"/>
        </w:rPr>
        <w:t xml:space="preserve"> a été publié, fixant un cadre pour rendre opérationnelle l’initiative </w:t>
      </w:r>
      <w:r>
        <w:rPr>
          <w:rFonts w:ascii="Times New Roman" w:hAnsi="Times New Roman"/>
          <w:b/>
          <w:sz w:val="24"/>
        </w:rPr>
        <w:t>ReArm Europe</w:t>
      </w:r>
      <w:r>
        <w:rPr>
          <w:rFonts w:ascii="Times New Roman" w:hAnsi="Times New Roman"/>
          <w:sz w:val="24"/>
        </w:rPr>
        <w:t xml:space="preserve">, combler les lacunes en matière de </w:t>
      </w:r>
      <w:r>
        <w:rPr>
          <w:rFonts w:ascii="Times New Roman" w:hAnsi="Times New Roman"/>
          <w:sz w:val="24"/>
        </w:rPr>
        <w:lastRenderedPageBreak/>
        <w:t>capacités critiques et coordonner les investissements dans le domaine de la défense entre les États membres. Afin de faciliter l’augmentation des dépenses de défense tout en maintenant la stabilité économique, la Commission a proposé d’</w:t>
      </w:r>
      <w:r>
        <w:rPr>
          <w:rFonts w:ascii="Times New Roman" w:hAnsi="Times New Roman"/>
          <w:b/>
          <w:sz w:val="24"/>
        </w:rPr>
        <w:t>activer de manière coordonnée la clause dérogatoire nationale.</w:t>
      </w:r>
      <w:r>
        <w:rPr>
          <w:rFonts w:ascii="Times New Roman" w:hAnsi="Times New Roman"/>
          <w:sz w:val="24"/>
        </w:rPr>
        <w:t xml:space="preserve"> Cette mesure permet aux États membres de s’écarter momentanément de la trajectoire de dépenses nettes fixées dans leur plan budgétaire à moyen terme afin de tenir compte de dépenses supplémentaires dans le domaine de la défense. </w:t>
      </w:r>
    </w:p>
    <w:p w14:paraId="485FA6FF" w14:textId="77777777" w:rsidR="00953571" w:rsidRPr="008E1D4B" w:rsidRDefault="00953571" w:rsidP="00953571">
      <w:pPr>
        <w:pStyle w:val="ListParagraph"/>
        <w:spacing w:after="0" w:line="240" w:lineRule="auto"/>
        <w:contextualSpacing w:val="0"/>
        <w:jc w:val="both"/>
        <w:rPr>
          <w:rFonts w:ascii="Times New Roman" w:eastAsia="Times New Roman" w:hAnsi="Times New Roman"/>
          <w:sz w:val="24"/>
          <w:szCs w:val="24"/>
          <w:lang w:val="en-GB"/>
        </w:rPr>
      </w:pPr>
    </w:p>
    <w:p w14:paraId="538BABB7" w14:textId="5328E2BB" w:rsidR="00953571" w:rsidRPr="00EB0371" w:rsidRDefault="00953571" w:rsidP="0022313A">
      <w:pPr>
        <w:pStyle w:val="ListParagraph"/>
        <w:spacing w:after="0" w:line="240" w:lineRule="auto"/>
        <w:contextualSpacing w:val="0"/>
        <w:jc w:val="both"/>
        <w:rPr>
          <w:rFonts w:ascii="Times New Roman" w:eastAsia="Times New Roman" w:hAnsi="Times New Roman"/>
          <w:sz w:val="24"/>
          <w:szCs w:val="24"/>
        </w:rPr>
      </w:pPr>
      <w:r>
        <w:rPr>
          <w:rFonts w:ascii="Times New Roman" w:hAnsi="Times New Roman"/>
          <w:sz w:val="24"/>
        </w:rPr>
        <w:t xml:space="preserve">Enfin, la Commission reconnaît l’importance de la fourniture des </w:t>
      </w:r>
      <w:r>
        <w:rPr>
          <w:rFonts w:ascii="Times New Roman" w:hAnsi="Times New Roman"/>
          <w:b/>
          <w:sz w:val="24"/>
        </w:rPr>
        <w:t>«biens publics européens»</w:t>
      </w:r>
      <w:r>
        <w:rPr>
          <w:rFonts w:ascii="Times New Roman" w:hAnsi="Times New Roman"/>
          <w:sz w:val="24"/>
        </w:rPr>
        <w:t xml:space="preserve"> et s’engage à leur donner un rôle de premier plan dans le prochain </w:t>
      </w:r>
      <w:r>
        <w:rPr>
          <w:rFonts w:ascii="Times New Roman" w:hAnsi="Times New Roman"/>
          <w:b/>
          <w:sz w:val="24"/>
        </w:rPr>
        <w:t>cadre financier pluriannuel (ci</w:t>
      </w:r>
      <w:r>
        <w:rPr>
          <w:rFonts w:ascii="Times New Roman" w:hAnsi="Times New Roman"/>
          <w:b/>
          <w:sz w:val="24"/>
        </w:rPr>
        <w:noBreakHyphen/>
        <w:t>après le «CFP»).</w:t>
      </w:r>
      <w:r>
        <w:rPr>
          <w:rFonts w:ascii="Times New Roman" w:hAnsi="Times New Roman"/>
          <w:sz w:val="24"/>
        </w:rPr>
        <w:t xml:space="preserve"> Face aux défis géopolitiques et économiques actuels, l’UE doit présenter une </w:t>
      </w:r>
      <w:r>
        <w:rPr>
          <w:rFonts w:ascii="Times New Roman" w:hAnsi="Times New Roman"/>
          <w:b/>
          <w:sz w:val="24"/>
        </w:rPr>
        <w:t>approche unifiée pour répondre aux besoins d’investissement</w:t>
      </w:r>
      <w:r>
        <w:rPr>
          <w:rFonts w:ascii="Times New Roman" w:hAnsi="Times New Roman"/>
          <w:sz w:val="24"/>
        </w:rPr>
        <w:t xml:space="preserve"> dans des secteurs clés. Le prochain CFP garantira </w:t>
      </w:r>
      <w:r>
        <w:rPr>
          <w:rFonts w:ascii="Times New Roman" w:hAnsi="Times New Roman"/>
          <w:b/>
          <w:sz w:val="24"/>
        </w:rPr>
        <w:t>une allocation plus efficace des ressources,</w:t>
      </w:r>
      <w:r>
        <w:rPr>
          <w:rFonts w:ascii="Times New Roman" w:hAnsi="Times New Roman"/>
          <w:sz w:val="24"/>
        </w:rPr>
        <w:t xml:space="preserve"> en maximisant l’impact tout en s’efforçant de </w:t>
      </w:r>
      <w:r>
        <w:rPr>
          <w:rFonts w:ascii="Times New Roman" w:hAnsi="Times New Roman"/>
          <w:b/>
          <w:sz w:val="24"/>
        </w:rPr>
        <w:t>réduire au minimum la pression financière pesant sur les budgets nationaux et les contribuables</w:t>
      </w:r>
      <w:r>
        <w:rPr>
          <w:rFonts w:ascii="Times New Roman" w:hAnsi="Times New Roman"/>
          <w:sz w:val="24"/>
        </w:rPr>
        <w:t>.</w:t>
      </w:r>
    </w:p>
    <w:p w14:paraId="3FE6D6DD" w14:textId="77777777" w:rsidR="00953571" w:rsidRPr="00EB0371" w:rsidRDefault="00953571" w:rsidP="00953571">
      <w:pPr>
        <w:pStyle w:val="ListParagraph"/>
        <w:spacing w:after="0" w:line="240" w:lineRule="auto"/>
        <w:contextualSpacing w:val="0"/>
        <w:jc w:val="both"/>
        <w:rPr>
          <w:rFonts w:ascii="Times New Roman" w:eastAsia="Times New Roman" w:hAnsi="Times New Roman"/>
          <w:sz w:val="24"/>
          <w:szCs w:val="24"/>
          <w:lang w:val="en-GB"/>
        </w:rPr>
      </w:pPr>
    </w:p>
    <w:p w14:paraId="366FF91A" w14:textId="2EC29972" w:rsidR="00953571" w:rsidRPr="00EB0371" w:rsidRDefault="00953571" w:rsidP="00BF23C0">
      <w:pPr>
        <w:pStyle w:val="ListParagraph"/>
        <w:numPr>
          <w:ilvl w:val="0"/>
          <w:numId w:val="40"/>
        </w:numPr>
        <w:spacing w:line="240" w:lineRule="auto"/>
        <w:jc w:val="both"/>
        <w:rPr>
          <w:rFonts w:ascii="Times New Roman" w:eastAsia="Times New Roman" w:hAnsi="Times New Roman"/>
          <w:b/>
          <w:bCs/>
          <w:sz w:val="24"/>
          <w:szCs w:val="24"/>
        </w:rPr>
      </w:pPr>
      <w:r>
        <w:rPr>
          <w:rFonts w:ascii="Times New Roman" w:hAnsi="Times New Roman"/>
          <w:b/>
          <w:sz w:val="24"/>
          <w:u w:val="single"/>
        </w:rPr>
        <w:t>Au paragraphe 38,</w:t>
      </w:r>
      <w:r>
        <w:rPr>
          <w:rFonts w:ascii="Times New Roman" w:hAnsi="Times New Roman"/>
          <w:b/>
          <w:sz w:val="24"/>
        </w:rPr>
        <w:t xml:space="preserve"> le Parlement européen</w:t>
      </w:r>
      <w:r>
        <w:rPr>
          <w:rFonts w:ascii="Times New Roman" w:hAnsi="Times New Roman"/>
          <w:sz w:val="24"/>
        </w:rPr>
        <w:t xml:space="preserve"> constate que le taux de recommandations par pays «pleinement mises en œuvre» est passé de 18,1 % (au cours de la période 2011-2018) à 13,9 % (au cours de la période 2019-2023); rappelle que la mise en œuvre des recommandations par pays, y compris en ce qui concerne l’efficacité des dépenses publiques, est un élément essentiel pour assurer la viabilité budgétaire et remédier aux déséquilibres macroéconomiques; plaide en faveur d’une mise en œuvre plus efficace des recommandations par pays ainsi que des réformes pertinentes; demande que soient étudiés les moyens d’accroître la part des recommandations par pays «pleinement mises en œuvre»; invite la Commission à établir un lien plus étroit entre les recommandations par pays et les rapports par pays respectifs; demande que l’incidence des réformes et les progrès accomplis dans la réduction des déficits d’investissement recensés soient évalués; demande une plus grande transparence dans l’élaboration des recommandations par pays.</w:t>
      </w:r>
    </w:p>
    <w:p w14:paraId="00B43184" w14:textId="77777777" w:rsidR="00953571" w:rsidRPr="00EB0371" w:rsidRDefault="00953571" w:rsidP="00BF23C0">
      <w:pPr>
        <w:pStyle w:val="ListParagraph"/>
        <w:spacing w:line="240" w:lineRule="auto"/>
        <w:jc w:val="both"/>
        <w:rPr>
          <w:rFonts w:ascii="Times New Roman" w:eastAsia="Times New Roman" w:hAnsi="Times New Roman"/>
          <w:sz w:val="24"/>
          <w:szCs w:val="24"/>
          <w:lang w:val="en-GB"/>
        </w:rPr>
      </w:pPr>
    </w:p>
    <w:p w14:paraId="1BDC4AFB" w14:textId="28A952FE" w:rsidR="00953571" w:rsidRPr="00EB0371" w:rsidRDefault="00953571" w:rsidP="00BF23C0">
      <w:pPr>
        <w:pStyle w:val="ListParagraph"/>
        <w:spacing w:line="240" w:lineRule="auto"/>
        <w:jc w:val="both"/>
        <w:rPr>
          <w:rFonts w:ascii="Times New Roman" w:hAnsi="Times New Roman"/>
          <w:sz w:val="24"/>
          <w:szCs w:val="24"/>
        </w:rPr>
      </w:pPr>
      <w:r>
        <w:rPr>
          <w:rFonts w:ascii="Times New Roman" w:hAnsi="Times New Roman"/>
          <w:sz w:val="24"/>
        </w:rPr>
        <w:t xml:space="preserve">La Commission européenne tient tout d’abord à faire observer que les périodes comparées dans cette constatation varient considérablement: 2011-2018 (8 ans) contre 2019-2023 (5 ans). Les recommandations par pays exigent que les mesures à long terme soient pleinement mises en œuvre. La Commission estime donc qu’une </w:t>
      </w:r>
      <w:r>
        <w:rPr>
          <w:rFonts w:ascii="Times New Roman" w:hAnsi="Times New Roman"/>
          <w:b/>
          <w:sz w:val="24"/>
        </w:rPr>
        <w:t>évaluation pluriannuelle axée sur les progrès plutôt que sur la mise en œuvre intégrale</w:t>
      </w:r>
      <w:r>
        <w:rPr>
          <w:rFonts w:ascii="Times New Roman" w:hAnsi="Times New Roman"/>
          <w:sz w:val="24"/>
        </w:rPr>
        <w:t xml:space="preserve"> est plus juste et plus précise. L’évaluation pluriannuelle apprécie la mise en œuvre à un moment donné, à partir de l’année de l’adoption d’une recommandation par pays, en tenant compte de toutes les mesures prises depuis lors. Par conséquent, plus l’année d’adoption d’une recommandation par pays est proche de l’année d’évaluation, plus les progrès enregistrés seront importants, en particulier pour les pays qui doivent mettre en place des réformes longues ou complexes.</w:t>
      </w:r>
    </w:p>
    <w:p w14:paraId="46EDCE26" w14:textId="77777777" w:rsidR="00953571" w:rsidRPr="00EB0371" w:rsidRDefault="00953571" w:rsidP="00BF23C0">
      <w:pPr>
        <w:pStyle w:val="ListParagraph"/>
        <w:spacing w:line="240" w:lineRule="auto"/>
        <w:jc w:val="both"/>
        <w:rPr>
          <w:rFonts w:ascii="Times New Roman" w:hAnsi="Times New Roman"/>
          <w:sz w:val="24"/>
          <w:szCs w:val="24"/>
          <w:lang w:val="en-GB"/>
        </w:rPr>
      </w:pPr>
    </w:p>
    <w:p w14:paraId="6D35313C" w14:textId="2E67C003" w:rsidR="00953571" w:rsidRPr="00EB0371" w:rsidRDefault="00953571" w:rsidP="00BF23C0">
      <w:pPr>
        <w:pStyle w:val="ListParagraph"/>
        <w:spacing w:line="240" w:lineRule="auto"/>
        <w:jc w:val="both"/>
        <w:rPr>
          <w:rFonts w:ascii="Times New Roman" w:hAnsi="Times New Roman"/>
          <w:sz w:val="24"/>
          <w:szCs w:val="24"/>
        </w:rPr>
      </w:pPr>
      <w:r>
        <w:rPr>
          <w:rFonts w:ascii="Times New Roman" w:hAnsi="Times New Roman"/>
          <w:sz w:val="24"/>
        </w:rPr>
        <w:t xml:space="preserve">La période 2019-2023 serait comparable à 2014-2018. Nous avons observé que 68 % des recommandations par pays montrent au moins certains progrès pour la période 2019-2023. À titre de comparaison, ce pourcentage ne s’élevait qu’à 61 % pour la période 2014-2018. Depuis son lancement, la </w:t>
      </w:r>
      <w:r>
        <w:rPr>
          <w:rFonts w:ascii="Times New Roman" w:hAnsi="Times New Roman"/>
          <w:b/>
          <w:sz w:val="24"/>
        </w:rPr>
        <w:t>FRR</w:t>
      </w:r>
      <w:r>
        <w:rPr>
          <w:rFonts w:ascii="Times New Roman" w:hAnsi="Times New Roman"/>
          <w:sz w:val="24"/>
        </w:rPr>
        <w:t xml:space="preserve"> a joué un rôle essentiel dans l’accélération de la mise en œuvre des </w:t>
      </w:r>
      <w:r>
        <w:rPr>
          <w:rFonts w:ascii="Times New Roman" w:hAnsi="Times New Roman"/>
          <w:b/>
          <w:sz w:val="24"/>
        </w:rPr>
        <w:t>recommandations par pays</w:t>
      </w:r>
      <w:r>
        <w:rPr>
          <w:rFonts w:ascii="Times New Roman" w:hAnsi="Times New Roman"/>
          <w:sz w:val="24"/>
        </w:rPr>
        <w:t xml:space="preserve">. Les </w:t>
      </w:r>
      <w:r>
        <w:rPr>
          <w:rFonts w:ascii="Times New Roman" w:hAnsi="Times New Roman"/>
          <w:b/>
          <w:sz w:val="24"/>
        </w:rPr>
        <w:t>plans pour la reprise et la résilience (ou les «PRR»)</w:t>
      </w:r>
      <w:r>
        <w:rPr>
          <w:rFonts w:ascii="Times New Roman" w:hAnsi="Times New Roman"/>
          <w:sz w:val="24"/>
        </w:rPr>
        <w:t xml:space="preserve"> présentés par les États membres constituent d’importants vecteurs pour mettre en œuvre les recommandations par pays et aligner les réformes et les investissements nationaux sur les priorités de l’UE. La Commission procède à une </w:t>
      </w:r>
      <w:r>
        <w:rPr>
          <w:rFonts w:ascii="Times New Roman" w:hAnsi="Times New Roman"/>
          <w:b/>
          <w:sz w:val="24"/>
        </w:rPr>
        <w:t>évaluation rigoureuse de ces plans et suit de près la mise en œuvre de leurs jalons et cibles</w:t>
      </w:r>
      <w:r>
        <w:rPr>
          <w:rFonts w:ascii="Times New Roman" w:hAnsi="Times New Roman"/>
          <w:sz w:val="24"/>
        </w:rPr>
        <w:t xml:space="preserve"> au moyen de l’évaluation des </w:t>
      </w:r>
      <w:r>
        <w:rPr>
          <w:rFonts w:ascii="Times New Roman" w:hAnsi="Times New Roman"/>
          <w:sz w:val="24"/>
        </w:rPr>
        <w:lastRenderedPageBreak/>
        <w:t xml:space="preserve">demandes de paiement, en garantissant une transparence totale dans ses rapports au Conseil et au Parlement européen. </w:t>
      </w:r>
    </w:p>
    <w:p w14:paraId="26AC98F7" w14:textId="77777777" w:rsidR="00953571" w:rsidRPr="00EB0371" w:rsidRDefault="00953571" w:rsidP="00BF23C0">
      <w:pPr>
        <w:pStyle w:val="ListParagraph"/>
        <w:spacing w:line="240" w:lineRule="auto"/>
        <w:jc w:val="both"/>
        <w:rPr>
          <w:rFonts w:ascii="Times New Roman" w:hAnsi="Times New Roman"/>
          <w:sz w:val="24"/>
          <w:szCs w:val="24"/>
          <w:lang w:val="en-GB"/>
        </w:rPr>
      </w:pPr>
    </w:p>
    <w:p w14:paraId="2CAEBD07" w14:textId="02E196AB" w:rsidR="00953571" w:rsidRPr="00EB0371" w:rsidRDefault="00953571" w:rsidP="00BF23C0">
      <w:pPr>
        <w:pStyle w:val="ListParagraph"/>
        <w:spacing w:line="240" w:lineRule="auto"/>
        <w:jc w:val="both"/>
        <w:rPr>
          <w:rFonts w:ascii="Times New Roman" w:hAnsi="Times New Roman"/>
          <w:sz w:val="24"/>
          <w:szCs w:val="24"/>
        </w:rPr>
      </w:pPr>
      <w:r>
        <w:rPr>
          <w:rFonts w:ascii="Times New Roman" w:hAnsi="Times New Roman"/>
          <w:sz w:val="24"/>
        </w:rPr>
        <w:t xml:space="preserve">La Commission européenne n’a cessé de souligner l’importance des </w:t>
      </w:r>
      <w:r>
        <w:rPr>
          <w:rFonts w:ascii="Times New Roman" w:hAnsi="Times New Roman"/>
          <w:b/>
          <w:sz w:val="24"/>
        </w:rPr>
        <w:t>recommandations par pays</w:t>
      </w:r>
      <w:r>
        <w:rPr>
          <w:rFonts w:ascii="Times New Roman" w:hAnsi="Times New Roman"/>
          <w:sz w:val="24"/>
        </w:rPr>
        <w:t xml:space="preserve"> en tant qu’outils cruciaux qui aident les États membres à relever les défis économiques et sociaux urgents dans le cadre du </w:t>
      </w:r>
      <w:r>
        <w:rPr>
          <w:rFonts w:ascii="Times New Roman" w:hAnsi="Times New Roman"/>
          <w:b/>
          <w:sz w:val="24"/>
        </w:rPr>
        <w:t>Semestre européen.</w:t>
      </w:r>
    </w:p>
    <w:p w14:paraId="4564A4A6" w14:textId="77777777" w:rsidR="00953571" w:rsidRPr="00EB0371" w:rsidRDefault="00953571" w:rsidP="00BF23C0">
      <w:pPr>
        <w:pStyle w:val="ListParagraph"/>
        <w:spacing w:line="240" w:lineRule="auto"/>
        <w:jc w:val="both"/>
        <w:rPr>
          <w:rFonts w:ascii="Times New Roman" w:hAnsi="Times New Roman"/>
          <w:sz w:val="24"/>
          <w:szCs w:val="24"/>
          <w:lang w:val="en-GB"/>
        </w:rPr>
      </w:pPr>
    </w:p>
    <w:p w14:paraId="469678E7" w14:textId="235DE109" w:rsidR="00953571" w:rsidRPr="00EB0371" w:rsidRDefault="00953571" w:rsidP="00BF23C0">
      <w:pPr>
        <w:pStyle w:val="ListParagraph"/>
        <w:spacing w:line="240" w:lineRule="auto"/>
        <w:jc w:val="both"/>
        <w:rPr>
          <w:rFonts w:ascii="Times New Roman" w:hAnsi="Times New Roman"/>
          <w:sz w:val="24"/>
          <w:szCs w:val="24"/>
        </w:rPr>
      </w:pPr>
      <w:r>
        <w:rPr>
          <w:rFonts w:ascii="Times New Roman" w:hAnsi="Times New Roman"/>
          <w:sz w:val="24"/>
        </w:rPr>
        <w:t xml:space="preserve">Afin de renforcer l’efficacité des recommandations par pays, la Commission a donné la priorité à la formulation de </w:t>
      </w:r>
      <w:r>
        <w:rPr>
          <w:rFonts w:ascii="Times New Roman" w:hAnsi="Times New Roman"/>
          <w:b/>
          <w:sz w:val="24"/>
        </w:rPr>
        <w:t>recommandations fondées sur des données probantes</w:t>
      </w:r>
      <w:r>
        <w:rPr>
          <w:rFonts w:ascii="Times New Roman" w:hAnsi="Times New Roman"/>
          <w:sz w:val="24"/>
        </w:rPr>
        <w:t xml:space="preserve"> qui s’attaquent aux problèmes les plus urgents auxquels sont confrontés les États membres. Les données probantes et les analyses sous-jacentes sur lesquelles se fondent ces recommandations sont intégrées dans les </w:t>
      </w:r>
      <w:r>
        <w:rPr>
          <w:rFonts w:ascii="Times New Roman" w:hAnsi="Times New Roman"/>
          <w:b/>
          <w:sz w:val="24"/>
        </w:rPr>
        <w:t>rapports par pays</w:t>
      </w:r>
      <w:r>
        <w:rPr>
          <w:rFonts w:ascii="Times New Roman" w:hAnsi="Times New Roman"/>
          <w:sz w:val="24"/>
        </w:rPr>
        <w:t>, qui fournissent un aperçu détaillé des défis nationaux et définissent la voie à suivre pour mener des actions efficaces au niveau national en vue de relever ces défis.</w:t>
      </w:r>
    </w:p>
    <w:p w14:paraId="34B2A7AD" w14:textId="77777777" w:rsidR="00953571" w:rsidRPr="00EB0371" w:rsidRDefault="00953571" w:rsidP="00BF23C0">
      <w:pPr>
        <w:pStyle w:val="ListParagraph"/>
        <w:spacing w:line="240" w:lineRule="auto"/>
        <w:jc w:val="both"/>
        <w:rPr>
          <w:rFonts w:ascii="Times New Roman" w:hAnsi="Times New Roman"/>
          <w:sz w:val="24"/>
          <w:szCs w:val="24"/>
          <w:lang w:val="en-GB"/>
        </w:rPr>
      </w:pPr>
    </w:p>
    <w:p w14:paraId="15A91B13" w14:textId="2E103454" w:rsidR="00953571" w:rsidRPr="00EB0371" w:rsidRDefault="00953571" w:rsidP="00BF23C0">
      <w:pPr>
        <w:pStyle w:val="ListParagraph"/>
        <w:spacing w:line="240" w:lineRule="auto"/>
        <w:jc w:val="both"/>
        <w:rPr>
          <w:rFonts w:ascii="Times New Roman" w:hAnsi="Times New Roman"/>
          <w:sz w:val="24"/>
          <w:szCs w:val="24"/>
        </w:rPr>
      </w:pPr>
      <w:r>
        <w:rPr>
          <w:rFonts w:ascii="Times New Roman" w:hAnsi="Times New Roman"/>
          <w:sz w:val="24"/>
        </w:rPr>
        <w:t xml:space="preserve">La </w:t>
      </w:r>
      <w:r>
        <w:rPr>
          <w:rFonts w:ascii="Times New Roman" w:hAnsi="Times New Roman"/>
          <w:b/>
          <w:sz w:val="24"/>
        </w:rPr>
        <w:t>section consacrée aux principales constatations des rapports par pays</w:t>
      </w:r>
      <w:r>
        <w:rPr>
          <w:rFonts w:ascii="Times New Roman" w:hAnsi="Times New Roman"/>
          <w:sz w:val="24"/>
        </w:rPr>
        <w:t xml:space="preserve"> résume les principaux défis recensés, y compris ceux qui doivent être abordés dans les recommandations par pays que la Commission proposera. Afin d’accroître la transparence dans l’élaboration de ces dernières, les </w:t>
      </w:r>
      <w:r>
        <w:rPr>
          <w:rFonts w:ascii="Times New Roman" w:hAnsi="Times New Roman"/>
          <w:b/>
          <w:sz w:val="24"/>
        </w:rPr>
        <w:t>projets de rapports par pays sont communiqués aux États membres</w:t>
      </w:r>
      <w:r>
        <w:rPr>
          <w:rFonts w:ascii="Times New Roman" w:hAnsi="Times New Roman"/>
          <w:sz w:val="24"/>
        </w:rPr>
        <w:t xml:space="preserve"> pour recueillir leurs commentaires avant leur adoption. En 2025, des réunions bilatérales avec les États membres seront également organisées après l’envoi des projets de rapports par pays, notamment pour discuter de la mise en œuvre des recommandations par pays. </w:t>
      </w:r>
    </w:p>
    <w:p w14:paraId="1895DA16" w14:textId="77777777" w:rsidR="00953571" w:rsidRPr="00EB0371" w:rsidRDefault="00953571" w:rsidP="00BF23C0">
      <w:pPr>
        <w:pStyle w:val="ListParagraph"/>
        <w:spacing w:line="240" w:lineRule="auto"/>
        <w:jc w:val="both"/>
        <w:rPr>
          <w:rFonts w:ascii="Times New Roman" w:hAnsi="Times New Roman"/>
          <w:sz w:val="24"/>
          <w:szCs w:val="24"/>
          <w:lang w:val="en-GB"/>
        </w:rPr>
      </w:pPr>
    </w:p>
    <w:p w14:paraId="138063A0" w14:textId="44D7744F" w:rsidR="00953571" w:rsidRPr="00EB0371" w:rsidRDefault="00953571" w:rsidP="00BF23C0">
      <w:pPr>
        <w:pStyle w:val="ListParagraph"/>
        <w:spacing w:line="240" w:lineRule="auto"/>
        <w:jc w:val="both"/>
        <w:rPr>
          <w:rFonts w:ascii="Times New Roman" w:hAnsi="Times New Roman"/>
          <w:sz w:val="24"/>
          <w:szCs w:val="24"/>
        </w:rPr>
      </w:pPr>
      <w:r>
        <w:rPr>
          <w:rFonts w:ascii="Times New Roman" w:hAnsi="Times New Roman"/>
          <w:sz w:val="24"/>
        </w:rPr>
        <w:t xml:space="preserve">La réforme du </w:t>
      </w:r>
      <w:r>
        <w:rPr>
          <w:rFonts w:ascii="Times New Roman" w:hAnsi="Times New Roman"/>
          <w:b/>
          <w:sz w:val="24"/>
        </w:rPr>
        <w:t>cadre de gouvernance économique</w:t>
      </w:r>
      <w:r>
        <w:rPr>
          <w:rFonts w:ascii="Times New Roman" w:hAnsi="Times New Roman"/>
          <w:sz w:val="24"/>
        </w:rPr>
        <w:t xml:space="preserve"> renforce davantage le rôle des recommandations par pays. En effet, les États membres sont encouragés à concevoir des réformes et des investissements qui répondent directement aux défis recensés dans leurs recommandations respectives. La Commission a souligné la nécessité de lier les investissements et les réformes aux recommandations par pays dans les règlements et orientations pour l’élaboration de ces recommandations. En particulier, les pays qui demandent une extension de leur trajectoire d’ajustement budgétaire doivent s’appuyer sur des réformes et des investissements répondant aux recommandations par pays, afin de garantir une approche cohérente et stratégique de la gouvernance économique.</w:t>
      </w:r>
    </w:p>
    <w:p w14:paraId="10189811" w14:textId="77777777" w:rsidR="00953571" w:rsidRPr="00EB0371" w:rsidRDefault="00953571" w:rsidP="00BF23C0">
      <w:pPr>
        <w:pStyle w:val="ListParagraph"/>
        <w:spacing w:after="0" w:line="240" w:lineRule="auto"/>
        <w:contextualSpacing w:val="0"/>
        <w:jc w:val="both"/>
        <w:rPr>
          <w:rFonts w:ascii="Times New Roman" w:eastAsia="Times New Roman" w:hAnsi="Times New Roman"/>
          <w:sz w:val="24"/>
          <w:szCs w:val="24"/>
          <w:lang w:val="en-GB"/>
        </w:rPr>
      </w:pPr>
    </w:p>
    <w:p w14:paraId="2C1C976E" w14:textId="3A0238BD" w:rsidR="006F671D" w:rsidRPr="008E1D4B" w:rsidRDefault="006F671D" w:rsidP="00886435">
      <w:pPr>
        <w:widowControl w:val="0"/>
        <w:ind w:left="567"/>
        <w:rPr>
          <w:rFonts w:ascii="Times New Roman" w:hAnsi="Times New Roman"/>
          <w:b/>
          <w:szCs w:val="24"/>
        </w:rPr>
      </w:pPr>
    </w:p>
    <w:sectPr w:rsidR="006F671D" w:rsidRPr="008E1D4B" w:rsidSect="00812321">
      <w:footerReference w:type="even" r:id="rId11"/>
      <w:footerReference w:type="default" r:id="rId12"/>
      <w:footerReference w:type="first" r:id="rId13"/>
      <w:footnotePr>
        <w:pos w:val="beneathText"/>
        <w:numRestart w:val="eachSect"/>
      </w:footnotePr>
      <w:type w:val="continuous"/>
      <w:pgSz w:w="11906" w:h="16838" w:code="9"/>
      <w:pgMar w:top="1021" w:right="1416" w:bottom="1021" w:left="1588" w:header="601"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9E6C" w14:textId="77777777" w:rsidR="00F77B5B" w:rsidRDefault="00F77B5B">
      <w:r>
        <w:separator/>
      </w:r>
    </w:p>
  </w:endnote>
  <w:endnote w:type="continuationSeparator" w:id="0">
    <w:p w14:paraId="45328EC2" w14:textId="77777777" w:rsidR="00F77B5B" w:rsidRDefault="00F77B5B">
      <w:r>
        <w:continuationSeparator/>
      </w:r>
    </w:p>
  </w:endnote>
  <w:endnote w:type="continuationNotice" w:id="1">
    <w:p w14:paraId="4C78A85F" w14:textId="77777777" w:rsidR="00F77B5B" w:rsidRDefault="00F77B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 w:name="EC Square Sans Cond Pro">
    <w:panose1 w:val="020B0506040000020004"/>
    <w:charset w:val="00"/>
    <w:family w:val="swiss"/>
    <w:pitch w:val="variable"/>
    <w:sig w:usb0="20000287" w:usb1="00000001" w:usb2="00000000" w:usb3="00000000" w:csb0="0000019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2F22"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35</w:t>
    </w:r>
    <w:r>
      <w:rPr>
        <w:rStyle w:val="PageNumber"/>
      </w:rPr>
      <w:fldChar w:fldCharType="end"/>
    </w:r>
  </w:p>
  <w:p w14:paraId="1CE8F934" w14:textId="77777777" w:rsidR="00471068" w:rsidRDefault="00471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B9ED6" w14:textId="77777777" w:rsidR="00471068" w:rsidRDefault="00471068" w:rsidP="006E56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76797D1D" w14:textId="77777777" w:rsidR="00471068" w:rsidRPr="008A6623" w:rsidRDefault="00471068" w:rsidP="008A6623">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EE69" w14:textId="77777777" w:rsidR="006B0483" w:rsidRDefault="006B0483" w:rsidP="006B04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44C2131" w14:textId="77777777" w:rsidR="00471068" w:rsidRDefault="00471068" w:rsidP="00442B2E">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C31BE" w14:textId="77777777" w:rsidR="00F77B5B" w:rsidRDefault="00F77B5B">
      <w:r>
        <w:separator/>
      </w:r>
    </w:p>
  </w:footnote>
  <w:footnote w:type="continuationSeparator" w:id="0">
    <w:p w14:paraId="1432D6A7" w14:textId="77777777" w:rsidR="00F77B5B" w:rsidRDefault="00F77B5B">
      <w:r>
        <w:continuationSeparator/>
      </w:r>
    </w:p>
  </w:footnote>
  <w:footnote w:type="continuationNotice" w:id="1">
    <w:p w14:paraId="22F40AF5" w14:textId="77777777" w:rsidR="00F77B5B" w:rsidRDefault="00F77B5B">
      <w:pPr>
        <w:spacing w:after="0"/>
      </w:pPr>
    </w:p>
  </w:footnote>
  <w:footnote w:id="2">
    <w:p w14:paraId="7652C77E" w14:textId="77777777" w:rsidR="0022313A" w:rsidRPr="0022313A" w:rsidRDefault="0022313A" w:rsidP="0022313A">
      <w:pPr>
        <w:pStyle w:val="FootnoteText"/>
        <w:rPr>
          <w:rFonts w:ascii="Times New Roman" w:hAnsi="Times New Roman"/>
          <w:sz w:val="14"/>
          <w:szCs w:val="14"/>
        </w:rPr>
      </w:pPr>
      <w:r>
        <w:rPr>
          <w:rStyle w:val="FootnoteReference"/>
          <w:rFonts w:ascii="Times New Roman" w:hAnsi="Times New Roman"/>
          <w:sz w:val="14"/>
          <w:szCs w:val="14"/>
        </w:rPr>
        <w:footnoteRef/>
      </w:r>
      <w:r>
        <w:rPr>
          <w:rFonts w:ascii="Times New Roman" w:hAnsi="Times New Roman"/>
          <w:sz w:val="14"/>
        </w:rPr>
        <w:t xml:space="preserve"> </w:t>
      </w:r>
      <w:r>
        <w:rPr>
          <w:rFonts w:ascii="Times New Roman" w:hAnsi="Times New Roman"/>
          <w:color w:val="333333"/>
          <w:sz w:val="14"/>
          <w:shd w:val="clear" w:color="auto" w:fill="FFFFFF"/>
        </w:rPr>
        <w:t xml:space="preserve">Règlement (UE) 2024/1263 du Parlement européen et du Conseil du 29 avril 2024 relatif à la coordination efficace des politiques économiques et à la surveillance budgétaire multilatérale et abrogeant le règlement (CE) nº 1466/97 du Conseil: </w:t>
      </w:r>
      <w:hyperlink r:id="rId1" w:history="1">
        <w:r>
          <w:rPr>
            <w:rStyle w:val="Hyperlink"/>
            <w:rFonts w:ascii="Times New Roman" w:hAnsi="Times New Roman"/>
            <w:sz w:val="14"/>
          </w:rPr>
          <w:t>https://eur-lex.europa.eu/legal-content/FR/TXT/?uri=CELEX:32024R1263</w:t>
        </w:r>
      </w:hyperlink>
      <w:r>
        <w:t>.</w:t>
      </w:r>
      <w:r>
        <w:rPr>
          <w:rFonts w:ascii="Times New Roman" w:hAnsi="Times New Roman"/>
          <w:sz w:val="14"/>
        </w:rPr>
        <w:t xml:space="preserve"> </w:t>
      </w:r>
    </w:p>
  </w:footnote>
  <w:footnote w:id="3">
    <w:p w14:paraId="1125AB22" w14:textId="77777777" w:rsidR="00E27162" w:rsidRPr="00547DBC" w:rsidRDefault="00E27162" w:rsidP="00E27162">
      <w:pPr>
        <w:pStyle w:val="FootnoteText"/>
      </w:pPr>
      <w:r>
        <w:rPr>
          <w:rStyle w:val="FootnoteReference"/>
          <w:rFonts w:ascii="Times New Roman" w:hAnsi="Times New Roman"/>
          <w:sz w:val="14"/>
          <w:szCs w:val="14"/>
        </w:rPr>
        <w:footnoteRef/>
      </w:r>
      <w:r>
        <w:t xml:space="preserve"> </w:t>
      </w:r>
      <w:r>
        <w:rPr>
          <w:rFonts w:ascii="Times New Roman" w:hAnsi="Times New Roman"/>
          <w:sz w:val="14"/>
        </w:rPr>
        <w:t xml:space="preserve">Pour donner un ordre de grandeur, on estime que le respect des exigences du nouveau cadre implique un assainissement modéré compris entre 0,25 % et 0,5 % du produit intérieur brut en 2025. Pour de plus amples informations (en anglais uniquement): Cepparulo, A., McDonnell, C., et Reitano, V.E., «An Assessment of the Euro Area Fiscal Stance», </w:t>
      </w:r>
      <w:r>
        <w:rPr>
          <w:rFonts w:ascii="Times New Roman" w:hAnsi="Times New Roman"/>
          <w:i/>
          <w:iCs/>
          <w:sz w:val="14"/>
        </w:rPr>
        <w:t>Economic Brief</w:t>
      </w:r>
      <w:r>
        <w:rPr>
          <w:rFonts w:ascii="Times New Roman" w:hAnsi="Times New Roman"/>
          <w:sz w:val="14"/>
        </w:rPr>
        <w:t>, 080, 2024.</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507D"/>
    <w:multiLevelType w:val="multilevel"/>
    <w:tmpl w:val="5F385A54"/>
    <w:name w:val="WW8Num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0B3F48"/>
    <w:multiLevelType w:val="singleLevel"/>
    <w:tmpl w:val="EFB46688"/>
    <w:name w:val="WW8Num6"/>
    <w:lvl w:ilvl="0">
      <w:start w:val="1"/>
      <w:numFmt w:val="bullet"/>
      <w:pStyle w:val="ListBullet"/>
      <w:lvlText w:val=""/>
      <w:lvlJc w:val="left"/>
      <w:pPr>
        <w:tabs>
          <w:tab w:val="num" w:pos="283"/>
        </w:tabs>
        <w:ind w:left="283" w:hanging="283"/>
      </w:pPr>
      <w:rPr>
        <w:rFonts w:ascii="Symbol" w:hAnsi="Symbol"/>
      </w:rPr>
    </w:lvl>
  </w:abstractNum>
  <w:abstractNum w:abstractNumId="2" w15:restartNumberingAfterBreak="0">
    <w:nsid w:val="0AA7686E"/>
    <w:multiLevelType w:val="hybridMultilevel"/>
    <w:tmpl w:val="D1D45CA8"/>
    <w:lvl w:ilvl="0" w:tplc="26A4D58A">
      <w:start w:val="1"/>
      <w:numFmt w:val="decimal"/>
      <w:lvlText w:val="%1."/>
      <w:lvlJc w:val="left"/>
      <w:pPr>
        <w:ind w:left="1065" w:hanging="705"/>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1A20B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EBD20DB"/>
    <w:multiLevelType w:val="hybridMultilevel"/>
    <w:tmpl w:val="3BC09D28"/>
    <w:name w:val="WW8Num8"/>
    <w:lvl w:ilvl="0" w:tplc="1ED89A4C">
      <w:start w:val="1"/>
      <w:numFmt w:val="bullet"/>
      <w:pStyle w:val="Briefingspdef"/>
      <w:lvlText w:val=""/>
      <w:lvlJc w:val="left"/>
      <w:pPr>
        <w:tabs>
          <w:tab w:val="num" w:pos="360"/>
        </w:tabs>
        <w:ind w:left="360" w:hanging="360"/>
      </w:pPr>
      <w:rPr>
        <w:rFonts w:ascii="Symbol" w:hAnsi="Symbol" w:hint="default"/>
        <w:sz w:val="20"/>
      </w:rPr>
    </w:lvl>
    <w:lvl w:ilvl="1" w:tplc="E9786584">
      <w:start w:val="1"/>
      <w:numFmt w:val="bullet"/>
      <w:lvlText w:val=""/>
      <w:lvlJc w:val="left"/>
      <w:pPr>
        <w:tabs>
          <w:tab w:val="num" w:pos="1440"/>
        </w:tabs>
        <w:ind w:left="1440" w:hanging="360"/>
      </w:pPr>
      <w:rPr>
        <w:rFonts w:ascii="Symbol" w:hAnsi="Symbol" w:hint="default"/>
        <w:sz w:val="20"/>
      </w:rPr>
    </w:lvl>
    <w:lvl w:ilvl="2" w:tplc="D3E466F6" w:tentative="1">
      <w:start w:val="1"/>
      <w:numFmt w:val="bullet"/>
      <w:lvlText w:val=""/>
      <w:lvlJc w:val="left"/>
      <w:pPr>
        <w:tabs>
          <w:tab w:val="num" w:pos="2160"/>
        </w:tabs>
        <w:ind w:left="2160" w:hanging="360"/>
      </w:pPr>
      <w:rPr>
        <w:rFonts w:ascii="Wingdings" w:hAnsi="Wingdings" w:hint="default"/>
      </w:rPr>
    </w:lvl>
    <w:lvl w:ilvl="3" w:tplc="670E1398" w:tentative="1">
      <w:start w:val="1"/>
      <w:numFmt w:val="bullet"/>
      <w:lvlText w:val=""/>
      <w:lvlJc w:val="left"/>
      <w:pPr>
        <w:tabs>
          <w:tab w:val="num" w:pos="2880"/>
        </w:tabs>
        <w:ind w:left="2880" w:hanging="360"/>
      </w:pPr>
      <w:rPr>
        <w:rFonts w:ascii="Symbol" w:hAnsi="Symbol" w:hint="default"/>
      </w:rPr>
    </w:lvl>
    <w:lvl w:ilvl="4" w:tplc="03E003E2" w:tentative="1">
      <w:start w:val="1"/>
      <w:numFmt w:val="bullet"/>
      <w:lvlText w:val="o"/>
      <w:lvlJc w:val="left"/>
      <w:pPr>
        <w:tabs>
          <w:tab w:val="num" w:pos="3600"/>
        </w:tabs>
        <w:ind w:left="3600" w:hanging="360"/>
      </w:pPr>
      <w:rPr>
        <w:rFonts w:ascii="Courier New" w:hAnsi="Courier New" w:cs="Courier New" w:hint="default"/>
      </w:rPr>
    </w:lvl>
    <w:lvl w:ilvl="5" w:tplc="4FBE7CFE" w:tentative="1">
      <w:start w:val="1"/>
      <w:numFmt w:val="bullet"/>
      <w:lvlText w:val=""/>
      <w:lvlJc w:val="left"/>
      <w:pPr>
        <w:tabs>
          <w:tab w:val="num" w:pos="4320"/>
        </w:tabs>
        <w:ind w:left="4320" w:hanging="360"/>
      </w:pPr>
      <w:rPr>
        <w:rFonts w:ascii="Wingdings" w:hAnsi="Wingdings" w:hint="default"/>
      </w:rPr>
    </w:lvl>
    <w:lvl w:ilvl="6" w:tplc="BB54250A" w:tentative="1">
      <w:start w:val="1"/>
      <w:numFmt w:val="bullet"/>
      <w:lvlText w:val=""/>
      <w:lvlJc w:val="left"/>
      <w:pPr>
        <w:tabs>
          <w:tab w:val="num" w:pos="5040"/>
        </w:tabs>
        <w:ind w:left="5040" w:hanging="360"/>
      </w:pPr>
      <w:rPr>
        <w:rFonts w:ascii="Symbol" w:hAnsi="Symbol" w:hint="default"/>
      </w:rPr>
    </w:lvl>
    <w:lvl w:ilvl="7" w:tplc="546629E2" w:tentative="1">
      <w:start w:val="1"/>
      <w:numFmt w:val="bullet"/>
      <w:lvlText w:val="o"/>
      <w:lvlJc w:val="left"/>
      <w:pPr>
        <w:tabs>
          <w:tab w:val="num" w:pos="5760"/>
        </w:tabs>
        <w:ind w:left="5760" w:hanging="360"/>
      </w:pPr>
      <w:rPr>
        <w:rFonts w:ascii="Courier New" w:hAnsi="Courier New" w:cs="Courier New" w:hint="default"/>
      </w:rPr>
    </w:lvl>
    <w:lvl w:ilvl="8" w:tplc="19BC93F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831A51"/>
    <w:multiLevelType w:val="hybridMultilevel"/>
    <w:tmpl w:val="BCAED5BC"/>
    <w:lvl w:ilvl="0" w:tplc="7C765058">
      <w:start w:val="1"/>
      <w:numFmt w:val="decimal"/>
      <w:lvlText w:val="%1."/>
      <w:lvlJc w:val="left"/>
      <w:pPr>
        <w:ind w:left="644"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B71774"/>
    <w:multiLevelType w:val="hybridMultilevel"/>
    <w:tmpl w:val="D66EB4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3A83C3F"/>
    <w:multiLevelType w:val="singleLevel"/>
    <w:tmpl w:val="54744D6A"/>
    <w:name w:val="WW8Num13"/>
    <w:lvl w:ilvl="0">
      <w:start w:val="1"/>
      <w:numFmt w:val="bullet"/>
      <w:pStyle w:val="ListDash1"/>
      <w:lvlText w:val="–"/>
      <w:lvlJc w:val="left"/>
      <w:pPr>
        <w:tabs>
          <w:tab w:val="num" w:pos="765"/>
        </w:tabs>
        <w:ind w:left="765" w:hanging="283"/>
      </w:pPr>
      <w:rPr>
        <w:rFonts w:ascii="Times New Roman" w:hAnsi="Times New Roman"/>
      </w:rPr>
    </w:lvl>
  </w:abstractNum>
  <w:abstractNum w:abstractNumId="8" w15:restartNumberingAfterBreak="0">
    <w:nsid w:val="14E4220C"/>
    <w:multiLevelType w:val="multilevel"/>
    <w:tmpl w:val="D2ACB8CC"/>
    <w:lvl w:ilvl="0">
      <w:start w:val="1"/>
      <w:numFmt w:val="decimal"/>
      <w:pStyle w:val="Heading1"/>
      <w:lvlText w:val="%1."/>
      <w:lvlJc w:val="left"/>
      <w:pPr>
        <w:tabs>
          <w:tab w:val="num" w:pos="480"/>
        </w:tabs>
        <w:ind w:left="480" w:hanging="480"/>
      </w:pPr>
      <w:rPr>
        <w:b/>
        <w:lang w:val="fr-FR"/>
      </w:rPr>
    </w:lvl>
    <w:lvl w:ilvl="1">
      <w:start w:val="1"/>
      <w:numFmt w:val="decimal"/>
      <w:pStyle w:val="Heading2"/>
      <w:lvlText w:val="%1.%2."/>
      <w:lvlJc w:val="left"/>
      <w:pPr>
        <w:tabs>
          <w:tab w:val="num" w:pos="1167"/>
        </w:tabs>
        <w:ind w:left="1167" w:hanging="600"/>
      </w:pPr>
      <w:rPr>
        <w:lang w:val="en-GB"/>
      </w:rPr>
    </w:lvl>
    <w:lvl w:ilvl="2">
      <w:start w:val="1"/>
      <w:numFmt w:val="decimal"/>
      <w:pStyle w:val="Heading3"/>
      <w:lvlText w:val="%1.%2.%3."/>
      <w:lvlJc w:val="left"/>
      <w:pPr>
        <w:tabs>
          <w:tab w:val="num" w:pos="2062"/>
        </w:tabs>
        <w:ind w:left="2062" w:hanging="840"/>
      </w:pPr>
    </w:lvl>
    <w:lvl w:ilvl="3">
      <w:start w:val="1"/>
      <w:numFmt w:val="decimal"/>
      <w:pStyle w:val="Heading4"/>
      <w:lvlText w:val="%1.%2.%3.%4."/>
      <w:lvlJc w:val="left"/>
      <w:pPr>
        <w:tabs>
          <w:tab w:val="num" w:pos="3022"/>
        </w:tabs>
        <w:ind w:left="3022" w:hanging="9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9" w15:restartNumberingAfterBreak="0">
    <w:nsid w:val="17610807"/>
    <w:multiLevelType w:val="hybridMultilevel"/>
    <w:tmpl w:val="DA3CD6C8"/>
    <w:name w:val="List Bullet"/>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DA0D4D"/>
    <w:multiLevelType w:val="hybridMultilevel"/>
    <w:tmpl w:val="A71A327C"/>
    <w:lvl w:ilvl="0" w:tplc="47BEBF68">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97845E4"/>
    <w:multiLevelType w:val="hybridMultilevel"/>
    <w:tmpl w:val="010C74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1D5150BD"/>
    <w:multiLevelType w:val="singleLevel"/>
    <w:tmpl w:val="EF0A0136"/>
    <w:lvl w:ilvl="0">
      <w:start w:val="1"/>
      <w:numFmt w:val="bullet"/>
      <w:pStyle w:val="ListBullet4"/>
      <w:lvlText w:val=""/>
      <w:lvlJc w:val="left"/>
      <w:pPr>
        <w:tabs>
          <w:tab w:val="num" w:pos="3163"/>
        </w:tabs>
        <w:ind w:left="3163" w:hanging="283"/>
      </w:pPr>
      <w:rPr>
        <w:rFonts w:ascii="Symbol" w:hAnsi="Symbol"/>
      </w:rPr>
    </w:lvl>
  </w:abstractNum>
  <w:abstractNum w:abstractNumId="13" w15:restartNumberingAfterBreak="0">
    <w:nsid w:val="1D8653DD"/>
    <w:multiLevelType w:val="hybridMultilevel"/>
    <w:tmpl w:val="3056C994"/>
    <w:lvl w:ilvl="0" w:tplc="FD6CBB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8918BE"/>
    <w:multiLevelType w:val="multilevel"/>
    <w:tmpl w:val="4C3E72AA"/>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7441297"/>
    <w:multiLevelType w:val="hybridMultilevel"/>
    <w:tmpl w:val="ABDCC57E"/>
    <w:lvl w:ilvl="0" w:tplc="DB363496">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B1E53BC"/>
    <w:multiLevelType w:val="singleLevel"/>
    <w:tmpl w:val="0BFC0FF8"/>
    <w:lvl w:ilvl="0">
      <w:start w:val="1"/>
      <w:numFmt w:val="bullet"/>
      <w:pStyle w:val="ListBullet2"/>
      <w:lvlText w:val=""/>
      <w:lvlJc w:val="left"/>
      <w:pPr>
        <w:tabs>
          <w:tab w:val="num" w:pos="1360"/>
        </w:tabs>
        <w:ind w:left="1360" w:hanging="283"/>
      </w:pPr>
      <w:rPr>
        <w:rFonts w:ascii="Symbol" w:hAnsi="Symbol"/>
      </w:rPr>
    </w:lvl>
  </w:abstractNum>
  <w:abstractNum w:abstractNumId="17" w15:restartNumberingAfterBreak="0">
    <w:nsid w:val="34834FA3"/>
    <w:multiLevelType w:val="multilevel"/>
    <w:tmpl w:val="8DC66598"/>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6615FEF"/>
    <w:multiLevelType w:val="singleLevel"/>
    <w:tmpl w:val="5CD4C666"/>
    <w:lvl w:ilvl="0">
      <w:start w:val="1"/>
      <w:numFmt w:val="bullet"/>
      <w:pStyle w:val="ListDash2"/>
      <w:lvlText w:val="–"/>
      <w:lvlJc w:val="left"/>
      <w:pPr>
        <w:tabs>
          <w:tab w:val="num" w:pos="1360"/>
        </w:tabs>
        <w:ind w:left="1360" w:hanging="283"/>
      </w:pPr>
      <w:rPr>
        <w:rFonts w:ascii="Times New Roman" w:hAnsi="Times New Roman"/>
      </w:rPr>
    </w:lvl>
  </w:abstractNum>
  <w:abstractNum w:abstractNumId="19" w15:restartNumberingAfterBreak="0">
    <w:nsid w:val="3A115290"/>
    <w:multiLevelType w:val="multilevel"/>
    <w:tmpl w:val="E3664658"/>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D52663"/>
    <w:multiLevelType w:val="hybridMultilevel"/>
    <w:tmpl w:val="49FA7B1C"/>
    <w:lvl w:ilvl="0" w:tplc="585C46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2F607F"/>
    <w:multiLevelType w:val="hybridMultilevel"/>
    <w:tmpl w:val="2EAE1878"/>
    <w:lvl w:ilvl="0" w:tplc="3228B35C">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596461"/>
    <w:multiLevelType w:val="hybridMultilevel"/>
    <w:tmpl w:val="9DF09A94"/>
    <w:lvl w:ilvl="0" w:tplc="94A62EB0">
      <w:start w:val="1"/>
      <w:numFmt w:val="decimal"/>
      <w:lvlText w:val="%1."/>
      <w:lvlJc w:val="left"/>
      <w:pPr>
        <w:ind w:left="1429" w:hanging="360"/>
      </w:pPr>
      <w:rPr>
        <w:b/>
        <w:i w:val="0"/>
      </w:rPr>
    </w:lvl>
    <w:lvl w:ilvl="1" w:tplc="080C0019" w:tentative="1">
      <w:start w:val="1"/>
      <w:numFmt w:val="lowerLetter"/>
      <w:lvlText w:val="%2."/>
      <w:lvlJc w:val="left"/>
      <w:pPr>
        <w:ind w:left="2149" w:hanging="360"/>
      </w:pPr>
    </w:lvl>
    <w:lvl w:ilvl="2" w:tplc="080C001B" w:tentative="1">
      <w:start w:val="1"/>
      <w:numFmt w:val="lowerRoman"/>
      <w:lvlText w:val="%3."/>
      <w:lvlJc w:val="right"/>
      <w:pPr>
        <w:ind w:left="2869" w:hanging="180"/>
      </w:pPr>
    </w:lvl>
    <w:lvl w:ilvl="3" w:tplc="080C000F" w:tentative="1">
      <w:start w:val="1"/>
      <w:numFmt w:val="decimal"/>
      <w:lvlText w:val="%4."/>
      <w:lvlJc w:val="left"/>
      <w:pPr>
        <w:ind w:left="3589" w:hanging="360"/>
      </w:pPr>
    </w:lvl>
    <w:lvl w:ilvl="4" w:tplc="080C0019" w:tentative="1">
      <w:start w:val="1"/>
      <w:numFmt w:val="lowerLetter"/>
      <w:lvlText w:val="%5."/>
      <w:lvlJc w:val="left"/>
      <w:pPr>
        <w:ind w:left="4309" w:hanging="360"/>
      </w:pPr>
    </w:lvl>
    <w:lvl w:ilvl="5" w:tplc="080C001B" w:tentative="1">
      <w:start w:val="1"/>
      <w:numFmt w:val="lowerRoman"/>
      <w:lvlText w:val="%6."/>
      <w:lvlJc w:val="right"/>
      <w:pPr>
        <w:ind w:left="5029" w:hanging="180"/>
      </w:pPr>
    </w:lvl>
    <w:lvl w:ilvl="6" w:tplc="080C000F" w:tentative="1">
      <w:start w:val="1"/>
      <w:numFmt w:val="decimal"/>
      <w:lvlText w:val="%7."/>
      <w:lvlJc w:val="left"/>
      <w:pPr>
        <w:ind w:left="5749" w:hanging="360"/>
      </w:pPr>
    </w:lvl>
    <w:lvl w:ilvl="7" w:tplc="080C0019" w:tentative="1">
      <w:start w:val="1"/>
      <w:numFmt w:val="lowerLetter"/>
      <w:lvlText w:val="%8."/>
      <w:lvlJc w:val="left"/>
      <w:pPr>
        <w:ind w:left="6469" w:hanging="360"/>
      </w:pPr>
    </w:lvl>
    <w:lvl w:ilvl="8" w:tplc="080C001B" w:tentative="1">
      <w:start w:val="1"/>
      <w:numFmt w:val="lowerRoman"/>
      <w:lvlText w:val="%9."/>
      <w:lvlJc w:val="right"/>
      <w:pPr>
        <w:ind w:left="7189" w:hanging="180"/>
      </w:pPr>
    </w:lvl>
  </w:abstractNum>
  <w:abstractNum w:abstractNumId="23" w15:restartNumberingAfterBreak="0">
    <w:nsid w:val="4B5F428A"/>
    <w:multiLevelType w:val="hybridMultilevel"/>
    <w:tmpl w:val="136C885A"/>
    <w:lvl w:ilvl="0" w:tplc="66B6DB7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FA6298"/>
    <w:multiLevelType w:val="hybridMultilevel"/>
    <w:tmpl w:val="68B8F702"/>
    <w:lvl w:ilvl="0" w:tplc="B8E4B348">
      <w:start w:val="1"/>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14632EE"/>
    <w:multiLevelType w:val="hybridMultilevel"/>
    <w:tmpl w:val="6012F114"/>
    <w:lvl w:ilvl="0" w:tplc="08090001">
      <w:start w:val="1"/>
      <w:numFmt w:val="bullet"/>
      <w:pStyle w:val="ListDash"/>
      <w:lvlText w:val="–"/>
      <w:lvlJc w:val="left"/>
      <w:pPr>
        <w:tabs>
          <w:tab w:val="num" w:pos="567"/>
        </w:tabs>
        <w:ind w:left="567" w:hanging="283"/>
      </w:pPr>
      <w:rPr>
        <w:rFonts w:ascii="Times New Roman" w:hAnsi="Times New Roman"/>
      </w:rPr>
    </w:lvl>
    <w:lvl w:ilvl="1" w:tplc="08090003">
      <w:numFmt w:val="bullet"/>
      <w:lvlText w:val="-"/>
      <w:lvlJc w:val="left"/>
      <w:pPr>
        <w:tabs>
          <w:tab w:val="num" w:pos="1724"/>
        </w:tabs>
        <w:ind w:left="1724" w:hanging="360"/>
      </w:pPr>
      <w:rPr>
        <w:rFonts w:ascii="Times New Roman" w:eastAsia="Times New Roman" w:hAnsi="Times New Roman" w:cs="Times New Roman"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530351B6"/>
    <w:multiLevelType w:val="hybridMultilevel"/>
    <w:tmpl w:val="31D632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45345D7"/>
    <w:multiLevelType w:val="hybridMultilevel"/>
    <w:tmpl w:val="CC682D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76A32C9"/>
    <w:multiLevelType w:val="multilevel"/>
    <w:tmpl w:val="52224248"/>
    <w:lvl w:ilvl="0">
      <w:start w:val="1"/>
      <w:numFmt w:val="decimal"/>
      <w:lvlRestart w:val="0"/>
      <w:pStyle w:val="Considrant"/>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i w:val="0"/>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5A2450F2"/>
    <w:multiLevelType w:val="singleLevel"/>
    <w:tmpl w:val="E41A6BD2"/>
    <w:lvl w:ilvl="0">
      <w:start w:val="1"/>
      <w:numFmt w:val="bullet"/>
      <w:pStyle w:val="ListDash4"/>
      <w:lvlText w:val="–"/>
      <w:lvlJc w:val="left"/>
      <w:pPr>
        <w:tabs>
          <w:tab w:val="num" w:pos="3163"/>
        </w:tabs>
        <w:ind w:left="3163" w:hanging="283"/>
      </w:pPr>
      <w:rPr>
        <w:rFonts w:ascii="Times New Roman" w:hAnsi="Times New Roman"/>
      </w:rPr>
    </w:lvl>
  </w:abstractNum>
  <w:abstractNum w:abstractNumId="30" w15:restartNumberingAfterBreak="0">
    <w:nsid w:val="5EFF257D"/>
    <w:multiLevelType w:val="hybridMultilevel"/>
    <w:tmpl w:val="DD2A3844"/>
    <w:lvl w:ilvl="0" w:tplc="812854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84760D"/>
    <w:multiLevelType w:val="hybridMultilevel"/>
    <w:tmpl w:val="280E238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2" w15:restartNumberingAfterBreak="0">
    <w:nsid w:val="679F1BF3"/>
    <w:multiLevelType w:val="multilevel"/>
    <w:tmpl w:val="537E9280"/>
    <w:lvl w:ilvl="0">
      <w:start w:val="1"/>
      <w:numFmt w:val="decimal"/>
      <w:pStyle w:val="ListNumber"/>
      <w:lvlText w:val="(%1)"/>
      <w:lvlJc w:val="left"/>
      <w:pPr>
        <w:tabs>
          <w:tab w:val="num" w:pos="709"/>
        </w:tabs>
        <w:ind w:left="709" w:hanging="709"/>
      </w:pPr>
      <w:rPr>
        <w:b w:val="0"/>
      </w:r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B5A37B8"/>
    <w:multiLevelType w:val="hybridMultilevel"/>
    <w:tmpl w:val="AD1ECD8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6C136061"/>
    <w:multiLevelType w:val="hybridMultilevel"/>
    <w:tmpl w:val="7052666E"/>
    <w:lvl w:ilvl="0" w:tplc="40D2097A">
      <w:start w:val="1"/>
      <w:numFmt w:val="bullet"/>
      <w:pStyle w:val="Briefingspeakdef"/>
      <w:lvlText w:val=""/>
      <w:lvlJc w:val="left"/>
      <w:pPr>
        <w:tabs>
          <w:tab w:val="num" w:pos="765"/>
        </w:tabs>
        <w:ind w:left="765" w:hanging="283"/>
      </w:pPr>
      <w:rPr>
        <w:rFonts w:ascii="Symbol" w:hAnsi="Symbol" w:hint="default"/>
        <w:sz w:val="22"/>
      </w:rPr>
    </w:lvl>
    <w:lvl w:ilvl="1" w:tplc="08090003">
      <w:start w:val="1"/>
      <w:numFmt w:val="bullet"/>
      <w:lvlText w:val=""/>
      <w:lvlJc w:val="left"/>
      <w:pPr>
        <w:tabs>
          <w:tab w:val="num" w:pos="1287"/>
        </w:tabs>
        <w:ind w:left="1287" w:hanging="207"/>
      </w:pPr>
      <w:rPr>
        <w:rFonts w:ascii="Symbol" w:hAnsi="Symbol" w:hint="default"/>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4070CA"/>
    <w:multiLevelType w:val="singleLevel"/>
    <w:tmpl w:val="0FC2EFC0"/>
    <w:lvl w:ilvl="0">
      <w:start w:val="1"/>
      <w:numFmt w:val="bullet"/>
      <w:pStyle w:val="ListBullet3"/>
      <w:lvlText w:val=""/>
      <w:lvlJc w:val="left"/>
      <w:pPr>
        <w:tabs>
          <w:tab w:val="num" w:pos="2199"/>
        </w:tabs>
        <w:ind w:left="2199" w:hanging="283"/>
      </w:pPr>
      <w:rPr>
        <w:rFonts w:ascii="Symbol" w:hAnsi="Symbol"/>
      </w:rPr>
    </w:lvl>
  </w:abstractNum>
  <w:abstractNum w:abstractNumId="36" w15:restartNumberingAfterBreak="0">
    <w:nsid w:val="754117B7"/>
    <w:multiLevelType w:val="multilevel"/>
    <w:tmpl w:val="D210498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764B5A07"/>
    <w:multiLevelType w:val="hybridMultilevel"/>
    <w:tmpl w:val="E19242EE"/>
    <w:lvl w:ilvl="0" w:tplc="112076E0">
      <w:numFmt w:val="bullet"/>
      <w:lvlText w:val="-"/>
      <w:lvlJc w:val="left"/>
      <w:pPr>
        <w:ind w:left="720" w:hanging="360"/>
      </w:pPr>
      <w:rPr>
        <w:rFonts w:ascii="Times New Roman" w:eastAsia="Times New Roman"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69864C1"/>
    <w:multiLevelType w:val="hybridMultilevel"/>
    <w:tmpl w:val="154C80D8"/>
    <w:lvl w:ilvl="0" w:tplc="843A22E8">
      <w:start w:val="1"/>
      <w:numFmt w:val="bullet"/>
      <w:pStyle w:val="NumPar1Char"/>
      <w:lvlText w:val="–"/>
      <w:lvlJc w:val="left"/>
      <w:pPr>
        <w:tabs>
          <w:tab w:val="num" w:pos="643"/>
        </w:tabs>
        <w:ind w:left="643" w:hanging="283"/>
      </w:pPr>
      <w:rPr>
        <w:rFonts w:ascii="Times New Roman" w:hAnsi="Times New Roman" w:hint="default"/>
      </w:rPr>
    </w:lvl>
    <w:lvl w:ilvl="1" w:tplc="60C2582C" w:tentative="1">
      <w:start w:val="1"/>
      <w:numFmt w:val="bullet"/>
      <w:lvlText w:val="o"/>
      <w:lvlJc w:val="left"/>
      <w:pPr>
        <w:tabs>
          <w:tab w:val="num" w:pos="1440"/>
        </w:tabs>
        <w:ind w:left="1440" w:hanging="360"/>
      </w:pPr>
      <w:rPr>
        <w:rFonts w:ascii="Courier New" w:hAnsi="Courier New" w:cs="Courier New" w:hint="default"/>
      </w:rPr>
    </w:lvl>
    <w:lvl w:ilvl="2" w:tplc="17D6AD3A" w:tentative="1">
      <w:start w:val="1"/>
      <w:numFmt w:val="bullet"/>
      <w:lvlText w:val=""/>
      <w:lvlJc w:val="left"/>
      <w:pPr>
        <w:tabs>
          <w:tab w:val="num" w:pos="2160"/>
        </w:tabs>
        <w:ind w:left="2160" w:hanging="360"/>
      </w:pPr>
      <w:rPr>
        <w:rFonts w:ascii="Wingdings" w:hAnsi="Wingdings" w:hint="default"/>
      </w:rPr>
    </w:lvl>
    <w:lvl w:ilvl="3" w:tplc="FEA221B2" w:tentative="1">
      <w:start w:val="1"/>
      <w:numFmt w:val="bullet"/>
      <w:lvlText w:val=""/>
      <w:lvlJc w:val="left"/>
      <w:pPr>
        <w:tabs>
          <w:tab w:val="num" w:pos="2880"/>
        </w:tabs>
        <w:ind w:left="2880" w:hanging="360"/>
      </w:pPr>
      <w:rPr>
        <w:rFonts w:ascii="Symbol" w:hAnsi="Symbol" w:hint="default"/>
      </w:rPr>
    </w:lvl>
    <w:lvl w:ilvl="4" w:tplc="EB305368" w:tentative="1">
      <w:start w:val="1"/>
      <w:numFmt w:val="bullet"/>
      <w:lvlText w:val="o"/>
      <w:lvlJc w:val="left"/>
      <w:pPr>
        <w:tabs>
          <w:tab w:val="num" w:pos="3600"/>
        </w:tabs>
        <w:ind w:left="3600" w:hanging="360"/>
      </w:pPr>
      <w:rPr>
        <w:rFonts w:ascii="Courier New" w:hAnsi="Courier New" w:cs="Courier New" w:hint="default"/>
      </w:rPr>
    </w:lvl>
    <w:lvl w:ilvl="5" w:tplc="1C38E420" w:tentative="1">
      <w:start w:val="1"/>
      <w:numFmt w:val="bullet"/>
      <w:lvlText w:val=""/>
      <w:lvlJc w:val="left"/>
      <w:pPr>
        <w:tabs>
          <w:tab w:val="num" w:pos="4320"/>
        </w:tabs>
        <w:ind w:left="4320" w:hanging="360"/>
      </w:pPr>
      <w:rPr>
        <w:rFonts w:ascii="Wingdings" w:hAnsi="Wingdings" w:hint="default"/>
      </w:rPr>
    </w:lvl>
    <w:lvl w:ilvl="6" w:tplc="58705602" w:tentative="1">
      <w:start w:val="1"/>
      <w:numFmt w:val="bullet"/>
      <w:lvlText w:val=""/>
      <w:lvlJc w:val="left"/>
      <w:pPr>
        <w:tabs>
          <w:tab w:val="num" w:pos="5040"/>
        </w:tabs>
        <w:ind w:left="5040" w:hanging="360"/>
      </w:pPr>
      <w:rPr>
        <w:rFonts w:ascii="Symbol" w:hAnsi="Symbol" w:hint="default"/>
      </w:rPr>
    </w:lvl>
    <w:lvl w:ilvl="7" w:tplc="EE5A94CC" w:tentative="1">
      <w:start w:val="1"/>
      <w:numFmt w:val="bullet"/>
      <w:lvlText w:val="o"/>
      <w:lvlJc w:val="left"/>
      <w:pPr>
        <w:tabs>
          <w:tab w:val="num" w:pos="5760"/>
        </w:tabs>
        <w:ind w:left="5760" w:hanging="360"/>
      </w:pPr>
      <w:rPr>
        <w:rFonts w:ascii="Courier New" w:hAnsi="Courier New" w:cs="Courier New" w:hint="default"/>
      </w:rPr>
    </w:lvl>
    <w:lvl w:ilvl="8" w:tplc="C0A6382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816C3A"/>
    <w:multiLevelType w:val="singleLevel"/>
    <w:tmpl w:val="C9E4CA12"/>
    <w:lvl w:ilvl="0">
      <w:start w:val="1"/>
      <w:numFmt w:val="bullet"/>
      <w:pStyle w:val="ListDash3"/>
      <w:lvlText w:val="–"/>
      <w:lvlJc w:val="left"/>
      <w:pPr>
        <w:tabs>
          <w:tab w:val="num" w:pos="2199"/>
        </w:tabs>
        <w:ind w:left="2199" w:hanging="283"/>
      </w:pPr>
      <w:rPr>
        <w:rFonts w:ascii="Times New Roman" w:hAnsi="Times New Roman"/>
      </w:rPr>
    </w:lvl>
  </w:abstractNum>
  <w:abstractNum w:abstractNumId="40" w15:restartNumberingAfterBreak="0">
    <w:nsid w:val="78080A0A"/>
    <w:multiLevelType w:val="singleLevel"/>
    <w:tmpl w:val="3CCA8980"/>
    <w:lvl w:ilvl="0">
      <w:start w:val="1"/>
      <w:numFmt w:val="bullet"/>
      <w:pStyle w:val="ListBullet1"/>
      <w:lvlText w:val=""/>
      <w:lvlJc w:val="left"/>
      <w:pPr>
        <w:tabs>
          <w:tab w:val="num" w:pos="765"/>
        </w:tabs>
        <w:ind w:left="765" w:hanging="283"/>
      </w:pPr>
      <w:rPr>
        <w:rFonts w:ascii="Symbol" w:hAnsi="Symbol"/>
      </w:rPr>
    </w:lvl>
  </w:abstractNum>
  <w:abstractNum w:abstractNumId="41" w15:restartNumberingAfterBreak="0">
    <w:nsid w:val="79062633"/>
    <w:multiLevelType w:val="hybridMultilevel"/>
    <w:tmpl w:val="A962A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95D3BA0"/>
    <w:multiLevelType w:val="hybridMultilevel"/>
    <w:tmpl w:val="4F76D5A2"/>
    <w:lvl w:ilvl="0" w:tplc="DE7488B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AA2612"/>
    <w:multiLevelType w:val="hybridMultilevel"/>
    <w:tmpl w:val="8F2E6EC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ECB7708"/>
    <w:multiLevelType w:val="singleLevel"/>
    <w:tmpl w:val="5EA8E34C"/>
    <w:lvl w:ilvl="0">
      <w:start w:val="1"/>
      <w:numFmt w:val="decimal"/>
      <w:pStyle w:val="ATHeading1"/>
      <w:lvlText w:val="%1."/>
      <w:lvlJc w:val="left"/>
      <w:pPr>
        <w:tabs>
          <w:tab w:val="num" w:pos="360"/>
        </w:tabs>
        <w:ind w:left="360" w:hanging="360"/>
      </w:pPr>
    </w:lvl>
  </w:abstractNum>
  <w:num w:numId="1" w16cid:durableId="209342734">
    <w:abstractNumId w:val="8"/>
  </w:num>
  <w:num w:numId="2" w16cid:durableId="148182179">
    <w:abstractNumId w:val="1"/>
  </w:num>
  <w:num w:numId="3" w16cid:durableId="505511010">
    <w:abstractNumId w:val="40"/>
  </w:num>
  <w:num w:numId="4" w16cid:durableId="580018736">
    <w:abstractNumId w:val="16"/>
  </w:num>
  <w:num w:numId="5" w16cid:durableId="221647625">
    <w:abstractNumId w:val="35"/>
  </w:num>
  <w:num w:numId="6" w16cid:durableId="298344620">
    <w:abstractNumId w:val="12"/>
  </w:num>
  <w:num w:numId="7" w16cid:durableId="58093387">
    <w:abstractNumId w:val="7"/>
  </w:num>
  <w:num w:numId="8" w16cid:durableId="1122530581">
    <w:abstractNumId w:val="18"/>
  </w:num>
  <w:num w:numId="9" w16cid:durableId="1479684095">
    <w:abstractNumId w:val="39"/>
  </w:num>
  <w:num w:numId="10" w16cid:durableId="340007303">
    <w:abstractNumId w:val="29"/>
  </w:num>
  <w:num w:numId="11" w16cid:durableId="346519941">
    <w:abstractNumId w:val="32"/>
  </w:num>
  <w:num w:numId="12" w16cid:durableId="691036718">
    <w:abstractNumId w:val="14"/>
  </w:num>
  <w:num w:numId="13" w16cid:durableId="1452093781">
    <w:abstractNumId w:val="19"/>
  </w:num>
  <w:num w:numId="14" w16cid:durableId="906961314">
    <w:abstractNumId w:val="36"/>
  </w:num>
  <w:num w:numId="15" w16cid:durableId="1388455259">
    <w:abstractNumId w:val="17"/>
  </w:num>
  <w:num w:numId="16" w16cid:durableId="1677533267">
    <w:abstractNumId w:val="44"/>
  </w:num>
  <w:num w:numId="17" w16cid:durableId="961619330">
    <w:abstractNumId w:val="38"/>
  </w:num>
  <w:num w:numId="18" w16cid:durableId="1095638383">
    <w:abstractNumId w:val="25"/>
  </w:num>
  <w:num w:numId="19" w16cid:durableId="357776219">
    <w:abstractNumId w:val="28"/>
  </w:num>
  <w:num w:numId="20" w16cid:durableId="1481578588">
    <w:abstractNumId w:val="34"/>
  </w:num>
  <w:num w:numId="21" w16cid:durableId="1812137613">
    <w:abstractNumId w:val="3"/>
  </w:num>
  <w:num w:numId="22" w16cid:durableId="370300677">
    <w:abstractNumId w:val="4"/>
  </w:num>
  <w:num w:numId="23" w16cid:durableId="1948660650">
    <w:abstractNumId w:val="5"/>
  </w:num>
  <w:num w:numId="24" w16cid:durableId="12211363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46547536">
    <w:abstractNumId w:val="42"/>
  </w:num>
  <w:num w:numId="26" w16cid:durableId="1203983393">
    <w:abstractNumId w:val="30"/>
  </w:num>
  <w:num w:numId="27" w16cid:durableId="1149204463">
    <w:abstractNumId w:val="20"/>
  </w:num>
  <w:num w:numId="28" w16cid:durableId="614867515">
    <w:abstractNumId w:val="43"/>
  </w:num>
  <w:num w:numId="29" w16cid:durableId="1513490821">
    <w:abstractNumId w:val="2"/>
  </w:num>
  <w:num w:numId="30" w16cid:durableId="1269506392">
    <w:abstractNumId w:val="24"/>
  </w:num>
  <w:num w:numId="31" w16cid:durableId="160509948">
    <w:abstractNumId w:val="23"/>
  </w:num>
  <w:num w:numId="32" w16cid:durableId="146094414">
    <w:abstractNumId w:val="10"/>
  </w:num>
  <w:num w:numId="33" w16cid:durableId="2145806991">
    <w:abstractNumId w:val="13"/>
  </w:num>
  <w:num w:numId="34" w16cid:durableId="1322079617">
    <w:abstractNumId w:val="22"/>
  </w:num>
  <w:num w:numId="35" w16cid:durableId="1661734410">
    <w:abstractNumId w:val="21"/>
  </w:num>
  <w:num w:numId="36" w16cid:durableId="590508356">
    <w:abstractNumId w:val="37"/>
  </w:num>
  <w:num w:numId="37" w16cid:durableId="601452545">
    <w:abstractNumId w:val="31"/>
  </w:num>
  <w:num w:numId="38" w16cid:durableId="1749308507">
    <w:abstractNumId w:val="15"/>
  </w:num>
  <w:num w:numId="39" w16cid:durableId="1528327152">
    <w:abstractNumId w:val="31"/>
  </w:num>
  <w:num w:numId="40" w16cid:durableId="1166362797">
    <w:abstractNumId w:val="27"/>
  </w:num>
  <w:num w:numId="41" w16cid:durableId="1472869515">
    <w:abstractNumId w:val="6"/>
  </w:num>
  <w:num w:numId="42" w16cid:durableId="784807379">
    <w:abstractNumId w:val="6"/>
  </w:num>
  <w:num w:numId="43" w16cid:durableId="526017874">
    <w:abstractNumId w:val="11"/>
  </w:num>
  <w:num w:numId="44" w16cid:durableId="1760248858">
    <w:abstractNumId w:val="26"/>
  </w:num>
  <w:num w:numId="45" w16cid:durableId="1896235001">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Restart w:val="eachSect"/>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PKit_DocumentHasBeenSaved" w:val="true"/>
    <w:docVar w:name="LW_DocType" w:val="TEL"/>
  </w:docVars>
  <w:rsids>
    <w:rsidRoot w:val="009A3DA0"/>
    <w:rsid w:val="00000039"/>
    <w:rsid w:val="00000080"/>
    <w:rsid w:val="000001DC"/>
    <w:rsid w:val="0000032F"/>
    <w:rsid w:val="00000397"/>
    <w:rsid w:val="00000486"/>
    <w:rsid w:val="0000050D"/>
    <w:rsid w:val="000005E9"/>
    <w:rsid w:val="000006FD"/>
    <w:rsid w:val="0000071A"/>
    <w:rsid w:val="00000795"/>
    <w:rsid w:val="000009FA"/>
    <w:rsid w:val="00000BE2"/>
    <w:rsid w:val="00000C13"/>
    <w:rsid w:val="00000DBF"/>
    <w:rsid w:val="00001369"/>
    <w:rsid w:val="00001CDC"/>
    <w:rsid w:val="000021E5"/>
    <w:rsid w:val="000023BA"/>
    <w:rsid w:val="000024E2"/>
    <w:rsid w:val="0000279C"/>
    <w:rsid w:val="00002CF6"/>
    <w:rsid w:val="000031B6"/>
    <w:rsid w:val="00003423"/>
    <w:rsid w:val="00003511"/>
    <w:rsid w:val="00003652"/>
    <w:rsid w:val="00003862"/>
    <w:rsid w:val="00003C85"/>
    <w:rsid w:val="00004288"/>
    <w:rsid w:val="0000450D"/>
    <w:rsid w:val="000046C1"/>
    <w:rsid w:val="00004A58"/>
    <w:rsid w:val="00004C3F"/>
    <w:rsid w:val="0000525F"/>
    <w:rsid w:val="000054A7"/>
    <w:rsid w:val="00005541"/>
    <w:rsid w:val="000058C9"/>
    <w:rsid w:val="00005961"/>
    <w:rsid w:val="00005D46"/>
    <w:rsid w:val="00005DE3"/>
    <w:rsid w:val="0000613E"/>
    <w:rsid w:val="00006304"/>
    <w:rsid w:val="0000679D"/>
    <w:rsid w:val="000068F7"/>
    <w:rsid w:val="00006B10"/>
    <w:rsid w:val="00006C43"/>
    <w:rsid w:val="00006F0E"/>
    <w:rsid w:val="0000749B"/>
    <w:rsid w:val="000074BB"/>
    <w:rsid w:val="000075DF"/>
    <w:rsid w:val="000078A5"/>
    <w:rsid w:val="00007CED"/>
    <w:rsid w:val="00007ECC"/>
    <w:rsid w:val="0001047E"/>
    <w:rsid w:val="0001064E"/>
    <w:rsid w:val="00010AC9"/>
    <w:rsid w:val="00011281"/>
    <w:rsid w:val="0001134B"/>
    <w:rsid w:val="000113AB"/>
    <w:rsid w:val="0001140F"/>
    <w:rsid w:val="0001153B"/>
    <w:rsid w:val="00011589"/>
    <w:rsid w:val="00011615"/>
    <w:rsid w:val="00011727"/>
    <w:rsid w:val="000117D8"/>
    <w:rsid w:val="0001183E"/>
    <w:rsid w:val="00011A9B"/>
    <w:rsid w:val="00011B30"/>
    <w:rsid w:val="00011D79"/>
    <w:rsid w:val="0001228B"/>
    <w:rsid w:val="000122B5"/>
    <w:rsid w:val="0001250D"/>
    <w:rsid w:val="00012EFD"/>
    <w:rsid w:val="000130BE"/>
    <w:rsid w:val="00013716"/>
    <w:rsid w:val="00013997"/>
    <w:rsid w:val="000139D8"/>
    <w:rsid w:val="00013D92"/>
    <w:rsid w:val="00013EE5"/>
    <w:rsid w:val="0001448B"/>
    <w:rsid w:val="000145A2"/>
    <w:rsid w:val="000146F4"/>
    <w:rsid w:val="000149EF"/>
    <w:rsid w:val="00014A71"/>
    <w:rsid w:val="00014CE1"/>
    <w:rsid w:val="00015264"/>
    <w:rsid w:val="000152CA"/>
    <w:rsid w:val="00015341"/>
    <w:rsid w:val="00015452"/>
    <w:rsid w:val="0001589A"/>
    <w:rsid w:val="00015A65"/>
    <w:rsid w:val="00015B9E"/>
    <w:rsid w:val="00015C38"/>
    <w:rsid w:val="00015EB6"/>
    <w:rsid w:val="00015ECC"/>
    <w:rsid w:val="00015F13"/>
    <w:rsid w:val="0001612D"/>
    <w:rsid w:val="000162A0"/>
    <w:rsid w:val="000164BD"/>
    <w:rsid w:val="000166D5"/>
    <w:rsid w:val="00016A8D"/>
    <w:rsid w:val="00016C72"/>
    <w:rsid w:val="000170C1"/>
    <w:rsid w:val="00017265"/>
    <w:rsid w:val="0001730F"/>
    <w:rsid w:val="00017430"/>
    <w:rsid w:val="000174AF"/>
    <w:rsid w:val="0001776A"/>
    <w:rsid w:val="00017883"/>
    <w:rsid w:val="00017A67"/>
    <w:rsid w:val="00017AA9"/>
    <w:rsid w:val="00017C25"/>
    <w:rsid w:val="00017F27"/>
    <w:rsid w:val="00017F3D"/>
    <w:rsid w:val="00020E26"/>
    <w:rsid w:val="000218F1"/>
    <w:rsid w:val="00021AEC"/>
    <w:rsid w:val="00021B43"/>
    <w:rsid w:val="00021BCD"/>
    <w:rsid w:val="00021EF0"/>
    <w:rsid w:val="00021FA4"/>
    <w:rsid w:val="0002207D"/>
    <w:rsid w:val="0002216F"/>
    <w:rsid w:val="000221F2"/>
    <w:rsid w:val="000224CC"/>
    <w:rsid w:val="00022538"/>
    <w:rsid w:val="00022669"/>
    <w:rsid w:val="00022775"/>
    <w:rsid w:val="00022776"/>
    <w:rsid w:val="00022903"/>
    <w:rsid w:val="00022B33"/>
    <w:rsid w:val="00022E91"/>
    <w:rsid w:val="00022FAA"/>
    <w:rsid w:val="00023162"/>
    <w:rsid w:val="000232A5"/>
    <w:rsid w:val="00023424"/>
    <w:rsid w:val="00023451"/>
    <w:rsid w:val="00023626"/>
    <w:rsid w:val="00023C78"/>
    <w:rsid w:val="00023E4D"/>
    <w:rsid w:val="000240AC"/>
    <w:rsid w:val="000241F9"/>
    <w:rsid w:val="00024204"/>
    <w:rsid w:val="000242C9"/>
    <w:rsid w:val="0002435B"/>
    <w:rsid w:val="0002452D"/>
    <w:rsid w:val="00024671"/>
    <w:rsid w:val="00024685"/>
    <w:rsid w:val="000248D5"/>
    <w:rsid w:val="000249F6"/>
    <w:rsid w:val="00024BE2"/>
    <w:rsid w:val="00024C5F"/>
    <w:rsid w:val="00024D04"/>
    <w:rsid w:val="00024E3E"/>
    <w:rsid w:val="00024F7A"/>
    <w:rsid w:val="000250B7"/>
    <w:rsid w:val="00025341"/>
    <w:rsid w:val="00025501"/>
    <w:rsid w:val="0002561D"/>
    <w:rsid w:val="00025D8A"/>
    <w:rsid w:val="00025EB9"/>
    <w:rsid w:val="000260DC"/>
    <w:rsid w:val="000261DA"/>
    <w:rsid w:val="0002630E"/>
    <w:rsid w:val="000265AD"/>
    <w:rsid w:val="000265DD"/>
    <w:rsid w:val="00026B29"/>
    <w:rsid w:val="00026CA1"/>
    <w:rsid w:val="00026D00"/>
    <w:rsid w:val="00026E21"/>
    <w:rsid w:val="0002725A"/>
    <w:rsid w:val="00030058"/>
    <w:rsid w:val="000300B4"/>
    <w:rsid w:val="00030676"/>
    <w:rsid w:val="00030996"/>
    <w:rsid w:val="00030E3E"/>
    <w:rsid w:val="000310AA"/>
    <w:rsid w:val="000310E8"/>
    <w:rsid w:val="000315BD"/>
    <w:rsid w:val="00031793"/>
    <w:rsid w:val="00031A4C"/>
    <w:rsid w:val="00031BDA"/>
    <w:rsid w:val="00031CA2"/>
    <w:rsid w:val="00031D00"/>
    <w:rsid w:val="00031DA3"/>
    <w:rsid w:val="00031F4C"/>
    <w:rsid w:val="0003243D"/>
    <w:rsid w:val="000326E6"/>
    <w:rsid w:val="00032766"/>
    <w:rsid w:val="00032792"/>
    <w:rsid w:val="000328B1"/>
    <w:rsid w:val="00032DC3"/>
    <w:rsid w:val="00032E4F"/>
    <w:rsid w:val="00032EDB"/>
    <w:rsid w:val="000332FE"/>
    <w:rsid w:val="000337C2"/>
    <w:rsid w:val="00033EA1"/>
    <w:rsid w:val="00033F57"/>
    <w:rsid w:val="000340CA"/>
    <w:rsid w:val="0003483E"/>
    <w:rsid w:val="000348CA"/>
    <w:rsid w:val="0003496F"/>
    <w:rsid w:val="00034992"/>
    <w:rsid w:val="00034B24"/>
    <w:rsid w:val="00034CA0"/>
    <w:rsid w:val="00034EB6"/>
    <w:rsid w:val="00034FFC"/>
    <w:rsid w:val="0003501A"/>
    <w:rsid w:val="0003509D"/>
    <w:rsid w:val="000350BB"/>
    <w:rsid w:val="000351DA"/>
    <w:rsid w:val="00035357"/>
    <w:rsid w:val="000355A7"/>
    <w:rsid w:val="000356EC"/>
    <w:rsid w:val="00035B81"/>
    <w:rsid w:val="00035CE3"/>
    <w:rsid w:val="00035FDE"/>
    <w:rsid w:val="00036009"/>
    <w:rsid w:val="00036106"/>
    <w:rsid w:val="00036177"/>
    <w:rsid w:val="0003633B"/>
    <w:rsid w:val="00037004"/>
    <w:rsid w:val="00037224"/>
    <w:rsid w:val="000372EF"/>
    <w:rsid w:val="0003737B"/>
    <w:rsid w:val="0003745C"/>
    <w:rsid w:val="0003758E"/>
    <w:rsid w:val="000375BA"/>
    <w:rsid w:val="00037990"/>
    <w:rsid w:val="00040060"/>
    <w:rsid w:val="00040281"/>
    <w:rsid w:val="00040A13"/>
    <w:rsid w:val="00040C7A"/>
    <w:rsid w:val="00040E6E"/>
    <w:rsid w:val="0004105D"/>
    <w:rsid w:val="0004146E"/>
    <w:rsid w:val="000414BC"/>
    <w:rsid w:val="0004189C"/>
    <w:rsid w:val="0004193F"/>
    <w:rsid w:val="0004195A"/>
    <w:rsid w:val="00041A87"/>
    <w:rsid w:val="00041C4F"/>
    <w:rsid w:val="00041F1F"/>
    <w:rsid w:val="0004209B"/>
    <w:rsid w:val="000420DB"/>
    <w:rsid w:val="000421A1"/>
    <w:rsid w:val="000423C1"/>
    <w:rsid w:val="00042508"/>
    <w:rsid w:val="00042A8B"/>
    <w:rsid w:val="00042F4E"/>
    <w:rsid w:val="000434BD"/>
    <w:rsid w:val="000436A8"/>
    <w:rsid w:val="00043B7B"/>
    <w:rsid w:val="00043E36"/>
    <w:rsid w:val="000443C3"/>
    <w:rsid w:val="0004455F"/>
    <w:rsid w:val="000446B6"/>
    <w:rsid w:val="00044806"/>
    <w:rsid w:val="00044A42"/>
    <w:rsid w:val="00044AB8"/>
    <w:rsid w:val="000454B2"/>
    <w:rsid w:val="00045976"/>
    <w:rsid w:val="00045E41"/>
    <w:rsid w:val="0004610E"/>
    <w:rsid w:val="00046550"/>
    <w:rsid w:val="000466E7"/>
    <w:rsid w:val="000468E2"/>
    <w:rsid w:val="00046A3E"/>
    <w:rsid w:val="00046C6A"/>
    <w:rsid w:val="00046D8E"/>
    <w:rsid w:val="0004701B"/>
    <w:rsid w:val="00047124"/>
    <w:rsid w:val="00047444"/>
    <w:rsid w:val="00047661"/>
    <w:rsid w:val="000476C0"/>
    <w:rsid w:val="00047734"/>
    <w:rsid w:val="000477EA"/>
    <w:rsid w:val="00047936"/>
    <w:rsid w:val="0004798E"/>
    <w:rsid w:val="00047BB5"/>
    <w:rsid w:val="00047D53"/>
    <w:rsid w:val="000502A5"/>
    <w:rsid w:val="000504A8"/>
    <w:rsid w:val="0005052B"/>
    <w:rsid w:val="000506A1"/>
    <w:rsid w:val="000508EC"/>
    <w:rsid w:val="000509DA"/>
    <w:rsid w:val="00050AFA"/>
    <w:rsid w:val="00051333"/>
    <w:rsid w:val="00051BA8"/>
    <w:rsid w:val="00051E3C"/>
    <w:rsid w:val="000520B1"/>
    <w:rsid w:val="00052241"/>
    <w:rsid w:val="00052672"/>
    <w:rsid w:val="00052814"/>
    <w:rsid w:val="000529E9"/>
    <w:rsid w:val="00053766"/>
    <w:rsid w:val="00053BE0"/>
    <w:rsid w:val="00053CB9"/>
    <w:rsid w:val="00053FAD"/>
    <w:rsid w:val="000541A5"/>
    <w:rsid w:val="0005422C"/>
    <w:rsid w:val="00054C6E"/>
    <w:rsid w:val="00054DF3"/>
    <w:rsid w:val="00055034"/>
    <w:rsid w:val="000550B3"/>
    <w:rsid w:val="0005513C"/>
    <w:rsid w:val="00055234"/>
    <w:rsid w:val="00055406"/>
    <w:rsid w:val="00055569"/>
    <w:rsid w:val="00055DF6"/>
    <w:rsid w:val="00055ED8"/>
    <w:rsid w:val="000568D7"/>
    <w:rsid w:val="000568F4"/>
    <w:rsid w:val="00056C02"/>
    <w:rsid w:val="00057006"/>
    <w:rsid w:val="00057285"/>
    <w:rsid w:val="0005742E"/>
    <w:rsid w:val="00057439"/>
    <w:rsid w:val="000574AC"/>
    <w:rsid w:val="0005753C"/>
    <w:rsid w:val="00057745"/>
    <w:rsid w:val="00057902"/>
    <w:rsid w:val="00057E1C"/>
    <w:rsid w:val="00057EA9"/>
    <w:rsid w:val="00060742"/>
    <w:rsid w:val="0006088F"/>
    <w:rsid w:val="00060C03"/>
    <w:rsid w:val="00060C9D"/>
    <w:rsid w:val="00060CB2"/>
    <w:rsid w:val="00060D87"/>
    <w:rsid w:val="00060EF5"/>
    <w:rsid w:val="00060F44"/>
    <w:rsid w:val="000611E6"/>
    <w:rsid w:val="0006140F"/>
    <w:rsid w:val="00061530"/>
    <w:rsid w:val="00061536"/>
    <w:rsid w:val="000615E8"/>
    <w:rsid w:val="00061822"/>
    <w:rsid w:val="000619C8"/>
    <w:rsid w:val="00061FAC"/>
    <w:rsid w:val="00061FD0"/>
    <w:rsid w:val="00062240"/>
    <w:rsid w:val="000622F5"/>
    <w:rsid w:val="00062919"/>
    <w:rsid w:val="0006296B"/>
    <w:rsid w:val="000629E6"/>
    <w:rsid w:val="00062BE7"/>
    <w:rsid w:val="00063101"/>
    <w:rsid w:val="00063857"/>
    <w:rsid w:val="0006396A"/>
    <w:rsid w:val="00063A60"/>
    <w:rsid w:val="00063AEF"/>
    <w:rsid w:val="00063B1D"/>
    <w:rsid w:val="00063C33"/>
    <w:rsid w:val="00063DCE"/>
    <w:rsid w:val="00063F33"/>
    <w:rsid w:val="00064178"/>
    <w:rsid w:val="0006443B"/>
    <w:rsid w:val="000647C3"/>
    <w:rsid w:val="00064C35"/>
    <w:rsid w:val="00064D3D"/>
    <w:rsid w:val="00064F90"/>
    <w:rsid w:val="00065096"/>
    <w:rsid w:val="0006524C"/>
    <w:rsid w:val="00065445"/>
    <w:rsid w:val="00065A4F"/>
    <w:rsid w:val="00065ABF"/>
    <w:rsid w:val="00065BA5"/>
    <w:rsid w:val="00065D4F"/>
    <w:rsid w:val="00065D7A"/>
    <w:rsid w:val="00065E7F"/>
    <w:rsid w:val="0006634A"/>
    <w:rsid w:val="000664BE"/>
    <w:rsid w:val="00066554"/>
    <w:rsid w:val="0006680F"/>
    <w:rsid w:val="00066D35"/>
    <w:rsid w:val="00067155"/>
    <w:rsid w:val="00067567"/>
    <w:rsid w:val="00067C33"/>
    <w:rsid w:val="00067FB5"/>
    <w:rsid w:val="000703CB"/>
    <w:rsid w:val="000703FE"/>
    <w:rsid w:val="000705DD"/>
    <w:rsid w:val="000706D4"/>
    <w:rsid w:val="000713EE"/>
    <w:rsid w:val="00071470"/>
    <w:rsid w:val="00071695"/>
    <w:rsid w:val="000717D6"/>
    <w:rsid w:val="00071956"/>
    <w:rsid w:val="00071BD3"/>
    <w:rsid w:val="00071DDA"/>
    <w:rsid w:val="00071E87"/>
    <w:rsid w:val="00071FC6"/>
    <w:rsid w:val="00072134"/>
    <w:rsid w:val="00072D12"/>
    <w:rsid w:val="00072E6E"/>
    <w:rsid w:val="00072F6B"/>
    <w:rsid w:val="00073100"/>
    <w:rsid w:val="00073283"/>
    <w:rsid w:val="000732A8"/>
    <w:rsid w:val="00073445"/>
    <w:rsid w:val="0007349A"/>
    <w:rsid w:val="000735B6"/>
    <w:rsid w:val="000736A0"/>
    <w:rsid w:val="00073D03"/>
    <w:rsid w:val="0007403A"/>
    <w:rsid w:val="000744AE"/>
    <w:rsid w:val="000744BA"/>
    <w:rsid w:val="00074A10"/>
    <w:rsid w:val="00074BA2"/>
    <w:rsid w:val="00074D75"/>
    <w:rsid w:val="00074DB5"/>
    <w:rsid w:val="00074E52"/>
    <w:rsid w:val="00074FA3"/>
    <w:rsid w:val="000751AC"/>
    <w:rsid w:val="000752DB"/>
    <w:rsid w:val="0007575A"/>
    <w:rsid w:val="00075847"/>
    <w:rsid w:val="00075908"/>
    <w:rsid w:val="00075952"/>
    <w:rsid w:val="00075C60"/>
    <w:rsid w:val="00077252"/>
    <w:rsid w:val="000776B1"/>
    <w:rsid w:val="000776D8"/>
    <w:rsid w:val="00077912"/>
    <w:rsid w:val="00077B88"/>
    <w:rsid w:val="00077BFB"/>
    <w:rsid w:val="000800AF"/>
    <w:rsid w:val="00080191"/>
    <w:rsid w:val="0008029D"/>
    <w:rsid w:val="0008040A"/>
    <w:rsid w:val="000804D5"/>
    <w:rsid w:val="000807AE"/>
    <w:rsid w:val="000807B5"/>
    <w:rsid w:val="00080B91"/>
    <w:rsid w:val="00080CE2"/>
    <w:rsid w:val="00080F35"/>
    <w:rsid w:val="000811A4"/>
    <w:rsid w:val="000811D4"/>
    <w:rsid w:val="00081259"/>
    <w:rsid w:val="00081792"/>
    <w:rsid w:val="0008187A"/>
    <w:rsid w:val="0008189D"/>
    <w:rsid w:val="0008216A"/>
    <w:rsid w:val="0008217D"/>
    <w:rsid w:val="000825F0"/>
    <w:rsid w:val="000827CD"/>
    <w:rsid w:val="00082B1C"/>
    <w:rsid w:val="00082D72"/>
    <w:rsid w:val="00083121"/>
    <w:rsid w:val="00083469"/>
    <w:rsid w:val="000834CD"/>
    <w:rsid w:val="000835B0"/>
    <w:rsid w:val="000835F5"/>
    <w:rsid w:val="0008378A"/>
    <w:rsid w:val="00083B96"/>
    <w:rsid w:val="00084044"/>
    <w:rsid w:val="00084211"/>
    <w:rsid w:val="00084419"/>
    <w:rsid w:val="0008449C"/>
    <w:rsid w:val="000845D7"/>
    <w:rsid w:val="000846F8"/>
    <w:rsid w:val="00084B71"/>
    <w:rsid w:val="00084D1E"/>
    <w:rsid w:val="00084DFB"/>
    <w:rsid w:val="0008526A"/>
    <w:rsid w:val="00085484"/>
    <w:rsid w:val="00085847"/>
    <w:rsid w:val="00085BE8"/>
    <w:rsid w:val="00085E04"/>
    <w:rsid w:val="0008608A"/>
    <w:rsid w:val="000863ED"/>
    <w:rsid w:val="00086911"/>
    <w:rsid w:val="00086C30"/>
    <w:rsid w:val="00086D5D"/>
    <w:rsid w:val="00086DA6"/>
    <w:rsid w:val="000875DD"/>
    <w:rsid w:val="00087C2A"/>
    <w:rsid w:val="00087E0A"/>
    <w:rsid w:val="00090055"/>
    <w:rsid w:val="000901F1"/>
    <w:rsid w:val="0009096A"/>
    <w:rsid w:val="00090B6B"/>
    <w:rsid w:val="00090D4B"/>
    <w:rsid w:val="00090EA4"/>
    <w:rsid w:val="000910D7"/>
    <w:rsid w:val="0009166A"/>
    <w:rsid w:val="000918B2"/>
    <w:rsid w:val="00091CE2"/>
    <w:rsid w:val="0009205D"/>
    <w:rsid w:val="00092442"/>
    <w:rsid w:val="0009257A"/>
    <w:rsid w:val="00092B44"/>
    <w:rsid w:val="00092C2D"/>
    <w:rsid w:val="00092EB9"/>
    <w:rsid w:val="0009343D"/>
    <w:rsid w:val="00093617"/>
    <w:rsid w:val="00093E98"/>
    <w:rsid w:val="00093FDF"/>
    <w:rsid w:val="00094051"/>
    <w:rsid w:val="000942B9"/>
    <w:rsid w:val="00094353"/>
    <w:rsid w:val="000945D6"/>
    <w:rsid w:val="00094600"/>
    <w:rsid w:val="00094AC0"/>
    <w:rsid w:val="00094B2F"/>
    <w:rsid w:val="0009571A"/>
    <w:rsid w:val="000957A2"/>
    <w:rsid w:val="00095892"/>
    <w:rsid w:val="00095A1A"/>
    <w:rsid w:val="00095A8C"/>
    <w:rsid w:val="00095C0B"/>
    <w:rsid w:val="00095C79"/>
    <w:rsid w:val="00096552"/>
    <w:rsid w:val="00096607"/>
    <w:rsid w:val="00096700"/>
    <w:rsid w:val="0009691F"/>
    <w:rsid w:val="00096925"/>
    <w:rsid w:val="0009694F"/>
    <w:rsid w:val="00096B06"/>
    <w:rsid w:val="0009706D"/>
    <w:rsid w:val="00097551"/>
    <w:rsid w:val="000975A5"/>
    <w:rsid w:val="00097833"/>
    <w:rsid w:val="000978DD"/>
    <w:rsid w:val="00097A89"/>
    <w:rsid w:val="00097E80"/>
    <w:rsid w:val="00097F2B"/>
    <w:rsid w:val="000A0424"/>
    <w:rsid w:val="000A05BC"/>
    <w:rsid w:val="000A06AB"/>
    <w:rsid w:val="000A07F3"/>
    <w:rsid w:val="000A0849"/>
    <w:rsid w:val="000A09F3"/>
    <w:rsid w:val="000A0BAF"/>
    <w:rsid w:val="000A1105"/>
    <w:rsid w:val="000A1418"/>
    <w:rsid w:val="000A1760"/>
    <w:rsid w:val="000A19A2"/>
    <w:rsid w:val="000A1BDC"/>
    <w:rsid w:val="000A1CD5"/>
    <w:rsid w:val="000A1E0A"/>
    <w:rsid w:val="000A1E8A"/>
    <w:rsid w:val="000A227F"/>
    <w:rsid w:val="000A22C0"/>
    <w:rsid w:val="000A2388"/>
    <w:rsid w:val="000A2AC3"/>
    <w:rsid w:val="000A2CC6"/>
    <w:rsid w:val="000A30BD"/>
    <w:rsid w:val="000A3320"/>
    <w:rsid w:val="000A3563"/>
    <w:rsid w:val="000A3935"/>
    <w:rsid w:val="000A3E2D"/>
    <w:rsid w:val="000A44D4"/>
    <w:rsid w:val="000A4524"/>
    <w:rsid w:val="000A4554"/>
    <w:rsid w:val="000A4A38"/>
    <w:rsid w:val="000A4B74"/>
    <w:rsid w:val="000A508F"/>
    <w:rsid w:val="000A52E7"/>
    <w:rsid w:val="000A5446"/>
    <w:rsid w:val="000A544B"/>
    <w:rsid w:val="000A591E"/>
    <w:rsid w:val="000A5A20"/>
    <w:rsid w:val="000A5A43"/>
    <w:rsid w:val="000A5D40"/>
    <w:rsid w:val="000A5DAF"/>
    <w:rsid w:val="000A6107"/>
    <w:rsid w:val="000A6195"/>
    <w:rsid w:val="000A64E1"/>
    <w:rsid w:val="000A6500"/>
    <w:rsid w:val="000A65ED"/>
    <w:rsid w:val="000A6ADD"/>
    <w:rsid w:val="000A6ECC"/>
    <w:rsid w:val="000A716D"/>
    <w:rsid w:val="000A77D0"/>
    <w:rsid w:val="000A7823"/>
    <w:rsid w:val="000A79F0"/>
    <w:rsid w:val="000A7A88"/>
    <w:rsid w:val="000A7A8B"/>
    <w:rsid w:val="000A7C1F"/>
    <w:rsid w:val="000A7C9B"/>
    <w:rsid w:val="000A7F9D"/>
    <w:rsid w:val="000B01AF"/>
    <w:rsid w:val="000B0467"/>
    <w:rsid w:val="000B055C"/>
    <w:rsid w:val="000B09D0"/>
    <w:rsid w:val="000B0F74"/>
    <w:rsid w:val="000B1471"/>
    <w:rsid w:val="000B16FC"/>
    <w:rsid w:val="000B1845"/>
    <w:rsid w:val="000B1B92"/>
    <w:rsid w:val="000B1CA5"/>
    <w:rsid w:val="000B250E"/>
    <w:rsid w:val="000B25E8"/>
    <w:rsid w:val="000B281C"/>
    <w:rsid w:val="000B29E5"/>
    <w:rsid w:val="000B2A6D"/>
    <w:rsid w:val="000B2C0D"/>
    <w:rsid w:val="000B2C17"/>
    <w:rsid w:val="000B2CE1"/>
    <w:rsid w:val="000B2FAD"/>
    <w:rsid w:val="000B307A"/>
    <w:rsid w:val="000B30CD"/>
    <w:rsid w:val="000B3373"/>
    <w:rsid w:val="000B3478"/>
    <w:rsid w:val="000B37E6"/>
    <w:rsid w:val="000B3BA4"/>
    <w:rsid w:val="000B3BDA"/>
    <w:rsid w:val="000B3E6B"/>
    <w:rsid w:val="000B3FC1"/>
    <w:rsid w:val="000B414C"/>
    <w:rsid w:val="000B41C6"/>
    <w:rsid w:val="000B43C6"/>
    <w:rsid w:val="000B47A7"/>
    <w:rsid w:val="000B48FF"/>
    <w:rsid w:val="000B497E"/>
    <w:rsid w:val="000B4C66"/>
    <w:rsid w:val="000B4D57"/>
    <w:rsid w:val="000B4DC6"/>
    <w:rsid w:val="000B4EBD"/>
    <w:rsid w:val="000B54AE"/>
    <w:rsid w:val="000B58B6"/>
    <w:rsid w:val="000B595A"/>
    <w:rsid w:val="000B5C5B"/>
    <w:rsid w:val="000B5FF0"/>
    <w:rsid w:val="000B607D"/>
    <w:rsid w:val="000B6139"/>
    <w:rsid w:val="000B61F1"/>
    <w:rsid w:val="000B62AC"/>
    <w:rsid w:val="000B641A"/>
    <w:rsid w:val="000B64EA"/>
    <w:rsid w:val="000B66DF"/>
    <w:rsid w:val="000B67EE"/>
    <w:rsid w:val="000B6A5E"/>
    <w:rsid w:val="000B6D6D"/>
    <w:rsid w:val="000B70BC"/>
    <w:rsid w:val="000B739A"/>
    <w:rsid w:val="000B73B7"/>
    <w:rsid w:val="000B7631"/>
    <w:rsid w:val="000B776B"/>
    <w:rsid w:val="000B7910"/>
    <w:rsid w:val="000B7A33"/>
    <w:rsid w:val="000B7AF5"/>
    <w:rsid w:val="000B7B36"/>
    <w:rsid w:val="000B7E37"/>
    <w:rsid w:val="000C0100"/>
    <w:rsid w:val="000C027E"/>
    <w:rsid w:val="000C0681"/>
    <w:rsid w:val="000C0999"/>
    <w:rsid w:val="000C0E3A"/>
    <w:rsid w:val="000C0EAA"/>
    <w:rsid w:val="000C0FF7"/>
    <w:rsid w:val="000C109C"/>
    <w:rsid w:val="000C1898"/>
    <w:rsid w:val="000C1978"/>
    <w:rsid w:val="000C1A64"/>
    <w:rsid w:val="000C1ADA"/>
    <w:rsid w:val="000C1B81"/>
    <w:rsid w:val="000C1E86"/>
    <w:rsid w:val="000C1EEB"/>
    <w:rsid w:val="000C1F70"/>
    <w:rsid w:val="000C2046"/>
    <w:rsid w:val="000C2A98"/>
    <w:rsid w:val="000C2CC9"/>
    <w:rsid w:val="000C2E50"/>
    <w:rsid w:val="000C3067"/>
    <w:rsid w:val="000C30DD"/>
    <w:rsid w:val="000C323C"/>
    <w:rsid w:val="000C34F0"/>
    <w:rsid w:val="000C3512"/>
    <w:rsid w:val="000C3534"/>
    <w:rsid w:val="000C3BFA"/>
    <w:rsid w:val="000C3E3B"/>
    <w:rsid w:val="000C4015"/>
    <w:rsid w:val="000C405D"/>
    <w:rsid w:val="000C4440"/>
    <w:rsid w:val="000C45D5"/>
    <w:rsid w:val="000C4733"/>
    <w:rsid w:val="000C4791"/>
    <w:rsid w:val="000C4804"/>
    <w:rsid w:val="000C486E"/>
    <w:rsid w:val="000C4BEC"/>
    <w:rsid w:val="000C4CD3"/>
    <w:rsid w:val="000C52B2"/>
    <w:rsid w:val="000C53D4"/>
    <w:rsid w:val="000C5518"/>
    <w:rsid w:val="000C5720"/>
    <w:rsid w:val="000C5898"/>
    <w:rsid w:val="000C61AB"/>
    <w:rsid w:val="000C6577"/>
    <w:rsid w:val="000C6610"/>
    <w:rsid w:val="000C6902"/>
    <w:rsid w:val="000C69CA"/>
    <w:rsid w:val="000C71A3"/>
    <w:rsid w:val="000C728E"/>
    <w:rsid w:val="000C741E"/>
    <w:rsid w:val="000C755B"/>
    <w:rsid w:val="000C75D4"/>
    <w:rsid w:val="000C7646"/>
    <w:rsid w:val="000C7708"/>
    <w:rsid w:val="000C7914"/>
    <w:rsid w:val="000C7A75"/>
    <w:rsid w:val="000C7BE4"/>
    <w:rsid w:val="000C7E7C"/>
    <w:rsid w:val="000D02D7"/>
    <w:rsid w:val="000D0536"/>
    <w:rsid w:val="000D057B"/>
    <w:rsid w:val="000D0723"/>
    <w:rsid w:val="000D082B"/>
    <w:rsid w:val="000D0AEE"/>
    <w:rsid w:val="000D1461"/>
    <w:rsid w:val="000D1C63"/>
    <w:rsid w:val="000D20A1"/>
    <w:rsid w:val="000D23CE"/>
    <w:rsid w:val="000D25EF"/>
    <w:rsid w:val="000D2718"/>
    <w:rsid w:val="000D280C"/>
    <w:rsid w:val="000D333F"/>
    <w:rsid w:val="000D34BD"/>
    <w:rsid w:val="000D3537"/>
    <w:rsid w:val="000D37F7"/>
    <w:rsid w:val="000D38B0"/>
    <w:rsid w:val="000D390C"/>
    <w:rsid w:val="000D3A17"/>
    <w:rsid w:val="000D414D"/>
    <w:rsid w:val="000D4395"/>
    <w:rsid w:val="000D45F1"/>
    <w:rsid w:val="000D46FC"/>
    <w:rsid w:val="000D47E4"/>
    <w:rsid w:val="000D4894"/>
    <w:rsid w:val="000D4E86"/>
    <w:rsid w:val="000D4EB1"/>
    <w:rsid w:val="000D51B6"/>
    <w:rsid w:val="000D5487"/>
    <w:rsid w:val="000D5579"/>
    <w:rsid w:val="000D5939"/>
    <w:rsid w:val="000D5BB3"/>
    <w:rsid w:val="000D5BD5"/>
    <w:rsid w:val="000D60AC"/>
    <w:rsid w:val="000D60E8"/>
    <w:rsid w:val="000D63FC"/>
    <w:rsid w:val="000D655C"/>
    <w:rsid w:val="000D6660"/>
    <w:rsid w:val="000D66D1"/>
    <w:rsid w:val="000D6895"/>
    <w:rsid w:val="000D6953"/>
    <w:rsid w:val="000D6DC4"/>
    <w:rsid w:val="000D6FA4"/>
    <w:rsid w:val="000D708B"/>
    <w:rsid w:val="000D73E2"/>
    <w:rsid w:val="000D744E"/>
    <w:rsid w:val="000D7527"/>
    <w:rsid w:val="000D7721"/>
    <w:rsid w:val="000D7802"/>
    <w:rsid w:val="000D7836"/>
    <w:rsid w:val="000D7B79"/>
    <w:rsid w:val="000D7E48"/>
    <w:rsid w:val="000D7F97"/>
    <w:rsid w:val="000E0200"/>
    <w:rsid w:val="000E0223"/>
    <w:rsid w:val="000E0335"/>
    <w:rsid w:val="000E03A7"/>
    <w:rsid w:val="000E07F5"/>
    <w:rsid w:val="000E082D"/>
    <w:rsid w:val="000E0C92"/>
    <w:rsid w:val="000E0E67"/>
    <w:rsid w:val="000E1071"/>
    <w:rsid w:val="000E14F3"/>
    <w:rsid w:val="000E18B0"/>
    <w:rsid w:val="000E198B"/>
    <w:rsid w:val="000E1A41"/>
    <w:rsid w:val="000E1A9E"/>
    <w:rsid w:val="000E1BF8"/>
    <w:rsid w:val="000E1D21"/>
    <w:rsid w:val="000E2609"/>
    <w:rsid w:val="000E26CD"/>
    <w:rsid w:val="000E27EA"/>
    <w:rsid w:val="000E2C4B"/>
    <w:rsid w:val="000E2D27"/>
    <w:rsid w:val="000E2F2B"/>
    <w:rsid w:val="000E2F5A"/>
    <w:rsid w:val="000E356E"/>
    <w:rsid w:val="000E35F1"/>
    <w:rsid w:val="000E3A04"/>
    <w:rsid w:val="000E3A37"/>
    <w:rsid w:val="000E3A7F"/>
    <w:rsid w:val="000E3B7F"/>
    <w:rsid w:val="000E3C1E"/>
    <w:rsid w:val="000E3EC4"/>
    <w:rsid w:val="000E3FBC"/>
    <w:rsid w:val="000E4590"/>
    <w:rsid w:val="000E459D"/>
    <w:rsid w:val="000E4750"/>
    <w:rsid w:val="000E4788"/>
    <w:rsid w:val="000E4C9D"/>
    <w:rsid w:val="000E4E61"/>
    <w:rsid w:val="000E51A0"/>
    <w:rsid w:val="000E58E0"/>
    <w:rsid w:val="000E59FD"/>
    <w:rsid w:val="000E5C16"/>
    <w:rsid w:val="000E6201"/>
    <w:rsid w:val="000E68CA"/>
    <w:rsid w:val="000E690A"/>
    <w:rsid w:val="000E695D"/>
    <w:rsid w:val="000E699A"/>
    <w:rsid w:val="000E6FA8"/>
    <w:rsid w:val="000E702D"/>
    <w:rsid w:val="000E719A"/>
    <w:rsid w:val="000E72A8"/>
    <w:rsid w:val="000E7303"/>
    <w:rsid w:val="000E75D1"/>
    <w:rsid w:val="000E7961"/>
    <w:rsid w:val="000E7C38"/>
    <w:rsid w:val="000E7FD0"/>
    <w:rsid w:val="000F0118"/>
    <w:rsid w:val="000F023F"/>
    <w:rsid w:val="000F0582"/>
    <w:rsid w:val="000F0603"/>
    <w:rsid w:val="000F08AF"/>
    <w:rsid w:val="000F0B16"/>
    <w:rsid w:val="000F0B77"/>
    <w:rsid w:val="000F1404"/>
    <w:rsid w:val="000F1480"/>
    <w:rsid w:val="000F1A32"/>
    <w:rsid w:val="000F24AC"/>
    <w:rsid w:val="000F2713"/>
    <w:rsid w:val="000F2E1A"/>
    <w:rsid w:val="000F343E"/>
    <w:rsid w:val="000F3948"/>
    <w:rsid w:val="000F39AA"/>
    <w:rsid w:val="000F3B1E"/>
    <w:rsid w:val="000F3CF6"/>
    <w:rsid w:val="000F3D65"/>
    <w:rsid w:val="000F3F15"/>
    <w:rsid w:val="000F4058"/>
    <w:rsid w:val="000F43EC"/>
    <w:rsid w:val="000F454E"/>
    <w:rsid w:val="000F46D8"/>
    <w:rsid w:val="000F47D5"/>
    <w:rsid w:val="000F48A0"/>
    <w:rsid w:val="000F49EA"/>
    <w:rsid w:val="000F4A60"/>
    <w:rsid w:val="000F4D76"/>
    <w:rsid w:val="000F4E7E"/>
    <w:rsid w:val="000F514F"/>
    <w:rsid w:val="000F52C9"/>
    <w:rsid w:val="000F54AD"/>
    <w:rsid w:val="000F5A73"/>
    <w:rsid w:val="000F5F64"/>
    <w:rsid w:val="000F63D5"/>
    <w:rsid w:val="000F6650"/>
    <w:rsid w:val="000F6C35"/>
    <w:rsid w:val="000F6E53"/>
    <w:rsid w:val="000F7126"/>
    <w:rsid w:val="000F7275"/>
    <w:rsid w:val="000F77FE"/>
    <w:rsid w:val="000F7AFB"/>
    <w:rsid w:val="000F7BB0"/>
    <w:rsid w:val="000F7CDA"/>
    <w:rsid w:val="000F7D76"/>
    <w:rsid w:val="001002AB"/>
    <w:rsid w:val="00100669"/>
    <w:rsid w:val="0010068B"/>
    <w:rsid w:val="00100830"/>
    <w:rsid w:val="00100D89"/>
    <w:rsid w:val="00100F0B"/>
    <w:rsid w:val="00101519"/>
    <w:rsid w:val="00101721"/>
    <w:rsid w:val="0010195B"/>
    <w:rsid w:val="00101B5C"/>
    <w:rsid w:val="00101BA0"/>
    <w:rsid w:val="00101DA2"/>
    <w:rsid w:val="00101E67"/>
    <w:rsid w:val="00101ED4"/>
    <w:rsid w:val="001020E1"/>
    <w:rsid w:val="001021D2"/>
    <w:rsid w:val="00102311"/>
    <w:rsid w:val="0010247B"/>
    <w:rsid w:val="001026A3"/>
    <w:rsid w:val="001028DE"/>
    <w:rsid w:val="00102CB5"/>
    <w:rsid w:val="00102E26"/>
    <w:rsid w:val="00102F10"/>
    <w:rsid w:val="00102FEA"/>
    <w:rsid w:val="00103293"/>
    <w:rsid w:val="001033A4"/>
    <w:rsid w:val="00103442"/>
    <w:rsid w:val="001035F6"/>
    <w:rsid w:val="0010374F"/>
    <w:rsid w:val="00103959"/>
    <w:rsid w:val="00103B50"/>
    <w:rsid w:val="00103CCA"/>
    <w:rsid w:val="00103DE9"/>
    <w:rsid w:val="00103FA7"/>
    <w:rsid w:val="00104198"/>
    <w:rsid w:val="0010440E"/>
    <w:rsid w:val="00104824"/>
    <w:rsid w:val="001048AE"/>
    <w:rsid w:val="00104CC5"/>
    <w:rsid w:val="00104E16"/>
    <w:rsid w:val="0010517D"/>
    <w:rsid w:val="0010525A"/>
    <w:rsid w:val="001054F9"/>
    <w:rsid w:val="001055C5"/>
    <w:rsid w:val="0010582B"/>
    <w:rsid w:val="00105A47"/>
    <w:rsid w:val="00105ABA"/>
    <w:rsid w:val="00105C4F"/>
    <w:rsid w:val="0010606B"/>
    <w:rsid w:val="0010634A"/>
    <w:rsid w:val="00106376"/>
    <w:rsid w:val="001069D6"/>
    <w:rsid w:val="00106D10"/>
    <w:rsid w:val="00107244"/>
    <w:rsid w:val="0010748A"/>
    <w:rsid w:val="001074E6"/>
    <w:rsid w:val="00107718"/>
    <w:rsid w:val="00107EB5"/>
    <w:rsid w:val="00110052"/>
    <w:rsid w:val="0011006F"/>
    <w:rsid w:val="00110158"/>
    <w:rsid w:val="001106DA"/>
    <w:rsid w:val="001107B9"/>
    <w:rsid w:val="00110C86"/>
    <w:rsid w:val="00110DE1"/>
    <w:rsid w:val="00110F5F"/>
    <w:rsid w:val="001111EF"/>
    <w:rsid w:val="00111223"/>
    <w:rsid w:val="00111350"/>
    <w:rsid w:val="0011142F"/>
    <w:rsid w:val="00111643"/>
    <w:rsid w:val="0011166B"/>
    <w:rsid w:val="00111A81"/>
    <w:rsid w:val="00111D10"/>
    <w:rsid w:val="00112203"/>
    <w:rsid w:val="00112486"/>
    <w:rsid w:val="00112539"/>
    <w:rsid w:val="00112579"/>
    <w:rsid w:val="00112A1C"/>
    <w:rsid w:val="00112ED5"/>
    <w:rsid w:val="00113072"/>
    <w:rsid w:val="0011325C"/>
    <w:rsid w:val="0011381F"/>
    <w:rsid w:val="00113B42"/>
    <w:rsid w:val="00113E69"/>
    <w:rsid w:val="00113F1A"/>
    <w:rsid w:val="00114480"/>
    <w:rsid w:val="00114568"/>
    <w:rsid w:val="0011485F"/>
    <w:rsid w:val="001148C2"/>
    <w:rsid w:val="00114954"/>
    <w:rsid w:val="00114C21"/>
    <w:rsid w:val="00115521"/>
    <w:rsid w:val="0011582E"/>
    <w:rsid w:val="001158F2"/>
    <w:rsid w:val="00115B02"/>
    <w:rsid w:val="00115E85"/>
    <w:rsid w:val="00116169"/>
    <w:rsid w:val="001163D1"/>
    <w:rsid w:val="00116539"/>
    <w:rsid w:val="001166A1"/>
    <w:rsid w:val="00116823"/>
    <w:rsid w:val="00116AC9"/>
    <w:rsid w:val="00116B75"/>
    <w:rsid w:val="001176DE"/>
    <w:rsid w:val="0011799C"/>
    <w:rsid w:val="00117E41"/>
    <w:rsid w:val="00117F86"/>
    <w:rsid w:val="00120043"/>
    <w:rsid w:val="00120230"/>
    <w:rsid w:val="00120411"/>
    <w:rsid w:val="0012079D"/>
    <w:rsid w:val="00120ADC"/>
    <w:rsid w:val="00120BD1"/>
    <w:rsid w:val="00120E34"/>
    <w:rsid w:val="00120E8D"/>
    <w:rsid w:val="0012121E"/>
    <w:rsid w:val="00121335"/>
    <w:rsid w:val="00121382"/>
    <w:rsid w:val="00121541"/>
    <w:rsid w:val="00121B5E"/>
    <w:rsid w:val="00121E93"/>
    <w:rsid w:val="00121EDE"/>
    <w:rsid w:val="00121F5D"/>
    <w:rsid w:val="00122706"/>
    <w:rsid w:val="00122B44"/>
    <w:rsid w:val="00123681"/>
    <w:rsid w:val="001238F5"/>
    <w:rsid w:val="00123957"/>
    <w:rsid w:val="00123AB0"/>
    <w:rsid w:val="00123BDF"/>
    <w:rsid w:val="0012410B"/>
    <w:rsid w:val="00124328"/>
    <w:rsid w:val="0012440C"/>
    <w:rsid w:val="00124462"/>
    <w:rsid w:val="001245F3"/>
    <w:rsid w:val="0012465E"/>
    <w:rsid w:val="0012482B"/>
    <w:rsid w:val="00124A0A"/>
    <w:rsid w:val="00124A7A"/>
    <w:rsid w:val="00124E68"/>
    <w:rsid w:val="00125393"/>
    <w:rsid w:val="00125666"/>
    <w:rsid w:val="001257EB"/>
    <w:rsid w:val="00125AD3"/>
    <w:rsid w:val="00125B17"/>
    <w:rsid w:val="001260EA"/>
    <w:rsid w:val="001261A4"/>
    <w:rsid w:val="001261BA"/>
    <w:rsid w:val="00126295"/>
    <w:rsid w:val="00126493"/>
    <w:rsid w:val="0012657B"/>
    <w:rsid w:val="00126F64"/>
    <w:rsid w:val="00127008"/>
    <w:rsid w:val="0012713C"/>
    <w:rsid w:val="00127307"/>
    <w:rsid w:val="00127422"/>
    <w:rsid w:val="001275A6"/>
    <w:rsid w:val="00127654"/>
    <w:rsid w:val="00127678"/>
    <w:rsid w:val="00127CE6"/>
    <w:rsid w:val="001304C4"/>
    <w:rsid w:val="00130541"/>
    <w:rsid w:val="00130719"/>
    <w:rsid w:val="00130B37"/>
    <w:rsid w:val="00130B64"/>
    <w:rsid w:val="00130E70"/>
    <w:rsid w:val="00130FF4"/>
    <w:rsid w:val="001312DE"/>
    <w:rsid w:val="001315A5"/>
    <w:rsid w:val="001315EB"/>
    <w:rsid w:val="001317F7"/>
    <w:rsid w:val="00131B2B"/>
    <w:rsid w:val="00131B4D"/>
    <w:rsid w:val="00131BB3"/>
    <w:rsid w:val="001320D2"/>
    <w:rsid w:val="001322C9"/>
    <w:rsid w:val="001323E0"/>
    <w:rsid w:val="00132432"/>
    <w:rsid w:val="0013245F"/>
    <w:rsid w:val="00132665"/>
    <w:rsid w:val="001327A2"/>
    <w:rsid w:val="00132DA0"/>
    <w:rsid w:val="00132E24"/>
    <w:rsid w:val="00132F4C"/>
    <w:rsid w:val="00132F88"/>
    <w:rsid w:val="001331B5"/>
    <w:rsid w:val="001332BB"/>
    <w:rsid w:val="001332DE"/>
    <w:rsid w:val="001334FF"/>
    <w:rsid w:val="00133885"/>
    <w:rsid w:val="00133938"/>
    <w:rsid w:val="0013397A"/>
    <w:rsid w:val="00133BE8"/>
    <w:rsid w:val="00133FAD"/>
    <w:rsid w:val="00134114"/>
    <w:rsid w:val="001341EF"/>
    <w:rsid w:val="001343DF"/>
    <w:rsid w:val="0013462F"/>
    <w:rsid w:val="0013494F"/>
    <w:rsid w:val="001349BA"/>
    <w:rsid w:val="00134AAE"/>
    <w:rsid w:val="00134DB4"/>
    <w:rsid w:val="00134E51"/>
    <w:rsid w:val="00134F5D"/>
    <w:rsid w:val="00134FA5"/>
    <w:rsid w:val="0013524C"/>
    <w:rsid w:val="001354C7"/>
    <w:rsid w:val="00135DC8"/>
    <w:rsid w:val="00135F3C"/>
    <w:rsid w:val="001363F1"/>
    <w:rsid w:val="001364BC"/>
    <w:rsid w:val="001366A2"/>
    <w:rsid w:val="00136D26"/>
    <w:rsid w:val="001370BE"/>
    <w:rsid w:val="00137319"/>
    <w:rsid w:val="00137470"/>
    <w:rsid w:val="00140405"/>
    <w:rsid w:val="001409FC"/>
    <w:rsid w:val="00140A06"/>
    <w:rsid w:val="00140B17"/>
    <w:rsid w:val="00140B5B"/>
    <w:rsid w:val="00140B81"/>
    <w:rsid w:val="00140C28"/>
    <w:rsid w:val="00141418"/>
    <w:rsid w:val="001416BD"/>
    <w:rsid w:val="0014174F"/>
    <w:rsid w:val="00141A02"/>
    <w:rsid w:val="00141C08"/>
    <w:rsid w:val="00141CA1"/>
    <w:rsid w:val="0014201B"/>
    <w:rsid w:val="00142062"/>
    <w:rsid w:val="0014210A"/>
    <w:rsid w:val="00142485"/>
    <w:rsid w:val="001424F2"/>
    <w:rsid w:val="0014296A"/>
    <w:rsid w:val="00143061"/>
    <w:rsid w:val="00143335"/>
    <w:rsid w:val="00143391"/>
    <w:rsid w:val="0014367F"/>
    <w:rsid w:val="001438FC"/>
    <w:rsid w:val="00143DDE"/>
    <w:rsid w:val="00143F3D"/>
    <w:rsid w:val="0014413D"/>
    <w:rsid w:val="00144F48"/>
    <w:rsid w:val="00145AB8"/>
    <w:rsid w:val="00145BBD"/>
    <w:rsid w:val="00145D7D"/>
    <w:rsid w:val="00145F7E"/>
    <w:rsid w:val="001463CA"/>
    <w:rsid w:val="00146572"/>
    <w:rsid w:val="00146971"/>
    <w:rsid w:val="0014708A"/>
    <w:rsid w:val="00147197"/>
    <w:rsid w:val="0014776E"/>
    <w:rsid w:val="00147784"/>
    <w:rsid w:val="00147791"/>
    <w:rsid w:val="001477F4"/>
    <w:rsid w:val="00147B3E"/>
    <w:rsid w:val="00147E99"/>
    <w:rsid w:val="00150056"/>
    <w:rsid w:val="0015007A"/>
    <w:rsid w:val="001501AF"/>
    <w:rsid w:val="0015095B"/>
    <w:rsid w:val="00150A4F"/>
    <w:rsid w:val="00150F85"/>
    <w:rsid w:val="00151028"/>
    <w:rsid w:val="0015144C"/>
    <w:rsid w:val="00151521"/>
    <w:rsid w:val="00151572"/>
    <w:rsid w:val="00151969"/>
    <w:rsid w:val="00151B26"/>
    <w:rsid w:val="00151F5E"/>
    <w:rsid w:val="00151F7E"/>
    <w:rsid w:val="001520FA"/>
    <w:rsid w:val="0015220F"/>
    <w:rsid w:val="00152B3C"/>
    <w:rsid w:val="00152D6E"/>
    <w:rsid w:val="00152E1C"/>
    <w:rsid w:val="00153005"/>
    <w:rsid w:val="001538A6"/>
    <w:rsid w:val="00153952"/>
    <w:rsid w:val="00153AD9"/>
    <w:rsid w:val="00153C3E"/>
    <w:rsid w:val="00153F3C"/>
    <w:rsid w:val="001540D4"/>
    <w:rsid w:val="00154153"/>
    <w:rsid w:val="00154223"/>
    <w:rsid w:val="00154492"/>
    <w:rsid w:val="001545E0"/>
    <w:rsid w:val="00154908"/>
    <w:rsid w:val="00154E3C"/>
    <w:rsid w:val="00155050"/>
    <w:rsid w:val="00155265"/>
    <w:rsid w:val="001559B7"/>
    <w:rsid w:val="00155DAE"/>
    <w:rsid w:val="0015615D"/>
    <w:rsid w:val="001561D4"/>
    <w:rsid w:val="00156301"/>
    <w:rsid w:val="001565BD"/>
    <w:rsid w:val="00156775"/>
    <w:rsid w:val="00156BB9"/>
    <w:rsid w:val="00157383"/>
    <w:rsid w:val="0015754F"/>
    <w:rsid w:val="00157717"/>
    <w:rsid w:val="001577FE"/>
    <w:rsid w:val="00157826"/>
    <w:rsid w:val="001579E7"/>
    <w:rsid w:val="00157B10"/>
    <w:rsid w:val="00160197"/>
    <w:rsid w:val="00160355"/>
    <w:rsid w:val="00160A74"/>
    <w:rsid w:val="00160B1A"/>
    <w:rsid w:val="00160EB3"/>
    <w:rsid w:val="001616F0"/>
    <w:rsid w:val="00161826"/>
    <w:rsid w:val="00161B04"/>
    <w:rsid w:val="00161DD3"/>
    <w:rsid w:val="00162094"/>
    <w:rsid w:val="001623A4"/>
    <w:rsid w:val="001625B7"/>
    <w:rsid w:val="0016261F"/>
    <w:rsid w:val="001630F8"/>
    <w:rsid w:val="0016323F"/>
    <w:rsid w:val="00163676"/>
    <w:rsid w:val="001636EE"/>
    <w:rsid w:val="001637E5"/>
    <w:rsid w:val="001638B6"/>
    <w:rsid w:val="00163961"/>
    <w:rsid w:val="00163A47"/>
    <w:rsid w:val="00163BF8"/>
    <w:rsid w:val="00163F92"/>
    <w:rsid w:val="001642FB"/>
    <w:rsid w:val="00164681"/>
    <w:rsid w:val="00164721"/>
    <w:rsid w:val="00164785"/>
    <w:rsid w:val="00164CE6"/>
    <w:rsid w:val="00164DD5"/>
    <w:rsid w:val="001650A6"/>
    <w:rsid w:val="00165345"/>
    <w:rsid w:val="00165465"/>
    <w:rsid w:val="00165769"/>
    <w:rsid w:val="00165A0B"/>
    <w:rsid w:val="00165C19"/>
    <w:rsid w:val="00165D60"/>
    <w:rsid w:val="001661B4"/>
    <w:rsid w:val="001661D6"/>
    <w:rsid w:val="00166332"/>
    <w:rsid w:val="001663A4"/>
    <w:rsid w:val="001663DB"/>
    <w:rsid w:val="001664C3"/>
    <w:rsid w:val="001666E5"/>
    <w:rsid w:val="0016679D"/>
    <w:rsid w:val="00166919"/>
    <w:rsid w:val="00166C29"/>
    <w:rsid w:val="00166E70"/>
    <w:rsid w:val="001674CC"/>
    <w:rsid w:val="00167650"/>
    <w:rsid w:val="001676ED"/>
    <w:rsid w:val="001700A5"/>
    <w:rsid w:val="001700B5"/>
    <w:rsid w:val="001702E0"/>
    <w:rsid w:val="001705FC"/>
    <w:rsid w:val="0017076B"/>
    <w:rsid w:val="00170888"/>
    <w:rsid w:val="00170AFC"/>
    <w:rsid w:val="00170BD3"/>
    <w:rsid w:val="00171357"/>
    <w:rsid w:val="001716AB"/>
    <w:rsid w:val="00171872"/>
    <w:rsid w:val="001718D9"/>
    <w:rsid w:val="001719EA"/>
    <w:rsid w:val="0017264A"/>
    <w:rsid w:val="00172D10"/>
    <w:rsid w:val="00172D59"/>
    <w:rsid w:val="00172ED9"/>
    <w:rsid w:val="00172F37"/>
    <w:rsid w:val="00172F62"/>
    <w:rsid w:val="00173099"/>
    <w:rsid w:val="001730C2"/>
    <w:rsid w:val="001730D9"/>
    <w:rsid w:val="001738A9"/>
    <w:rsid w:val="00173BC9"/>
    <w:rsid w:val="00173BFF"/>
    <w:rsid w:val="00173E07"/>
    <w:rsid w:val="00174654"/>
    <w:rsid w:val="001747EB"/>
    <w:rsid w:val="00174CD1"/>
    <w:rsid w:val="001750CD"/>
    <w:rsid w:val="001752C8"/>
    <w:rsid w:val="0017543A"/>
    <w:rsid w:val="001754EE"/>
    <w:rsid w:val="00175520"/>
    <w:rsid w:val="001755D6"/>
    <w:rsid w:val="001755FC"/>
    <w:rsid w:val="00175935"/>
    <w:rsid w:val="00175A18"/>
    <w:rsid w:val="00175C34"/>
    <w:rsid w:val="0017633D"/>
    <w:rsid w:val="001763B3"/>
    <w:rsid w:val="0017648C"/>
    <w:rsid w:val="001764A5"/>
    <w:rsid w:val="00176697"/>
    <w:rsid w:val="001766DB"/>
    <w:rsid w:val="00176734"/>
    <w:rsid w:val="00176748"/>
    <w:rsid w:val="00176AFC"/>
    <w:rsid w:val="00176E31"/>
    <w:rsid w:val="001772C8"/>
    <w:rsid w:val="00177404"/>
    <w:rsid w:val="001774B6"/>
    <w:rsid w:val="001774D3"/>
    <w:rsid w:val="00177510"/>
    <w:rsid w:val="001777B7"/>
    <w:rsid w:val="001777D3"/>
    <w:rsid w:val="00177816"/>
    <w:rsid w:val="00177996"/>
    <w:rsid w:val="00177AE0"/>
    <w:rsid w:val="00177AFD"/>
    <w:rsid w:val="00177B86"/>
    <w:rsid w:val="00177CE2"/>
    <w:rsid w:val="00177CF4"/>
    <w:rsid w:val="00177F1E"/>
    <w:rsid w:val="001807A9"/>
    <w:rsid w:val="00180812"/>
    <w:rsid w:val="0018082C"/>
    <w:rsid w:val="00180C02"/>
    <w:rsid w:val="00180C73"/>
    <w:rsid w:val="00180CA5"/>
    <w:rsid w:val="00180DB8"/>
    <w:rsid w:val="00180DD5"/>
    <w:rsid w:val="001810AC"/>
    <w:rsid w:val="0018161C"/>
    <w:rsid w:val="0018176E"/>
    <w:rsid w:val="001818CE"/>
    <w:rsid w:val="00181DFD"/>
    <w:rsid w:val="001821DE"/>
    <w:rsid w:val="00182429"/>
    <w:rsid w:val="001824D3"/>
    <w:rsid w:val="001824FF"/>
    <w:rsid w:val="00182D7D"/>
    <w:rsid w:val="00182F24"/>
    <w:rsid w:val="001831CD"/>
    <w:rsid w:val="001832C4"/>
    <w:rsid w:val="00183592"/>
    <w:rsid w:val="0018363F"/>
    <w:rsid w:val="00183764"/>
    <w:rsid w:val="001839A0"/>
    <w:rsid w:val="00183A22"/>
    <w:rsid w:val="00183EF3"/>
    <w:rsid w:val="001843EF"/>
    <w:rsid w:val="001844BB"/>
    <w:rsid w:val="001844C3"/>
    <w:rsid w:val="00184870"/>
    <w:rsid w:val="00184950"/>
    <w:rsid w:val="00184FD0"/>
    <w:rsid w:val="00185069"/>
    <w:rsid w:val="001852B6"/>
    <w:rsid w:val="00185546"/>
    <w:rsid w:val="00185816"/>
    <w:rsid w:val="00185CCB"/>
    <w:rsid w:val="00185D07"/>
    <w:rsid w:val="001864D1"/>
    <w:rsid w:val="00186B84"/>
    <w:rsid w:val="00186CA2"/>
    <w:rsid w:val="00186CD2"/>
    <w:rsid w:val="0018707E"/>
    <w:rsid w:val="001870AB"/>
    <w:rsid w:val="00187102"/>
    <w:rsid w:val="00187221"/>
    <w:rsid w:val="001872B2"/>
    <w:rsid w:val="00187488"/>
    <w:rsid w:val="001876ED"/>
    <w:rsid w:val="00187749"/>
    <w:rsid w:val="00187849"/>
    <w:rsid w:val="0018789B"/>
    <w:rsid w:val="0018792D"/>
    <w:rsid w:val="00187997"/>
    <w:rsid w:val="00187B9B"/>
    <w:rsid w:val="00187E15"/>
    <w:rsid w:val="00187E5B"/>
    <w:rsid w:val="00187E74"/>
    <w:rsid w:val="00187F9D"/>
    <w:rsid w:val="00187FBE"/>
    <w:rsid w:val="00190163"/>
    <w:rsid w:val="001908F8"/>
    <w:rsid w:val="00190A1E"/>
    <w:rsid w:val="001912E2"/>
    <w:rsid w:val="00191A2A"/>
    <w:rsid w:val="00191BF5"/>
    <w:rsid w:val="00191C56"/>
    <w:rsid w:val="00191DD2"/>
    <w:rsid w:val="00191E0F"/>
    <w:rsid w:val="00191EC5"/>
    <w:rsid w:val="001920C5"/>
    <w:rsid w:val="001922AC"/>
    <w:rsid w:val="001922FE"/>
    <w:rsid w:val="0019262E"/>
    <w:rsid w:val="00192DC8"/>
    <w:rsid w:val="00192E36"/>
    <w:rsid w:val="00192ED2"/>
    <w:rsid w:val="001930FC"/>
    <w:rsid w:val="001932A6"/>
    <w:rsid w:val="0019344A"/>
    <w:rsid w:val="00193567"/>
    <w:rsid w:val="001939BF"/>
    <w:rsid w:val="00193D1E"/>
    <w:rsid w:val="00193FA0"/>
    <w:rsid w:val="001946EE"/>
    <w:rsid w:val="0019484D"/>
    <w:rsid w:val="00194A0F"/>
    <w:rsid w:val="00195512"/>
    <w:rsid w:val="00196088"/>
    <w:rsid w:val="001962D1"/>
    <w:rsid w:val="00196902"/>
    <w:rsid w:val="00196BE4"/>
    <w:rsid w:val="00196CC1"/>
    <w:rsid w:val="001970C6"/>
    <w:rsid w:val="00197294"/>
    <w:rsid w:val="00197522"/>
    <w:rsid w:val="001976A1"/>
    <w:rsid w:val="0019786E"/>
    <w:rsid w:val="00197A47"/>
    <w:rsid w:val="001A01B9"/>
    <w:rsid w:val="001A02EB"/>
    <w:rsid w:val="001A0303"/>
    <w:rsid w:val="001A03B3"/>
    <w:rsid w:val="001A090B"/>
    <w:rsid w:val="001A0C22"/>
    <w:rsid w:val="001A0CB3"/>
    <w:rsid w:val="001A0D6D"/>
    <w:rsid w:val="001A102F"/>
    <w:rsid w:val="001A14A4"/>
    <w:rsid w:val="001A1572"/>
    <w:rsid w:val="001A183D"/>
    <w:rsid w:val="001A1CA7"/>
    <w:rsid w:val="001A1DC1"/>
    <w:rsid w:val="001A2019"/>
    <w:rsid w:val="001A2024"/>
    <w:rsid w:val="001A2787"/>
    <w:rsid w:val="001A2A80"/>
    <w:rsid w:val="001A2C40"/>
    <w:rsid w:val="001A2D05"/>
    <w:rsid w:val="001A2E64"/>
    <w:rsid w:val="001A3205"/>
    <w:rsid w:val="001A3266"/>
    <w:rsid w:val="001A332F"/>
    <w:rsid w:val="001A3653"/>
    <w:rsid w:val="001A3A1C"/>
    <w:rsid w:val="001A3A62"/>
    <w:rsid w:val="001A3C4B"/>
    <w:rsid w:val="001A4016"/>
    <w:rsid w:val="001A4259"/>
    <w:rsid w:val="001A446E"/>
    <w:rsid w:val="001A45AB"/>
    <w:rsid w:val="001A4C2D"/>
    <w:rsid w:val="001A4D24"/>
    <w:rsid w:val="001A4FE4"/>
    <w:rsid w:val="001A5720"/>
    <w:rsid w:val="001A58FB"/>
    <w:rsid w:val="001A59BE"/>
    <w:rsid w:val="001A5EB0"/>
    <w:rsid w:val="001A5EFC"/>
    <w:rsid w:val="001A5FC1"/>
    <w:rsid w:val="001A602A"/>
    <w:rsid w:val="001A61A3"/>
    <w:rsid w:val="001A63A1"/>
    <w:rsid w:val="001A63A2"/>
    <w:rsid w:val="001A65C7"/>
    <w:rsid w:val="001A6852"/>
    <w:rsid w:val="001A68DD"/>
    <w:rsid w:val="001A695B"/>
    <w:rsid w:val="001A6B5F"/>
    <w:rsid w:val="001A6BBB"/>
    <w:rsid w:val="001A6ED0"/>
    <w:rsid w:val="001A6F52"/>
    <w:rsid w:val="001A7123"/>
    <w:rsid w:val="001A7453"/>
    <w:rsid w:val="001A7460"/>
    <w:rsid w:val="001A7968"/>
    <w:rsid w:val="001A79CF"/>
    <w:rsid w:val="001A7A26"/>
    <w:rsid w:val="001A7F9C"/>
    <w:rsid w:val="001B001A"/>
    <w:rsid w:val="001B0178"/>
    <w:rsid w:val="001B03A0"/>
    <w:rsid w:val="001B0427"/>
    <w:rsid w:val="001B05D9"/>
    <w:rsid w:val="001B061B"/>
    <w:rsid w:val="001B079F"/>
    <w:rsid w:val="001B07D6"/>
    <w:rsid w:val="001B0814"/>
    <w:rsid w:val="001B0918"/>
    <w:rsid w:val="001B0ADD"/>
    <w:rsid w:val="001B0FAC"/>
    <w:rsid w:val="001B100D"/>
    <w:rsid w:val="001B1034"/>
    <w:rsid w:val="001B1499"/>
    <w:rsid w:val="001B15A6"/>
    <w:rsid w:val="001B17DA"/>
    <w:rsid w:val="001B1A64"/>
    <w:rsid w:val="001B1B45"/>
    <w:rsid w:val="001B1BC5"/>
    <w:rsid w:val="001B1C3B"/>
    <w:rsid w:val="001B1C41"/>
    <w:rsid w:val="001B1CD7"/>
    <w:rsid w:val="001B296B"/>
    <w:rsid w:val="001B2A14"/>
    <w:rsid w:val="001B31D0"/>
    <w:rsid w:val="001B31FB"/>
    <w:rsid w:val="001B35F9"/>
    <w:rsid w:val="001B3705"/>
    <w:rsid w:val="001B3734"/>
    <w:rsid w:val="001B3A7C"/>
    <w:rsid w:val="001B3EB5"/>
    <w:rsid w:val="001B400F"/>
    <w:rsid w:val="001B4075"/>
    <w:rsid w:val="001B42A3"/>
    <w:rsid w:val="001B43E8"/>
    <w:rsid w:val="001B4508"/>
    <w:rsid w:val="001B459A"/>
    <w:rsid w:val="001B4792"/>
    <w:rsid w:val="001B4D25"/>
    <w:rsid w:val="001B4D98"/>
    <w:rsid w:val="001B5070"/>
    <w:rsid w:val="001B51CB"/>
    <w:rsid w:val="001B533B"/>
    <w:rsid w:val="001B54BE"/>
    <w:rsid w:val="001B572C"/>
    <w:rsid w:val="001B57D4"/>
    <w:rsid w:val="001B627A"/>
    <w:rsid w:val="001B6448"/>
    <w:rsid w:val="001B6B7E"/>
    <w:rsid w:val="001B6BAD"/>
    <w:rsid w:val="001B6F81"/>
    <w:rsid w:val="001B70A1"/>
    <w:rsid w:val="001B76B5"/>
    <w:rsid w:val="001B7802"/>
    <w:rsid w:val="001B7D87"/>
    <w:rsid w:val="001B7E7B"/>
    <w:rsid w:val="001C0463"/>
    <w:rsid w:val="001C04FE"/>
    <w:rsid w:val="001C10DE"/>
    <w:rsid w:val="001C11EB"/>
    <w:rsid w:val="001C13D8"/>
    <w:rsid w:val="001C15ED"/>
    <w:rsid w:val="001C17B1"/>
    <w:rsid w:val="001C18FB"/>
    <w:rsid w:val="001C19DF"/>
    <w:rsid w:val="001C1B45"/>
    <w:rsid w:val="001C1FB2"/>
    <w:rsid w:val="001C1FCF"/>
    <w:rsid w:val="001C2232"/>
    <w:rsid w:val="001C25DA"/>
    <w:rsid w:val="001C2668"/>
    <w:rsid w:val="001C2D6D"/>
    <w:rsid w:val="001C2EEF"/>
    <w:rsid w:val="001C31B9"/>
    <w:rsid w:val="001C3321"/>
    <w:rsid w:val="001C394A"/>
    <w:rsid w:val="001C3D04"/>
    <w:rsid w:val="001C3EC5"/>
    <w:rsid w:val="001C4737"/>
    <w:rsid w:val="001C4833"/>
    <w:rsid w:val="001C48DA"/>
    <w:rsid w:val="001C580F"/>
    <w:rsid w:val="001C58C0"/>
    <w:rsid w:val="001C5C8A"/>
    <w:rsid w:val="001C6197"/>
    <w:rsid w:val="001C680C"/>
    <w:rsid w:val="001C68EB"/>
    <w:rsid w:val="001C6B35"/>
    <w:rsid w:val="001C6E36"/>
    <w:rsid w:val="001C6ECF"/>
    <w:rsid w:val="001C7433"/>
    <w:rsid w:val="001C77DB"/>
    <w:rsid w:val="001C79E6"/>
    <w:rsid w:val="001C7BBA"/>
    <w:rsid w:val="001C7C96"/>
    <w:rsid w:val="001C7CF5"/>
    <w:rsid w:val="001C7D9C"/>
    <w:rsid w:val="001D00BA"/>
    <w:rsid w:val="001D0217"/>
    <w:rsid w:val="001D03B9"/>
    <w:rsid w:val="001D091B"/>
    <w:rsid w:val="001D0AC4"/>
    <w:rsid w:val="001D0D78"/>
    <w:rsid w:val="001D0FE7"/>
    <w:rsid w:val="001D112C"/>
    <w:rsid w:val="001D11F0"/>
    <w:rsid w:val="001D27B6"/>
    <w:rsid w:val="001D2BA0"/>
    <w:rsid w:val="001D35D5"/>
    <w:rsid w:val="001D3722"/>
    <w:rsid w:val="001D3813"/>
    <w:rsid w:val="001D39D7"/>
    <w:rsid w:val="001D3DAC"/>
    <w:rsid w:val="001D4080"/>
    <w:rsid w:val="001D4188"/>
    <w:rsid w:val="001D41D1"/>
    <w:rsid w:val="001D41E2"/>
    <w:rsid w:val="001D437D"/>
    <w:rsid w:val="001D45BA"/>
    <w:rsid w:val="001D4679"/>
    <w:rsid w:val="001D48E3"/>
    <w:rsid w:val="001D4B50"/>
    <w:rsid w:val="001D4D89"/>
    <w:rsid w:val="001D4F82"/>
    <w:rsid w:val="001D5301"/>
    <w:rsid w:val="001D5466"/>
    <w:rsid w:val="001D585C"/>
    <w:rsid w:val="001D5903"/>
    <w:rsid w:val="001D595B"/>
    <w:rsid w:val="001D59BC"/>
    <w:rsid w:val="001D5B41"/>
    <w:rsid w:val="001D5C65"/>
    <w:rsid w:val="001D5D1B"/>
    <w:rsid w:val="001D670F"/>
    <w:rsid w:val="001D68FE"/>
    <w:rsid w:val="001D6923"/>
    <w:rsid w:val="001D6C21"/>
    <w:rsid w:val="001D6DC1"/>
    <w:rsid w:val="001D72EF"/>
    <w:rsid w:val="001D7541"/>
    <w:rsid w:val="001D7715"/>
    <w:rsid w:val="001E0259"/>
    <w:rsid w:val="001E035B"/>
    <w:rsid w:val="001E03CE"/>
    <w:rsid w:val="001E05B7"/>
    <w:rsid w:val="001E0A98"/>
    <w:rsid w:val="001E0B9A"/>
    <w:rsid w:val="001E0C41"/>
    <w:rsid w:val="001E0CEF"/>
    <w:rsid w:val="001E0F6D"/>
    <w:rsid w:val="001E15FE"/>
    <w:rsid w:val="001E161D"/>
    <w:rsid w:val="001E17B2"/>
    <w:rsid w:val="001E1BB8"/>
    <w:rsid w:val="001E2351"/>
    <w:rsid w:val="001E23DF"/>
    <w:rsid w:val="001E2525"/>
    <w:rsid w:val="001E2729"/>
    <w:rsid w:val="001E2862"/>
    <w:rsid w:val="001E295A"/>
    <w:rsid w:val="001E2A37"/>
    <w:rsid w:val="001E2C18"/>
    <w:rsid w:val="001E3584"/>
    <w:rsid w:val="001E3A51"/>
    <w:rsid w:val="001E3B09"/>
    <w:rsid w:val="001E3B15"/>
    <w:rsid w:val="001E3C0D"/>
    <w:rsid w:val="001E436A"/>
    <w:rsid w:val="001E44C6"/>
    <w:rsid w:val="001E45D5"/>
    <w:rsid w:val="001E462A"/>
    <w:rsid w:val="001E4C0D"/>
    <w:rsid w:val="001E506B"/>
    <w:rsid w:val="001E509F"/>
    <w:rsid w:val="001E519F"/>
    <w:rsid w:val="001E5308"/>
    <w:rsid w:val="001E5462"/>
    <w:rsid w:val="001E5475"/>
    <w:rsid w:val="001E549E"/>
    <w:rsid w:val="001E58C1"/>
    <w:rsid w:val="001E5CE5"/>
    <w:rsid w:val="001E5D29"/>
    <w:rsid w:val="001E5E9C"/>
    <w:rsid w:val="001E60BD"/>
    <w:rsid w:val="001E6125"/>
    <w:rsid w:val="001E63C7"/>
    <w:rsid w:val="001E6428"/>
    <w:rsid w:val="001E65C4"/>
    <w:rsid w:val="001E69E0"/>
    <w:rsid w:val="001E74CA"/>
    <w:rsid w:val="001E7518"/>
    <w:rsid w:val="001E758F"/>
    <w:rsid w:val="001E765C"/>
    <w:rsid w:val="001E767A"/>
    <w:rsid w:val="001E7741"/>
    <w:rsid w:val="001E77A4"/>
    <w:rsid w:val="001E77D1"/>
    <w:rsid w:val="001E787B"/>
    <w:rsid w:val="001E79DD"/>
    <w:rsid w:val="001E79E2"/>
    <w:rsid w:val="001E7C26"/>
    <w:rsid w:val="001F0008"/>
    <w:rsid w:val="001F00BC"/>
    <w:rsid w:val="001F04D8"/>
    <w:rsid w:val="001F08E5"/>
    <w:rsid w:val="001F09AF"/>
    <w:rsid w:val="001F0A12"/>
    <w:rsid w:val="001F0B89"/>
    <w:rsid w:val="001F0C8D"/>
    <w:rsid w:val="001F1458"/>
    <w:rsid w:val="001F1A7E"/>
    <w:rsid w:val="001F1ACF"/>
    <w:rsid w:val="001F1F32"/>
    <w:rsid w:val="001F201C"/>
    <w:rsid w:val="001F219E"/>
    <w:rsid w:val="001F2403"/>
    <w:rsid w:val="001F25EF"/>
    <w:rsid w:val="001F28BF"/>
    <w:rsid w:val="001F28DC"/>
    <w:rsid w:val="001F34E1"/>
    <w:rsid w:val="001F37CE"/>
    <w:rsid w:val="001F3B91"/>
    <w:rsid w:val="001F3D7C"/>
    <w:rsid w:val="001F4229"/>
    <w:rsid w:val="001F4355"/>
    <w:rsid w:val="001F452E"/>
    <w:rsid w:val="001F475C"/>
    <w:rsid w:val="001F4A26"/>
    <w:rsid w:val="001F4BD7"/>
    <w:rsid w:val="001F4C53"/>
    <w:rsid w:val="001F4D28"/>
    <w:rsid w:val="001F4E1E"/>
    <w:rsid w:val="001F4F9A"/>
    <w:rsid w:val="001F51CB"/>
    <w:rsid w:val="001F5646"/>
    <w:rsid w:val="001F56D3"/>
    <w:rsid w:val="001F57FF"/>
    <w:rsid w:val="001F58F5"/>
    <w:rsid w:val="001F5956"/>
    <w:rsid w:val="001F5A25"/>
    <w:rsid w:val="001F5A4A"/>
    <w:rsid w:val="001F5AE6"/>
    <w:rsid w:val="001F5B4A"/>
    <w:rsid w:val="001F5C00"/>
    <w:rsid w:val="001F5C54"/>
    <w:rsid w:val="001F5D90"/>
    <w:rsid w:val="001F61D7"/>
    <w:rsid w:val="001F6B23"/>
    <w:rsid w:val="001F6BCF"/>
    <w:rsid w:val="001F6D8B"/>
    <w:rsid w:val="001F7077"/>
    <w:rsid w:val="001F72B2"/>
    <w:rsid w:val="001F7666"/>
    <w:rsid w:val="001F7668"/>
    <w:rsid w:val="001F7CC6"/>
    <w:rsid w:val="001F7DD5"/>
    <w:rsid w:val="00200026"/>
    <w:rsid w:val="0020021A"/>
    <w:rsid w:val="00200333"/>
    <w:rsid w:val="002003F9"/>
    <w:rsid w:val="0020057E"/>
    <w:rsid w:val="00200D57"/>
    <w:rsid w:val="00200EC8"/>
    <w:rsid w:val="0020101D"/>
    <w:rsid w:val="00201DC2"/>
    <w:rsid w:val="0020232A"/>
    <w:rsid w:val="002026BF"/>
    <w:rsid w:val="00202A30"/>
    <w:rsid w:val="00202A5F"/>
    <w:rsid w:val="00202DA7"/>
    <w:rsid w:val="00202F74"/>
    <w:rsid w:val="0020318B"/>
    <w:rsid w:val="002031AB"/>
    <w:rsid w:val="00203310"/>
    <w:rsid w:val="0020347A"/>
    <w:rsid w:val="00203B39"/>
    <w:rsid w:val="00203B3C"/>
    <w:rsid w:val="00203D52"/>
    <w:rsid w:val="00203E7E"/>
    <w:rsid w:val="002040C7"/>
    <w:rsid w:val="002044AA"/>
    <w:rsid w:val="00204843"/>
    <w:rsid w:val="00204B36"/>
    <w:rsid w:val="00204BAA"/>
    <w:rsid w:val="00204CEC"/>
    <w:rsid w:val="00205236"/>
    <w:rsid w:val="0020559E"/>
    <w:rsid w:val="00205B3A"/>
    <w:rsid w:val="0020610A"/>
    <w:rsid w:val="002064C9"/>
    <w:rsid w:val="00206676"/>
    <w:rsid w:val="0020687E"/>
    <w:rsid w:val="00206A85"/>
    <w:rsid w:val="00206CA4"/>
    <w:rsid w:val="002070EA"/>
    <w:rsid w:val="00207700"/>
    <w:rsid w:val="00207853"/>
    <w:rsid w:val="002079D9"/>
    <w:rsid w:val="00210269"/>
    <w:rsid w:val="002105BF"/>
    <w:rsid w:val="00210F5F"/>
    <w:rsid w:val="00210FDF"/>
    <w:rsid w:val="00210FF4"/>
    <w:rsid w:val="002111C6"/>
    <w:rsid w:val="00211279"/>
    <w:rsid w:val="002118CB"/>
    <w:rsid w:val="0021193D"/>
    <w:rsid w:val="00211B2F"/>
    <w:rsid w:val="00211B32"/>
    <w:rsid w:val="00211D11"/>
    <w:rsid w:val="00211D71"/>
    <w:rsid w:val="00211FFF"/>
    <w:rsid w:val="002120C0"/>
    <w:rsid w:val="00212222"/>
    <w:rsid w:val="00212706"/>
    <w:rsid w:val="002128AE"/>
    <w:rsid w:val="00212B11"/>
    <w:rsid w:val="00212B99"/>
    <w:rsid w:val="00212FD8"/>
    <w:rsid w:val="0021304A"/>
    <w:rsid w:val="002130AE"/>
    <w:rsid w:val="002134DA"/>
    <w:rsid w:val="0021353E"/>
    <w:rsid w:val="0021365E"/>
    <w:rsid w:val="002136AD"/>
    <w:rsid w:val="0021393D"/>
    <w:rsid w:val="00213A2B"/>
    <w:rsid w:val="00213AA0"/>
    <w:rsid w:val="00213D55"/>
    <w:rsid w:val="002141CA"/>
    <w:rsid w:val="002142D3"/>
    <w:rsid w:val="0021443E"/>
    <w:rsid w:val="002144DE"/>
    <w:rsid w:val="002146CF"/>
    <w:rsid w:val="002147CD"/>
    <w:rsid w:val="002147D6"/>
    <w:rsid w:val="00214A3D"/>
    <w:rsid w:val="00214E34"/>
    <w:rsid w:val="00215065"/>
    <w:rsid w:val="002150B5"/>
    <w:rsid w:val="0021519F"/>
    <w:rsid w:val="00215329"/>
    <w:rsid w:val="0021540F"/>
    <w:rsid w:val="00215619"/>
    <w:rsid w:val="00215821"/>
    <w:rsid w:val="00215A04"/>
    <w:rsid w:val="00215C09"/>
    <w:rsid w:val="00215CD9"/>
    <w:rsid w:val="00215D24"/>
    <w:rsid w:val="00215DA9"/>
    <w:rsid w:val="0021653C"/>
    <w:rsid w:val="00216DD8"/>
    <w:rsid w:val="0021709E"/>
    <w:rsid w:val="002171ED"/>
    <w:rsid w:val="0021726E"/>
    <w:rsid w:val="002172CA"/>
    <w:rsid w:val="002178CA"/>
    <w:rsid w:val="00217919"/>
    <w:rsid w:val="002179F6"/>
    <w:rsid w:val="00217D07"/>
    <w:rsid w:val="00217E30"/>
    <w:rsid w:val="00217E33"/>
    <w:rsid w:val="00217E48"/>
    <w:rsid w:val="00220EC6"/>
    <w:rsid w:val="002210AF"/>
    <w:rsid w:val="002212B8"/>
    <w:rsid w:val="002216B1"/>
    <w:rsid w:val="0022186A"/>
    <w:rsid w:val="00221B95"/>
    <w:rsid w:val="00221CDB"/>
    <w:rsid w:val="00221CDE"/>
    <w:rsid w:val="00221D83"/>
    <w:rsid w:val="00221FFB"/>
    <w:rsid w:val="0022203A"/>
    <w:rsid w:val="00222570"/>
    <w:rsid w:val="00222764"/>
    <w:rsid w:val="00222E0F"/>
    <w:rsid w:val="0022313A"/>
    <w:rsid w:val="0022357E"/>
    <w:rsid w:val="00223715"/>
    <w:rsid w:val="002238D6"/>
    <w:rsid w:val="00223C56"/>
    <w:rsid w:val="00223E4D"/>
    <w:rsid w:val="00224042"/>
    <w:rsid w:val="00224502"/>
    <w:rsid w:val="0022467C"/>
    <w:rsid w:val="0022491A"/>
    <w:rsid w:val="00224A14"/>
    <w:rsid w:val="00224A5D"/>
    <w:rsid w:val="00224D7F"/>
    <w:rsid w:val="00224E28"/>
    <w:rsid w:val="00224FBC"/>
    <w:rsid w:val="00225067"/>
    <w:rsid w:val="0022509F"/>
    <w:rsid w:val="002250A7"/>
    <w:rsid w:val="002250AE"/>
    <w:rsid w:val="002252C1"/>
    <w:rsid w:val="002256F7"/>
    <w:rsid w:val="002258B4"/>
    <w:rsid w:val="00225AAA"/>
    <w:rsid w:val="00225AEA"/>
    <w:rsid w:val="00225C2F"/>
    <w:rsid w:val="0022613D"/>
    <w:rsid w:val="002263AF"/>
    <w:rsid w:val="0022658F"/>
    <w:rsid w:val="00226668"/>
    <w:rsid w:val="002267B2"/>
    <w:rsid w:val="002268EA"/>
    <w:rsid w:val="00226C21"/>
    <w:rsid w:val="00227056"/>
    <w:rsid w:val="00227511"/>
    <w:rsid w:val="002276B7"/>
    <w:rsid w:val="00227749"/>
    <w:rsid w:val="00227794"/>
    <w:rsid w:val="00227EC2"/>
    <w:rsid w:val="00230277"/>
    <w:rsid w:val="0023029C"/>
    <w:rsid w:val="002302FC"/>
    <w:rsid w:val="002303C6"/>
    <w:rsid w:val="00230D30"/>
    <w:rsid w:val="00230DC9"/>
    <w:rsid w:val="00230F07"/>
    <w:rsid w:val="0023153C"/>
    <w:rsid w:val="0023194F"/>
    <w:rsid w:val="002319B1"/>
    <w:rsid w:val="00231DFE"/>
    <w:rsid w:val="00232166"/>
    <w:rsid w:val="00232359"/>
    <w:rsid w:val="00232BAA"/>
    <w:rsid w:val="00232DF2"/>
    <w:rsid w:val="00232E14"/>
    <w:rsid w:val="00232E5E"/>
    <w:rsid w:val="0023356F"/>
    <w:rsid w:val="00233656"/>
    <w:rsid w:val="00233749"/>
    <w:rsid w:val="002338E8"/>
    <w:rsid w:val="00233B5C"/>
    <w:rsid w:val="00233E26"/>
    <w:rsid w:val="00233E5C"/>
    <w:rsid w:val="00233ED8"/>
    <w:rsid w:val="00233FD6"/>
    <w:rsid w:val="002346D9"/>
    <w:rsid w:val="00234E56"/>
    <w:rsid w:val="00234EB2"/>
    <w:rsid w:val="0023552E"/>
    <w:rsid w:val="00235968"/>
    <w:rsid w:val="00235B35"/>
    <w:rsid w:val="00235BFB"/>
    <w:rsid w:val="00235D31"/>
    <w:rsid w:val="00236008"/>
    <w:rsid w:val="00236124"/>
    <w:rsid w:val="00236259"/>
    <w:rsid w:val="002362C4"/>
    <w:rsid w:val="002363C6"/>
    <w:rsid w:val="00236570"/>
    <w:rsid w:val="00236722"/>
    <w:rsid w:val="002367F0"/>
    <w:rsid w:val="00237015"/>
    <w:rsid w:val="00237507"/>
    <w:rsid w:val="0023752E"/>
    <w:rsid w:val="0023757C"/>
    <w:rsid w:val="00237677"/>
    <w:rsid w:val="00237701"/>
    <w:rsid w:val="00237C25"/>
    <w:rsid w:val="00237C85"/>
    <w:rsid w:val="00237D02"/>
    <w:rsid w:val="00237EEE"/>
    <w:rsid w:val="0024032B"/>
    <w:rsid w:val="002406E1"/>
    <w:rsid w:val="00240932"/>
    <w:rsid w:val="00240A59"/>
    <w:rsid w:val="00240D88"/>
    <w:rsid w:val="0024116F"/>
    <w:rsid w:val="00241806"/>
    <w:rsid w:val="002419E1"/>
    <w:rsid w:val="00241AD7"/>
    <w:rsid w:val="00241BC3"/>
    <w:rsid w:val="002422D1"/>
    <w:rsid w:val="00242379"/>
    <w:rsid w:val="002425C0"/>
    <w:rsid w:val="00242766"/>
    <w:rsid w:val="00242878"/>
    <w:rsid w:val="00242CCC"/>
    <w:rsid w:val="00242EB7"/>
    <w:rsid w:val="00243051"/>
    <w:rsid w:val="002432D1"/>
    <w:rsid w:val="00243799"/>
    <w:rsid w:val="002437AD"/>
    <w:rsid w:val="002437F7"/>
    <w:rsid w:val="00243AFA"/>
    <w:rsid w:val="00243D04"/>
    <w:rsid w:val="00243E8B"/>
    <w:rsid w:val="0024424B"/>
    <w:rsid w:val="0024431C"/>
    <w:rsid w:val="0024456F"/>
    <w:rsid w:val="00244969"/>
    <w:rsid w:val="00244EA6"/>
    <w:rsid w:val="00244EAE"/>
    <w:rsid w:val="00245424"/>
    <w:rsid w:val="0024573A"/>
    <w:rsid w:val="002457C1"/>
    <w:rsid w:val="0024588B"/>
    <w:rsid w:val="00245BF1"/>
    <w:rsid w:val="00245F0C"/>
    <w:rsid w:val="00245F73"/>
    <w:rsid w:val="002465C5"/>
    <w:rsid w:val="002465CE"/>
    <w:rsid w:val="00246682"/>
    <w:rsid w:val="0024668D"/>
    <w:rsid w:val="00246ABF"/>
    <w:rsid w:val="00246D5F"/>
    <w:rsid w:val="002474CC"/>
    <w:rsid w:val="002474F0"/>
    <w:rsid w:val="00247599"/>
    <w:rsid w:val="0024773E"/>
    <w:rsid w:val="0024780E"/>
    <w:rsid w:val="00247A12"/>
    <w:rsid w:val="00247A18"/>
    <w:rsid w:val="00247BEA"/>
    <w:rsid w:val="00247C95"/>
    <w:rsid w:val="00250018"/>
    <w:rsid w:val="0025015C"/>
    <w:rsid w:val="002501C7"/>
    <w:rsid w:val="0025093D"/>
    <w:rsid w:val="002509CE"/>
    <w:rsid w:val="002509FE"/>
    <w:rsid w:val="00250A36"/>
    <w:rsid w:val="00250E62"/>
    <w:rsid w:val="002512AA"/>
    <w:rsid w:val="00251401"/>
    <w:rsid w:val="00251693"/>
    <w:rsid w:val="002516B7"/>
    <w:rsid w:val="002517BC"/>
    <w:rsid w:val="002519D3"/>
    <w:rsid w:val="00251E29"/>
    <w:rsid w:val="00252029"/>
    <w:rsid w:val="00252072"/>
    <w:rsid w:val="00252528"/>
    <w:rsid w:val="00252719"/>
    <w:rsid w:val="00252890"/>
    <w:rsid w:val="00252898"/>
    <w:rsid w:val="00252CC6"/>
    <w:rsid w:val="00252F33"/>
    <w:rsid w:val="00252FE9"/>
    <w:rsid w:val="00253A58"/>
    <w:rsid w:val="00253D1B"/>
    <w:rsid w:val="00253F47"/>
    <w:rsid w:val="00253F7D"/>
    <w:rsid w:val="00253FB8"/>
    <w:rsid w:val="00254470"/>
    <w:rsid w:val="0025459C"/>
    <w:rsid w:val="002546A9"/>
    <w:rsid w:val="00255137"/>
    <w:rsid w:val="00255578"/>
    <w:rsid w:val="002556B3"/>
    <w:rsid w:val="002556E1"/>
    <w:rsid w:val="00255A78"/>
    <w:rsid w:val="00255BF8"/>
    <w:rsid w:val="00255C80"/>
    <w:rsid w:val="0025616F"/>
    <w:rsid w:val="002563EC"/>
    <w:rsid w:val="0025664F"/>
    <w:rsid w:val="0025668E"/>
    <w:rsid w:val="002566AB"/>
    <w:rsid w:val="002568E7"/>
    <w:rsid w:val="00256ADD"/>
    <w:rsid w:val="00256BE4"/>
    <w:rsid w:val="00256D78"/>
    <w:rsid w:val="00256F85"/>
    <w:rsid w:val="002571BB"/>
    <w:rsid w:val="002576C5"/>
    <w:rsid w:val="00257D10"/>
    <w:rsid w:val="00257D45"/>
    <w:rsid w:val="00257D71"/>
    <w:rsid w:val="00257F05"/>
    <w:rsid w:val="00260320"/>
    <w:rsid w:val="00260441"/>
    <w:rsid w:val="0026086F"/>
    <w:rsid w:val="00260B9E"/>
    <w:rsid w:val="00260BDC"/>
    <w:rsid w:val="00260BE4"/>
    <w:rsid w:val="00260DDA"/>
    <w:rsid w:val="00261102"/>
    <w:rsid w:val="00261486"/>
    <w:rsid w:val="00261624"/>
    <w:rsid w:val="0026196C"/>
    <w:rsid w:val="00261B14"/>
    <w:rsid w:val="00261C78"/>
    <w:rsid w:val="00261D2F"/>
    <w:rsid w:val="00261DD1"/>
    <w:rsid w:val="00261FEE"/>
    <w:rsid w:val="002625B1"/>
    <w:rsid w:val="002625CD"/>
    <w:rsid w:val="0026269C"/>
    <w:rsid w:val="00262AC3"/>
    <w:rsid w:val="00262ACD"/>
    <w:rsid w:val="00262DD9"/>
    <w:rsid w:val="002630EB"/>
    <w:rsid w:val="002631AE"/>
    <w:rsid w:val="002633CF"/>
    <w:rsid w:val="00263439"/>
    <w:rsid w:val="002637D2"/>
    <w:rsid w:val="00263CF9"/>
    <w:rsid w:val="00263F17"/>
    <w:rsid w:val="002640CA"/>
    <w:rsid w:val="00264112"/>
    <w:rsid w:val="002643CA"/>
    <w:rsid w:val="00264448"/>
    <w:rsid w:val="0026454F"/>
    <w:rsid w:val="0026456E"/>
    <w:rsid w:val="0026461A"/>
    <w:rsid w:val="0026467F"/>
    <w:rsid w:val="002647AF"/>
    <w:rsid w:val="0026483C"/>
    <w:rsid w:val="002648C0"/>
    <w:rsid w:val="00264913"/>
    <w:rsid w:val="00264EEC"/>
    <w:rsid w:val="00265041"/>
    <w:rsid w:val="002650E2"/>
    <w:rsid w:val="002654AF"/>
    <w:rsid w:val="002656F4"/>
    <w:rsid w:val="002658EF"/>
    <w:rsid w:val="00265BA7"/>
    <w:rsid w:val="00265CD1"/>
    <w:rsid w:val="00266140"/>
    <w:rsid w:val="0026615E"/>
    <w:rsid w:val="002664D5"/>
    <w:rsid w:val="00266567"/>
    <w:rsid w:val="00266588"/>
    <w:rsid w:val="0026689A"/>
    <w:rsid w:val="002668EB"/>
    <w:rsid w:val="00266B0F"/>
    <w:rsid w:val="002671AB"/>
    <w:rsid w:val="0026730F"/>
    <w:rsid w:val="002673CC"/>
    <w:rsid w:val="00267B57"/>
    <w:rsid w:val="00267C0D"/>
    <w:rsid w:val="00270014"/>
    <w:rsid w:val="00270017"/>
    <w:rsid w:val="00270719"/>
    <w:rsid w:val="0027096B"/>
    <w:rsid w:val="00270B0A"/>
    <w:rsid w:val="00270E3C"/>
    <w:rsid w:val="00271269"/>
    <w:rsid w:val="002712AD"/>
    <w:rsid w:val="0027150C"/>
    <w:rsid w:val="002717B1"/>
    <w:rsid w:val="00271C81"/>
    <w:rsid w:val="00271E5E"/>
    <w:rsid w:val="00271EC6"/>
    <w:rsid w:val="00271FDE"/>
    <w:rsid w:val="00272266"/>
    <w:rsid w:val="00272751"/>
    <w:rsid w:val="00272A3D"/>
    <w:rsid w:val="00272D3A"/>
    <w:rsid w:val="00272F67"/>
    <w:rsid w:val="0027312B"/>
    <w:rsid w:val="00273231"/>
    <w:rsid w:val="0027352C"/>
    <w:rsid w:val="00273A74"/>
    <w:rsid w:val="00273A98"/>
    <w:rsid w:val="00273C44"/>
    <w:rsid w:val="00273F7F"/>
    <w:rsid w:val="00274104"/>
    <w:rsid w:val="00274C62"/>
    <w:rsid w:val="00274E39"/>
    <w:rsid w:val="00274E49"/>
    <w:rsid w:val="00275026"/>
    <w:rsid w:val="0027504D"/>
    <w:rsid w:val="002750EB"/>
    <w:rsid w:val="0027528D"/>
    <w:rsid w:val="00275370"/>
    <w:rsid w:val="002756D4"/>
    <w:rsid w:val="00275BAA"/>
    <w:rsid w:val="00275E50"/>
    <w:rsid w:val="00276574"/>
    <w:rsid w:val="00276944"/>
    <w:rsid w:val="00276CAD"/>
    <w:rsid w:val="0027701F"/>
    <w:rsid w:val="00277198"/>
    <w:rsid w:val="002772F2"/>
    <w:rsid w:val="00277399"/>
    <w:rsid w:val="0027789B"/>
    <w:rsid w:val="00277C97"/>
    <w:rsid w:val="00277DBC"/>
    <w:rsid w:val="00277F8B"/>
    <w:rsid w:val="00280616"/>
    <w:rsid w:val="002806D9"/>
    <w:rsid w:val="0028080A"/>
    <w:rsid w:val="00280966"/>
    <w:rsid w:val="00280C3A"/>
    <w:rsid w:val="00280D64"/>
    <w:rsid w:val="00281040"/>
    <w:rsid w:val="002811E7"/>
    <w:rsid w:val="002814AE"/>
    <w:rsid w:val="002816AF"/>
    <w:rsid w:val="00281957"/>
    <w:rsid w:val="00281C23"/>
    <w:rsid w:val="00281D74"/>
    <w:rsid w:val="002822DD"/>
    <w:rsid w:val="002829CC"/>
    <w:rsid w:val="00282E90"/>
    <w:rsid w:val="00282F78"/>
    <w:rsid w:val="00282FDF"/>
    <w:rsid w:val="0028302D"/>
    <w:rsid w:val="0028348D"/>
    <w:rsid w:val="00283730"/>
    <w:rsid w:val="00283B0F"/>
    <w:rsid w:val="00283C63"/>
    <w:rsid w:val="00283D7F"/>
    <w:rsid w:val="00283DD8"/>
    <w:rsid w:val="00284207"/>
    <w:rsid w:val="00284491"/>
    <w:rsid w:val="00284886"/>
    <w:rsid w:val="00284928"/>
    <w:rsid w:val="00284D1A"/>
    <w:rsid w:val="00284D97"/>
    <w:rsid w:val="00284DD3"/>
    <w:rsid w:val="0028579B"/>
    <w:rsid w:val="00285CB4"/>
    <w:rsid w:val="00285E08"/>
    <w:rsid w:val="00285E27"/>
    <w:rsid w:val="0028663E"/>
    <w:rsid w:val="0028681D"/>
    <w:rsid w:val="0028691E"/>
    <w:rsid w:val="00286980"/>
    <w:rsid w:val="00286B16"/>
    <w:rsid w:val="00286ECA"/>
    <w:rsid w:val="00286F8D"/>
    <w:rsid w:val="00287042"/>
    <w:rsid w:val="0028727C"/>
    <w:rsid w:val="00287310"/>
    <w:rsid w:val="00287486"/>
    <w:rsid w:val="002875AC"/>
    <w:rsid w:val="00287613"/>
    <w:rsid w:val="002877A3"/>
    <w:rsid w:val="002877C0"/>
    <w:rsid w:val="002879FA"/>
    <w:rsid w:val="00287A97"/>
    <w:rsid w:val="00287E0E"/>
    <w:rsid w:val="00290099"/>
    <w:rsid w:val="002902EA"/>
    <w:rsid w:val="0029039B"/>
    <w:rsid w:val="0029098C"/>
    <w:rsid w:val="00290AAD"/>
    <w:rsid w:val="00290B60"/>
    <w:rsid w:val="00290E98"/>
    <w:rsid w:val="002910BF"/>
    <w:rsid w:val="002910E0"/>
    <w:rsid w:val="002914DF"/>
    <w:rsid w:val="002914FC"/>
    <w:rsid w:val="00291DA7"/>
    <w:rsid w:val="002922CA"/>
    <w:rsid w:val="002924ED"/>
    <w:rsid w:val="00292578"/>
    <w:rsid w:val="00292752"/>
    <w:rsid w:val="0029277C"/>
    <w:rsid w:val="002927D0"/>
    <w:rsid w:val="002928F4"/>
    <w:rsid w:val="002929EE"/>
    <w:rsid w:val="00292AE0"/>
    <w:rsid w:val="00292D8F"/>
    <w:rsid w:val="00292F25"/>
    <w:rsid w:val="00293046"/>
    <w:rsid w:val="002930FC"/>
    <w:rsid w:val="00293106"/>
    <w:rsid w:val="00293131"/>
    <w:rsid w:val="00293291"/>
    <w:rsid w:val="00293301"/>
    <w:rsid w:val="00293342"/>
    <w:rsid w:val="00293466"/>
    <w:rsid w:val="00293489"/>
    <w:rsid w:val="002937EF"/>
    <w:rsid w:val="00293B9E"/>
    <w:rsid w:val="002940C3"/>
    <w:rsid w:val="0029415D"/>
    <w:rsid w:val="00294170"/>
    <w:rsid w:val="00294327"/>
    <w:rsid w:val="00294809"/>
    <w:rsid w:val="00294A66"/>
    <w:rsid w:val="00294E7D"/>
    <w:rsid w:val="002952D8"/>
    <w:rsid w:val="00295404"/>
    <w:rsid w:val="00295489"/>
    <w:rsid w:val="002954EC"/>
    <w:rsid w:val="0029582E"/>
    <w:rsid w:val="00295995"/>
    <w:rsid w:val="00295A12"/>
    <w:rsid w:val="00295A33"/>
    <w:rsid w:val="00295B63"/>
    <w:rsid w:val="00295D26"/>
    <w:rsid w:val="00296014"/>
    <w:rsid w:val="002962E6"/>
    <w:rsid w:val="00296D2B"/>
    <w:rsid w:val="002972E1"/>
    <w:rsid w:val="00297A99"/>
    <w:rsid w:val="00297B82"/>
    <w:rsid w:val="00297E5E"/>
    <w:rsid w:val="002A0317"/>
    <w:rsid w:val="002A03DE"/>
    <w:rsid w:val="002A07CD"/>
    <w:rsid w:val="002A0858"/>
    <w:rsid w:val="002A0A02"/>
    <w:rsid w:val="002A0A88"/>
    <w:rsid w:val="002A0CD2"/>
    <w:rsid w:val="002A13D1"/>
    <w:rsid w:val="002A1456"/>
    <w:rsid w:val="002A1573"/>
    <w:rsid w:val="002A15D8"/>
    <w:rsid w:val="002A18D2"/>
    <w:rsid w:val="002A19A2"/>
    <w:rsid w:val="002A1B34"/>
    <w:rsid w:val="002A1C16"/>
    <w:rsid w:val="002A2787"/>
    <w:rsid w:val="002A2B61"/>
    <w:rsid w:val="002A313A"/>
    <w:rsid w:val="002A3179"/>
    <w:rsid w:val="002A3257"/>
    <w:rsid w:val="002A3292"/>
    <w:rsid w:val="002A38FC"/>
    <w:rsid w:val="002A3A49"/>
    <w:rsid w:val="002A3CFD"/>
    <w:rsid w:val="002A4132"/>
    <w:rsid w:val="002A4221"/>
    <w:rsid w:val="002A466C"/>
    <w:rsid w:val="002A46B9"/>
    <w:rsid w:val="002A4EA4"/>
    <w:rsid w:val="002A5068"/>
    <w:rsid w:val="002A512D"/>
    <w:rsid w:val="002A52D1"/>
    <w:rsid w:val="002A5B34"/>
    <w:rsid w:val="002A5BCC"/>
    <w:rsid w:val="002A648C"/>
    <w:rsid w:val="002A6A37"/>
    <w:rsid w:val="002A728E"/>
    <w:rsid w:val="002A7347"/>
    <w:rsid w:val="002A75AE"/>
    <w:rsid w:val="002A7744"/>
    <w:rsid w:val="002A7A3E"/>
    <w:rsid w:val="002A7B9D"/>
    <w:rsid w:val="002A7F12"/>
    <w:rsid w:val="002B038F"/>
    <w:rsid w:val="002B0486"/>
    <w:rsid w:val="002B0BA4"/>
    <w:rsid w:val="002B0E1C"/>
    <w:rsid w:val="002B0FE7"/>
    <w:rsid w:val="002B165A"/>
    <w:rsid w:val="002B1709"/>
    <w:rsid w:val="002B1740"/>
    <w:rsid w:val="002B1820"/>
    <w:rsid w:val="002B19FE"/>
    <w:rsid w:val="002B1A67"/>
    <w:rsid w:val="002B1BA3"/>
    <w:rsid w:val="002B2485"/>
    <w:rsid w:val="002B2627"/>
    <w:rsid w:val="002B26A2"/>
    <w:rsid w:val="002B2751"/>
    <w:rsid w:val="002B3151"/>
    <w:rsid w:val="002B366D"/>
    <w:rsid w:val="002B3BD7"/>
    <w:rsid w:val="002B3C56"/>
    <w:rsid w:val="002B3D3B"/>
    <w:rsid w:val="002B3E4F"/>
    <w:rsid w:val="002B3F53"/>
    <w:rsid w:val="002B3F77"/>
    <w:rsid w:val="002B4078"/>
    <w:rsid w:val="002B45F9"/>
    <w:rsid w:val="002B4722"/>
    <w:rsid w:val="002B47A1"/>
    <w:rsid w:val="002B5080"/>
    <w:rsid w:val="002B534A"/>
    <w:rsid w:val="002B558F"/>
    <w:rsid w:val="002B5875"/>
    <w:rsid w:val="002B606D"/>
    <w:rsid w:val="002B60CB"/>
    <w:rsid w:val="002B6207"/>
    <w:rsid w:val="002B627D"/>
    <w:rsid w:val="002B649E"/>
    <w:rsid w:val="002B64A3"/>
    <w:rsid w:val="002B65C7"/>
    <w:rsid w:val="002B6882"/>
    <w:rsid w:val="002B6B4F"/>
    <w:rsid w:val="002B6C64"/>
    <w:rsid w:val="002B6CFB"/>
    <w:rsid w:val="002B6D3A"/>
    <w:rsid w:val="002B6E97"/>
    <w:rsid w:val="002B72C1"/>
    <w:rsid w:val="002B7AD5"/>
    <w:rsid w:val="002B7BAF"/>
    <w:rsid w:val="002B7BEB"/>
    <w:rsid w:val="002B7CCD"/>
    <w:rsid w:val="002C0046"/>
    <w:rsid w:val="002C00E0"/>
    <w:rsid w:val="002C05F0"/>
    <w:rsid w:val="002C0661"/>
    <w:rsid w:val="002C089B"/>
    <w:rsid w:val="002C093A"/>
    <w:rsid w:val="002C0C05"/>
    <w:rsid w:val="002C0FF0"/>
    <w:rsid w:val="002C1656"/>
    <w:rsid w:val="002C17DF"/>
    <w:rsid w:val="002C1C93"/>
    <w:rsid w:val="002C1D99"/>
    <w:rsid w:val="002C2151"/>
    <w:rsid w:val="002C230C"/>
    <w:rsid w:val="002C2311"/>
    <w:rsid w:val="002C24F2"/>
    <w:rsid w:val="002C2802"/>
    <w:rsid w:val="002C2CDB"/>
    <w:rsid w:val="002C2E02"/>
    <w:rsid w:val="002C2ECE"/>
    <w:rsid w:val="002C2F3D"/>
    <w:rsid w:val="002C30C5"/>
    <w:rsid w:val="002C33B4"/>
    <w:rsid w:val="002C33B8"/>
    <w:rsid w:val="002C3623"/>
    <w:rsid w:val="002C3AE6"/>
    <w:rsid w:val="002C3C14"/>
    <w:rsid w:val="002C3CD0"/>
    <w:rsid w:val="002C3FDC"/>
    <w:rsid w:val="002C4BB7"/>
    <w:rsid w:val="002C4CF3"/>
    <w:rsid w:val="002C530A"/>
    <w:rsid w:val="002C5558"/>
    <w:rsid w:val="002C5771"/>
    <w:rsid w:val="002C57CD"/>
    <w:rsid w:val="002C5A58"/>
    <w:rsid w:val="002C5A7A"/>
    <w:rsid w:val="002C5B07"/>
    <w:rsid w:val="002C5B23"/>
    <w:rsid w:val="002C5E51"/>
    <w:rsid w:val="002C5FCC"/>
    <w:rsid w:val="002C64FE"/>
    <w:rsid w:val="002C655E"/>
    <w:rsid w:val="002C66B2"/>
    <w:rsid w:val="002C6A79"/>
    <w:rsid w:val="002C6B27"/>
    <w:rsid w:val="002C6B40"/>
    <w:rsid w:val="002C6DA1"/>
    <w:rsid w:val="002C7857"/>
    <w:rsid w:val="002C7B8E"/>
    <w:rsid w:val="002C7E85"/>
    <w:rsid w:val="002C7F07"/>
    <w:rsid w:val="002C7FA2"/>
    <w:rsid w:val="002D032B"/>
    <w:rsid w:val="002D0428"/>
    <w:rsid w:val="002D0AE3"/>
    <w:rsid w:val="002D0C3B"/>
    <w:rsid w:val="002D0C57"/>
    <w:rsid w:val="002D0CEC"/>
    <w:rsid w:val="002D0E6B"/>
    <w:rsid w:val="002D0F86"/>
    <w:rsid w:val="002D1035"/>
    <w:rsid w:val="002D14B9"/>
    <w:rsid w:val="002D1A52"/>
    <w:rsid w:val="002D1B95"/>
    <w:rsid w:val="002D1FC1"/>
    <w:rsid w:val="002D22B1"/>
    <w:rsid w:val="002D29DA"/>
    <w:rsid w:val="002D2C46"/>
    <w:rsid w:val="002D2C48"/>
    <w:rsid w:val="002D2D7A"/>
    <w:rsid w:val="002D30A9"/>
    <w:rsid w:val="002D3157"/>
    <w:rsid w:val="002D333B"/>
    <w:rsid w:val="002D347A"/>
    <w:rsid w:val="002D3499"/>
    <w:rsid w:val="002D3704"/>
    <w:rsid w:val="002D385E"/>
    <w:rsid w:val="002D387A"/>
    <w:rsid w:val="002D3A30"/>
    <w:rsid w:val="002D3A51"/>
    <w:rsid w:val="002D3BEB"/>
    <w:rsid w:val="002D3F07"/>
    <w:rsid w:val="002D409F"/>
    <w:rsid w:val="002D40F0"/>
    <w:rsid w:val="002D4273"/>
    <w:rsid w:val="002D4719"/>
    <w:rsid w:val="002D5184"/>
    <w:rsid w:val="002D55EB"/>
    <w:rsid w:val="002D563C"/>
    <w:rsid w:val="002D58F7"/>
    <w:rsid w:val="002D5C45"/>
    <w:rsid w:val="002D5CF9"/>
    <w:rsid w:val="002D5E62"/>
    <w:rsid w:val="002D5FFF"/>
    <w:rsid w:val="002D62A4"/>
    <w:rsid w:val="002D62A9"/>
    <w:rsid w:val="002D6CF0"/>
    <w:rsid w:val="002D6FFE"/>
    <w:rsid w:val="002D7047"/>
    <w:rsid w:val="002D70C1"/>
    <w:rsid w:val="002D784E"/>
    <w:rsid w:val="002D7930"/>
    <w:rsid w:val="002D7B18"/>
    <w:rsid w:val="002D7B49"/>
    <w:rsid w:val="002E090F"/>
    <w:rsid w:val="002E0967"/>
    <w:rsid w:val="002E0F16"/>
    <w:rsid w:val="002E0FA2"/>
    <w:rsid w:val="002E13A0"/>
    <w:rsid w:val="002E185A"/>
    <w:rsid w:val="002E1C42"/>
    <w:rsid w:val="002E1E26"/>
    <w:rsid w:val="002E2748"/>
    <w:rsid w:val="002E2A70"/>
    <w:rsid w:val="002E2B77"/>
    <w:rsid w:val="002E37B5"/>
    <w:rsid w:val="002E380E"/>
    <w:rsid w:val="002E3B41"/>
    <w:rsid w:val="002E3DF0"/>
    <w:rsid w:val="002E4608"/>
    <w:rsid w:val="002E4671"/>
    <w:rsid w:val="002E4907"/>
    <w:rsid w:val="002E4E82"/>
    <w:rsid w:val="002E4EE2"/>
    <w:rsid w:val="002E5335"/>
    <w:rsid w:val="002E5734"/>
    <w:rsid w:val="002E5811"/>
    <w:rsid w:val="002E5AF7"/>
    <w:rsid w:val="002E5CF2"/>
    <w:rsid w:val="002E615D"/>
    <w:rsid w:val="002E660A"/>
    <w:rsid w:val="002E6799"/>
    <w:rsid w:val="002E6C40"/>
    <w:rsid w:val="002E6CCF"/>
    <w:rsid w:val="002E6E72"/>
    <w:rsid w:val="002E706B"/>
    <w:rsid w:val="002E7523"/>
    <w:rsid w:val="002E7AA9"/>
    <w:rsid w:val="002E7ABC"/>
    <w:rsid w:val="002E7BCD"/>
    <w:rsid w:val="002F0567"/>
    <w:rsid w:val="002F077D"/>
    <w:rsid w:val="002F08DC"/>
    <w:rsid w:val="002F0A6D"/>
    <w:rsid w:val="002F1017"/>
    <w:rsid w:val="002F121B"/>
    <w:rsid w:val="002F1306"/>
    <w:rsid w:val="002F13EB"/>
    <w:rsid w:val="002F140F"/>
    <w:rsid w:val="002F182E"/>
    <w:rsid w:val="002F1B67"/>
    <w:rsid w:val="002F2568"/>
    <w:rsid w:val="002F2624"/>
    <w:rsid w:val="002F29CB"/>
    <w:rsid w:val="002F2B44"/>
    <w:rsid w:val="002F2EEA"/>
    <w:rsid w:val="002F3437"/>
    <w:rsid w:val="002F3659"/>
    <w:rsid w:val="002F3BAD"/>
    <w:rsid w:val="002F3E3D"/>
    <w:rsid w:val="002F4122"/>
    <w:rsid w:val="002F41C9"/>
    <w:rsid w:val="002F476D"/>
    <w:rsid w:val="002F47C6"/>
    <w:rsid w:val="002F4893"/>
    <w:rsid w:val="002F4A47"/>
    <w:rsid w:val="002F4BDF"/>
    <w:rsid w:val="002F4C97"/>
    <w:rsid w:val="002F4DE4"/>
    <w:rsid w:val="002F4FC1"/>
    <w:rsid w:val="002F50A4"/>
    <w:rsid w:val="002F538A"/>
    <w:rsid w:val="002F6268"/>
    <w:rsid w:val="002F688E"/>
    <w:rsid w:val="002F6B0D"/>
    <w:rsid w:val="002F6B84"/>
    <w:rsid w:val="002F6D2F"/>
    <w:rsid w:val="002F6D5F"/>
    <w:rsid w:val="002F76CC"/>
    <w:rsid w:val="002F77DD"/>
    <w:rsid w:val="002F78D9"/>
    <w:rsid w:val="002F793B"/>
    <w:rsid w:val="002F7AC3"/>
    <w:rsid w:val="003001EC"/>
    <w:rsid w:val="00300613"/>
    <w:rsid w:val="003008AD"/>
    <w:rsid w:val="003008E3"/>
    <w:rsid w:val="00300C7C"/>
    <w:rsid w:val="00300C85"/>
    <w:rsid w:val="00300EF7"/>
    <w:rsid w:val="0030122E"/>
    <w:rsid w:val="00301354"/>
    <w:rsid w:val="0030179B"/>
    <w:rsid w:val="00301BE1"/>
    <w:rsid w:val="00302431"/>
    <w:rsid w:val="003026DD"/>
    <w:rsid w:val="003026F0"/>
    <w:rsid w:val="0030276D"/>
    <w:rsid w:val="00302946"/>
    <w:rsid w:val="00302A86"/>
    <w:rsid w:val="00302B76"/>
    <w:rsid w:val="00302C8D"/>
    <w:rsid w:val="00302D6C"/>
    <w:rsid w:val="00302E3D"/>
    <w:rsid w:val="00303524"/>
    <w:rsid w:val="00303BB2"/>
    <w:rsid w:val="00303F41"/>
    <w:rsid w:val="00303F7C"/>
    <w:rsid w:val="003041B9"/>
    <w:rsid w:val="003041DB"/>
    <w:rsid w:val="0030429A"/>
    <w:rsid w:val="003042F3"/>
    <w:rsid w:val="00304447"/>
    <w:rsid w:val="0030452E"/>
    <w:rsid w:val="003047CA"/>
    <w:rsid w:val="003048A6"/>
    <w:rsid w:val="003049D1"/>
    <w:rsid w:val="00304A1C"/>
    <w:rsid w:val="00304AA6"/>
    <w:rsid w:val="00304E0B"/>
    <w:rsid w:val="00304E21"/>
    <w:rsid w:val="00304E88"/>
    <w:rsid w:val="00305165"/>
    <w:rsid w:val="003051C3"/>
    <w:rsid w:val="00305253"/>
    <w:rsid w:val="003052FF"/>
    <w:rsid w:val="003053C2"/>
    <w:rsid w:val="003054C3"/>
    <w:rsid w:val="00305895"/>
    <w:rsid w:val="00305CA8"/>
    <w:rsid w:val="00305DBB"/>
    <w:rsid w:val="00305DE3"/>
    <w:rsid w:val="003061A9"/>
    <w:rsid w:val="00306342"/>
    <w:rsid w:val="0030679B"/>
    <w:rsid w:val="003067B0"/>
    <w:rsid w:val="00306914"/>
    <w:rsid w:val="00306DA0"/>
    <w:rsid w:val="00306FED"/>
    <w:rsid w:val="003076A7"/>
    <w:rsid w:val="003078FC"/>
    <w:rsid w:val="00307C81"/>
    <w:rsid w:val="003100B4"/>
    <w:rsid w:val="00310475"/>
    <w:rsid w:val="0031051A"/>
    <w:rsid w:val="003107E7"/>
    <w:rsid w:val="00310AF2"/>
    <w:rsid w:val="00310CE4"/>
    <w:rsid w:val="0031100E"/>
    <w:rsid w:val="00311194"/>
    <w:rsid w:val="0031125F"/>
    <w:rsid w:val="0031136C"/>
    <w:rsid w:val="0031177F"/>
    <w:rsid w:val="00311B7B"/>
    <w:rsid w:val="00311F51"/>
    <w:rsid w:val="003122E8"/>
    <w:rsid w:val="00312635"/>
    <w:rsid w:val="00312B28"/>
    <w:rsid w:val="00312B96"/>
    <w:rsid w:val="00313B7C"/>
    <w:rsid w:val="00313C32"/>
    <w:rsid w:val="00314017"/>
    <w:rsid w:val="00314034"/>
    <w:rsid w:val="00314129"/>
    <w:rsid w:val="00314397"/>
    <w:rsid w:val="003144BA"/>
    <w:rsid w:val="00314523"/>
    <w:rsid w:val="00314645"/>
    <w:rsid w:val="003149A3"/>
    <w:rsid w:val="00315000"/>
    <w:rsid w:val="0031550B"/>
    <w:rsid w:val="00315540"/>
    <w:rsid w:val="00315A9D"/>
    <w:rsid w:val="00315E08"/>
    <w:rsid w:val="00316755"/>
    <w:rsid w:val="003169B6"/>
    <w:rsid w:val="00316C4B"/>
    <w:rsid w:val="00316C69"/>
    <w:rsid w:val="003171CB"/>
    <w:rsid w:val="00317261"/>
    <w:rsid w:val="0031736F"/>
    <w:rsid w:val="00317766"/>
    <w:rsid w:val="003179CF"/>
    <w:rsid w:val="00317E3D"/>
    <w:rsid w:val="00320010"/>
    <w:rsid w:val="003201FF"/>
    <w:rsid w:val="00320682"/>
    <w:rsid w:val="00320862"/>
    <w:rsid w:val="00320881"/>
    <w:rsid w:val="003214CE"/>
    <w:rsid w:val="00321665"/>
    <w:rsid w:val="00321A5B"/>
    <w:rsid w:val="00321D00"/>
    <w:rsid w:val="00321D56"/>
    <w:rsid w:val="00321F48"/>
    <w:rsid w:val="00321FB7"/>
    <w:rsid w:val="003220F3"/>
    <w:rsid w:val="0032220B"/>
    <w:rsid w:val="0032238A"/>
    <w:rsid w:val="00322A19"/>
    <w:rsid w:val="00322B6A"/>
    <w:rsid w:val="00322C92"/>
    <w:rsid w:val="00322CD0"/>
    <w:rsid w:val="00322ED9"/>
    <w:rsid w:val="00322FA3"/>
    <w:rsid w:val="00323450"/>
    <w:rsid w:val="00323BC5"/>
    <w:rsid w:val="00323BEB"/>
    <w:rsid w:val="00324673"/>
    <w:rsid w:val="00324B9B"/>
    <w:rsid w:val="00324D46"/>
    <w:rsid w:val="00324DE1"/>
    <w:rsid w:val="003250DD"/>
    <w:rsid w:val="003257CD"/>
    <w:rsid w:val="00325B0D"/>
    <w:rsid w:val="00325B56"/>
    <w:rsid w:val="00325DF1"/>
    <w:rsid w:val="003264E9"/>
    <w:rsid w:val="0032655A"/>
    <w:rsid w:val="003268E8"/>
    <w:rsid w:val="00326C01"/>
    <w:rsid w:val="00326D93"/>
    <w:rsid w:val="003273F4"/>
    <w:rsid w:val="0032744B"/>
    <w:rsid w:val="00327607"/>
    <w:rsid w:val="00327618"/>
    <w:rsid w:val="00327764"/>
    <w:rsid w:val="003279D2"/>
    <w:rsid w:val="00327C5F"/>
    <w:rsid w:val="00327FFA"/>
    <w:rsid w:val="00330315"/>
    <w:rsid w:val="003308CB"/>
    <w:rsid w:val="00330F5F"/>
    <w:rsid w:val="003313FF"/>
    <w:rsid w:val="00331867"/>
    <w:rsid w:val="00331871"/>
    <w:rsid w:val="003319F5"/>
    <w:rsid w:val="00331AB5"/>
    <w:rsid w:val="0033227C"/>
    <w:rsid w:val="003322F4"/>
    <w:rsid w:val="0033265D"/>
    <w:rsid w:val="0033272D"/>
    <w:rsid w:val="003328DC"/>
    <w:rsid w:val="00332BE1"/>
    <w:rsid w:val="00332D95"/>
    <w:rsid w:val="00333302"/>
    <w:rsid w:val="00333880"/>
    <w:rsid w:val="0033389B"/>
    <w:rsid w:val="003338D8"/>
    <w:rsid w:val="0033391C"/>
    <w:rsid w:val="00333CAD"/>
    <w:rsid w:val="00333F29"/>
    <w:rsid w:val="0033435C"/>
    <w:rsid w:val="00334AA7"/>
    <w:rsid w:val="0033504D"/>
    <w:rsid w:val="003351D9"/>
    <w:rsid w:val="0033532E"/>
    <w:rsid w:val="00335AD2"/>
    <w:rsid w:val="00335BDA"/>
    <w:rsid w:val="00335CE3"/>
    <w:rsid w:val="00335E9E"/>
    <w:rsid w:val="00336146"/>
    <w:rsid w:val="003364E2"/>
    <w:rsid w:val="00336662"/>
    <w:rsid w:val="003366AE"/>
    <w:rsid w:val="003369EE"/>
    <w:rsid w:val="00336A2E"/>
    <w:rsid w:val="00336A91"/>
    <w:rsid w:val="00336DB6"/>
    <w:rsid w:val="00336F08"/>
    <w:rsid w:val="003370CB"/>
    <w:rsid w:val="0033723E"/>
    <w:rsid w:val="0033735C"/>
    <w:rsid w:val="0033798E"/>
    <w:rsid w:val="00337F55"/>
    <w:rsid w:val="00337F79"/>
    <w:rsid w:val="0034027E"/>
    <w:rsid w:val="00340626"/>
    <w:rsid w:val="00340750"/>
    <w:rsid w:val="00340B0D"/>
    <w:rsid w:val="00340B2F"/>
    <w:rsid w:val="00340CA2"/>
    <w:rsid w:val="00340ED5"/>
    <w:rsid w:val="00340F9F"/>
    <w:rsid w:val="00341359"/>
    <w:rsid w:val="003413D6"/>
    <w:rsid w:val="0034152B"/>
    <w:rsid w:val="003416C2"/>
    <w:rsid w:val="00341C05"/>
    <w:rsid w:val="00341D0F"/>
    <w:rsid w:val="00341EF2"/>
    <w:rsid w:val="003420BF"/>
    <w:rsid w:val="003423CA"/>
    <w:rsid w:val="003425BE"/>
    <w:rsid w:val="0034287B"/>
    <w:rsid w:val="00342965"/>
    <w:rsid w:val="003429B5"/>
    <w:rsid w:val="00342BA1"/>
    <w:rsid w:val="00342BE0"/>
    <w:rsid w:val="00342FDE"/>
    <w:rsid w:val="0034313B"/>
    <w:rsid w:val="003431AA"/>
    <w:rsid w:val="003431F1"/>
    <w:rsid w:val="00343F07"/>
    <w:rsid w:val="003443FB"/>
    <w:rsid w:val="00344488"/>
    <w:rsid w:val="003444CF"/>
    <w:rsid w:val="003445AC"/>
    <w:rsid w:val="00344760"/>
    <w:rsid w:val="00344B24"/>
    <w:rsid w:val="00344E5B"/>
    <w:rsid w:val="0034500C"/>
    <w:rsid w:val="003450B8"/>
    <w:rsid w:val="00345185"/>
    <w:rsid w:val="003458B8"/>
    <w:rsid w:val="00345B6E"/>
    <w:rsid w:val="003461F2"/>
    <w:rsid w:val="00346411"/>
    <w:rsid w:val="003466AD"/>
    <w:rsid w:val="003469AA"/>
    <w:rsid w:val="00346F1B"/>
    <w:rsid w:val="00347337"/>
    <w:rsid w:val="003473BB"/>
    <w:rsid w:val="003473FB"/>
    <w:rsid w:val="00347505"/>
    <w:rsid w:val="00347690"/>
    <w:rsid w:val="00347719"/>
    <w:rsid w:val="00347A1E"/>
    <w:rsid w:val="00347C45"/>
    <w:rsid w:val="00347D45"/>
    <w:rsid w:val="00347DF7"/>
    <w:rsid w:val="00347F2F"/>
    <w:rsid w:val="00347FD5"/>
    <w:rsid w:val="003502F1"/>
    <w:rsid w:val="003503E7"/>
    <w:rsid w:val="00350557"/>
    <w:rsid w:val="00350967"/>
    <w:rsid w:val="00350D13"/>
    <w:rsid w:val="00350EDC"/>
    <w:rsid w:val="003510D7"/>
    <w:rsid w:val="0035152F"/>
    <w:rsid w:val="00351630"/>
    <w:rsid w:val="00351C0B"/>
    <w:rsid w:val="00351FC7"/>
    <w:rsid w:val="003520DC"/>
    <w:rsid w:val="00352337"/>
    <w:rsid w:val="003524DB"/>
    <w:rsid w:val="00352522"/>
    <w:rsid w:val="003525B9"/>
    <w:rsid w:val="003528A2"/>
    <w:rsid w:val="0035296F"/>
    <w:rsid w:val="00352E69"/>
    <w:rsid w:val="00352EE8"/>
    <w:rsid w:val="00352EF6"/>
    <w:rsid w:val="003530CF"/>
    <w:rsid w:val="003530D4"/>
    <w:rsid w:val="00353333"/>
    <w:rsid w:val="003536C8"/>
    <w:rsid w:val="00353907"/>
    <w:rsid w:val="00353C8B"/>
    <w:rsid w:val="00353E7D"/>
    <w:rsid w:val="003542D4"/>
    <w:rsid w:val="003543DA"/>
    <w:rsid w:val="00354514"/>
    <w:rsid w:val="0035483F"/>
    <w:rsid w:val="00354B65"/>
    <w:rsid w:val="00354B6B"/>
    <w:rsid w:val="00354B7A"/>
    <w:rsid w:val="00355439"/>
    <w:rsid w:val="003555F5"/>
    <w:rsid w:val="00355B3F"/>
    <w:rsid w:val="0035616C"/>
    <w:rsid w:val="00356450"/>
    <w:rsid w:val="00356A2D"/>
    <w:rsid w:val="00356ADE"/>
    <w:rsid w:val="00356DB8"/>
    <w:rsid w:val="00356EF5"/>
    <w:rsid w:val="00357466"/>
    <w:rsid w:val="0035798B"/>
    <w:rsid w:val="00357999"/>
    <w:rsid w:val="00357A18"/>
    <w:rsid w:val="00357EF9"/>
    <w:rsid w:val="00357FCD"/>
    <w:rsid w:val="00360101"/>
    <w:rsid w:val="00360125"/>
    <w:rsid w:val="00360258"/>
    <w:rsid w:val="0036088E"/>
    <w:rsid w:val="003608DB"/>
    <w:rsid w:val="00360D85"/>
    <w:rsid w:val="00360F07"/>
    <w:rsid w:val="00361109"/>
    <w:rsid w:val="00361A6B"/>
    <w:rsid w:val="00362166"/>
    <w:rsid w:val="003623F6"/>
    <w:rsid w:val="00362556"/>
    <w:rsid w:val="00362709"/>
    <w:rsid w:val="0036283F"/>
    <w:rsid w:val="00362CBC"/>
    <w:rsid w:val="00362F6B"/>
    <w:rsid w:val="00362F78"/>
    <w:rsid w:val="00363328"/>
    <w:rsid w:val="0036335B"/>
    <w:rsid w:val="003636C9"/>
    <w:rsid w:val="00363D5D"/>
    <w:rsid w:val="00363F44"/>
    <w:rsid w:val="003641FE"/>
    <w:rsid w:val="003642E2"/>
    <w:rsid w:val="003644C1"/>
    <w:rsid w:val="0036461E"/>
    <w:rsid w:val="0036495E"/>
    <w:rsid w:val="00364B70"/>
    <w:rsid w:val="00364DAF"/>
    <w:rsid w:val="00364F6F"/>
    <w:rsid w:val="003652AD"/>
    <w:rsid w:val="0036554A"/>
    <w:rsid w:val="003656AA"/>
    <w:rsid w:val="00365C98"/>
    <w:rsid w:val="00365EE8"/>
    <w:rsid w:val="00365F42"/>
    <w:rsid w:val="00365F6D"/>
    <w:rsid w:val="00366965"/>
    <w:rsid w:val="003671D4"/>
    <w:rsid w:val="00367409"/>
    <w:rsid w:val="00367433"/>
    <w:rsid w:val="0036748C"/>
    <w:rsid w:val="00367716"/>
    <w:rsid w:val="00367745"/>
    <w:rsid w:val="00367816"/>
    <w:rsid w:val="00367ACE"/>
    <w:rsid w:val="00367B01"/>
    <w:rsid w:val="00367DCF"/>
    <w:rsid w:val="00367F9B"/>
    <w:rsid w:val="003700CC"/>
    <w:rsid w:val="00370536"/>
    <w:rsid w:val="00370E4B"/>
    <w:rsid w:val="00370F6E"/>
    <w:rsid w:val="00371062"/>
    <w:rsid w:val="00371091"/>
    <w:rsid w:val="003714B2"/>
    <w:rsid w:val="00371518"/>
    <w:rsid w:val="0037158B"/>
    <w:rsid w:val="003717F1"/>
    <w:rsid w:val="00371BC0"/>
    <w:rsid w:val="00371ECA"/>
    <w:rsid w:val="0037209F"/>
    <w:rsid w:val="003726B7"/>
    <w:rsid w:val="00372984"/>
    <w:rsid w:val="00372AE1"/>
    <w:rsid w:val="00372B4A"/>
    <w:rsid w:val="00373254"/>
    <w:rsid w:val="003733D9"/>
    <w:rsid w:val="003734B6"/>
    <w:rsid w:val="00373684"/>
    <w:rsid w:val="003738DA"/>
    <w:rsid w:val="00373AFB"/>
    <w:rsid w:val="00373CCC"/>
    <w:rsid w:val="00373F24"/>
    <w:rsid w:val="0037417E"/>
    <w:rsid w:val="00374622"/>
    <w:rsid w:val="0037480E"/>
    <w:rsid w:val="00374E3A"/>
    <w:rsid w:val="00374FE9"/>
    <w:rsid w:val="0037539C"/>
    <w:rsid w:val="00375424"/>
    <w:rsid w:val="003754E1"/>
    <w:rsid w:val="00375597"/>
    <w:rsid w:val="00375630"/>
    <w:rsid w:val="00375BF6"/>
    <w:rsid w:val="00375CBE"/>
    <w:rsid w:val="00375EE8"/>
    <w:rsid w:val="00375FDA"/>
    <w:rsid w:val="00376585"/>
    <w:rsid w:val="00376651"/>
    <w:rsid w:val="00376816"/>
    <w:rsid w:val="00376844"/>
    <w:rsid w:val="00376D11"/>
    <w:rsid w:val="00376DE8"/>
    <w:rsid w:val="00376F1D"/>
    <w:rsid w:val="003770C0"/>
    <w:rsid w:val="00377319"/>
    <w:rsid w:val="0037731B"/>
    <w:rsid w:val="0037740F"/>
    <w:rsid w:val="003774D4"/>
    <w:rsid w:val="0037768C"/>
    <w:rsid w:val="0037799A"/>
    <w:rsid w:val="00377A24"/>
    <w:rsid w:val="00377E52"/>
    <w:rsid w:val="003800DD"/>
    <w:rsid w:val="0038026E"/>
    <w:rsid w:val="0038028B"/>
    <w:rsid w:val="003805D6"/>
    <w:rsid w:val="003806E4"/>
    <w:rsid w:val="00380AC1"/>
    <w:rsid w:val="00380E9B"/>
    <w:rsid w:val="00381015"/>
    <w:rsid w:val="003814F7"/>
    <w:rsid w:val="00381E30"/>
    <w:rsid w:val="0038251C"/>
    <w:rsid w:val="0038264C"/>
    <w:rsid w:val="00382880"/>
    <w:rsid w:val="00382A18"/>
    <w:rsid w:val="00382AA2"/>
    <w:rsid w:val="00382ACB"/>
    <w:rsid w:val="00382B3E"/>
    <w:rsid w:val="00382DAE"/>
    <w:rsid w:val="00382F65"/>
    <w:rsid w:val="003830FC"/>
    <w:rsid w:val="003839CE"/>
    <w:rsid w:val="00383B86"/>
    <w:rsid w:val="00383C9A"/>
    <w:rsid w:val="00383D49"/>
    <w:rsid w:val="00383F4D"/>
    <w:rsid w:val="003843D7"/>
    <w:rsid w:val="0038452B"/>
    <w:rsid w:val="0038459E"/>
    <w:rsid w:val="00384611"/>
    <w:rsid w:val="00384ABB"/>
    <w:rsid w:val="00384AE0"/>
    <w:rsid w:val="00384C20"/>
    <w:rsid w:val="00384E52"/>
    <w:rsid w:val="0038500C"/>
    <w:rsid w:val="00385295"/>
    <w:rsid w:val="0038532C"/>
    <w:rsid w:val="0038556F"/>
    <w:rsid w:val="0038578E"/>
    <w:rsid w:val="00385CB4"/>
    <w:rsid w:val="00385D1A"/>
    <w:rsid w:val="00385D43"/>
    <w:rsid w:val="00385DBC"/>
    <w:rsid w:val="00385E39"/>
    <w:rsid w:val="0038630D"/>
    <w:rsid w:val="003864AE"/>
    <w:rsid w:val="003865A8"/>
    <w:rsid w:val="00386A36"/>
    <w:rsid w:val="00386B20"/>
    <w:rsid w:val="00386B7F"/>
    <w:rsid w:val="00386BB5"/>
    <w:rsid w:val="00386D61"/>
    <w:rsid w:val="00386D7C"/>
    <w:rsid w:val="00386F24"/>
    <w:rsid w:val="00386FED"/>
    <w:rsid w:val="00387056"/>
    <w:rsid w:val="0038739C"/>
    <w:rsid w:val="003874E6"/>
    <w:rsid w:val="0038755D"/>
    <w:rsid w:val="00387AA7"/>
    <w:rsid w:val="00387EA9"/>
    <w:rsid w:val="00387F13"/>
    <w:rsid w:val="00387FA6"/>
    <w:rsid w:val="00390051"/>
    <w:rsid w:val="003902B6"/>
    <w:rsid w:val="003903E6"/>
    <w:rsid w:val="0039094B"/>
    <w:rsid w:val="00390BF7"/>
    <w:rsid w:val="00390C65"/>
    <w:rsid w:val="003911BC"/>
    <w:rsid w:val="00391227"/>
    <w:rsid w:val="003912A4"/>
    <w:rsid w:val="003912C4"/>
    <w:rsid w:val="00391378"/>
    <w:rsid w:val="003914C8"/>
    <w:rsid w:val="003915B0"/>
    <w:rsid w:val="003915F3"/>
    <w:rsid w:val="003917A8"/>
    <w:rsid w:val="00391914"/>
    <w:rsid w:val="00391CD1"/>
    <w:rsid w:val="003922BF"/>
    <w:rsid w:val="00392E4E"/>
    <w:rsid w:val="003930EB"/>
    <w:rsid w:val="003931D8"/>
    <w:rsid w:val="00393229"/>
    <w:rsid w:val="00393509"/>
    <w:rsid w:val="00393569"/>
    <w:rsid w:val="00393C42"/>
    <w:rsid w:val="00393E53"/>
    <w:rsid w:val="00393EFB"/>
    <w:rsid w:val="00394172"/>
    <w:rsid w:val="003942F1"/>
    <w:rsid w:val="00394705"/>
    <w:rsid w:val="0039480F"/>
    <w:rsid w:val="00394B28"/>
    <w:rsid w:val="00395151"/>
    <w:rsid w:val="0039525E"/>
    <w:rsid w:val="00395514"/>
    <w:rsid w:val="0039554E"/>
    <w:rsid w:val="003957BB"/>
    <w:rsid w:val="00395C25"/>
    <w:rsid w:val="00395C2B"/>
    <w:rsid w:val="00395C4B"/>
    <w:rsid w:val="00395C7A"/>
    <w:rsid w:val="00395CC6"/>
    <w:rsid w:val="00395E22"/>
    <w:rsid w:val="00395FEF"/>
    <w:rsid w:val="003961B5"/>
    <w:rsid w:val="0039638D"/>
    <w:rsid w:val="00396828"/>
    <w:rsid w:val="00396E02"/>
    <w:rsid w:val="00397119"/>
    <w:rsid w:val="0039723A"/>
    <w:rsid w:val="003975C0"/>
    <w:rsid w:val="00397D6F"/>
    <w:rsid w:val="003A0146"/>
    <w:rsid w:val="003A03F0"/>
    <w:rsid w:val="003A0743"/>
    <w:rsid w:val="003A0C86"/>
    <w:rsid w:val="003A0EBC"/>
    <w:rsid w:val="003A193D"/>
    <w:rsid w:val="003A21D7"/>
    <w:rsid w:val="003A24F9"/>
    <w:rsid w:val="003A25B0"/>
    <w:rsid w:val="003A270F"/>
    <w:rsid w:val="003A2E76"/>
    <w:rsid w:val="003A2EA3"/>
    <w:rsid w:val="003A309A"/>
    <w:rsid w:val="003A3237"/>
    <w:rsid w:val="003A3314"/>
    <w:rsid w:val="003A335C"/>
    <w:rsid w:val="003A36D3"/>
    <w:rsid w:val="003A3B8F"/>
    <w:rsid w:val="003A3EF6"/>
    <w:rsid w:val="003A420A"/>
    <w:rsid w:val="003A4264"/>
    <w:rsid w:val="003A4296"/>
    <w:rsid w:val="003A42CC"/>
    <w:rsid w:val="003A4319"/>
    <w:rsid w:val="003A4523"/>
    <w:rsid w:val="003A4954"/>
    <w:rsid w:val="003A4AA7"/>
    <w:rsid w:val="003A4AD7"/>
    <w:rsid w:val="003A4D30"/>
    <w:rsid w:val="003A50F8"/>
    <w:rsid w:val="003A52C4"/>
    <w:rsid w:val="003A5735"/>
    <w:rsid w:val="003A58C7"/>
    <w:rsid w:val="003A5ACF"/>
    <w:rsid w:val="003A618E"/>
    <w:rsid w:val="003A66D7"/>
    <w:rsid w:val="003A6CDC"/>
    <w:rsid w:val="003A7265"/>
    <w:rsid w:val="003A7367"/>
    <w:rsid w:val="003A797C"/>
    <w:rsid w:val="003A7A6F"/>
    <w:rsid w:val="003A7FF6"/>
    <w:rsid w:val="003B03F4"/>
    <w:rsid w:val="003B0413"/>
    <w:rsid w:val="003B0677"/>
    <w:rsid w:val="003B083A"/>
    <w:rsid w:val="003B0A0F"/>
    <w:rsid w:val="003B0B9C"/>
    <w:rsid w:val="003B0D40"/>
    <w:rsid w:val="003B0EC1"/>
    <w:rsid w:val="003B12DD"/>
    <w:rsid w:val="003B16D2"/>
    <w:rsid w:val="003B192B"/>
    <w:rsid w:val="003B1B21"/>
    <w:rsid w:val="003B1C17"/>
    <w:rsid w:val="003B1CB6"/>
    <w:rsid w:val="003B202F"/>
    <w:rsid w:val="003B206D"/>
    <w:rsid w:val="003B209A"/>
    <w:rsid w:val="003B20B8"/>
    <w:rsid w:val="003B2198"/>
    <w:rsid w:val="003B2498"/>
    <w:rsid w:val="003B28BC"/>
    <w:rsid w:val="003B29FE"/>
    <w:rsid w:val="003B32F5"/>
    <w:rsid w:val="003B38CD"/>
    <w:rsid w:val="003B3A56"/>
    <w:rsid w:val="003B3D10"/>
    <w:rsid w:val="003B3F0A"/>
    <w:rsid w:val="003B44FE"/>
    <w:rsid w:val="003B46B5"/>
    <w:rsid w:val="003B4849"/>
    <w:rsid w:val="003B4A40"/>
    <w:rsid w:val="003B4A70"/>
    <w:rsid w:val="003B4D70"/>
    <w:rsid w:val="003B4EDF"/>
    <w:rsid w:val="003B4F2E"/>
    <w:rsid w:val="003B55EE"/>
    <w:rsid w:val="003B58B3"/>
    <w:rsid w:val="003B5B16"/>
    <w:rsid w:val="003B5C09"/>
    <w:rsid w:val="003B5C97"/>
    <w:rsid w:val="003B5D35"/>
    <w:rsid w:val="003B605D"/>
    <w:rsid w:val="003B6110"/>
    <w:rsid w:val="003B6255"/>
    <w:rsid w:val="003B632F"/>
    <w:rsid w:val="003B6346"/>
    <w:rsid w:val="003B6427"/>
    <w:rsid w:val="003B65D2"/>
    <w:rsid w:val="003B68ED"/>
    <w:rsid w:val="003B6960"/>
    <w:rsid w:val="003B6A9C"/>
    <w:rsid w:val="003B6B94"/>
    <w:rsid w:val="003B6C95"/>
    <w:rsid w:val="003B6DB5"/>
    <w:rsid w:val="003B6E55"/>
    <w:rsid w:val="003B7014"/>
    <w:rsid w:val="003B76BF"/>
    <w:rsid w:val="003B7716"/>
    <w:rsid w:val="003B7A53"/>
    <w:rsid w:val="003B7B24"/>
    <w:rsid w:val="003B7BB9"/>
    <w:rsid w:val="003B7BEB"/>
    <w:rsid w:val="003B7ECE"/>
    <w:rsid w:val="003C00AB"/>
    <w:rsid w:val="003C041C"/>
    <w:rsid w:val="003C0F40"/>
    <w:rsid w:val="003C0F54"/>
    <w:rsid w:val="003C0FEF"/>
    <w:rsid w:val="003C121D"/>
    <w:rsid w:val="003C1658"/>
    <w:rsid w:val="003C1867"/>
    <w:rsid w:val="003C188E"/>
    <w:rsid w:val="003C1937"/>
    <w:rsid w:val="003C260C"/>
    <w:rsid w:val="003C277F"/>
    <w:rsid w:val="003C281D"/>
    <w:rsid w:val="003C2897"/>
    <w:rsid w:val="003C29EE"/>
    <w:rsid w:val="003C2C8D"/>
    <w:rsid w:val="003C2E50"/>
    <w:rsid w:val="003C3016"/>
    <w:rsid w:val="003C319E"/>
    <w:rsid w:val="003C33A3"/>
    <w:rsid w:val="003C387E"/>
    <w:rsid w:val="003C3ACE"/>
    <w:rsid w:val="003C3CCD"/>
    <w:rsid w:val="003C3D25"/>
    <w:rsid w:val="003C3DB9"/>
    <w:rsid w:val="003C3F26"/>
    <w:rsid w:val="003C40A4"/>
    <w:rsid w:val="003C44E3"/>
    <w:rsid w:val="003C45A6"/>
    <w:rsid w:val="003C4DC1"/>
    <w:rsid w:val="003C4ED1"/>
    <w:rsid w:val="003C4EEA"/>
    <w:rsid w:val="003C511B"/>
    <w:rsid w:val="003C53A9"/>
    <w:rsid w:val="003C587F"/>
    <w:rsid w:val="003C5A7A"/>
    <w:rsid w:val="003C6073"/>
    <w:rsid w:val="003C64B5"/>
    <w:rsid w:val="003C64F7"/>
    <w:rsid w:val="003C675B"/>
    <w:rsid w:val="003C690E"/>
    <w:rsid w:val="003C6C49"/>
    <w:rsid w:val="003C6D10"/>
    <w:rsid w:val="003C6D72"/>
    <w:rsid w:val="003C6FBE"/>
    <w:rsid w:val="003C6FFB"/>
    <w:rsid w:val="003C74C2"/>
    <w:rsid w:val="003C757F"/>
    <w:rsid w:val="003C75B1"/>
    <w:rsid w:val="003C75B4"/>
    <w:rsid w:val="003C7820"/>
    <w:rsid w:val="003C79A3"/>
    <w:rsid w:val="003D00D2"/>
    <w:rsid w:val="003D056E"/>
    <w:rsid w:val="003D0AFB"/>
    <w:rsid w:val="003D0BD2"/>
    <w:rsid w:val="003D0BE3"/>
    <w:rsid w:val="003D1331"/>
    <w:rsid w:val="003D1730"/>
    <w:rsid w:val="003D184B"/>
    <w:rsid w:val="003D1C0A"/>
    <w:rsid w:val="003D1C91"/>
    <w:rsid w:val="003D21F7"/>
    <w:rsid w:val="003D228D"/>
    <w:rsid w:val="003D23EE"/>
    <w:rsid w:val="003D2589"/>
    <w:rsid w:val="003D25F4"/>
    <w:rsid w:val="003D26D5"/>
    <w:rsid w:val="003D26F7"/>
    <w:rsid w:val="003D2CD5"/>
    <w:rsid w:val="003D2CEE"/>
    <w:rsid w:val="003D2F99"/>
    <w:rsid w:val="003D30D6"/>
    <w:rsid w:val="003D3325"/>
    <w:rsid w:val="003D34E8"/>
    <w:rsid w:val="003D3A0C"/>
    <w:rsid w:val="003D3E70"/>
    <w:rsid w:val="003D41F2"/>
    <w:rsid w:val="003D4937"/>
    <w:rsid w:val="003D4B9D"/>
    <w:rsid w:val="003D4E2B"/>
    <w:rsid w:val="003D4F92"/>
    <w:rsid w:val="003D576D"/>
    <w:rsid w:val="003D5CD5"/>
    <w:rsid w:val="003D6151"/>
    <w:rsid w:val="003D61CE"/>
    <w:rsid w:val="003D6235"/>
    <w:rsid w:val="003D6672"/>
    <w:rsid w:val="003D670E"/>
    <w:rsid w:val="003D684E"/>
    <w:rsid w:val="003D690B"/>
    <w:rsid w:val="003D69FF"/>
    <w:rsid w:val="003D6CA1"/>
    <w:rsid w:val="003D6EE8"/>
    <w:rsid w:val="003D6F6F"/>
    <w:rsid w:val="003D728F"/>
    <w:rsid w:val="003D746B"/>
    <w:rsid w:val="003D76CD"/>
    <w:rsid w:val="003D76F9"/>
    <w:rsid w:val="003D7B0C"/>
    <w:rsid w:val="003D7CF1"/>
    <w:rsid w:val="003E025F"/>
    <w:rsid w:val="003E0730"/>
    <w:rsid w:val="003E0A59"/>
    <w:rsid w:val="003E0E48"/>
    <w:rsid w:val="003E1178"/>
    <w:rsid w:val="003E1723"/>
    <w:rsid w:val="003E1769"/>
    <w:rsid w:val="003E1A3A"/>
    <w:rsid w:val="003E1A8D"/>
    <w:rsid w:val="003E1B7B"/>
    <w:rsid w:val="003E1BC0"/>
    <w:rsid w:val="003E1BC4"/>
    <w:rsid w:val="003E1D15"/>
    <w:rsid w:val="003E1D48"/>
    <w:rsid w:val="003E1D49"/>
    <w:rsid w:val="003E1EE5"/>
    <w:rsid w:val="003E1F00"/>
    <w:rsid w:val="003E2078"/>
    <w:rsid w:val="003E23F6"/>
    <w:rsid w:val="003E2540"/>
    <w:rsid w:val="003E2AA8"/>
    <w:rsid w:val="003E2D9E"/>
    <w:rsid w:val="003E2ED0"/>
    <w:rsid w:val="003E3331"/>
    <w:rsid w:val="003E33DF"/>
    <w:rsid w:val="003E35BF"/>
    <w:rsid w:val="003E3637"/>
    <w:rsid w:val="003E37EE"/>
    <w:rsid w:val="003E3860"/>
    <w:rsid w:val="003E3A1D"/>
    <w:rsid w:val="003E3A8B"/>
    <w:rsid w:val="003E3B82"/>
    <w:rsid w:val="003E3CC2"/>
    <w:rsid w:val="003E4096"/>
    <w:rsid w:val="003E4527"/>
    <w:rsid w:val="003E4927"/>
    <w:rsid w:val="003E49A2"/>
    <w:rsid w:val="003E49B0"/>
    <w:rsid w:val="003E4CF4"/>
    <w:rsid w:val="003E4FA2"/>
    <w:rsid w:val="003E5103"/>
    <w:rsid w:val="003E5330"/>
    <w:rsid w:val="003E5B22"/>
    <w:rsid w:val="003E5D70"/>
    <w:rsid w:val="003E5FD6"/>
    <w:rsid w:val="003E603E"/>
    <w:rsid w:val="003E61D8"/>
    <w:rsid w:val="003E629E"/>
    <w:rsid w:val="003E6517"/>
    <w:rsid w:val="003E6906"/>
    <w:rsid w:val="003E6985"/>
    <w:rsid w:val="003E6BF2"/>
    <w:rsid w:val="003E6D22"/>
    <w:rsid w:val="003E6D70"/>
    <w:rsid w:val="003E6FA0"/>
    <w:rsid w:val="003E7016"/>
    <w:rsid w:val="003E71CD"/>
    <w:rsid w:val="003F01F6"/>
    <w:rsid w:val="003F020C"/>
    <w:rsid w:val="003F033C"/>
    <w:rsid w:val="003F03C4"/>
    <w:rsid w:val="003F04C5"/>
    <w:rsid w:val="003F066F"/>
    <w:rsid w:val="003F07C3"/>
    <w:rsid w:val="003F0C9B"/>
    <w:rsid w:val="003F110B"/>
    <w:rsid w:val="003F1299"/>
    <w:rsid w:val="003F1C0F"/>
    <w:rsid w:val="003F1F1D"/>
    <w:rsid w:val="003F232B"/>
    <w:rsid w:val="003F2A8C"/>
    <w:rsid w:val="003F2CEF"/>
    <w:rsid w:val="003F2DEE"/>
    <w:rsid w:val="003F307C"/>
    <w:rsid w:val="003F31AE"/>
    <w:rsid w:val="003F325F"/>
    <w:rsid w:val="003F3282"/>
    <w:rsid w:val="003F34C8"/>
    <w:rsid w:val="003F3650"/>
    <w:rsid w:val="003F3733"/>
    <w:rsid w:val="003F3919"/>
    <w:rsid w:val="003F39F1"/>
    <w:rsid w:val="003F3B8F"/>
    <w:rsid w:val="003F3CE3"/>
    <w:rsid w:val="003F416F"/>
    <w:rsid w:val="003F41F2"/>
    <w:rsid w:val="003F441C"/>
    <w:rsid w:val="003F443F"/>
    <w:rsid w:val="003F44C8"/>
    <w:rsid w:val="003F45EB"/>
    <w:rsid w:val="003F46B8"/>
    <w:rsid w:val="003F4D21"/>
    <w:rsid w:val="003F4DA7"/>
    <w:rsid w:val="003F576C"/>
    <w:rsid w:val="003F57F4"/>
    <w:rsid w:val="003F5BB3"/>
    <w:rsid w:val="003F5C88"/>
    <w:rsid w:val="003F62DB"/>
    <w:rsid w:val="003F62DE"/>
    <w:rsid w:val="003F62ED"/>
    <w:rsid w:val="003F6321"/>
    <w:rsid w:val="003F647C"/>
    <w:rsid w:val="003F6545"/>
    <w:rsid w:val="003F66F8"/>
    <w:rsid w:val="003F6ABD"/>
    <w:rsid w:val="003F6B6C"/>
    <w:rsid w:val="003F6F06"/>
    <w:rsid w:val="003F6F6C"/>
    <w:rsid w:val="003F703F"/>
    <w:rsid w:val="003F711F"/>
    <w:rsid w:val="003F7546"/>
    <w:rsid w:val="003F77D2"/>
    <w:rsid w:val="003F77F7"/>
    <w:rsid w:val="003F78D8"/>
    <w:rsid w:val="004000F9"/>
    <w:rsid w:val="004001FC"/>
    <w:rsid w:val="00400398"/>
    <w:rsid w:val="004003A6"/>
    <w:rsid w:val="004007D0"/>
    <w:rsid w:val="0040082E"/>
    <w:rsid w:val="00400A90"/>
    <w:rsid w:val="00400B2C"/>
    <w:rsid w:val="00400D42"/>
    <w:rsid w:val="004010A5"/>
    <w:rsid w:val="004013E1"/>
    <w:rsid w:val="00401A04"/>
    <w:rsid w:val="00401A6B"/>
    <w:rsid w:val="00401C60"/>
    <w:rsid w:val="00401D05"/>
    <w:rsid w:val="00401FCB"/>
    <w:rsid w:val="0040203A"/>
    <w:rsid w:val="00402B30"/>
    <w:rsid w:val="00402C69"/>
    <w:rsid w:val="0040305F"/>
    <w:rsid w:val="004030CE"/>
    <w:rsid w:val="004034C1"/>
    <w:rsid w:val="004034E5"/>
    <w:rsid w:val="00403504"/>
    <w:rsid w:val="00403633"/>
    <w:rsid w:val="00403812"/>
    <w:rsid w:val="00403959"/>
    <w:rsid w:val="00403B3C"/>
    <w:rsid w:val="00403DE5"/>
    <w:rsid w:val="00404053"/>
    <w:rsid w:val="004046CF"/>
    <w:rsid w:val="00404744"/>
    <w:rsid w:val="004047F2"/>
    <w:rsid w:val="0040483C"/>
    <w:rsid w:val="00404BD5"/>
    <w:rsid w:val="00404F0C"/>
    <w:rsid w:val="00404FF8"/>
    <w:rsid w:val="00405095"/>
    <w:rsid w:val="0040521E"/>
    <w:rsid w:val="00405329"/>
    <w:rsid w:val="00405562"/>
    <w:rsid w:val="004059E0"/>
    <w:rsid w:val="00405C11"/>
    <w:rsid w:val="00406009"/>
    <w:rsid w:val="004065C4"/>
    <w:rsid w:val="004066EE"/>
    <w:rsid w:val="00406765"/>
    <w:rsid w:val="00406B99"/>
    <w:rsid w:val="00406F6F"/>
    <w:rsid w:val="004073A8"/>
    <w:rsid w:val="00407428"/>
    <w:rsid w:val="004074FF"/>
    <w:rsid w:val="004077F4"/>
    <w:rsid w:val="00407840"/>
    <w:rsid w:val="0040796E"/>
    <w:rsid w:val="004079E9"/>
    <w:rsid w:val="0041021F"/>
    <w:rsid w:val="004103F2"/>
    <w:rsid w:val="00410619"/>
    <w:rsid w:val="0041073C"/>
    <w:rsid w:val="004107D2"/>
    <w:rsid w:val="00410AB1"/>
    <w:rsid w:val="004112AE"/>
    <w:rsid w:val="00411903"/>
    <w:rsid w:val="00411CCB"/>
    <w:rsid w:val="00411E7E"/>
    <w:rsid w:val="00411F4F"/>
    <w:rsid w:val="00412042"/>
    <w:rsid w:val="004124B3"/>
    <w:rsid w:val="00412535"/>
    <w:rsid w:val="004126DB"/>
    <w:rsid w:val="00412A7B"/>
    <w:rsid w:val="00412B5E"/>
    <w:rsid w:val="00412C90"/>
    <w:rsid w:val="00412D0B"/>
    <w:rsid w:val="0041303A"/>
    <w:rsid w:val="00413097"/>
    <w:rsid w:val="004134C0"/>
    <w:rsid w:val="00413C08"/>
    <w:rsid w:val="00413FFE"/>
    <w:rsid w:val="00414299"/>
    <w:rsid w:val="004145B4"/>
    <w:rsid w:val="00414967"/>
    <w:rsid w:val="00414B5B"/>
    <w:rsid w:val="00414C19"/>
    <w:rsid w:val="00414CAD"/>
    <w:rsid w:val="004150F4"/>
    <w:rsid w:val="00415563"/>
    <w:rsid w:val="00415BC5"/>
    <w:rsid w:val="00415DB8"/>
    <w:rsid w:val="00415EE3"/>
    <w:rsid w:val="00415F40"/>
    <w:rsid w:val="0041604E"/>
    <w:rsid w:val="004161DD"/>
    <w:rsid w:val="00416341"/>
    <w:rsid w:val="004173EB"/>
    <w:rsid w:val="00417B31"/>
    <w:rsid w:val="0042018B"/>
    <w:rsid w:val="004203E3"/>
    <w:rsid w:val="0042055A"/>
    <w:rsid w:val="00420BD0"/>
    <w:rsid w:val="00420CB0"/>
    <w:rsid w:val="00420F40"/>
    <w:rsid w:val="0042114F"/>
    <w:rsid w:val="00421840"/>
    <w:rsid w:val="00421975"/>
    <w:rsid w:val="00421BB3"/>
    <w:rsid w:val="00421F35"/>
    <w:rsid w:val="0042208B"/>
    <w:rsid w:val="00422404"/>
    <w:rsid w:val="004229AD"/>
    <w:rsid w:val="00422C05"/>
    <w:rsid w:val="0042304A"/>
    <w:rsid w:val="004232DA"/>
    <w:rsid w:val="004238F9"/>
    <w:rsid w:val="00423967"/>
    <w:rsid w:val="00423B8D"/>
    <w:rsid w:val="004240E0"/>
    <w:rsid w:val="00424879"/>
    <w:rsid w:val="00424B6C"/>
    <w:rsid w:val="00424BC8"/>
    <w:rsid w:val="00424C9B"/>
    <w:rsid w:val="00424E78"/>
    <w:rsid w:val="00424F79"/>
    <w:rsid w:val="0042523D"/>
    <w:rsid w:val="0042527E"/>
    <w:rsid w:val="004252FB"/>
    <w:rsid w:val="00425683"/>
    <w:rsid w:val="00425907"/>
    <w:rsid w:val="00425987"/>
    <w:rsid w:val="00425A69"/>
    <w:rsid w:val="00425B72"/>
    <w:rsid w:val="00425E08"/>
    <w:rsid w:val="00425F1B"/>
    <w:rsid w:val="004260FD"/>
    <w:rsid w:val="004266A3"/>
    <w:rsid w:val="004266B1"/>
    <w:rsid w:val="00427260"/>
    <w:rsid w:val="00427696"/>
    <w:rsid w:val="00427865"/>
    <w:rsid w:val="00427876"/>
    <w:rsid w:val="004278E6"/>
    <w:rsid w:val="00427D09"/>
    <w:rsid w:val="00430012"/>
    <w:rsid w:val="004302B7"/>
    <w:rsid w:val="0043054F"/>
    <w:rsid w:val="00430567"/>
    <w:rsid w:val="0043063B"/>
    <w:rsid w:val="004308E5"/>
    <w:rsid w:val="004309E8"/>
    <w:rsid w:val="00430DFD"/>
    <w:rsid w:val="00431096"/>
    <w:rsid w:val="004322D4"/>
    <w:rsid w:val="00432570"/>
    <w:rsid w:val="0043269D"/>
    <w:rsid w:val="00432A76"/>
    <w:rsid w:val="00432F05"/>
    <w:rsid w:val="004330BC"/>
    <w:rsid w:val="00433783"/>
    <w:rsid w:val="0043396B"/>
    <w:rsid w:val="00433AD1"/>
    <w:rsid w:val="00433C0B"/>
    <w:rsid w:val="00434174"/>
    <w:rsid w:val="0043417D"/>
    <w:rsid w:val="00434627"/>
    <w:rsid w:val="0043479C"/>
    <w:rsid w:val="00434A59"/>
    <w:rsid w:val="00434E88"/>
    <w:rsid w:val="00435099"/>
    <w:rsid w:val="004350A2"/>
    <w:rsid w:val="00435101"/>
    <w:rsid w:val="004351AE"/>
    <w:rsid w:val="00435632"/>
    <w:rsid w:val="00435734"/>
    <w:rsid w:val="0043584E"/>
    <w:rsid w:val="004358C5"/>
    <w:rsid w:val="0043594B"/>
    <w:rsid w:val="004359E9"/>
    <w:rsid w:val="00435D10"/>
    <w:rsid w:val="004362BB"/>
    <w:rsid w:val="004368AE"/>
    <w:rsid w:val="004369C6"/>
    <w:rsid w:val="00436CDF"/>
    <w:rsid w:val="00437330"/>
    <w:rsid w:val="004378EC"/>
    <w:rsid w:val="004379D0"/>
    <w:rsid w:val="00440018"/>
    <w:rsid w:val="0044040B"/>
    <w:rsid w:val="00440604"/>
    <w:rsid w:val="00440DFC"/>
    <w:rsid w:val="00440E5B"/>
    <w:rsid w:val="00440FD7"/>
    <w:rsid w:val="0044129B"/>
    <w:rsid w:val="004412D1"/>
    <w:rsid w:val="0044130F"/>
    <w:rsid w:val="00441AFE"/>
    <w:rsid w:val="00441C3C"/>
    <w:rsid w:val="00442386"/>
    <w:rsid w:val="00442B2E"/>
    <w:rsid w:val="00442BD9"/>
    <w:rsid w:val="00442D21"/>
    <w:rsid w:val="00443182"/>
    <w:rsid w:val="004431E9"/>
    <w:rsid w:val="00443287"/>
    <w:rsid w:val="00443392"/>
    <w:rsid w:val="004433C5"/>
    <w:rsid w:val="00443630"/>
    <w:rsid w:val="0044365B"/>
    <w:rsid w:val="0044368D"/>
    <w:rsid w:val="00443ADC"/>
    <w:rsid w:val="004442DD"/>
    <w:rsid w:val="004443AF"/>
    <w:rsid w:val="00444631"/>
    <w:rsid w:val="00444B3D"/>
    <w:rsid w:val="00444C12"/>
    <w:rsid w:val="00444D1D"/>
    <w:rsid w:val="00444E76"/>
    <w:rsid w:val="00444EA8"/>
    <w:rsid w:val="00445089"/>
    <w:rsid w:val="00445144"/>
    <w:rsid w:val="0044536C"/>
    <w:rsid w:val="00445832"/>
    <w:rsid w:val="00445B21"/>
    <w:rsid w:val="00445CC2"/>
    <w:rsid w:val="00445CCE"/>
    <w:rsid w:val="00445E44"/>
    <w:rsid w:val="00446095"/>
    <w:rsid w:val="004460FE"/>
    <w:rsid w:val="0044680C"/>
    <w:rsid w:val="00446A40"/>
    <w:rsid w:val="00446CE8"/>
    <w:rsid w:val="004477EF"/>
    <w:rsid w:val="00447895"/>
    <w:rsid w:val="00447A38"/>
    <w:rsid w:val="00447BCF"/>
    <w:rsid w:val="00450446"/>
    <w:rsid w:val="004504D6"/>
    <w:rsid w:val="004507E5"/>
    <w:rsid w:val="00450AC0"/>
    <w:rsid w:val="00450D71"/>
    <w:rsid w:val="004512E4"/>
    <w:rsid w:val="004516D6"/>
    <w:rsid w:val="004516F2"/>
    <w:rsid w:val="004519F1"/>
    <w:rsid w:val="00451ED2"/>
    <w:rsid w:val="004525C1"/>
    <w:rsid w:val="004526DF"/>
    <w:rsid w:val="00452A17"/>
    <w:rsid w:val="00452C4A"/>
    <w:rsid w:val="00452E1E"/>
    <w:rsid w:val="00452E70"/>
    <w:rsid w:val="00453037"/>
    <w:rsid w:val="00453106"/>
    <w:rsid w:val="00453314"/>
    <w:rsid w:val="0045334B"/>
    <w:rsid w:val="00453A19"/>
    <w:rsid w:val="00453B7D"/>
    <w:rsid w:val="0045437C"/>
    <w:rsid w:val="004543BB"/>
    <w:rsid w:val="00454739"/>
    <w:rsid w:val="00454A14"/>
    <w:rsid w:val="00454A30"/>
    <w:rsid w:val="00454D6E"/>
    <w:rsid w:val="00454F63"/>
    <w:rsid w:val="00454F87"/>
    <w:rsid w:val="0045588B"/>
    <w:rsid w:val="00455F9E"/>
    <w:rsid w:val="004563D6"/>
    <w:rsid w:val="00456654"/>
    <w:rsid w:val="00456C43"/>
    <w:rsid w:val="00456EC9"/>
    <w:rsid w:val="00456EF5"/>
    <w:rsid w:val="004577BF"/>
    <w:rsid w:val="0045781E"/>
    <w:rsid w:val="00457AFC"/>
    <w:rsid w:val="00457CFF"/>
    <w:rsid w:val="004600CC"/>
    <w:rsid w:val="00460494"/>
    <w:rsid w:val="004605BC"/>
    <w:rsid w:val="00460AD1"/>
    <w:rsid w:val="00461003"/>
    <w:rsid w:val="004618B8"/>
    <w:rsid w:val="00461B72"/>
    <w:rsid w:val="00462001"/>
    <w:rsid w:val="00462117"/>
    <w:rsid w:val="00462400"/>
    <w:rsid w:val="004624B9"/>
    <w:rsid w:val="004627BC"/>
    <w:rsid w:val="00462C57"/>
    <w:rsid w:val="00462F8E"/>
    <w:rsid w:val="004630A2"/>
    <w:rsid w:val="00463226"/>
    <w:rsid w:val="004635B5"/>
    <w:rsid w:val="00463769"/>
    <w:rsid w:val="00463BA9"/>
    <w:rsid w:val="00463C42"/>
    <w:rsid w:val="00463F28"/>
    <w:rsid w:val="004643B9"/>
    <w:rsid w:val="0046458A"/>
    <w:rsid w:val="004646EE"/>
    <w:rsid w:val="004648AF"/>
    <w:rsid w:val="004649AB"/>
    <w:rsid w:val="004649B8"/>
    <w:rsid w:val="00464DCD"/>
    <w:rsid w:val="00464DED"/>
    <w:rsid w:val="00464FC4"/>
    <w:rsid w:val="004651D0"/>
    <w:rsid w:val="0046566C"/>
    <w:rsid w:val="0046581F"/>
    <w:rsid w:val="00465877"/>
    <w:rsid w:val="00465A90"/>
    <w:rsid w:val="00465AEB"/>
    <w:rsid w:val="00465CC2"/>
    <w:rsid w:val="00466357"/>
    <w:rsid w:val="004665D2"/>
    <w:rsid w:val="0046689D"/>
    <w:rsid w:val="00466AB7"/>
    <w:rsid w:val="00466B35"/>
    <w:rsid w:val="00466C93"/>
    <w:rsid w:val="00466D14"/>
    <w:rsid w:val="00466DE0"/>
    <w:rsid w:val="00467357"/>
    <w:rsid w:val="00467610"/>
    <w:rsid w:val="004677AB"/>
    <w:rsid w:val="00467906"/>
    <w:rsid w:val="00467B7D"/>
    <w:rsid w:val="00467CFF"/>
    <w:rsid w:val="00467E58"/>
    <w:rsid w:val="00467FAA"/>
    <w:rsid w:val="00467FFC"/>
    <w:rsid w:val="00470031"/>
    <w:rsid w:val="004700AF"/>
    <w:rsid w:val="0047030E"/>
    <w:rsid w:val="0047041D"/>
    <w:rsid w:val="004707D6"/>
    <w:rsid w:val="00470B1D"/>
    <w:rsid w:val="00470D18"/>
    <w:rsid w:val="00470F57"/>
    <w:rsid w:val="0047102C"/>
    <w:rsid w:val="00471068"/>
    <w:rsid w:val="00471161"/>
    <w:rsid w:val="004711CD"/>
    <w:rsid w:val="0047151E"/>
    <w:rsid w:val="00471868"/>
    <w:rsid w:val="00471B16"/>
    <w:rsid w:val="00471B50"/>
    <w:rsid w:val="00471BD5"/>
    <w:rsid w:val="00471C87"/>
    <w:rsid w:val="00472153"/>
    <w:rsid w:val="00472155"/>
    <w:rsid w:val="0047239D"/>
    <w:rsid w:val="0047245C"/>
    <w:rsid w:val="00472465"/>
    <w:rsid w:val="00472807"/>
    <w:rsid w:val="00472866"/>
    <w:rsid w:val="00472A7A"/>
    <w:rsid w:val="00472BB9"/>
    <w:rsid w:val="00472D9E"/>
    <w:rsid w:val="00473214"/>
    <w:rsid w:val="00473405"/>
    <w:rsid w:val="0047349E"/>
    <w:rsid w:val="00473717"/>
    <w:rsid w:val="004738CB"/>
    <w:rsid w:val="004738F7"/>
    <w:rsid w:val="00473935"/>
    <w:rsid w:val="00473A0E"/>
    <w:rsid w:val="00473D60"/>
    <w:rsid w:val="00473EC6"/>
    <w:rsid w:val="00474437"/>
    <w:rsid w:val="0047457D"/>
    <w:rsid w:val="00474709"/>
    <w:rsid w:val="0047475A"/>
    <w:rsid w:val="00474BEC"/>
    <w:rsid w:val="00474E90"/>
    <w:rsid w:val="00474F03"/>
    <w:rsid w:val="00475053"/>
    <w:rsid w:val="004750E2"/>
    <w:rsid w:val="004753C4"/>
    <w:rsid w:val="004753F4"/>
    <w:rsid w:val="00475849"/>
    <w:rsid w:val="0047592B"/>
    <w:rsid w:val="004759EC"/>
    <w:rsid w:val="00475AFC"/>
    <w:rsid w:val="00475D63"/>
    <w:rsid w:val="00475E7A"/>
    <w:rsid w:val="0047635D"/>
    <w:rsid w:val="00476425"/>
    <w:rsid w:val="00476711"/>
    <w:rsid w:val="004767BE"/>
    <w:rsid w:val="0047689B"/>
    <w:rsid w:val="00476AB0"/>
    <w:rsid w:val="00476BB5"/>
    <w:rsid w:val="00477402"/>
    <w:rsid w:val="00477631"/>
    <w:rsid w:val="00477665"/>
    <w:rsid w:val="00477975"/>
    <w:rsid w:val="00477D9B"/>
    <w:rsid w:val="0048001E"/>
    <w:rsid w:val="00480173"/>
    <w:rsid w:val="00480B68"/>
    <w:rsid w:val="00480B72"/>
    <w:rsid w:val="00480E45"/>
    <w:rsid w:val="00480E46"/>
    <w:rsid w:val="00481225"/>
    <w:rsid w:val="0048131F"/>
    <w:rsid w:val="004813B3"/>
    <w:rsid w:val="004814A1"/>
    <w:rsid w:val="004816B2"/>
    <w:rsid w:val="0048198B"/>
    <w:rsid w:val="00481A23"/>
    <w:rsid w:val="00481C46"/>
    <w:rsid w:val="00481F8D"/>
    <w:rsid w:val="00482001"/>
    <w:rsid w:val="00482138"/>
    <w:rsid w:val="004824C5"/>
    <w:rsid w:val="004829E6"/>
    <w:rsid w:val="00482BD5"/>
    <w:rsid w:val="00482BDE"/>
    <w:rsid w:val="00482C59"/>
    <w:rsid w:val="00482CB3"/>
    <w:rsid w:val="00482E4F"/>
    <w:rsid w:val="00483022"/>
    <w:rsid w:val="004830C8"/>
    <w:rsid w:val="004831A9"/>
    <w:rsid w:val="004836B8"/>
    <w:rsid w:val="004838D7"/>
    <w:rsid w:val="00483B40"/>
    <w:rsid w:val="00483C6D"/>
    <w:rsid w:val="00483D75"/>
    <w:rsid w:val="0048412E"/>
    <w:rsid w:val="00484273"/>
    <w:rsid w:val="004847CB"/>
    <w:rsid w:val="00484937"/>
    <w:rsid w:val="00484A58"/>
    <w:rsid w:val="004852F4"/>
    <w:rsid w:val="0048552D"/>
    <w:rsid w:val="004855D7"/>
    <w:rsid w:val="0048585C"/>
    <w:rsid w:val="00485CDE"/>
    <w:rsid w:val="00485D08"/>
    <w:rsid w:val="00485FCD"/>
    <w:rsid w:val="0048641F"/>
    <w:rsid w:val="00486603"/>
    <w:rsid w:val="00486C0B"/>
    <w:rsid w:val="00486CB5"/>
    <w:rsid w:val="00486D4F"/>
    <w:rsid w:val="00486D50"/>
    <w:rsid w:val="00486D7F"/>
    <w:rsid w:val="00486F13"/>
    <w:rsid w:val="00487009"/>
    <w:rsid w:val="00487069"/>
    <w:rsid w:val="004870C9"/>
    <w:rsid w:val="004871B7"/>
    <w:rsid w:val="00487659"/>
    <w:rsid w:val="00487A90"/>
    <w:rsid w:val="00487D7A"/>
    <w:rsid w:val="00487DFF"/>
    <w:rsid w:val="00487F5F"/>
    <w:rsid w:val="00490293"/>
    <w:rsid w:val="004907D3"/>
    <w:rsid w:val="004907F2"/>
    <w:rsid w:val="004909B7"/>
    <w:rsid w:val="00490E8E"/>
    <w:rsid w:val="00491088"/>
    <w:rsid w:val="00491432"/>
    <w:rsid w:val="0049143C"/>
    <w:rsid w:val="00491A0A"/>
    <w:rsid w:val="00491E7D"/>
    <w:rsid w:val="00491FDA"/>
    <w:rsid w:val="0049203F"/>
    <w:rsid w:val="00492284"/>
    <w:rsid w:val="004924A9"/>
    <w:rsid w:val="00492788"/>
    <w:rsid w:val="00492A71"/>
    <w:rsid w:val="00492AA1"/>
    <w:rsid w:val="00492D47"/>
    <w:rsid w:val="00492DA2"/>
    <w:rsid w:val="00492E70"/>
    <w:rsid w:val="00492E75"/>
    <w:rsid w:val="004934CD"/>
    <w:rsid w:val="00493B0F"/>
    <w:rsid w:val="00493B38"/>
    <w:rsid w:val="00493B68"/>
    <w:rsid w:val="00493BA4"/>
    <w:rsid w:val="00493CCF"/>
    <w:rsid w:val="0049439A"/>
    <w:rsid w:val="00494683"/>
    <w:rsid w:val="004949AD"/>
    <w:rsid w:val="00494E20"/>
    <w:rsid w:val="00494F75"/>
    <w:rsid w:val="00495054"/>
    <w:rsid w:val="004951BE"/>
    <w:rsid w:val="0049526A"/>
    <w:rsid w:val="00495557"/>
    <w:rsid w:val="00495658"/>
    <w:rsid w:val="00495748"/>
    <w:rsid w:val="004958A4"/>
    <w:rsid w:val="00495BB5"/>
    <w:rsid w:val="00495C30"/>
    <w:rsid w:val="00495C92"/>
    <w:rsid w:val="00495D27"/>
    <w:rsid w:val="00495D65"/>
    <w:rsid w:val="00495D8E"/>
    <w:rsid w:val="00495E63"/>
    <w:rsid w:val="00495F0C"/>
    <w:rsid w:val="00496031"/>
    <w:rsid w:val="004961B3"/>
    <w:rsid w:val="004961E7"/>
    <w:rsid w:val="0049622B"/>
    <w:rsid w:val="004962EB"/>
    <w:rsid w:val="00496865"/>
    <w:rsid w:val="00497272"/>
    <w:rsid w:val="00497671"/>
    <w:rsid w:val="0049782B"/>
    <w:rsid w:val="00497C2A"/>
    <w:rsid w:val="00497C74"/>
    <w:rsid w:val="00497CAB"/>
    <w:rsid w:val="004A0116"/>
    <w:rsid w:val="004A011E"/>
    <w:rsid w:val="004A03A0"/>
    <w:rsid w:val="004A03D9"/>
    <w:rsid w:val="004A05E1"/>
    <w:rsid w:val="004A07DF"/>
    <w:rsid w:val="004A09C8"/>
    <w:rsid w:val="004A0C18"/>
    <w:rsid w:val="004A108C"/>
    <w:rsid w:val="004A12D0"/>
    <w:rsid w:val="004A13B4"/>
    <w:rsid w:val="004A15F8"/>
    <w:rsid w:val="004A162D"/>
    <w:rsid w:val="004A1826"/>
    <w:rsid w:val="004A1A6D"/>
    <w:rsid w:val="004A1D9F"/>
    <w:rsid w:val="004A1F03"/>
    <w:rsid w:val="004A1FF3"/>
    <w:rsid w:val="004A2079"/>
    <w:rsid w:val="004A21D5"/>
    <w:rsid w:val="004A22D4"/>
    <w:rsid w:val="004A2355"/>
    <w:rsid w:val="004A23F0"/>
    <w:rsid w:val="004A272C"/>
    <w:rsid w:val="004A2805"/>
    <w:rsid w:val="004A2F7C"/>
    <w:rsid w:val="004A3254"/>
    <w:rsid w:val="004A3261"/>
    <w:rsid w:val="004A34F8"/>
    <w:rsid w:val="004A3878"/>
    <w:rsid w:val="004A3E7B"/>
    <w:rsid w:val="004A3FB2"/>
    <w:rsid w:val="004A4356"/>
    <w:rsid w:val="004A4627"/>
    <w:rsid w:val="004A4629"/>
    <w:rsid w:val="004A4774"/>
    <w:rsid w:val="004A4B32"/>
    <w:rsid w:val="004A4CFD"/>
    <w:rsid w:val="004A537E"/>
    <w:rsid w:val="004A545D"/>
    <w:rsid w:val="004A5541"/>
    <w:rsid w:val="004A5660"/>
    <w:rsid w:val="004A5E07"/>
    <w:rsid w:val="004A5F03"/>
    <w:rsid w:val="004A5F07"/>
    <w:rsid w:val="004A6334"/>
    <w:rsid w:val="004A643D"/>
    <w:rsid w:val="004A713E"/>
    <w:rsid w:val="004A72C3"/>
    <w:rsid w:val="004A73E9"/>
    <w:rsid w:val="004A7680"/>
    <w:rsid w:val="004A77AA"/>
    <w:rsid w:val="004A77B4"/>
    <w:rsid w:val="004A79E6"/>
    <w:rsid w:val="004B028E"/>
    <w:rsid w:val="004B038D"/>
    <w:rsid w:val="004B06B6"/>
    <w:rsid w:val="004B08AF"/>
    <w:rsid w:val="004B0A61"/>
    <w:rsid w:val="004B0AEA"/>
    <w:rsid w:val="004B0BD9"/>
    <w:rsid w:val="004B0E7C"/>
    <w:rsid w:val="004B105B"/>
    <w:rsid w:val="004B14A4"/>
    <w:rsid w:val="004B14E1"/>
    <w:rsid w:val="004B15AD"/>
    <w:rsid w:val="004B15F1"/>
    <w:rsid w:val="004B17CB"/>
    <w:rsid w:val="004B1891"/>
    <w:rsid w:val="004B18BE"/>
    <w:rsid w:val="004B203E"/>
    <w:rsid w:val="004B20F7"/>
    <w:rsid w:val="004B22BC"/>
    <w:rsid w:val="004B277F"/>
    <w:rsid w:val="004B28A2"/>
    <w:rsid w:val="004B2BFD"/>
    <w:rsid w:val="004B3091"/>
    <w:rsid w:val="004B33B9"/>
    <w:rsid w:val="004B340E"/>
    <w:rsid w:val="004B3420"/>
    <w:rsid w:val="004B37E4"/>
    <w:rsid w:val="004B399F"/>
    <w:rsid w:val="004B39D5"/>
    <w:rsid w:val="004B39F4"/>
    <w:rsid w:val="004B438E"/>
    <w:rsid w:val="004B440A"/>
    <w:rsid w:val="004B496B"/>
    <w:rsid w:val="004B4A44"/>
    <w:rsid w:val="004B4BEA"/>
    <w:rsid w:val="004B50E8"/>
    <w:rsid w:val="004B5595"/>
    <w:rsid w:val="004B55C8"/>
    <w:rsid w:val="004B5888"/>
    <w:rsid w:val="004B5CC1"/>
    <w:rsid w:val="004B5DB8"/>
    <w:rsid w:val="004B5F0D"/>
    <w:rsid w:val="004B60AC"/>
    <w:rsid w:val="004B612F"/>
    <w:rsid w:val="004B6485"/>
    <w:rsid w:val="004B6618"/>
    <w:rsid w:val="004B6819"/>
    <w:rsid w:val="004B6840"/>
    <w:rsid w:val="004B6B02"/>
    <w:rsid w:val="004B6C88"/>
    <w:rsid w:val="004B6D63"/>
    <w:rsid w:val="004B71A4"/>
    <w:rsid w:val="004C0571"/>
    <w:rsid w:val="004C093C"/>
    <w:rsid w:val="004C0BC9"/>
    <w:rsid w:val="004C0DF1"/>
    <w:rsid w:val="004C0DF8"/>
    <w:rsid w:val="004C0E96"/>
    <w:rsid w:val="004C0EF6"/>
    <w:rsid w:val="004C1479"/>
    <w:rsid w:val="004C14A0"/>
    <w:rsid w:val="004C1697"/>
    <w:rsid w:val="004C1747"/>
    <w:rsid w:val="004C17DD"/>
    <w:rsid w:val="004C1A61"/>
    <w:rsid w:val="004C1D49"/>
    <w:rsid w:val="004C1E97"/>
    <w:rsid w:val="004C2009"/>
    <w:rsid w:val="004C2076"/>
    <w:rsid w:val="004C236F"/>
    <w:rsid w:val="004C243B"/>
    <w:rsid w:val="004C246F"/>
    <w:rsid w:val="004C2683"/>
    <w:rsid w:val="004C26BA"/>
    <w:rsid w:val="004C27DD"/>
    <w:rsid w:val="004C2843"/>
    <w:rsid w:val="004C28D5"/>
    <w:rsid w:val="004C2ECD"/>
    <w:rsid w:val="004C3089"/>
    <w:rsid w:val="004C35D2"/>
    <w:rsid w:val="004C3944"/>
    <w:rsid w:val="004C394D"/>
    <w:rsid w:val="004C39B3"/>
    <w:rsid w:val="004C3B48"/>
    <w:rsid w:val="004C3D8F"/>
    <w:rsid w:val="004C44E0"/>
    <w:rsid w:val="004C44E5"/>
    <w:rsid w:val="004C4550"/>
    <w:rsid w:val="004C4814"/>
    <w:rsid w:val="004C48EC"/>
    <w:rsid w:val="004C4A8E"/>
    <w:rsid w:val="004C4F0A"/>
    <w:rsid w:val="004C4FC4"/>
    <w:rsid w:val="004C50E9"/>
    <w:rsid w:val="004C5230"/>
    <w:rsid w:val="004C53F2"/>
    <w:rsid w:val="004C55A3"/>
    <w:rsid w:val="004C5831"/>
    <w:rsid w:val="004C5D9F"/>
    <w:rsid w:val="004C5E4F"/>
    <w:rsid w:val="004C5E76"/>
    <w:rsid w:val="004C602B"/>
    <w:rsid w:val="004C61E2"/>
    <w:rsid w:val="004C648E"/>
    <w:rsid w:val="004C66F5"/>
    <w:rsid w:val="004C67F9"/>
    <w:rsid w:val="004C6804"/>
    <w:rsid w:val="004C6A3A"/>
    <w:rsid w:val="004C6ADB"/>
    <w:rsid w:val="004C6BE0"/>
    <w:rsid w:val="004C6D24"/>
    <w:rsid w:val="004C7154"/>
    <w:rsid w:val="004C7503"/>
    <w:rsid w:val="004C76F3"/>
    <w:rsid w:val="004C776E"/>
    <w:rsid w:val="004C77D9"/>
    <w:rsid w:val="004C7921"/>
    <w:rsid w:val="004C7F3E"/>
    <w:rsid w:val="004D05F3"/>
    <w:rsid w:val="004D08BF"/>
    <w:rsid w:val="004D0B9F"/>
    <w:rsid w:val="004D0C77"/>
    <w:rsid w:val="004D0DD6"/>
    <w:rsid w:val="004D0FF1"/>
    <w:rsid w:val="004D1027"/>
    <w:rsid w:val="004D12D2"/>
    <w:rsid w:val="004D13B6"/>
    <w:rsid w:val="004D156A"/>
    <w:rsid w:val="004D1B28"/>
    <w:rsid w:val="004D1D5E"/>
    <w:rsid w:val="004D1E00"/>
    <w:rsid w:val="004D1FEF"/>
    <w:rsid w:val="004D238F"/>
    <w:rsid w:val="004D323C"/>
    <w:rsid w:val="004D35C6"/>
    <w:rsid w:val="004D378E"/>
    <w:rsid w:val="004D3797"/>
    <w:rsid w:val="004D3A2C"/>
    <w:rsid w:val="004D3B94"/>
    <w:rsid w:val="004D3BF7"/>
    <w:rsid w:val="004D3FDF"/>
    <w:rsid w:val="004D4312"/>
    <w:rsid w:val="004D4544"/>
    <w:rsid w:val="004D4647"/>
    <w:rsid w:val="004D4C47"/>
    <w:rsid w:val="004D5477"/>
    <w:rsid w:val="004D5745"/>
    <w:rsid w:val="004D593D"/>
    <w:rsid w:val="004D5CD9"/>
    <w:rsid w:val="004D5E82"/>
    <w:rsid w:val="004D5F42"/>
    <w:rsid w:val="004D602D"/>
    <w:rsid w:val="004D6CF4"/>
    <w:rsid w:val="004D6E44"/>
    <w:rsid w:val="004D6EDA"/>
    <w:rsid w:val="004D6F65"/>
    <w:rsid w:val="004D76BF"/>
    <w:rsid w:val="004D771F"/>
    <w:rsid w:val="004D7841"/>
    <w:rsid w:val="004D79AC"/>
    <w:rsid w:val="004D79F3"/>
    <w:rsid w:val="004D7B81"/>
    <w:rsid w:val="004E00C1"/>
    <w:rsid w:val="004E0480"/>
    <w:rsid w:val="004E0734"/>
    <w:rsid w:val="004E07AA"/>
    <w:rsid w:val="004E0DAB"/>
    <w:rsid w:val="004E0E58"/>
    <w:rsid w:val="004E0E80"/>
    <w:rsid w:val="004E0E9C"/>
    <w:rsid w:val="004E1294"/>
    <w:rsid w:val="004E1447"/>
    <w:rsid w:val="004E18DF"/>
    <w:rsid w:val="004E1905"/>
    <w:rsid w:val="004E1992"/>
    <w:rsid w:val="004E1FDF"/>
    <w:rsid w:val="004E2138"/>
    <w:rsid w:val="004E21C6"/>
    <w:rsid w:val="004E22A4"/>
    <w:rsid w:val="004E2672"/>
    <w:rsid w:val="004E2726"/>
    <w:rsid w:val="004E281C"/>
    <w:rsid w:val="004E283A"/>
    <w:rsid w:val="004E2A17"/>
    <w:rsid w:val="004E2ADF"/>
    <w:rsid w:val="004E2CE5"/>
    <w:rsid w:val="004E2E35"/>
    <w:rsid w:val="004E3200"/>
    <w:rsid w:val="004E3415"/>
    <w:rsid w:val="004E3543"/>
    <w:rsid w:val="004E366E"/>
    <w:rsid w:val="004E39FA"/>
    <w:rsid w:val="004E3AE0"/>
    <w:rsid w:val="004E3C70"/>
    <w:rsid w:val="004E3EFB"/>
    <w:rsid w:val="004E4161"/>
    <w:rsid w:val="004E438B"/>
    <w:rsid w:val="004E443C"/>
    <w:rsid w:val="004E451A"/>
    <w:rsid w:val="004E4B90"/>
    <w:rsid w:val="004E4F11"/>
    <w:rsid w:val="004E53E0"/>
    <w:rsid w:val="004E5A51"/>
    <w:rsid w:val="004E5A77"/>
    <w:rsid w:val="004E5AD2"/>
    <w:rsid w:val="004E5C72"/>
    <w:rsid w:val="004E5FFF"/>
    <w:rsid w:val="004E6091"/>
    <w:rsid w:val="004E6617"/>
    <w:rsid w:val="004E6625"/>
    <w:rsid w:val="004E6929"/>
    <w:rsid w:val="004E698C"/>
    <w:rsid w:val="004E6EB9"/>
    <w:rsid w:val="004E74E2"/>
    <w:rsid w:val="004E7CA9"/>
    <w:rsid w:val="004E7CE1"/>
    <w:rsid w:val="004E7D7E"/>
    <w:rsid w:val="004E7FA9"/>
    <w:rsid w:val="004F0057"/>
    <w:rsid w:val="004F0144"/>
    <w:rsid w:val="004F01C3"/>
    <w:rsid w:val="004F01DD"/>
    <w:rsid w:val="004F0776"/>
    <w:rsid w:val="004F0C08"/>
    <w:rsid w:val="004F0D65"/>
    <w:rsid w:val="004F0D81"/>
    <w:rsid w:val="004F10BF"/>
    <w:rsid w:val="004F1AC2"/>
    <w:rsid w:val="004F1FAC"/>
    <w:rsid w:val="004F1FBB"/>
    <w:rsid w:val="004F1FE4"/>
    <w:rsid w:val="004F212A"/>
    <w:rsid w:val="004F217D"/>
    <w:rsid w:val="004F2D15"/>
    <w:rsid w:val="004F3127"/>
    <w:rsid w:val="004F313B"/>
    <w:rsid w:val="004F34D9"/>
    <w:rsid w:val="004F38E8"/>
    <w:rsid w:val="004F3B07"/>
    <w:rsid w:val="004F3B17"/>
    <w:rsid w:val="004F3D83"/>
    <w:rsid w:val="004F3E85"/>
    <w:rsid w:val="004F4071"/>
    <w:rsid w:val="004F41DE"/>
    <w:rsid w:val="004F4638"/>
    <w:rsid w:val="004F4655"/>
    <w:rsid w:val="004F481D"/>
    <w:rsid w:val="004F498B"/>
    <w:rsid w:val="004F4C1A"/>
    <w:rsid w:val="004F514F"/>
    <w:rsid w:val="004F58C9"/>
    <w:rsid w:val="004F5A1A"/>
    <w:rsid w:val="004F5AA1"/>
    <w:rsid w:val="004F5AE3"/>
    <w:rsid w:val="004F5B97"/>
    <w:rsid w:val="004F6187"/>
    <w:rsid w:val="004F68F7"/>
    <w:rsid w:val="004F6C03"/>
    <w:rsid w:val="004F6E44"/>
    <w:rsid w:val="004F7584"/>
    <w:rsid w:val="004F7A0A"/>
    <w:rsid w:val="004F7A2C"/>
    <w:rsid w:val="004F7FEF"/>
    <w:rsid w:val="005001D7"/>
    <w:rsid w:val="00500369"/>
    <w:rsid w:val="00500412"/>
    <w:rsid w:val="00500480"/>
    <w:rsid w:val="005006E9"/>
    <w:rsid w:val="005008E5"/>
    <w:rsid w:val="00500B0C"/>
    <w:rsid w:val="00500DB5"/>
    <w:rsid w:val="00500DDC"/>
    <w:rsid w:val="00501282"/>
    <w:rsid w:val="005013AF"/>
    <w:rsid w:val="0050144E"/>
    <w:rsid w:val="005015B1"/>
    <w:rsid w:val="005016F1"/>
    <w:rsid w:val="00501B32"/>
    <w:rsid w:val="00501CE9"/>
    <w:rsid w:val="00501E42"/>
    <w:rsid w:val="00501E71"/>
    <w:rsid w:val="0050214A"/>
    <w:rsid w:val="00502387"/>
    <w:rsid w:val="00502D0D"/>
    <w:rsid w:val="00502D67"/>
    <w:rsid w:val="00502F22"/>
    <w:rsid w:val="0050310D"/>
    <w:rsid w:val="0050345A"/>
    <w:rsid w:val="005035BF"/>
    <w:rsid w:val="0050397D"/>
    <w:rsid w:val="0050461E"/>
    <w:rsid w:val="005049A3"/>
    <w:rsid w:val="005052B3"/>
    <w:rsid w:val="005055E5"/>
    <w:rsid w:val="005057EA"/>
    <w:rsid w:val="00505A5D"/>
    <w:rsid w:val="00505B38"/>
    <w:rsid w:val="00505D76"/>
    <w:rsid w:val="005062A4"/>
    <w:rsid w:val="0050661D"/>
    <w:rsid w:val="0050681E"/>
    <w:rsid w:val="005069A8"/>
    <w:rsid w:val="00506C13"/>
    <w:rsid w:val="00506CFE"/>
    <w:rsid w:val="00507067"/>
    <w:rsid w:val="00507367"/>
    <w:rsid w:val="00507380"/>
    <w:rsid w:val="005074C9"/>
    <w:rsid w:val="005075AB"/>
    <w:rsid w:val="005078B3"/>
    <w:rsid w:val="00507918"/>
    <w:rsid w:val="00507ABB"/>
    <w:rsid w:val="00507D22"/>
    <w:rsid w:val="00510059"/>
    <w:rsid w:val="0051085D"/>
    <w:rsid w:val="005108B1"/>
    <w:rsid w:val="00510991"/>
    <w:rsid w:val="005109F2"/>
    <w:rsid w:val="00510B8E"/>
    <w:rsid w:val="00510BAA"/>
    <w:rsid w:val="00510E70"/>
    <w:rsid w:val="00510E9B"/>
    <w:rsid w:val="00510F84"/>
    <w:rsid w:val="00510FAF"/>
    <w:rsid w:val="00510FF4"/>
    <w:rsid w:val="0051108C"/>
    <w:rsid w:val="00511288"/>
    <w:rsid w:val="00511343"/>
    <w:rsid w:val="0051152C"/>
    <w:rsid w:val="0051194C"/>
    <w:rsid w:val="00511E58"/>
    <w:rsid w:val="005120EA"/>
    <w:rsid w:val="0051212A"/>
    <w:rsid w:val="00512314"/>
    <w:rsid w:val="005123D3"/>
    <w:rsid w:val="00512A6D"/>
    <w:rsid w:val="00512BA1"/>
    <w:rsid w:val="0051347D"/>
    <w:rsid w:val="0051349F"/>
    <w:rsid w:val="00513851"/>
    <w:rsid w:val="00513877"/>
    <w:rsid w:val="00513BF5"/>
    <w:rsid w:val="00513CF8"/>
    <w:rsid w:val="005140E6"/>
    <w:rsid w:val="0051411E"/>
    <w:rsid w:val="005145C5"/>
    <w:rsid w:val="00514730"/>
    <w:rsid w:val="005147BB"/>
    <w:rsid w:val="005147F4"/>
    <w:rsid w:val="00514A3A"/>
    <w:rsid w:val="00514E17"/>
    <w:rsid w:val="005152C9"/>
    <w:rsid w:val="0051551E"/>
    <w:rsid w:val="0051560D"/>
    <w:rsid w:val="00515737"/>
    <w:rsid w:val="0051587A"/>
    <w:rsid w:val="00516066"/>
    <w:rsid w:val="00516265"/>
    <w:rsid w:val="00516D9F"/>
    <w:rsid w:val="00516E9F"/>
    <w:rsid w:val="00516F49"/>
    <w:rsid w:val="00516FE4"/>
    <w:rsid w:val="00517357"/>
    <w:rsid w:val="005175AE"/>
    <w:rsid w:val="0051783B"/>
    <w:rsid w:val="00517B20"/>
    <w:rsid w:val="00517CB7"/>
    <w:rsid w:val="00520154"/>
    <w:rsid w:val="005202BD"/>
    <w:rsid w:val="005204F4"/>
    <w:rsid w:val="005207FC"/>
    <w:rsid w:val="00520D7C"/>
    <w:rsid w:val="00521034"/>
    <w:rsid w:val="005214ED"/>
    <w:rsid w:val="0052164E"/>
    <w:rsid w:val="0052187E"/>
    <w:rsid w:val="005219B7"/>
    <w:rsid w:val="00521AB9"/>
    <w:rsid w:val="00521ABB"/>
    <w:rsid w:val="0052209B"/>
    <w:rsid w:val="005221B2"/>
    <w:rsid w:val="005223A5"/>
    <w:rsid w:val="0052243A"/>
    <w:rsid w:val="0052299E"/>
    <w:rsid w:val="00522DDE"/>
    <w:rsid w:val="0052304E"/>
    <w:rsid w:val="00523157"/>
    <w:rsid w:val="005233F5"/>
    <w:rsid w:val="0052349A"/>
    <w:rsid w:val="005235CB"/>
    <w:rsid w:val="005236AB"/>
    <w:rsid w:val="005237B8"/>
    <w:rsid w:val="005237BA"/>
    <w:rsid w:val="00523A83"/>
    <w:rsid w:val="00523AEC"/>
    <w:rsid w:val="00523E19"/>
    <w:rsid w:val="00523F25"/>
    <w:rsid w:val="00524136"/>
    <w:rsid w:val="00524150"/>
    <w:rsid w:val="00524370"/>
    <w:rsid w:val="005244C5"/>
    <w:rsid w:val="00524693"/>
    <w:rsid w:val="005246B0"/>
    <w:rsid w:val="0052474E"/>
    <w:rsid w:val="00524C6A"/>
    <w:rsid w:val="00524F60"/>
    <w:rsid w:val="005256E5"/>
    <w:rsid w:val="00525992"/>
    <w:rsid w:val="00525A0D"/>
    <w:rsid w:val="005260C5"/>
    <w:rsid w:val="0052615C"/>
    <w:rsid w:val="00526293"/>
    <w:rsid w:val="0052643B"/>
    <w:rsid w:val="005267DC"/>
    <w:rsid w:val="00526827"/>
    <w:rsid w:val="00526BD8"/>
    <w:rsid w:val="00526CA2"/>
    <w:rsid w:val="00526CA8"/>
    <w:rsid w:val="00526CCF"/>
    <w:rsid w:val="00526D49"/>
    <w:rsid w:val="00526E1F"/>
    <w:rsid w:val="00526EBD"/>
    <w:rsid w:val="005272D7"/>
    <w:rsid w:val="005273F0"/>
    <w:rsid w:val="00527995"/>
    <w:rsid w:val="00527B51"/>
    <w:rsid w:val="00527CA2"/>
    <w:rsid w:val="005300DA"/>
    <w:rsid w:val="00530157"/>
    <w:rsid w:val="00530208"/>
    <w:rsid w:val="00530472"/>
    <w:rsid w:val="005304E0"/>
    <w:rsid w:val="005308E1"/>
    <w:rsid w:val="00530CAC"/>
    <w:rsid w:val="00531062"/>
    <w:rsid w:val="00531595"/>
    <w:rsid w:val="00531B26"/>
    <w:rsid w:val="0053232E"/>
    <w:rsid w:val="005323F1"/>
    <w:rsid w:val="005328B7"/>
    <w:rsid w:val="00532B79"/>
    <w:rsid w:val="00532BDF"/>
    <w:rsid w:val="00532D8A"/>
    <w:rsid w:val="005332CE"/>
    <w:rsid w:val="00533353"/>
    <w:rsid w:val="005337E4"/>
    <w:rsid w:val="00533922"/>
    <w:rsid w:val="00533E9B"/>
    <w:rsid w:val="00533FA2"/>
    <w:rsid w:val="00533FA7"/>
    <w:rsid w:val="00533FDB"/>
    <w:rsid w:val="00534343"/>
    <w:rsid w:val="00534644"/>
    <w:rsid w:val="00534757"/>
    <w:rsid w:val="00535205"/>
    <w:rsid w:val="00535232"/>
    <w:rsid w:val="00535388"/>
    <w:rsid w:val="005358B3"/>
    <w:rsid w:val="00535B25"/>
    <w:rsid w:val="00535C32"/>
    <w:rsid w:val="00536069"/>
    <w:rsid w:val="0053639C"/>
    <w:rsid w:val="005365AA"/>
    <w:rsid w:val="00536692"/>
    <w:rsid w:val="00536975"/>
    <w:rsid w:val="0053698E"/>
    <w:rsid w:val="00536B68"/>
    <w:rsid w:val="00536B76"/>
    <w:rsid w:val="00536D4D"/>
    <w:rsid w:val="00537035"/>
    <w:rsid w:val="0053779B"/>
    <w:rsid w:val="00537854"/>
    <w:rsid w:val="005378AA"/>
    <w:rsid w:val="00537C42"/>
    <w:rsid w:val="00537C61"/>
    <w:rsid w:val="00537CF6"/>
    <w:rsid w:val="00537D43"/>
    <w:rsid w:val="00537E7F"/>
    <w:rsid w:val="005400BC"/>
    <w:rsid w:val="00540304"/>
    <w:rsid w:val="00540437"/>
    <w:rsid w:val="00540AF1"/>
    <w:rsid w:val="00540D35"/>
    <w:rsid w:val="00540F30"/>
    <w:rsid w:val="00540F4B"/>
    <w:rsid w:val="0054144C"/>
    <w:rsid w:val="00541B3F"/>
    <w:rsid w:val="00541CB8"/>
    <w:rsid w:val="005427AE"/>
    <w:rsid w:val="005427D7"/>
    <w:rsid w:val="005428BB"/>
    <w:rsid w:val="00542B93"/>
    <w:rsid w:val="00543466"/>
    <w:rsid w:val="00543717"/>
    <w:rsid w:val="00543A8D"/>
    <w:rsid w:val="00543B2D"/>
    <w:rsid w:val="00543F46"/>
    <w:rsid w:val="00543F92"/>
    <w:rsid w:val="00544082"/>
    <w:rsid w:val="00544918"/>
    <w:rsid w:val="00544928"/>
    <w:rsid w:val="0054498D"/>
    <w:rsid w:val="00544B77"/>
    <w:rsid w:val="00544E23"/>
    <w:rsid w:val="00545062"/>
    <w:rsid w:val="0054534A"/>
    <w:rsid w:val="0054540D"/>
    <w:rsid w:val="005459D3"/>
    <w:rsid w:val="00545C38"/>
    <w:rsid w:val="00545D61"/>
    <w:rsid w:val="00545E50"/>
    <w:rsid w:val="00545F99"/>
    <w:rsid w:val="005462CB"/>
    <w:rsid w:val="00546375"/>
    <w:rsid w:val="0054653E"/>
    <w:rsid w:val="00546B02"/>
    <w:rsid w:val="00546D0E"/>
    <w:rsid w:val="00546D78"/>
    <w:rsid w:val="0054707A"/>
    <w:rsid w:val="005473EA"/>
    <w:rsid w:val="005475E1"/>
    <w:rsid w:val="0054763F"/>
    <w:rsid w:val="00547841"/>
    <w:rsid w:val="00547A50"/>
    <w:rsid w:val="00547DF0"/>
    <w:rsid w:val="00547F6E"/>
    <w:rsid w:val="005501E1"/>
    <w:rsid w:val="0055043E"/>
    <w:rsid w:val="0055050E"/>
    <w:rsid w:val="005508DC"/>
    <w:rsid w:val="00550BFF"/>
    <w:rsid w:val="00550CF4"/>
    <w:rsid w:val="00550F07"/>
    <w:rsid w:val="00550FC4"/>
    <w:rsid w:val="00551288"/>
    <w:rsid w:val="005513E0"/>
    <w:rsid w:val="005514EE"/>
    <w:rsid w:val="005516B2"/>
    <w:rsid w:val="0055194B"/>
    <w:rsid w:val="00551A60"/>
    <w:rsid w:val="00551B63"/>
    <w:rsid w:val="00551EB0"/>
    <w:rsid w:val="00551FED"/>
    <w:rsid w:val="00552C21"/>
    <w:rsid w:val="00552DB9"/>
    <w:rsid w:val="00553081"/>
    <w:rsid w:val="005535AA"/>
    <w:rsid w:val="0055362B"/>
    <w:rsid w:val="005536A7"/>
    <w:rsid w:val="005537A2"/>
    <w:rsid w:val="00553DAD"/>
    <w:rsid w:val="00554683"/>
    <w:rsid w:val="00554758"/>
    <w:rsid w:val="00554ACD"/>
    <w:rsid w:val="00554C20"/>
    <w:rsid w:val="00554D72"/>
    <w:rsid w:val="00554DAD"/>
    <w:rsid w:val="00554FA2"/>
    <w:rsid w:val="005550E6"/>
    <w:rsid w:val="0055520C"/>
    <w:rsid w:val="005554BC"/>
    <w:rsid w:val="005558D9"/>
    <w:rsid w:val="00555B72"/>
    <w:rsid w:val="00555BD7"/>
    <w:rsid w:val="00555CF6"/>
    <w:rsid w:val="00556361"/>
    <w:rsid w:val="005564B8"/>
    <w:rsid w:val="005569FC"/>
    <w:rsid w:val="00556A21"/>
    <w:rsid w:val="00556E35"/>
    <w:rsid w:val="00556F11"/>
    <w:rsid w:val="00556FD5"/>
    <w:rsid w:val="00557019"/>
    <w:rsid w:val="005570F7"/>
    <w:rsid w:val="0055711F"/>
    <w:rsid w:val="00557270"/>
    <w:rsid w:val="00557359"/>
    <w:rsid w:val="00557827"/>
    <w:rsid w:val="00557B9E"/>
    <w:rsid w:val="00557DE4"/>
    <w:rsid w:val="00557F82"/>
    <w:rsid w:val="00560102"/>
    <w:rsid w:val="005606DA"/>
    <w:rsid w:val="005609D2"/>
    <w:rsid w:val="00560A3D"/>
    <w:rsid w:val="005610A0"/>
    <w:rsid w:val="005612D0"/>
    <w:rsid w:val="00561631"/>
    <w:rsid w:val="0056185C"/>
    <w:rsid w:val="00561E6D"/>
    <w:rsid w:val="00561F9C"/>
    <w:rsid w:val="00561FED"/>
    <w:rsid w:val="005621A6"/>
    <w:rsid w:val="005622AC"/>
    <w:rsid w:val="005623E8"/>
    <w:rsid w:val="005625F4"/>
    <w:rsid w:val="005626BF"/>
    <w:rsid w:val="005629B1"/>
    <w:rsid w:val="00562BBA"/>
    <w:rsid w:val="0056371A"/>
    <w:rsid w:val="00563955"/>
    <w:rsid w:val="005639FD"/>
    <w:rsid w:val="00563B74"/>
    <w:rsid w:val="00563D08"/>
    <w:rsid w:val="00563DFF"/>
    <w:rsid w:val="00563E54"/>
    <w:rsid w:val="00563F16"/>
    <w:rsid w:val="00563F47"/>
    <w:rsid w:val="00563F55"/>
    <w:rsid w:val="00564021"/>
    <w:rsid w:val="0056431B"/>
    <w:rsid w:val="005643B1"/>
    <w:rsid w:val="005647DB"/>
    <w:rsid w:val="005648E4"/>
    <w:rsid w:val="00564B70"/>
    <w:rsid w:val="00565272"/>
    <w:rsid w:val="00565921"/>
    <w:rsid w:val="00565D02"/>
    <w:rsid w:val="00565F56"/>
    <w:rsid w:val="0056637F"/>
    <w:rsid w:val="00566394"/>
    <w:rsid w:val="00566803"/>
    <w:rsid w:val="005668BB"/>
    <w:rsid w:val="0056697E"/>
    <w:rsid w:val="00566AB4"/>
    <w:rsid w:val="00566CD4"/>
    <w:rsid w:val="005670DA"/>
    <w:rsid w:val="0056743F"/>
    <w:rsid w:val="005675E9"/>
    <w:rsid w:val="0056777A"/>
    <w:rsid w:val="00567783"/>
    <w:rsid w:val="00567877"/>
    <w:rsid w:val="00567949"/>
    <w:rsid w:val="00567C85"/>
    <w:rsid w:val="00567E2F"/>
    <w:rsid w:val="00567FC5"/>
    <w:rsid w:val="00570010"/>
    <w:rsid w:val="00570129"/>
    <w:rsid w:val="00570147"/>
    <w:rsid w:val="005704F0"/>
    <w:rsid w:val="00570623"/>
    <w:rsid w:val="00570AEF"/>
    <w:rsid w:val="00570F91"/>
    <w:rsid w:val="005712A4"/>
    <w:rsid w:val="005718A8"/>
    <w:rsid w:val="00571942"/>
    <w:rsid w:val="00571B5A"/>
    <w:rsid w:val="00571B64"/>
    <w:rsid w:val="005721A4"/>
    <w:rsid w:val="00572203"/>
    <w:rsid w:val="005722BC"/>
    <w:rsid w:val="005723B6"/>
    <w:rsid w:val="005723BB"/>
    <w:rsid w:val="0057289B"/>
    <w:rsid w:val="005731E9"/>
    <w:rsid w:val="00573302"/>
    <w:rsid w:val="00573647"/>
    <w:rsid w:val="00573903"/>
    <w:rsid w:val="005739D7"/>
    <w:rsid w:val="00573B1A"/>
    <w:rsid w:val="00573D33"/>
    <w:rsid w:val="00573DC5"/>
    <w:rsid w:val="00574223"/>
    <w:rsid w:val="00574D66"/>
    <w:rsid w:val="00574E2E"/>
    <w:rsid w:val="00575284"/>
    <w:rsid w:val="0057546D"/>
    <w:rsid w:val="0057554A"/>
    <w:rsid w:val="00575822"/>
    <w:rsid w:val="00575E87"/>
    <w:rsid w:val="0057604C"/>
    <w:rsid w:val="00576147"/>
    <w:rsid w:val="00576436"/>
    <w:rsid w:val="00576564"/>
    <w:rsid w:val="005767C0"/>
    <w:rsid w:val="00576DD5"/>
    <w:rsid w:val="00576E83"/>
    <w:rsid w:val="00576EAA"/>
    <w:rsid w:val="00576FFD"/>
    <w:rsid w:val="005773DC"/>
    <w:rsid w:val="00577618"/>
    <w:rsid w:val="005776CB"/>
    <w:rsid w:val="00577812"/>
    <w:rsid w:val="005779D6"/>
    <w:rsid w:val="00577DE7"/>
    <w:rsid w:val="0058007E"/>
    <w:rsid w:val="0058019F"/>
    <w:rsid w:val="00580408"/>
    <w:rsid w:val="00580664"/>
    <w:rsid w:val="00580CCE"/>
    <w:rsid w:val="005814E6"/>
    <w:rsid w:val="0058172C"/>
    <w:rsid w:val="00581958"/>
    <w:rsid w:val="00581A42"/>
    <w:rsid w:val="00581C03"/>
    <w:rsid w:val="00581D7D"/>
    <w:rsid w:val="005821CC"/>
    <w:rsid w:val="00582D68"/>
    <w:rsid w:val="00582E7D"/>
    <w:rsid w:val="00582E8D"/>
    <w:rsid w:val="005833D3"/>
    <w:rsid w:val="00583944"/>
    <w:rsid w:val="00583E5F"/>
    <w:rsid w:val="00584205"/>
    <w:rsid w:val="00584757"/>
    <w:rsid w:val="00584BFE"/>
    <w:rsid w:val="00584D23"/>
    <w:rsid w:val="00584EC4"/>
    <w:rsid w:val="00585172"/>
    <w:rsid w:val="00585537"/>
    <w:rsid w:val="005855E7"/>
    <w:rsid w:val="00585692"/>
    <w:rsid w:val="00585CF3"/>
    <w:rsid w:val="00585F57"/>
    <w:rsid w:val="00586025"/>
    <w:rsid w:val="005860DE"/>
    <w:rsid w:val="00586302"/>
    <w:rsid w:val="005864D9"/>
    <w:rsid w:val="0058654F"/>
    <w:rsid w:val="0058662C"/>
    <w:rsid w:val="0058693D"/>
    <w:rsid w:val="00586ACB"/>
    <w:rsid w:val="00586CF9"/>
    <w:rsid w:val="00586E61"/>
    <w:rsid w:val="00586F26"/>
    <w:rsid w:val="00587122"/>
    <w:rsid w:val="00587E8E"/>
    <w:rsid w:val="00590248"/>
    <w:rsid w:val="005903FA"/>
    <w:rsid w:val="0059077C"/>
    <w:rsid w:val="00590885"/>
    <w:rsid w:val="00591000"/>
    <w:rsid w:val="0059119C"/>
    <w:rsid w:val="005911E2"/>
    <w:rsid w:val="005916D5"/>
    <w:rsid w:val="005918AF"/>
    <w:rsid w:val="00591940"/>
    <w:rsid w:val="00591C6E"/>
    <w:rsid w:val="00591CC1"/>
    <w:rsid w:val="00591EF0"/>
    <w:rsid w:val="005926E2"/>
    <w:rsid w:val="00592AA8"/>
    <w:rsid w:val="005931F5"/>
    <w:rsid w:val="00593202"/>
    <w:rsid w:val="0059340C"/>
    <w:rsid w:val="00593546"/>
    <w:rsid w:val="00593DE3"/>
    <w:rsid w:val="005940A3"/>
    <w:rsid w:val="00594376"/>
    <w:rsid w:val="00594451"/>
    <w:rsid w:val="0059465D"/>
    <w:rsid w:val="005949B6"/>
    <w:rsid w:val="00594A07"/>
    <w:rsid w:val="00594A50"/>
    <w:rsid w:val="005951D7"/>
    <w:rsid w:val="0059526A"/>
    <w:rsid w:val="005958A4"/>
    <w:rsid w:val="005958A8"/>
    <w:rsid w:val="00595993"/>
    <w:rsid w:val="00595CF0"/>
    <w:rsid w:val="00595ECA"/>
    <w:rsid w:val="0059622C"/>
    <w:rsid w:val="0059629E"/>
    <w:rsid w:val="005967D4"/>
    <w:rsid w:val="0059681A"/>
    <w:rsid w:val="00596B26"/>
    <w:rsid w:val="00596B65"/>
    <w:rsid w:val="00596CA5"/>
    <w:rsid w:val="00596DEF"/>
    <w:rsid w:val="00597096"/>
    <w:rsid w:val="0059734D"/>
    <w:rsid w:val="00597394"/>
    <w:rsid w:val="0059741D"/>
    <w:rsid w:val="0059783C"/>
    <w:rsid w:val="00597C14"/>
    <w:rsid w:val="005A03EA"/>
    <w:rsid w:val="005A05F8"/>
    <w:rsid w:val="005A0983"/>
    <w:rsid w:val="005A0C46"/>
    <w:rsid w:val="005A0D27"/>
    <w:rsid w:val="005A127B"/>
    <w:rsid w:val="005A12CE"/>
    <w:rsid w:val="005A14C5"/>
    <w:rsid w:val="005A16D2"/>
    <w:rsid w:val="005A19A2"/>
    <w:rsid w:val="005A19B3"/>
    <w:rsid w:val="005A1B49"/>
    <w:rsid w:val="005A1BD4"/>
    <w:rsid w:val="005A214D"/>
    <w:rsid w:val="005A2383"/>
    <w:rsid w:val="005A2C93"/>
    <w:rsid w:val="005A2D82"/>
    <w:rsid w:val="005A2DFD"/>
    <w:rsid w:val="005A2E96"/>
    <w:rsid w:val="005A3447"/>
    <w:rsid w:val="005A3602"/>
    <w:rsid w:val="005A36B6"/>
    <w:rsid w:val="005A3DA1"/>
    <w:rsid w:val="005A4315"/>
    <w:rsid w:val="005A4487"/>
    <w:rsid w:val="005A4977"/>
    <w:rsid w:val="005A4A3A"/>
    <w:rsid w:val="005A4ECB"/>
    <w:rsid w:val="005A5135"/>
    <w:rsid w:val="005A54D4"/>
    <w:rsid w:val="005A5B14"/>
    <w:rsid w:val="005A5BDE"/>
    <w:rsid w:val="005A602F"/>
    <w:rsid w:val="005A60E0"/>
    <w:rsid w:val="005A633C"/>
    <w:rsid w:val="005A6E15"/>
    <w:rsid w:val="005A6EFE"/>
    <w:rsid w:val="005A7074"/>
    <w:rsid w:val="005A7121"/>
    <w:rsid w:val="005A71D1"/>
    <w:rsid w:val="005A7276"/>
    <w:rsid w:val="005A74F7"/>
    <w:rsid w:val="005A756C"/>
    <w:rsid w:val="005A7869"/>
    <w:rsid w:val="005A7895"/>
    <w:rsid w:val="005A7B3C"/>
    <w:rsid w:val="005B0135"/>
    <w:rsid w:val="005B0157"/>
    <w:rsid w:val="005B045A"/>
    <w:rsid w:val="005B08D3"/>
    <w:rsid w:val="005B0963"/>
    <w:rsid w:val="005B0BE8"/>
    <w:rsid w:val="005B0C83"/>
    <w:rsid w:val="005B10C2"/>
    <w:rsid w:val="005B1338"/>
    <w:rsid w:val="005B141E"/>
    <w:rsid w:val="005B18B3"/>
    <w:rsid w:val="005B1AB3"/>
    <w:rsid w:val="005B1F12"/>
    <w:rsid w:val="005B20C7"/>
    <w:rsid w:val="005B215A"/>
    <w:rsid w:val="005B25EC"/>
    <w:rsid w:val="005B2820"/>
    <w:rsid w:val="005B2CBF"/>
    <w:rsid w:val="005B2DD6"/>
    <w:rsid w:val="005B31C8"/>
    <w:rsid w:val="005B3204"/>
    <w:rsid w:val="005B363A"/>
    <w:rsid w:val="005B466D"/>
    <w:rsid w:val="005B4BB9"/>
    <w:rsid w:val="005B4EE9"/>
    <w:rsid w:val="005B4F48"/>
    <w:rsid w:val="005B5615"/>
    <w:rsid w:val="005B56F3"/>
    <w:rsid w:val="005B5751"/>
    <w:rsid w:val="005B57A5"/>
    <w:rsid w:val="005B5CB2"/>
    <w:rsid w:val="005B60C7"/>
    <w:rsid w:val="005B60D6"/>
    <w:rsid w:val="005B636A"/>
    <w:rsid w:val="005B640F"/>
    <w:rsid w:val="005B6763"/>
    <w:rsid w:val="005B69F0"/>
    <w:rsid w:val="005B6A18"/>
    <w:rsid w:val="005B7207"/>
    <w:rsid w:val="005B780A"/>
    <w:rsid w:val="005B7913"/>
    <w:rsid w:val="005B7E45"/>
    <w:rsid w:val="005B7F65"/>
    <w:rsid w:val="005C0039"/>
    <w:rsid w:val="005C0448"/>
    <w:rsid w:val="005C0981"/>
    <w:rsid w:val="005C098F"/>
    <w:rsid w:val="005C0A8D"/>
    <w:rsid w:val="005C0BF7"/>
    <w:rsid w:val="005C0BFD"/>
    <w:rsid w:val="005C1201"/>
    <w:rsid w:val="005C131D"/>
    <w:rsid w:val="005C1634"/>
    <w:rsid w:val="005C1AC5"/>
    <w:rsid w:val="005C1B7D"/>
    <w:rsid w:val="005C2352"/>
    <w:rsid w:val="005C28BB"/>
    <w:rsid w:val="005C2956"/>
    <w:rsid w:val="005C2DD4"/>
    <w:rsid w:val="005C2E02"/>
    <w:rsid w:val="005C2E7C"/>
    <w:rsid w:val="005C2F04"/>
    <w:rsid w:val="005C3288"/>
    <w:rsid w:val="005C389C"/>
    <w:rsid w:val="005C3A23"/>
    <w:rsid w:val="005C3B0C"/>
    <w:rsid w:val="005C3BF3"/>
    <w:rsid w:val="005C3CFC"/>
    <w:rsid w:val="005C3E80"/>
    <w:rsid w:val="005C407B"/>
    <w:rsid w:val="005C4284"/>
    <w:rsid w:val="005C43E2"/>
    <w:rsid w:val="005C469E"/>
    <w:rsid w:val="005C4877"/>
    <w:rsid w:val="005C4892"/>
    <w:rsid w:val="005C4922"/>
    <w:rsid w:val="005C4EAA"/>
    <w:rsid w:val="005C5095"/>
    <w:rsid w:val="005C53DD"/>
    <w:rsid w:val="005C5A7E"/>
    <w:rsid w:val="005C5B7B"/>
    <w:rsid w:val="005C5BE0"/>
    <w:rsid w:val="005C5DF6"/>
    <w:rsid w:val="005C5EE0"/>
    <w:rsid w:val="005C6425"/>
    <w:rsid w:val="005C65AB"/>
    <w:rsid w:val="005C684A"/>
    <w:rsid w:val="005C69BE"/>
    <w:rsid w:val="005C6A03"/>
    <w:rsid w:val="005C6ADA"/>
    <w:rsid w:val="005C6C3D"/>
    <w:rsid w:val="005C6DDF"/>
    <w:rsid w:val="005C71A6"/>
    <w:rsid w:val="005C71EA"/>
    <w:rsid w:val="005C730E"/>
    <w:rsid w:val="005C74DA"/>
    <w:rsid w:val="005C78FE"/>
    <w:rsid w:val="005C7BF3"/>
    <w:rsid w:val="005C7DFF"/>
    <w:rsid w:val="005D0215"/>
    <w:rsid w:val="005D027C"/>
    <w:rsid w:val="005D077F"/>
    <w:rsid w:val="005D07C9"/>
    <w:rsid w:val="005D10A9"/>
    <w:rsid w:val="005D1144"/>
    <w:rsid w:val="005D19AC"/>
    <w:rsid w:val="005D1C5B"/>
    <w:rsid w:val="005D1EF4"/>
    <w:rsid w:val="005D2072"/>
    <w:rsid w:val="005D221A"/>
    <w:rsid w:val="005D2333"/>
    <w:rsid w:val="005D234F"/>
    <w:rsid w:val="005D24AF"/>
    <w:rsid w:val="005D289E"/>
    <w:rsid w:val="005D297B"/>
    <w:rsid w:val="005D2A4F"/>
    <w:rsid w:val="005D2A97"/>
    <w:rsid w:val="005D2F3A"/>
    <w:rsid w:val="005D3430"/>
    <w:rsid w:val="005D360C"/>
    <w:rsid w:val="005D36CE"/>
    <w:rsid w:val="005D39EF"/>
    <w:rsid w:val="005D3B50"/>
    <w:rsid w:val="005D3E72"/>
    <w:rsid w:val="005D4028"/>
    <w:rsid w:val="005D4565"/>
    <w:rsid w:val="005D4997"/>
    <w:rsid w:val="005D51F0"/>
    <w:rsid w:val="005D5298"/>
    <w:rsid w:val="005D52A1"/>
    <w:rsid w:val="005D532B"/>
    <w:rsid w:val="005D5392"/>
    <w:rsid w:val="005D54EF"/>
    <w:rsid w:val="005D5533"/>
    <w:rsid w:val="005D55A7"/>
    <w:rsid w:val="005D55D2"/>
    <w:rsid w:val="005D56BC"/>
    <w:rsid w:val="005D5C1F"/>
    <w:rsid w:val="005D603E"/>
    <w:rsid w:val="005D60C9"/>
    <w:rsid w:val="005D613F"/>
    <w:rsid w:val="005D6198"/>
    <w:rsid w:val="005D660C"/>
    <w:rsid w:val="005D678B"/>
    <w:rsid w:val="005D6C8E"/>
    <w:rsid w:val="005D73A6"/>
    <w:rsid w:val="005D7574"/>
    <w:rsid w:val="005D77C7"/>
    <w:rsid w:val="005D790D"/>
    <w:rsid w:val="005D7951"/>
    <w:rsid w:val="005E018B"/>
    <w:rsid w:val="005E0660"/>
    <w:rsid w:val="005E0815"/>
    <w:rsid w:val="005E0A1F"/>
    <w:rsid w:val="005E0D4F"/>
    <w:rsid w:val="005E0E6C"/>
    <w:rsid w:val="005E1480"/>
    <w:rsid w:val="005E1512"/>
    <w:rsid w:val="005E15E3"/>
    <w:rsid w:val="005E1A55"/>
    <w:rsid w:val="005E1E55"/>
    <w:rsid w:val="005E2005"/>
    <w:rsid w:val="005E224F"/>
    <w:rsid w:val="005E2460"/>
    <w:rsid w:val="005E262C"/>
    <w:rsid w:val="005E2A6D"/>
    <w:rsid w:val="005E2B22"/>
    <w:rsid w:val="005E2C61"/>
    <w:rsid w:val="005E2CA4"/>
    <w:rsid w:val="005E3046"/>
    <w:rsid w:val="005E3510"/>
    <w:rsid w:val="005E36D6"/>
    <w:rsid w:val="005E38C2"/>
    <w:rsid w:val="005E3967"/>
    <w:rsid w:val="005E3A70"/>
    <w:rsid w:val="005E3D05"/>
    <w:rsid w:val="005E3E22"/>
    <w:rsid w:val="005E3F5B"/>
    <w:rsid w:val="005E443D"/>
    <w:rsid w:val="005E449A"/>
    <w:rsid w:val="005E45FB"/>
    <w:rsid w:val="005E4723"/>
    <w:rsid w:val="005E4E46"/>
    <w:rsid w:val="005E50AA"/>
    <w:rsid w:val="005E51EC"/>
    <w:rsid w:val="005E521A"/>
    <w:rsid w:val="005E526A"/>
    <w:rsid w:val="005E5311"/>
    <w:rsid w:val="005E571B"/>
    <w:rsid w:val="005E5771"/>
    <w:rsid w:val="005E5A02"/>
    <w:rsid w:val="005E5B7D"/>
    <w:rsid w:val="005E6317"/>
    <w:rsid w:val="005E636F"/>
    <w:rsid w:val="005E6F07"/>
    <w:rsid w:val="005E74B4"/>
    <w:rsid w:val="005E79D7"/>
    <w:rsid w:val="005E7E6E"/>
    <w:rsid w:val="005E7E8D"/>
    <w:rsid w:val="005F006A"/>
    <w:rsid w:val="005F00E1"/>
    <w:rsid w:val="005F00FC"/>
    <w:rsid w:val="005F0231"/>
    <w:rsid w:val="005F02B2"/>
    <w:rsid w:val="005F0691"/>
    <w:rsid w:val="005F09F5"/>
    <w:rsid w:val="005F0A4B"/>
    <w:rsid w:val="005F0A74"/>
    <w:rsid w:val="005F0BF7"/>
    <w:rsid w:val="005F1311"/>
    <w:rsid w:val="005F14F7"/>
    <w:rsid w:val="005F1558"/>
    <w:rsid w:val="005F188D"/>
    <w:rsid w:val="005F1D8D"/>
    <w:rsid w:val="005F21C9"/>
    <w:rsid w:val="005F247D"/>
    <w:rsid w:val="005F26B1"/>
    <w:rsid w:val="005F2EF6"/>
    <w:rsid w:val="005F30BF"/>
    <w:rsid w:val="005F372C"/>
    <w:rsid w:val="005F3739"/>
    <w:rsid w:val="005F3E71"/>
    <w:rsid w:val="005F3FB8"/>
    <w:rsid w:val="005F4312"/>
    <w:rsid w:val="005F4523"/>
    <w:rsid w:val="005F4788"/>
    <w:rsid w:val="005F4856"/>
    <w:rsid w:val="005F4B69"/>
    <w:rsid w:val="005F4EA7"/>
    <w:rsid w:val="005F502B"/>
    <w:rsid w:val="005F5040"/>
    <w:rsid w:val="005F51F2"/>
    <w:rsid w:val="005F520D"/>
    <w:rsid w:val="005F54FF"/>
    <w:rsid w:val="005F56AE"/>
    <w:rsid w:val="005F5978"/>
    <w:rsid w:val="005F5CB9"/>
    <w:rsid w:val="005F5E35"/>
    <w:rsid w:val="005F61FC"/>
    <w:rsid w:val="005F6447"/>
    <w:rsid w:val="005F64CD"/>
    <w:rsid w:val="005F653A"/>
    <w:rsid w:val="005F6615"/>
    <w:rsid w:val="005F68A0"/>
    <w:rsid w:val="005F69B7"/>
    <w:rsid w:val="005F6AC0"/>
    <w:rsid w:val="005F6D52"/>
    <w:rsid w:val="005F73C6"/>
    <w:rsid w:val="005F7421"/>
    <w:rsid w:val="005F7DB6"/>
    <w:rsid w:val="005F7E7B"/>
    <w:rsid w:val="0060026E"/>
    <w:rsid w:val="00600389"/>
    <w:rsid w:val="0060043C"/>
    <w:rsid w:val="00600815"/>
    <w:rsid w:val="006009AC"/>
    <w:rsid w:val="006009F3"/>
    <w:rsid w:val="00600E99"/>
    <w:rsid w:val="006011BA"/>
    <w:rsid w:val="0060144C"/>
    <w:rsid w:val="00601957"/>
    <w:rsid w:val="00602081"/>
    <w:rsid w:val="00602180"/>
    <w:rsid w:val="00602383"/>
    <w:rsid w:val="006023DB"/>
    <w:rsid w:val="006026AC"/>
    <w:rsid w:val="006026E6"/>
    <w:rsid w:val="00602987"/>
    <w:rsid w:val="00602BEF"/>
    <w:rsid w:val="00602E57"/>
    <w:rsid w:val="00603012"/>
    <w:rsid w:val="006030BB"/>
    <w:rsid w:val="006030BD"/>
    <w:rsid w:val="00603808"/>
    <w:rsid w:val="00603C02"/>
    <w:rsid w:val="00603C48"/>
    <w:rsid w:val="006047B1"/>
    <w:rsid w:val="006047D4"/>
    <w:rsid w:val="00604B5E"/>
    <w:rsid w:val="00604C70"/>
    <w:rsid w:val="00604DE8"/>
    <w:rsid w:val="006051F3"/>
    <w:rsid w:val="00605261"/>
    <w:rsid w:val="0060548A"/>
    <w:rsid w:val="006054D2"/>
    <w:rsid w:val="006055B8"/>
    <w:rsid w:val="0060563D"/>
    <w:rsid w:val="00605BE0"/>
    <w:rsid w:val="00605BE6"/>
    <w:rsid w:val="00605FAA"/>
    <w:rsid w:val="006064F1"/>
    <w:rsid w:val="00606608"/>
    <w:rsid w:val="0060683B"/>
    <w:rsid w:val="00606BA1"/>
    <w:rsid w:val="00606C4D"/>
    <w:rsid w:val="00606D98"/>
    <w:rsid w:val="00606FA7"/>
    <w:rsid w:val="0060719F"/>
    <w:rsid w:val="0060722B"/>
    <w:rsid w:val="006076E6"/>
    <w:rsid w:val="00607856"/>
    <w:rsid w:val="006079D1"/>
    <w:rsid w:val="00607BD8"/>
    <w:rsid w:val="00607C4F"/>
    <w:rsid w:val="00607DA0"/>
    <w:rsid w:val="00610168"/>
    <w:rsid w:val="006101F7"/>
    <w:rsid w:val="0061038F"/>
    <w:rsid w:val="00610465"/>
    <w:rsid w:val="00610479"/>
    <w:rsid w:val="00610A82"/>
    <w:rsid w:val="00610A92"/>
    <w:rsid w:val="00610BAF"/>
    <w:rsid w:val="00611228"/>
    <w:rsid w:val="0061156F"/>
    <w:rsid w:val="00611990"/>
    <w:rsid w:val="00611B42"/>
    <w:rsid w:val="00611BAB"/>
    <w:rsid w:val="00611CF8"/>
    <w:rsid w:val="00611E6A"/>
    <w:rsid w:val="00611EAE"/>
    <w:rsid w:val="00612031"/>
    <w:rsid w:val="006120DC"/>
    <w:rsid w:val="0061213B"/>
    <w:rsid w:val="006124F6"/>
    <w:rsid w:val="0061286F"/>
    <w:rsid w:val="00612A4F"/>
    <w:rsid w:val="00612B0B"/>
    <w:rsid w:val="0061317B"/>
    <w:rsid w:val="006131C5"/>
    <w:rsid w:val="00613534"/>
    <w:rsid w:val="0061373D"/>
    <w:rsid w:val="0061388C"/>
    <w:rsid w:val="006139BA"/>
    <w:rsid w:val="00613A9B"/>
    <w:rsid w:val="00613B66"/>
    <w:rsid w:val="00613CCA"/>
    <w:rsid w:val="00614424"/>
    <w:rsid w:val="00614C5D"/>
    <w:rsid w:val="00614D6C"/>
    <w:rsid w:val="00614E47"/>
    <w:rsid w:val="0061530F"/>
    <w:rsid w:val="006154AB"/>
    <w:rsid w:val="00615572"/>
    <w:rsid w:val="0061557B"/>
    <w:rsid w:val="006160C4"/>
    <w:rsid w:val="00616265"/>
    <w:rsid w:val="006163CF"/>
    <w:rsid w:val="0061668C"/>
    <w:rsid w:val="00616B95"/>
    <w:rsid w:val="00617344"/>
    <w:rsid w:val="00617401"/>
    <w:rsid w:val="006176D6"/>
    <w:rsid w:val="00617784"/>
    <w:rsid w:val="00617EEA"/>
    <w:rsid w:val="006206B5"/>
    <w:rsid w:val="006207FC"/>
    <w:rsid w:val="006208FF"/>
    <w:rsid w:val="00620D96"/>
    <w:rsid w:val="00621183"/>
    <w:rsid w:val="0062190D"/>
    <w:rsid w:val="006219AD"/>
    <w:rsid w:val="00621B7A"/>
    <w:rsid w:val="00621C4D"/>
    <w:rsid w:val="00621D64"/>
    <w:rsid w:val="00621E7D"/>
    <w:rsid w:val="00622278"/>
    <w:rsid w:val="0062254B"/>
    <w:rsid w:val="00622929"/>
    <w:rsid w:val="00622E59"/>
    <w:rsid w:val="00623205"/>
    <w:rsid w:val="00623262"/>
    <w:rsid w:val="006233E1"/>
    <w:rsid w:val="00623488"/>
    <w:rsid w:val="00623515"/>
    <w:rsid w:val="006235BB"/>
    <w:rsid w:val="006236DB"/>
    <w:rsid w:val="0062377F"/>
    <w:rsid w:val="00623907"/>
    <w:rsid w:val="00623954"/>
    <w:rsid w:val="00623B98"/>
    <w:rsid w:val="00623C13"/>
    <w:rsid w:val="0062415F"/>
    <w:rsid w:val="00624376"/>
    <w:rsid w:val="0062460B"/>
    <w:rsid w:val="0062479F"/>
    <w:rsid w:val="0062495F"/>
    <w:rsid w:val="00624A70"/>
    <w:rsid w:val="00624AB7"/>
    <w:rsid w:val="00624B39"/>
    <w:rsid w:val="00624BA2"/>
    <w:rsid w:val="00624DAB"/>
    <w:rsid w:val="0062509A"/>
    <w:rsid w:val="0062595E"/>
    <w:rsid w:val="00625C6D"/>
    <w:rsid w:val="00625F42"/>
    <w:rsid w:val="00626004"/>
    <w:rsid w:val="006262F3"/>
    <w:rsid w:val="006264E6"/>
    <w:rsid w:val="006269A8"/>
    <w:rsid w:val="00626A30"/>
    <w:rsid w:val="00626CEC"/>
    <w:rsid w:val="0062703F"/>
    <w:rsid w:val="006270A1"/>
    <w:rsid w:val="006270A7"/>
    <w:rsid w:val="006272A4"/>
    <w:rsid w:val="00627705"/>
    <w:rsid w:val="0062773E"/>
    <w:rsid w:val="0062796F"/>
    <w:rsid w:val="006279C8"/>
    <w:rsid w:val="00627D4A"/>
    <w:rsid w:val="006300E3"/>
    <w:rsid w:val="0063013E"/>
    <w:rsid w:val="006306A9"/>
    <w:rsid w:val="006307DF"/>
    <w:rsid w:val="00630A60"/>
    <w:rsid w:val="00630EB3"/>
    <w:rsid w:val="00630F9E"/>
    <w:rsid w:val="006312D6"/>
    <w:rsid w:val="0063137D"/>
    <w:rsid w:val="0063139E"/>
    <w:rsid w:val="006314DF"/>
    <w:rsid w:val="00631605"/>
    <w:rsid w:val="0063176C"/>
    <w:rsid w:val="00631A71"/>
    <w:rsid w:val="00631DA7"/>
    <w:rsid w:val="00631FF6"/>
    <w:rsid w:val="00632021"/>
    <w:rsid w:val="0063274C"/>
    <w:rsid w:val="00632A39"/>
    <w:rsid w:val="00632C15"/>
    <w:rsid w:val="00632EE5"/>
    <w:rsid w:val="006334FA"/>
    <w:rsid w:val="00633969"/>
    <w:rsid w:val="00633A06"/>
    <w:rsid w:val="00633A5F"/>
    <w:rsid w:val="00633CAE"/>
    <w:rsid w:val="00633E70"/>
    <w:rsid w:val="006340AF"/>
    <w:rsid w:val="006341F7"/>
    <w:rsid w:val="00634297"/>
    <w:rsid w:val="00634A6B"/>
    <w:rsid w:val="00634C12"/>
    <w:rsid w:val="00634C5F"/>
    <w:rsid w:val="00634CB5"/>
    <w:rsid w:val="00634D24"/>
    <w:rsid w:val="00634ECD"/>
    <w:rsid w:val="00634F72"/>
    <w:rsid w:val="00635127"/>
    <w:rsid w:val="00635301"/>
    <w:rsid w:val="00635317"/>
    <w:rsid w:val="00635457"/>
    <w:rsid w:val="00635485"/>
    <w:rsid w:val="0063561D"/>
    <w:rsid w:val="0063563F"/>
    <w:rsid w:val="00635860"/>
    <w:rsid w:val="006359F5"/>
    <w:rsid w:val="00635C89"/>
    <w:rsid w:val="00635DF2"/>
    <w:rsid w:val="00635E59"/>
    <w:rsid w:val="00636542"/>
    <w:rsid w:val="006366DB"/>
    <w:rsid w:val="00636717"/>
    <w:rsid w:val="00636C84"/>
    <w:rsid w:val="00636CAE"/>
    <w:rsid w:val="00636DF1"/>
    <w:rsid w:val="0063717F"/>
    <w:rsid w:val="00637224"/>
    <w:rsid w:val="006377C8"/>
    <w:rsid w:val="00637999"/>
    <w:rsid w:val="00637B92"/>
    <w:rsid w:val="00637C9E"/>
    <w:rsid w:val="00637CC6"/>
    <w:rsid w:val="00637D06"/>
    <w:rsid w:val="00637E56"/>
    <w:rsid w:val="006400B3"/>
    <w:rsid w:val="00640161"/>
    <w:rsid w:val="0064022B"/>
    <w:rsid w:val="00640412"/>
    <w:rsid w:val="006405B9"/>
    <w:rsid w:val="00640967"/>
    <w:rsid w:val="006409F4"/>
    <w:rsid w:val="00640AA9"/>
    <w:rsid w:val="00640AEF"/>
    <w:rsid w:val="00640D07"/>
    <w:rsid w:val="00641298"/>
    <w:rsid w:val="0064145C"/>
    <w:rsid w:val="00641F9C"/>
    <w:rsid w:val="0064200B"/>
    <w:rsid w:val="0064202D"/>
    <w:rsid w:val="0064226C"/>
    <w:rsid w:val="0064238B"/>
    <w:rsid w:val="006429DB"/>
    <w:rsid w:val="00642A43"/>
    <w:rsid w:val="00642C89"/>
    <w:rsid w:val="00642E56"/>
    <w:rsid w:val="00642E8B"/>
    <w:rsid w:val="00642FD8"/>
    <w:rsid w:val="006430AE"/>
    <w:rsid w:val="0064310B"/>
    <w:rsid w:val="006431A1"/>
    <w:rsid w:val="00643313"/>
    <w:rsid w:val="0064346C"/>
    <w:rsid w:val="006434A3"/>
    <w:rsid w:val="00643563"/>
    <w:rsid w:val="006439A0"/>
    <w:rsid w:val="006439E9"/>
    <w:rsid w:val="00643AE4"/>
    <w:rsid w:val="00643DE6"/>
    <w:rsid w:val="006441C9"/>
    <w:rsid w:val="00644531"/>
    <w:rsid w:val="00644553"/>
    <w:rsid w:val="00644E7A"/>
    <w:rsid w:val="00644E7E"/>
    <w:rsid w:val="00644E87"/>
    <w:rsid w:val="0064511E"/>
    <w:rsid w:val="00645339"/>
    <w:rsid w:val="00645512"/>
    <w:rsid w:val="006457C8"/>
    <w:rsid w:val="00645D23"/>
    <w:rsid w:val="00646231"/>
    <w:rsid w:val="00646235"/>
    <w:rsid w:val="00646259"/>
    <w:rsid w:val="0064625A"/>
    <w:rsid w:val="006469BA"/>
    <w:rsid w:val="00646E88"/>
    <w:rsid w:val="00646EE8"/>
    <w:rsid w:val="0064706F"/>
    <w:rsid w:val="0064732A"/>
    <w:rsid w:val="006474B3"/>
    <w:rsid w:val="006474F2"/>
    <w:rsid w:val="00647EB2"/>
    <w:rsid w:val="00647FD7"/>
    <w:rsid w:val="0065008E"/>
    <w:rsid w:val="00650092"/>
    <w:rsid w:val="006506EC"/>
    <w:rsid w:val="0065098C"/>
    <w:rsid w:val="00650D8F"/>
    <w:rsid w:val="00651340"/>
    <w:rsid w:val="006513A5"/>
    <w:rsid w:val="006513C3"/>
    <w:rsid w:val="00651686"/>
    <w:rsid w:val="0065172C"/>
    <w:rsid w:val="00651740"/>
    <w:rsid w:val="0065180D"/>
    <w:rsid w:val="00651A4F"/>
    <w:rsid w:val="00651C93"/>
    <w:rsid w:val="00651CD7"/>
    <w:rsid w:val="00651E14"/>
    <w:rsid w:val="00651FF6"/>
    <w:rsid w:val="006520E3"/>
    <w:rsid w:val="006522EC"/>
    <w:rsid w:val="006527D6"/>
    <w:rsid w:val="00652939"/>
    <w:rsid w:val="0065299B"/>
    <w:rsid w:val="00652AA8"/>
    <w:rsid w:val="00652CC1"/>
    <w:rsid w:val="0065326D"/>
    <w:rsid w:val="0065343C"/>
    <w:rsid w:val="0065343E"/>
    <w:rsid w:val="00653732"/>
    <w:rsid w:val="0065373D"/>
    <w:rsid w:val="00653842"/>
    <w:rsid w:val="006539EE"/>
    <w:rsid w:val="00653E17"/>
    <w:rsid w:val="00654090"/>
    <w:rsid w:val="00654280"/>
    <w:rsid w:val="006542F2"/>
    <w:rsid w:val="006543E4"/>
    <w:rsid w:val="006546BB"/>
    <w:rsid w:val="0065481D"/>
    <w:rsid w:val="00654876"/>
    <w:rsid w:val="00654A84"/>
    <w:rsid w:val="00654AB8"/>
    <w:rsid w:val="00654AD7"/>
    <w:rsid w:val="00654B50"/>
    <w:rsid w:val="00654B83"/>
    <w:rsid w:val="006550AE"/>
    <w:rsid w:val="00655436"/>
    <w:rsid w:val="006554E8"/>
    <w:rsid w:val="006555CF"/>
    <w:rsid w:val="006556B5"/>
    <w:rsid w:val="00655798"/>
    <w:rsid w:val="006559E6"/>
    <w:rsid w:val="00655CB3"/>
    <w:rsid w:val="00656066"/>
    <w:rsid w:val="006561E2"/>
    <w:rsid w:val="0065663A"/>
    <w:rsid w:val="00656AF0"/>
    <w:rsid w:val="00656C7F"/>
    <w:rsid w:val="00656CC2"/>
    <w:rsid w:val="00656E87"/>
    <w:rsid w:val="00656F8B"/>
    <w:rsid w:val="00656FCA"/>
    <w:rsid w:val="00657366"/>
    <w:rsid w:val="00657AE5"/>
    <w:rsid w:val="00657BE2"/>
    <w:rsid w:val="00657C4B"/>
    <w:rsid w:val="00657EBC"/>
    <w:rsid w:val="00657F70"/>
    <w:rsid w:val="00657FC6"/>
    <w:rsid w:val="0066015F"/>
    <w:rsid w:val="00660361"/>
    <w:rsid w:val="006604B7"/>
    <w:rsid w:val="00660675"/>
    <w:rsid w:val="00660BE4"/>
    <w:rsid w:val="00660E89"/>
    <w:rsid w:val="00660EFE"/>
    <w:rsid w:val="006619C8"/>
    <w:rsid w:val="006621A6"/>
    <w:rsid w:val="0066224E"/>
    <w:rsid w:val="006626D9"/>
    <w:rsid w:val="00662883"/>
    <w:rsid w:val="00662EDB"/>
    <w:rsid w:val="0066301F"/>
    <w:rsid w:val="006631F7"/>
    <w:rsid w:val="006633C0"/>
    <w:rsid w:val="006635CF"/>
    <w:rsid w:val="0066376F"/>
    <w:rsid w:val="006637E3"/>
    <w:rsid w:val="0066384C"/>
    <w:rsid w:val="00663AFC"/>
    <w:rsid w:val="00663FB6"/>
    <w:rsid w:val="00664205"/>
    <w:rsid w:val="006646A5"/>
    <w:rsid w:val="00664883"/>
    <w:rsid w:val="00664975"/>
    <w:rsid w:val="00664ADF"/>
    <w:rsid w:val="00664CFD"/>
    <w:rsid w:val="00665A2E"/>
    <w:rsid w:val="00665AD4"/>
    <w:rsid w:val="00665C42"/>
    <w:rsid w:val="00665C96"/>
    <w:rsid w:val="00665CEA"/>
    <w:rsid w:val="00666084"/>
    <w:rsid w:val="006661EA"/>
    <w:rsid w:val="00666215"/>
    <w:rsid w:val="00666499"/>
    <w:rsid w:val="0066655F"/>
    <w:rsid w:val="006665CB"/>
    <w:rsid w:val="0066661F"/>
    <w:rsid w:val="00666B90"/>
    <w:rsid w:val="00666C1E"/>
    <w:rsid w:val="006675B0"/>
    <w:rsid w:val="00667961"/>
    <w:rsid w:val="00667D30"/>
    <w:rsid w:val="0067002B"/>
    <w:rsid w:val="00670147"/>
    <w:rsid w:val="0067029D"/>
    <w:rsid w:val="00670403"/>
    <w:rsid w:val="006704C3"/>
    <w:rsid w:val="00670B0C"/>
    <w:rsid w:val="00670F2F"/>
    <w:rsid w:val="00671028"/>
    <w:rsid w:val="00671299"/>
    <w:rsid w:val="006713DF"/>
    <w:rsid w:val="0067143B"/>
    <w:rsid w:val="00671487"/>
    <w:rsid w:val="006715B7"/>
    <w:rsid w:val="00671D6A"/>
    <w:rsid w:val="00672129"/>
    <w:rsid w:val="0067253E"/>
    <w:rsid w:val="00672583"/>
    <w:rsid w:val="00672736"/>
    <w:rsid w:val="006729B7"/>
    <w:rsid w:val="00672CD3"/>
    <w:rsid w:val="00672DE4"/>
    <w:rsid w:val="006732E8"/>
    <w:rsid w:val="00673426"/>
    <w:rsid w:val="00673482"/>
    <w:rsid w:val="0067369D"/>
    <w:rsid w:val="006737AC"/>
    <w:rsid w:val="006738FF"/>
    <w:rsid w:val="00673A9C"/>
    <w:rsid w:val="00673D17"/>
    <w:rsid w:val="00673E4F"/>
    <w:rsid w:val="00673F85"/>
    <w:rsid w:val="0067444B"/>
    <w:rsid w:val="00674684"/>
    <w:rsid w:val="00674AAE"/>
    <w:rsid w:val="00674B42"/>
    <w:rsid w:val="00674BAF"/>
    <w:rsid w:val="006752F2"/>
    <w:rsid w:val="00675509"/>
    <w:rsid w:val="006757AA"/>
    <w:rsid w:val="00675916"/>
    <w:rsid w:val="006759B3"/>
    <w:rsid w:val="00675AD1"/>
    <w:rsid w:val="00675C3F"/>
    <w:rsid w:val="00675CC8"/>
    <w:rsid w:val="00675F5D"/>
    <w:rsid w:val="00675FCF"/>
    <w:rsid w:val="006760AC"/>
    <w:rsid w:val="00676467"/>
    <w:rsid w:val="006766AA"/>
    <w:rsid w:val="006767BC"/>
    <w:rsid w:val="00676904"/>
    <w:rsid w:val="0067695B"/>
    <w:rsid w:val="00677604"/>
    <w:rsid w:val="00677861"/>
    <w:rsid w:val="0067798F"/>
    <w:rsid w:val="00677AD6"/>
    <w:rsid w:val="006800E7"/>
    <w:rsid w:val="00680197"/>
    <w:rsid w:val="006804C4"/>
    <w:rsid w:val="00680500"/>
    <w:rsid w:val="006806CA"/>
    <w:rsid w:val="00680ED3"/>
    <w:rsid w:val="00680F0D"/>
    <w:rsid w:val="00680F69"/>
    <w:rsid w:val="00681293"/>
    <w:rsid w:val="006816AC"/>
    <w:rsid w:val="00681933"/>
    <w:rsid w:val="0068194A"/>
    <w:rsid w:val="00681A7A"/>
    <w:rsid w:val="00681C42"/>
    <w:rsid w:val="00681EF1"/>
    <w:rsid w:val="006825F9"/>
    <w:rsid w:val="00682847"/>
    <w:rsid w:val="006829C2"/>
    <w:rsid w:val="00682A2B"/>
    <w:rsid w:val="00683473"/>
    <w:rsid w:val="00683520"/>
    <w:rsid w:val="006836B9"/>
    <w:rsid w:val="0068374A"/>
    <w:rsid w:val="006838ED"/>
    <w:rsid w:val="00683A16"/>
    <w:rsid w:val="006840C6"/>
    <w:rsid w:val="006840EA"/>
    <w:rsid w:val="006847B6"/>
    <w:rsid w:val="006847CF"/>
    <w:rsid w:val="006848D2"/>
    <w:rsid w:val="00684B52"/>
    <w:rsid w:val="00684BF5"/>
    <w:rsid w:val="00684EEF"/>
    <w:rsid w:val="006851A5"/>
    <w:rsid w:val="006851A7"/>
    <w:rsid w:val="00685266"/>
    <w:rsid w:val="00685571"/>
    <w:rsid w:val="006856F1"/>
    <w:rsid w:val="006858DF"/>
    <w:rsid w:val="00685A4D"/>
    <w:rsid w:val="00685ACD"/>
    <w:rsid w:val="00685B24"/>
    <w:rsid w:val="006861E9"/>
    <w:rsid w:val="00686313"/>
    <w:rsid w:val="0068655A"/>
    <w:rsid w:val="00686C7F"/>
    <w:rsid w:val="0068775A"/>
    <w:rsid w:val="00687BC0"/>
    <w:rsid w:val="00687E54"/>
    <w:rsid w:val="00690013"/>
    <w:rsid w:val="0069026C"/>
    <w:rsid w:val="0069071A"/>
    <w:rsid w:val="00690823"/>
    <w:rsid w:val="00690A1B"/>
    <w:rsid w:val="00690BDE"/>
    <w:rsid w:val="00690C39"/>
    <w:rsid w:val="00690D30"/>
    <w:rsid w:val="00690F7C"/>
    <w:rsid w:val="00691180"/>
    <w:rsid w:val="00691460"/>
    <w:rsid w:val="0069149A"/>
    <w:rsid w:val="006915DD"/>
    <w:rsid w:val="00691935"/>
    <w:rsid w:val="00691ABB"/>
    <w:rsid w:val="00691B2F"/>
    <w:rsid w:val="00691B50"/>
    <w:rsid w:val="00691C9D"/>
    <w:rsid w:val="006920F4"/>
    <w:rsid w:val="0069258D"/>
    <w:rsid w:val="00692D95"/>
    <w:rsid w:val="00693086"/>
    <w:rsid w:val="0069339B"/>
    <w:rsid w:val="0069346F"/>
    <w:rsid w:val="0069360E"/>
    <w:rsid w:val="0069389B"/>
    <w:rsid w:val="00693943"/>
    <w:rsid w:val="00693A6B"/>
    <w:rsid w:val="00693AC5"/>
    <w:rsid w:val="00693D4E"/>
    <w:rsid w:val="00693F81"/>
    <w:rsid w:val="006941FD"/>
    <w:rsid w:val="0069432C"/>
    <w:rsid w:val="006945B4"/>
    <w:rsid w:val="00694630"/>
    <w:rsid w:val="0069471C"/>
    <w:rsid w:val="00694A94"/>
    <w:rsid w:val="00694C68"/>
    <w:rsid w:val="00694E98"/>
    <w:rsid w:val="0069509A"/>
    <w:rsid w:val="006952CE"/>
    <w:rsid w:val="00695629"/>
    <w:rsid w:val="006956AF"/>
    <w:rsid w:val="00695BC0"/>
    <w:rsid w:val="00695C46"/>
    <w:rsid w:val="00695D25"/>
    <w:rsid w:val="00696041"/>
    <w:rsid w:val="006963CB"/>
    <w:rsid w:val="006969DC"/>
    <w:rsid w:val="00696E73"/>
    <w:rsid w:val="00696EAD"/>
    <w:rsid w:val="00696EF5"/>
    <w:rsid w:val="006971B0"/>
    <w:rsid w:val="00697310"/>
    <w:rsid w:val="00697441"/>
    <w:rsid w:val="006A01DE"/>
    <w:rsid w:val="006A024D"/>
    <w:rsid w:val="006A0927"/>
    <w:rsid w:val="006A0A0A"/>
    <w:rsid w:val="006A0C73"/>
    <w:rsid w:val="006A0D67"/>
    <w:rsid w:val="006A114D"/>
    <w:rsid w:val="006A153A"/>
    <w:rsid w:val="006A1831"/>
    <w:rsid w:val="006A1981"/>
    <w:rsid w:val="006A1C0D"/>
    <w:rsid w:val="006A1F34"/>
    <w:rsid w:val="006A2071"/>
    <w:rsid w:val="006A2238"/>
    <w:rsid w:val="006A22D0"/>
    <w:rsid w:val="006A2370"/>
    <w:rsid w:val="006A2479"/>
    <w:rsid w:val="006A25BC"/>
    <w:rsid w:val="006A264A"/>
    <w:rsid w:val="006A2D94"/>
    <w:rsid w:val="006A300D"/>
    <w:rsid w:val="006A3278"/>
    <w:rsid w:val="006A327C"/>
    <w:rsid w:val="006A33EF"/>
    <w:rsid w:val="006A3415"/>
    <w:rsid w:val="006A34E2"/>
    <w:rsid w:val="006A3535"/>
    <w:rsid w:val="006A36F7"/>
    <w:rsid w:val="006A3804"/>
    <w:rsid w:val="006A3908"/>
    <w:rsid w:val="006A3964"/>
    <w:rsid w:val="006A3CA5"/>
    <w:rsid w:val="006A3CB4"/>
    <w:rsid w:val="006A44FD"/>
    <w:rsid w:val="006A4694"/>
    <w:rsid w:val="006A4C45"/>
    <w:rsid w:val="006A4E79"/>
    <w:rsid w:val="006A4F27"/>
    <w:rsid w:val="006A4F64"/>
    <w:rsid w:val="006A5093"/>
    <w:rsid w:val="006A52D5"/>
    <w:rsid w:val="006A544E"/>
    <w:rsid w:val="006A5729"/>
    <w:rsid w:val="006A5A90"/>
    <w:rsid w:val="006A5BCC"/>
    <w:rsid w:val="006A5D48"/>
    <w:rsid w:val="006A5D76"/>
    <w:rsid w:val="006A5E27"/>
    <w:rsid w:val="006A5EA3"/>
    <w:rsid w:val="006A5F2A"/>
    <w:rsid w:val="006A63F1"/>
    <w:rsid w:val="006A64A4"/>
    <w:rsid w:val="006A677A"/>
    <w:rsid w:val="006A6BD0"/>
    <w:rsid w:val="006A6C22"/>
    <w:rsid w:val="006A6C6C"/>
    <w:rsid w:val="006A6D16"/>
    <w:rsid w:val="006A6E8C"/>
    <w:rsid w:val="006A70FE"/>
    <w:rsid w:val="006A7227"/>
    <w:rsid w:val="006A735B"/>
    <w:rsid w:val="006A7738"/>
    <w:rsid w:val="006A77C7"/>
    <w:rsid w:val="006A7DBE"/>
    <w:rsid w:val="006A7F52"/>
    <w:rsid w:val="006A7FF0"/>
    <w:rsid w:val="006B028F"/>
    <w:rsid w:val="006B0483"/>
    <w:rsid w:val="006B0992"/>
    <w:rsid w:val="006B09D4"/>
    <w:rsid w:val="006B0C5B"/>
    <w:rsid w:val="006B0DB4"/>
    <w:rsid w:val="006B130E"/>
    <w:rsid w:val="006B1587"/>
    <w:rsid w:val="006B1766"/>
    <w:rsid w:val="006B1AD0"/>
    <w:rsid w:val="006B1ED2"/>
    <w:rsid w:val="006B21BB"/>
    <w:rsid w:val="006B2449"/>
    <w:rsid w:val="006B2734"/>
    <w:rsid w:val="006B2D56"/>
    <w:rsid w:val="006B2EA4"/>
    <w:rsid w:val="006B3151"/>
    <w:rsid w:val="006B31C4"/>
    <w:rsid w:val="006B320C"/>
    <w:rsid w:val="006B3462"/>
    <w:rsid w:val="006B36B3"/>
    <w:rsid w:val="006B3832"/>
    <w:rsid w:val="006B3891"/>
    <w:rsid w:val="006B3A2C"/>
    <w:rsid w:val="006B3AB6"/>
    <w:rsid w:val="006B3ADC"/>
    <w:rsid w:val="006B3CAB"/>
    <w:rsid w:val="006B3FAE"/>
    <w:rsid w:val="006B42AA"/>
    <w:rsid w:val="006B44CB"/>
    <w:rsid w:val="006B46BC"/>
    <w:rsid w:val="006B49B3"/>
    <w:rsid w:val="006B49D2"/>
    <w:rsid w:val="006B4CE5"/>
    <w:rsid w:val="006B570A"/>
    <w:rsid w:val="006B5715"/>
    <w:rsid w:val="006B5A61"/>
    <w:rsid w:val="006B648C"/>
    <w:rsid w:val="006B6546"/>
    <w:rsid w:val="006B6728"/>
    <w:rsid w:val="006B6CB7"/>
    <w:rsid w:val="006B6D0B"/>
    <w:rsid w:val="006B6ED5"/>
    <w:rsid w:val="006B6F1F"/>
    <w:rsid w:val="006B6F7D"/>
    <w:rsid w:val="006B7082"/>
    <w:rsid w:val="006B709A"/>
    <w:rsid w:val="006B7254"/>
    <w:rsid w:val="006B7408"/>
    <w:rsid w:val="006B7501"/>
    <w:rsid w:val="006B7513"/>
    <w:rsid w:val="006B760E"/>
    <w:rsid w:val="006B7837"/>
    <w:rsid w:val="006B785A"/>
    <w:rsid w:val="006B7910"/>
    <w:rsid w:val="006B7A59"/>
    <w:rsid w:val="006B7D98"/>
    <w:rsid w:val="006C01C8"/>
    <w:rsid w:val="006C0253"/>
    <w:rsid w:val="006C03A4"/>
    <w:rsid w:val="006C0412"/>
    <w:rsid w:val="006C0632"/>
    <w:rsid w:val="006C067E"/>
    <w:rsid w:val="006C071F"/>
    <w:rsid w:val="006C0A54"/>
    <w:rsid w:val="006C0C90"/>
    <w:rsid w:val="006C0EE9"/>
    <w:rsid w:val="006C0FCD"/>
    <w:rsid w:val="006C1729"/>
    <w:rsid w:val="006C192D"/>
    <w:rsid w:val="006C1C38"/>
    <w:rsid w:val="006C1CD1"/>
    <w:rsid w:val="006C2550"/>
    <w:rsid w:val="006C2678"/>
    <w:rsid w:val="006C29F9"/>
    <w:rsid w:val="006C2C38"/>
    <w:rsid w:val="006C2C45"/>
    <w:rsid w:val="006C2C8F"/>
    <w:rsid w:val="006C2E65"/>
    <w:rsid w:val="006C2E7F"/>
    <w:rsid w:val="006C2F33"/>
    <w:rsid w:val="006C2F83"/>
    <w:rsid w:val="006C3037"/>
    <w:rsid w:val="006C31A3"/>
    <w:rsid w:val="006C31F8"/>
    <w:rsid w:val="006C39EA"/>
    <w:rsid w:val="006C3C36"/>
    <w:rsid w:val="006C3DC2"/>
    <w:rsid w:val="006C3E46"/>
    <w:rsid w:val="006C402B"/>
    <w:rsid w:val="006C40E5"/>
    <w:rsid w:val="006C40F8"/>
    <w:rsid w:val="006C410E"/>
    <w:rsid w:val="006C42C4"/>
    <w:rsid w:val="006C4313"/>
    <w:rsid w:val="006C4338"/>
    <w:rsid w:val="006C440F"/>
    <w:rsid w:val="006C4623"/>
    <w:rsid w:val="006C4703"/>
    <w:rsid w:val="006C4EB7"/>
    <w:rsid w:val="006C52E8"/>
    <w:rsid w:val="006C5346"/>
    <w:rsid w:val="006C5827"/>
    <w:rsid w:val="006C583D"/>
    <w:rsid w:val="006C589E"/>
    <w:rsid w:val="006C58E9"/>
    <w:rsid w:val="006C5B44"/>
    <w:rsid w:val="006C5F68"/>
    <w:rsid w:val="006C61F8"/>
    <w:rsid w:val="006C64D5"/>
    <w:rsid w:val="006C67DA"/>
    <w:rsid w:val="006C684F"/>
    <w:rsid w:val="006C6D0C"/>
    <w:rsid w:val="006C6E6D"/>
    <w:rsid w:val="006C7242"/>
    <w:rsid w:val="006C74DD"/>
    <w:rsid w:val="006C79A8"/>
    <w:rsid w:val="006C7AE2"/>
    <w:rsid w:val="006C7CC7"/>
    <w:rsid w:val="006D077B"/>
    <w:rsid w:val="006D0974"/>
    <w:rsid w:val="006D09D2"/>
    <w:rsid w:val="006D0A72"/>
    <w:rsid w:val="006D0C8A"/>
    <w:rsid w:val="006D0D92"/>
    <w:rsid w:val="006D121E"/>
    <w:rsid w:val="006D13F9"/>
    <w:rsid w:val="006D176E"/>
    <w:rsid w:val="006D1BD4"/>
    <w:rsid w:val="006D1EE5"/>
    <w:rsid w:val="006D2145"/>
    <w:rsid w:val="006D2AEF"/>
    <w:rsid w:val="006D2ED4"/>
    <w:rsid w:val="006D2FF8"/>
    <w:rsid w:val="006D302A"/>
    <w:rsid w:val="006D30B2"/>
    <w:rsid w:val="006D35FD"/>
    <w:rsid w:val="006D3811"/>
    <w:rsid w:val="006D3872"/>
    <w:rsid w:val="006D3F34"/>
    <w:rsid w:val="006D40E7"/>
    <w:rsid w:val="006D447B"/>
    <w:rsid w:val="006D4954"/>
    <w:rsid w:val="006D496A"/>
    <w:rsid w:val="006D49C4"/>
    <w:rsid w:val="006D4ACE"/>
    <w:rsid w:val="006D4BE1"/>
    <w:rsid w:val="006D4D3F"/>
    <w:rsid w:val="006D4F23"/>
    <w:rsid w:val="006D5154"/>
    <w:rsid w:val="006D517D"/>
    <w:rsid w:val="006D518F"/>
    <w:rsid w:val="006D5268"/>
    <w:rsid w:val="006D58DB"/>
    <w:rsid w:val="006D5C2B"/>
    <w:rsid w:val="006D5C96"/>
    <w:rsid w:val="006D6010"/>
    <w:rsid w:val="006D6080"/>
    <w:rsid w:val="006D656D"/>
    <w:rsid w:val="006D668D"/>
    <w:rsid w:val="006D68C5"/>
    <w:rsid w:val="006D6AD3"/>
    <w:rsid w:val="006D6B10"/>
    <w:rsid w:val="006D6B95"/>
    <w:rsid w:val="006D6C39"/>
    <w:rsid w:val="006D6E5E"/>
    <w:rsid w:val="006D6F77"/>
    <w:rsid w:val="006D7146"/>
    <w:rsid w:val="006D7309"/>
    <w:rsid w:val="006D74E0"/>
    <w:rsid w:val="006D7795"/>
    <w:rsid w:val="006D79BA"/>
    <w:rsid w:val="006E0258"/>
    <w:rsid w:val="006E06B3"/>
    <w:rsid w:val="006E09ED"/>
    <w:rsid w:val="006E0BB8"/>
    <w:rsid w:val="006E0D37"/>
    <w:rsid w:val="006E0FB9"/>
    <w:rsid w:val="006E14B3"/>
    <w:rsid w:val="006E175D"/>
    <w:rsid w:val="006E191C"/>
    <w:rsid w:val="006E1963"/>
    <w:rsid w:val="006E1EAC"/>
    <w:rsid w:val="006E1F52"/>
    <w:rsid w:val="006E22E1"/>
    <w:rsid w:val="006E2554"/>
    <w:rsid w:val="006E2653"/>
    <w:rsid w:val="006E27DA"/>
    <w:rsid w:val="006E2875"/>
    <w:rsid w:val="006E2D3E"/>
    <w:rsid w:val="006E329A"/>
    <w:rsid w:val="006E3477"/>
    <w:rsid w:val="006E358D"/>
    <w:rsid w:val="006E3A90"/>
    <w:rsid w:val="006E3CC7"/>
    <w:rsid w:val="006E4585"/>
    <w:rsid w:val="006E4900"/>
    <w:rsid w:val="006E4923"/>
    <w:rsid w:val="006E4960"/>
    <w:rsid w:val="006E4DC4"/>
    <w:rsid w:val="006E4FEC"/>
    <w:rsid w:val="006E5332"/>
    <w:rsid w:val="006E533F"/>
    <w:rsid w:val="006E53A3"/>
    <w:rsid w:val="006E5696"/>
    <w:rsid w:val="006E5BBA"/>
    <w:rsid w:val="006E6338"/>
    <w:rsid w:val="006E66A7"/>
    <w:rsid w:val="006E68C1"/>
    <w:rsid w:val="006E6EAF"/>
    <w:rsid w:val="006E6F14"/>
    <w:rsid w:val="006E79B9"/>
    <w:rsid w:val="006F007E"/>
    <w:rsid w:val="006F02FD"/>
    <w:rsid w:val="006F0D91"/>
    <w:rsid w:val="006F0DA1"/>
    <w:rsid w:val="006F0E98"/>
    <w:rsid w:val="006F14F2"/>
    <w:rsid w:val="006F18BB"/>
    <w:rsid w:val="006F1A95"/>
    <w:rsid w:val="006F1B02"/>
    <w:rsid w:val="006F1BCA"/>
    <w:rsid w:val="006F1CA0"/>
    <w:rsid w:val="006F1D16"/>
    <w:rsid w:val="006F1EFF"/>
    <w:rsid w:val="006F23EC"/>
    <w:rsid w:val="006F2578"/>
    <w:rsid w:val="006F2F10"/>
    <w:rsid w:val="006F344B"/>
    <w:rsid w:val="006F3664"/>
    <w:rsid w:val="006F40BA"/>
    <w:rsid w:val="006F42AE"/>
    <w:rsid w:val="006F4507"/>
    <w:rsid w:val="006F5608"/>
    <w:rsid w:val="006F560B"/>
    <w:rsid w:val="006F604B"/>
    <w:rsid w:val="006F6337"/>
    <w:rsid w:val="006F6502"/>
    <w:rsid w:val="006F671D"/>
    <w:rsid w:val="006F6847"/>
    <w:rsid w:val="006F7262"/>
    <w:rsid w:val="006F73B3"/>
    <w:rsid w:val="006F73B4"/>
    <w:rsid w:val="006F73FC"/>
    <w:rsid w:val="006F7524"/>
    <w:rsid w:val="006F7546"/>
    <w:rsid w:val="006F76C5"/>
    <w:rsid w:val="006F78B1"/>
    <w:rsid w:val="006F794B"/>
    <w:rsid w:val="006F7A24"/>
    <w:rsid w:val="006F7CA3"/>
    <w:rsid w:val="006F7E88"/>
    <w:rsid w:val="007003D9"/>
    <w:rsid w:val="0070089D"/>
    <w:rsid w:val="0070116F"/>
    <w:rsid w:val="00701369"/>
    <w:rsid w:val="007013B5"/>
    <w:rsid w:val="00701496"/>
    <w:rsid w:val="00701705"/>
    <w:rsid w:val="0070170E"/>
    <w:rsid w:val="00701D18"/>
    <w:rsid w:val="00701F44"/>
    <w:rsid w:val="007027F8"/>
    <w:rsid w:val="00702AAC"/>
    <w:rsid w:val="00702C97"/>
    <w:rsid w:val="00702D7E"/>
    <w:rsid w:val="00702E1B"/>
    <w:rsid w:val="007030C7"/>
    <w:rsid w:val="0070343A"/>
    <w:rsid w:val="007035D6"/>
    <w:rsid w:val="007035E8"/>
    <w:rsid w:val="007039BA"/>
    <w:rsid w:val="00703AFB"/>
    <w:rsid w:val="00703EFD"/>
    <w:rsid w:val="007040E6"/>
    <w:rsid w:val="007044BB"/>
    <w:rsid w:val="0070488F"/>
    <w:rsid w:val="00704F73"/>
    <w:rsid w:val="00705306"/>
    <w:rsid w:val="007053A6"/>
    <w:rsid w:val="007054E5"/>
    <w:rsid w:val="00705812"/>
    <w:rsid w:val="00706076"/>
    <w:rsid w:val="007060FC"/>
    <w:rsid w:val="00706625"/>
    <w:rsid w:val="0070690C"/>
    <w:rsid w:val="00706952"/>
    <w:rsid w:val="00706B0E"/>
    <w:rsid w:val="00706B40"/>
    <w:rsid w:val="00706C63"/>
    <w:rsid w:val="00706FC4"/>
    <w:rsid w:val="007073B1"/>
    <w:rsid w:val="0070768C"/>
    <w:rsid w:val="007076E6"/>
    <w:rsid w:val="00707D18"/>
    <w:rsid w:val="00707F91"/>
    <w:rsid w:val="00710129"/>
    <w:rsid w:val="00710736"/>
    <w:rsid w:val="00710F1F"/>
    <w:rsid w:val="007112F8"/>
    <w:rsid w:val="00711AB9"/>
    <w:rsid w:val="00711E02"/>
    <w:rsid w:val="0071226A"/>
    <w:rsid w:val="007122DA"/>
    <w:rsid w:val="00712475"/>
    <w:rsid w:val="0071247C"/>
    <w:rsid w:val="0071255A"/>
    <w:rsid w:val="00712622"/>
    <w:rsid w:val="007126B1"/>
    <w:rsid w:val="007127A2"/>
    <w:rsid w:val="007127A3"/>
    <w:rsid w:val="007129D9"/>
    <w:rsid w:val="00712C57"/>
    <w:rsid w:val="00712F2D"/>
    <w:rsid w:val="00713515"/>
    <w:rsid w:val="00713587"/>
    <w:rsid w:val="0071385C"/>
    <w:rsid w:val="007138DE"/>
    <w:rsid w:val="00713970"/>
    <w:rsid w:val="00714A31"/>
    <w:rsid w:val="00714A43"/>
    <w:rsid w:val="007150B0"/>
    <w:rsid w:val="007155A6"/>
    <w:rsid w:val="00715797"/>
    <w:rsid w:val="00715A9A"/>
    <w:rsid w:val="00715B97"/>
    <w:rsid w:val="00716314"/>
    <w:rsid w:val="00716813"/>
    <w:rsid w:val="00716926"/>
    <w:rsid w:val="00716979"/>
    <w:rsid w:val="00716A08"/>
    <w:rsid w:val="00716B77"/>
    <w:rsid w:val="00716CF5"/>
    <w:rsid w:val="00717224"/>
    <w:rsid w:val="0071732C"/>
    <w:rsid w:val="00717392"/>
    <w:rsid w:val="007175CC"/>
    <w:rsid w:val="007177D8"/>
    <w:rsid w:val="007177D9"/>
    <w:rsid w:val="0071796A"/>
    <w:rsid w:val="00717D89"/>
    <w:rsid w:val="00717EA3"/>
    <w:rsid w:val="00720157"/>
    <w:rsid w:val="007201AB"/>
    <w:rsid w:val="007207F3"/>
    <w:rsid w:val="00720953"/>
    <w:rsid w:val="00720992"/>
    <w:rsid w:val="007209F3"/>
    <w:rsid w:val="00720B6F"/>
    <w:rsid w:val="00720BAA"/>
    <w:rsid w:val="00720BFD"/>
    <w:rsid w:val="00720D83"/>
    <w:rsid w:val="00721020"/>
    <w:rsid w:val="00721163"/>
    <w:rsid w:val="00721572"/>
    <w:rsid w:val="007217D3"/>
    <w:rsid w:val="0072184A"/>
    <w:rsid w:val="007219BF"/>
    <w:rsid w:val="00721ACB"/>
    <w:rsid w:val="00721BAF"/>
    <w:rsid w:val="00721D1C"/>
    <w:rsid w:val="00721DC7"/>
    <w:rsid w:val="00721DDE"/>
    <w:rsid w:val="00721E02"/>
    <w:rsid w:val="00721F29"/>
    <w:rsid w:val="00722140"/>
    <w:rsid w:val="007222B1"/>
    <w:rsid w:val="007224BD"/>
    <w:rsid w:val="0072282B"/>
    <w:rsid w:val="00722A36"/>
    <w:rsid w:val="00722D3C"/>
    <w:rsid w:val="00722F29"/>
    <w:rsid w:val="0072339E"/>
    <w:rsid w:val="007233C9"/>
    <w:rsid w:val="0072350A"/>
    <w:rsid w:val="00723619"/>
    <w:rsid w:val="00723859"/>
    <w:rsid w:val="00723C3B"/>
    <w:rsid w:val="00723D05"/>
    <w:rsid w:val="00723D0A"/>
    <w:rsid w:val="00723F44"/>
    <w:rsid w:val="00724316"/>
    <w:rsid w:val="007249C7"/>
    <w:rsid w:val="00724CC7"/>
    <w:rsid w:val="00724DE0"/>
    <w:rsid w:val="007250E5"/>
    <w:rsid w:val="00725157"/>
    <w:rsid w:val="00725267"/>
    <w:rsid w:val="007254F6"/>
    <w:rsid w:val="00725838"/>
    <w:rsid w:val="00725D0B"/>
    <w:rsid w:val="00725E6B"/>
    <w:rsid w:val="007262BD"/>
    <w:rsid w:val="00726414"/>
    <w:rsid w:val="007265FA"/>
    <w:rsid w:val="00726997"/>
    <w:rsid w:val="00726A2C"/>
    <w:rsid w:val="00726F50"/>
    <w:rsid w:val="00726FA4"/>
    <w:rsid w:val="007276BE"/>
    <w:rsid w:val="00727856"/>
    <w:rsid w:val="00727AD4"/>
    <w:rsid w:val="00727BD2"/>
    <w:rsid w:val="00730286"/>
    <w:rsid w:val="007306DC"/>
    <w:rsid w:val="007309B3"/>
    <w:rsid w:val="00730A05"/>
    <w:rsid w:val="00730C79"/>
    <w:rsid w:val="007312CA"/>
    <w:rsid w:val="007317E5"/>
    <w:rsid w:val="0073183B"/>
    <w:rsid w:val="00731859"/>
    <w:rsid w:val="007318DD"/>
    <w:rsid w:val="00731D48"/>
    <w:rsid w:val="00731DB2"/>
    <w:rsid w:val="00732583"/>
    <w:rsid w:val="00732779"/>
    <w:rsid w:val="00732854"/>
    <w:rsid w:val="00732C89"/>
    <w:rsid w:val="00732C99"/>
    <w:rsid w:val="00732DFE"/>
    <w:rsid w:val="00732FCA"/>
    <w:rsid w:val="007330EB"/>
    <w:rsid w:val="007332C2"/>
    <w:rsid w:val="007334CA"/>
    <w:rsid w:val="007334CC"/>
    <w:rsid w:val="007335B6"/>
    <w:rsid w:val="007336DE"/>
    <w:rsid w:val="0073402E"/>
    <w:rsid w:val="00734033"/>
    <w:rsid w:val="007344BB"/>
    <w:rsid w:val="007346F5"/>
    <w:rsid w:val="0073489F"/>
    <w:rsid w:val="007349EC"/>
    <w:rsid w:val="00734C92"/>
    <w:rsid w:val="00734ED8"/>
    <w:rsid w:val="007352FB"/>
    <w:rsid w:val="0073538B"/>
    <w:rsid w:val="00735467"/>
    <w:rsid w:val="007354B7"/>
    <w:rsid w:val="00735528"/>
    <w:rsid w:val="00735777"/>
    <w:rsid w:val="00735A18"/>
    <w:rsid w:val="00735BA3"/>
    <w:rsid w:val="00736037"/>
    <w:rsid w:val="0073605C"/>
    <w:rsid w:val="007364DE"/>
    <w:rsid w:val="007365B7"/>
    <w:rsid w:val="00736924"/>
    <w:rsid w:val="00736971"/>
    <w:rsid w:val="00736A21"/>
    <w:rsid w:val="007371C1"/>
    <w:rsid w:val="007371F5"/>
    <w:rsid w:val="007373D9"/>
    <w:rsid w:val="00737595"/>
    <w:rsid w:val="00737925"/>
    <w:rsid w:val="00737C55"/>
    <w:rsid w:val="00737D5E"/>
    <w:rsid w:val="0074002E"/>
    <w:rsid w:val="00740045"/>
    <w:rsid w:val="007401CE"/>
    <w:rsid w:val="00740260"/>
    <w:rsid w:val="0074028F"/>
    <w:rsid w:val="007402F4"/>
    <w:rsid w:val="0074107F"/>
    <w:rsid w:val="0074122F"/>
    <w:rsid w:val="00741684"/>
    <w:rsid w:val="00741714"/>
    <w:rsid w:val="007417A9"/>
    <w:rsid w:val="0074185E"/>
    <w:rsid w:val="0074188B"/>
    <w:rsid w:val="007418E5"/>
    <w:rsid w:val="00741A20"/>
    <w:rsid w:val="00741B43"/>
    <w:rsid w:val="00741F41"/>
    <w:rsid w:val="00741FFB"/>
    <w:rsid w:val="00742016"/>
    <w:rsid w:val="00742242"/>
    <w:rsid w:val="00742245"/>
    <w:rsid w:val="007423BB"/>
    <w:rsid w:val="00742666"/>
    <w:rsid w:val="00742862"/>
    <w:rsid w:val="00742B32"/>
    <w:rsid w:val="00743169"/>
    <w:rsid w:val="0074338A"/>
    <w:rsid w:val="00743682"/>
    <w:rsid w:val="00743964"/>
    <w:rsid w:val="007439D0"/>
    <w:rsid w:val="00743A8A"/>
    <w:rsid w:val="00743B3A"/>
    <w:rsid w:val="00743EFB"/>
    <w:rsid w:val="00743FA6"/>
    <w:rsid w:val="00744A81"/>
    <w:rsid w:val="00744AF4"/>
    <w:rsid w:val="00744C07"/>
    <w:rsid w:val="00744EE4"/>
    <w:rsid w:val="007457BD"/>
    <w:rsid w:val="0074586F"/>
    <w:rsid w:val="007459BF"/>
    <w:rsid w:val="00745A65"/>
    <w:rsid w:val="00745CA3"/>
    <w:rsid w:val="00745D71"/>
    <w:rsid w:val="007460AE"/>
    <w:rsid w:val="00746214"/>
    <w:rsid w:val="007463AA"/>
    <w:rsid w:val="00746512"/>
    <w:rsid w:val="007468D5"/>
    <w:rsid w:val="00746F46"/>
    <w:rsid w:val="007471F8"/>
    <w:rsid w:val="00747516"/>
    <w:rsid w:val="0074755D"/>
    <w:rsid w:val="007476F0"/>
    <w:rsid w:val="00747949"/>
    <w:rsid w:val="00747BB2"/>
    <w:rsid w:val="00747E51"/>
    <w:rsid w:val="00750897"/>
    <w:rsid w:val="00750981"/>
    <w:rsid w:val="00750C2F"/>
    <w:rsid w:val="00750D2E"/>
    <w:rsid w:val="00751098"/>
    <w:rsid w:val="0075111B"/>
    <w:rsid w:val="007513EE"/>
    <w:rsid w:val="00751B89"/>
    <w:rsid w:val="00751B8F"/>
    <w:rsid w:val="00751C7C"/>
    <w:rsid w:val="00751F34"/>
    <w:rsid w:val="0075295E"/>
    <w:rsid w:val="007529BE"/>
    <w:rsid w:val="00752ACF"/>
    <w:rsid w:val="00752E3A"/>
    <w:rsid w:val="00752E92"/>
    <w:rsid w:val="00752EC6"/>
    <w:rsid w:val="00752FB3"/>
    <w:rsid w:val="00752FD3"/>
    <w:rsid w:val="007532EE"/>
    <w:rsid w:val="007536E9"/>
    <w:rsid w:val="0075393B"/>
    <w:rsid w:val="00753A31"/>
    <w:rsid w:val="00754589"/>
    <w:rsid w:val="00754F4E"/>
    <w:rsid w:val="00754F9F"/>
    <w:rsid w:val="00755089"/>
    <w:rsid w:val="00755223"/>
    <w:rsid w:val="00755262"/>
    <w:rsid w:val="007555BA"/>
    <w:rsid w:val="007555DD"/>
    <w:rsid w:val="007555F5"/>
    <w:rsid w:val="00755851"/>
    <w:rsid w:val="00755F22"/>
    <w:rsid w:val="00755FD6"/>
    <w:rsid w:val="00755FF4"/>
    <w:rsid w:val="007560B5"/>
    <w:rsid w:val="00756393"/>
    <w:rsid w:val="00756B24"/>
    <w:rsid w:val="00756D40"/>
    <w:rsid w:val="00756D44"/>
    <w:rsid w:val="00756D82"/>
    <w:rsid w:val="00756E5D"/>
    <w:rsid w:val="00756FC0"/>
    <w:rsid w:val="007571F0"/>
    <w:rsid w:val="0075728D"/>
    <w:rsid w:val="00757377"/>
    <w:rsid w:val="007577C1"/>
    <w:rsid w:val="00757B34"/>
    <w:rsid w:val="00757ED3"/>
    <w:rsid w:val="00757EF0"/>
    <w:rsid w:val="00757FDF"/>
    <w:rsid w:val="00760136"/>
    <w:rsid w:val="0076014D"/>
    <w:rsid w:val="007604D5"/>
    <w:rsid w:val="007604FB"/>
    <w:rsid w:val="007606EE"/>
    <w:rsid w:val="00760715"/>
    <w:rsid w:val="00760F11"/>
    <w:rsid w:val="0076101C"/>
    <w:rsid w:val="0076146C"/>
    <w:rsid w:val="00761660"/>
    <w:rsid w:val="00761894"/>
    <w:rsid w:val="00761949"/>
    <w:rsid w:val="00761B7E"/>
    <w:rsid w:val="00761C87"/>
    <w:rsid w:val="00761CEB"/>
    <w:rsid w:val="00762031"/>
    <w:rsid w:val="007620CF"/>
    <w:rsid w:val="0076227B"/>
    <w:rsid w:val="00762364"/>
    <w:rsid w:val="0076237E"/>
    <w:rsid w:val="0076238A"/>
    <w:rsid w:val="007623B8"/>
    <w:rsid w:val="007629C0"/>
    <w:rsid w:val="00762A95"/>
    <w:rsid w:val="00762B54"/>
    <w:rsid w:val="00762D6F"/>
    <w:rsid w:val="00763648"/>
    <w:rsid w:val="007636BD"/>
    <w:rsid w:val="00763CB7"/>
    <w:rsid w:val="00763D1B"/>
    <w:rsid w:val="00763F2D"/>
    <w:rsid w:val="00764135"/>
    <w:rsid w:val="00764194"/>
    <w:rsid w:val="0076445A"/>
    <w:rsid w:val="0076446C"/>
    <w:rsid w:val="00764490"/>
    <w:rsid w:val="007646AC"/>
    <w:rsid w:val="00764A6D"/>
    <w:rsid w:val="00764C3D"/>
    <w:rsid w:val="00765A1B"/>
    <w:rsid w:val="00765A2E"/>
    <w:rsid w:val="00765C5D"/>
    <w:rsid w:val="00765ECF"/>
    <w:rsid w:val="00765FE6"/>
    <w:rsid w:val="0076612F"/>
    <w:rsid w:val="0076642C"/>
    <w:rsid w:val="0076647C"/>
    <w:rsid w:val="00766491"/>
    <w:rsid w:val="007664B8"/>
    <w:rsid w:val="00766609"/>
    <w:rsid w:val="0076685D"/>
    <w:rsid w:val="0076687C"/>
    <w:rsid w:val="00766F38"/>
    <w:rsid w:val="007675D8"/>
    <w:rsid w:val="0076768E"/>
    <w:rsid w:val="007676E5"/>
    <w:rsid w:val="00767700"/>
    <w:rsid w:val="0076771A"/>
    <w:rsid w:val="00767D35"/>
    <w:rsid w:val="00767E15"/>
    <w:rsid w:val="00767FD9"/>
    <w:rsid w:val="007700F8"/>
    <w:rsid w:val="007703E0"/>
    <w:rsid w:val="00770D59"/>
    <w:rsid w:val="00770D71"/>
    <w:rsid w:val="007713FB"/>
    <w:rsid w:val="00771AE2"/>
    <w:rsid w:val="00771BFA"/>
    <w:rsid w:val="00771C6C"/>
    <w:rsid w:val="00771D80"/>
    <w:rsid w:val="00771E2B"/>
    <w:rsid w:val="007721A7"/>
    <w:rsid w:val="007721DC"/>
    <w:rsid w:val="00772257"/>
    <w:rsid w:val="00772356"/>
    <w:rsid w:val="007725AF"/>
    <w:rsid w:val="007726A9"/>
    <w:rsid w:val="00772723"/>
    <w:rsid w:val="00772BB8"/>
    <w:rsid w:val="00772E41"/>
    <w:rsid w:val="0077313D"/>
    <w:rsid w:val="007735A3"/>
    <w:rsid w:val="007735FD"/>
    <w:rsid w:val="0077367E"/>
    <w:rsid w:val="007736A6"/>
    <w:rsid w:val="00773830"/>
    <w:rsid w:val="007738D3"/>
    <w:rsid w:val="00773FF9"/>
    <w:rsid w:val="00774581"/>
    <w:rsid w:val="00774779"/>
    <w:rsid w:val="007748BB"/>
    <w:rsid w:val="00774A0D"/>
    <w:rsid w:val="00774AAA"/>
    <w:rsid w:val="00774AD8"/>
    <w:rsid w:val="00774FCC"/>
    <w:rsid w:val="0077510C"/>
    <w:rsid w:val="00775284"/>
    <w:rsid w:val="00775886"/>
    <w:rsid w:val="00775934"/>
    <w:rsid w:val="00775974"/>
    <w:rsid w:val="00775CBC"/>
    <w:rsid w:val="00775F0A"/>
    <w:rsid w:val="007762E2"/>
    <w:rsid w:val="00776B7F"/>
    <w:rsid w:val="00776DA5"/>
    <w:rsid w:val="0077711A"/>
    <w:rsid w:val="007773AE"/>
    <w:rsid w:val="00777789"/>
    <w:rsid w:val="0077778C"/>
    <w:rsid w:val="00777CD2"/>
    <w:rsid w:val="00777D1A"/>
    <w:rsid w:val="00777E6D"/>
    <w:rsid w:val="00777FA6"/>
    <w:rsid w:val="00777FCC"/>
    <w:rsid w:val="00780084"/>
    <w:rsid w:val="007802F9"/>
    <w:rsid w:val="00780541"/>
    <w:rsid w:val="00780617"/>
    <w:rsid w:val="007807F3"/>
    <w:rsid w:val="007809B8"/>
    <w:rsid w:val="007809E7"/>
    <w:rsid w:val="00780BB3"/>
    <w:rsid w:val="00780D9E"/>
    <w:rsid w:val="00780E5D"/>
    <w:rsid w:val="007813C1"/>
    <w:rsid w:val="007814AB"/>
    <w:rsid w:val="007814F2"/>
    <w:rsid w:val="0078189F"/>
    <w:rsid w:val="00781BEF"/>
    <w:rsid w:val="00781C13"/>
    <w:rsid w:val="00781C96"/>
    <w:rsid w:val="00781EA9"/>
    <w:rsid w:val="007820BF"/>
    <w:rsid w:val="00782305"/>
    <w:rsid w:val="00782599"/>
    <w:rsid w:val="0078262A"/>
    <w:rsid w:val="00782A7E"/>
    <w:rsid w:val="00782D4D"/>
    <w:rsid w:val="00782D7F"/>
    <w:rsid w:val="00782EE3"/>
    <w:rsid w:val="00783197"/>
    <w:rsid w:val="007833CA"/>
    <w:rsid w:val="007834F3"/>
    <w:rsid w:val="00783A1E"/>
    <w:rsid w:val="00783B53"/>
    <w:rsid w:val="0078476D"/>
    <w:rsid w:val="007847CD"/>
    <w:rsid w:val="00784840"/>
    <w:rsid w:val="00784C02"/>
    <w:rsid w:val="00784C1B"/>
    <w:rsid w:val="00784D76"/>
    <w:rsid w:val="00784E22"/>
    <w:rsid w:val="00784FC2"/>
    <w:rsid w:val="00785562"/>
    <w:rsid w:val="00785A27"/>
    <w:rsid w:val="00785F6D"/>
    <w:rsid w:val="0078660B"/>
    <w:rsid w:val="00786A73"/>
    <w:rsid w:val="00786ACC"/>
    <w:rsid w:val="00786CE9"/>
    <w:rsid w:val="00786D0E"/>
    <w:rsid w:val="00786D77"/>
    <w:rsid w:val="00787634"/>
    <w:rsid w:val="0078784E"/>
    <w:rsid w:val="00787999"/>
    <w:rsid w:val="0079035A"/>
    <w:rsid w:val="007906A1"/>
    <w:rsid w:val="007906F9"/>
    <w:rsid w:val="007907BA"/>
    <w:rsid w:val="00790A2B"/>
    <w:rsid w:val="00790A2F"/>
    <w:rsid w:val="00790E92"/>
    <w:rsid w:val="0079139D"/>
    <w:rsid w:val="00791536"/>
    <w:rsid w:val="007915C8"/>
    <w:rsid w:val="007915DD"/>
    <w:rsid w:val="00791AC8"/>
    <w:rsid w:val="0079224B"/>
    <w:rsid w:val="0079229A"/>
    <w:rsid w:val="0079230E"/>
    <w:rsid w:val="00792514"/>
    <w:rsid w:val="007925DE"/>
    <w:rsid w:val="00792683"/>
    <w:rsid w:val="007926C8"/>
    <w:rsid w:val="007926E9"/>
    <w:rsid w:val="00792813"/>
    <w:rsid w:val="00792AAC"/>
    <w:rsid w:val="00792D38"/>
    <w:rsid w:val="0079348E"/>
    <w:rsid w:val="007935C4"/>
    <w:rsid w:val="007936A6"/>
    <w:rsid w:val="007936F3"/>
    <w:rsid w:val="00793884"/>
    <w:rsid w:val="00794503"/>
    <w:rsid w:val="007946CE"/>
    <w:rsid w:val="00794740"/>
    <w:rsid w:val="007948B5"/>
    <w:rsid w:val="007949EC"/>
    <w:rsid w:val="00794BA7"/>
    <w:rsid w:val="00794F8E"/>
    <w:rsid w:val="00795330"/>
    <w:rsid w:val="007954DA"/>
    <w:rsid w:val="007959A9"/>
    <w:rsid w:val="007959D7"/>
    <w:rsid w:val="00795AC3"/>
    <w:rsid w:val="00795AD3"/>
    <w:rsid w:val="00795BEE"/>
    <w:rsid w:val="007962E0"/>
    <w:rsid w:val="00796386"/>
    <w:rsid w:val="007966B4"/>
    <w:rsid w:val="00796862"/>
    <w:rsid w:val="00796CFC"/>
    <w:rsid w:val="00796D4B"/>
    <w:rsid w:val="00797165"/>
    <w:rsid w:val="007974B1"/>
    <w:rsid w:val="00797545"/>
    <w:rsid w:val="007975F5"/>
    <w:rsid w:val="00797701"/>
    <w:rsid w:val="00797CF0"/>
    <w:rsid w:val="00797F43"/>
    <w:rsid w:val="007A055C"/>
    <w:rsid w:val="007A0767"/>
    <w:rsid w:val="007A0928"/>
    <w:rsid w:val="007A0C8F"/>
    <w:rsid w:val="007A0D76"/>
    <w:rsid w:val="007A111B"/>
    <w:rsid w:val="007A1381"/>
    <w:rsid w:val="007A16F4"/>
    <w:rsid w:val="007A194E"/>
    <w:rsid w:val="007A19B2"/>
    <w:rsid w:val="007A19E0"/>
    <w:rsid w:val="007A1D46"/>
    <w:rsid w:val="007A2072"/>
    <w:rsid w:val="007A2162"/>
    <w:rsid w:val="007A216C"/>
    <w:rsid w:val="007A242A"/>
    <w:rsid w:val="007A2553"/>
    <w:rsid w:val="007A2A37"/>
    <w:rsid w:val="007A2E2A"/>
    <w:rsid w:val="007A3364"/>
    <w:rsid w:val="007A3CC4"/>
    <w:rsid w:val="007A3D28"/>
    <w:rsid w:val="007A3FE3"/>
    <w:rsid w:val="007A4074"/>
    <w:rsid w:val="007A41F4"/>
    <w:rsid w:val="007A44F7"/>
    <w:rsid w:val="007A476B"/>
    <w:rsid w:val="007A483E"/>
    <w:rsid w:val="007A4DE6"/>
    <w:rsid w:val="007A4E7D"/>
    <w:rsid w:val="007A518E"/>
    <w:rsid w:val="007A51C1"/>
    <w:rsid w:val="007A55C4"/>
    <w:rsid w:val="007A55F4"/>
    <w:rsid w:val="007A5738"/>
    <w:rsid w:val="007A573A"/>
    <w:rsid w:val="007A58E0"/>
    <w:rsid w:val="007A5B85"/>
    <w:rsid w:val="007A5D89"/>
    <w:rsid w:val="007A5EEB"/>
    <w:rsid w:val="007A5F26"/>
    <w:rsid w:val="007A60E5"/>
    <w:rsid w:val="007A62FD"/>
    <w:rsid w:val="007A64CF"/>
    <w:rsid w:val="007A6708"/>
    <w:rsid w:val="007A685F"/>
    <w:rsid w:val="007A6ED6"/>
    <w:rsid w:val="007A71D7"/>
    <w:rsid w:val="007A7600"/>
    <w:rsid w:val="007A7960"/>
    <w:rsid w:val="007B0002"/>
    <w:rsid w:val="007B017D"/>
    <w:rsid w:val="007B01AF"/>
    <w:rsid w:val="007B075C"/>
    <w:rsid w:val="007B083D"/>
    <w:rsid w:val="007B09B4"/>
    <w:rsid w:val="007B09D1"/>
    <w:rsid w:val="007B0ACC"/>
    <w:rsid w:val="007B1265"/>
    <w:rsid w:val="007B1A21"/>
    <w:rsid w:val="007B1ACD"/>
    <w:rsid w:val="007B21B1"/>
    <w:rsid w:val="007B234D"/>
    <w:rsid w:val="007B2840"/>
    <w:rsid w:val="007B28B4"/>
    <w:rsid w:val="007B2E7A"/>
    <w:rsid w:val="007B2FDF"/>
    <w:rsid w:val="007B30EA"/>
    <w:rsid w:val="007B33D2"/>
    <w:rsid w:val="007B354B"/>
    <w:rsid w:val="007B3A86"/>
    <w:rsid w:val="007B3DE7"/>
    <w:rsid w:val="007B4246"/>
    <w:rsid w:val="007B43A1"/>
    <w:rsid w:val="007B4499"/>
    <w:rsid w:val="007B473D"/>
    <w:rsid w:val="007B4BFD"/>
    <w:rsid w:val="007B5366"/>
    <w:rsid w:val="007B5419"/>
    <w:rsid w:val="007B544B"/>
    <w:rsid w:val="007B55D0"/>
    <w:rsid w:val="007B58B3"/>
    <w:rsid w:val="007B5B06"/>
    <w:rsid w:val="007B5E6F"/>
    <w:rsid w:val="007B5F7A"/>
    <w:rsid w:val="007B6199"/>
    <w:rsid w:val="007B63AE"/>
    <w:rsid w:val="007B677E"/>
    <w:rsid w:val="007B690E"/>
    <w:rsid w:val="007B6AAE"/>
    <w:rsid w:val="007B6C4C"/>
    <w:rsid w:val="007B6F26"/>
    <w:rsid w:val="007B7279"/>
    <w:rsid w:val="007B7837"/>
    <w:rsid w:val="007B7A69"/>
    <w:rsid w:val="007B7DF3"/>
    <w:rsid w:val="007B7E46"/>
    <w:rsid w:val="007B7F1B"/>
    <w:rsid w:val="007C056D"/>
    <w:rsid w:val="007C05EB"/>
    <w:rsid w:val="007C0F4F"/>
    <w:rsid w:val="007C1743"/>
    <w:rsid w:val="007C1AA2"/>
    <w:rsid w:val="007C1F3A"/>
    <w:rsid w:val="007C2114"/>
    <w:rsid w:val="007C231D"/>
    <w:rsid w:val="007C23AE"/>
    <w:rsid w:val="007C261E"/>
    <w:rsid w:val="007C2806"/>
    <w:rsid w:val="007C2AEF"/>
    <w:rsid w:val="007C2DEB"/>
    <w:rsid w:val="007C34BA"/>
    <w:rsid w:val="007C3946"/>
    <w:rsid w:val="007C3A53"/>
    <w:rsid w:val="007C3A83"/>
    <w:rsid w:val="007C3C2C"/>
    <w:rsid w:val="007C4201"/>
    <w:rsid w:val="007C463C"/>
    <w:rsid w:val="007C46BA"/>
    <w:rsid w:val="007C4ABD"/>
    <w:rsid w:val="007C4B44"/>
    <w:rsid w:val="007C5273"/>
    <w:rsid w:val="007C59EB"/>
    <w:rsid w:val="007C5A14"/>
    <w:rsid w:val="007C5C83"/>
    <w:rsid w:val="007C5D8A"/>
    <w:rsid w:val="007C6321"/>
    <w:rsid w:val="007C662A"/>
    <w:rsid w:val="007C66AF"/>
    <w:rsid w:val="007C6958"/>
    <w:rsid w:val="007C6A21"/>
    <w:rsid w:val="007C6AAA"/>
    <w:rsid w:val="007C708A"/>
    <w:rsid w:val="007C70D1"/>
    <w:rsid w:val="007C7680"/>
    <w:rsid w:val="007C7D92"/>
    <w:rsid w:val="007D00FA"/>
    <w:rsid w:val="007D014E"/>
    <w:rsid w:val="007D022D"/>
    <w:rsid w:val="007D0527"/>
    <w:rsid w:val="007D0846"/>
    <w:rsid w:val="007D0C47"/>
    <w:rsid w:val="007D0D50"/>
    <w:rsid w:val="007D0DD4"/>
    <w:rsid w:val="007D0EF7"/>
    <w:rsid w:val="007D16FF"/>
    <w:rsid w:val="007D1A42"/>
    <w:rsid w:val="007D1A5A"/>
    <w:rsid w:val="007D1AFC"/>
    <w:rsid w:val="007D1DCE"/>
    <w:rsid w:val="007D1DE9"/>
    <w:rsid w:val="007D221D"/>
    <w:rsid w:val="007D269C"/>
    <w:rsid w:val="007D26D0"/>
    <w:rsid w:val="007D2B58"/>
    <w:rsid w:val="007D2B94"/>
    <w:rsid w:val="007D2CAF"/>
    <w:rsid w:val="007D31A0"/>
    <w:rsid w:val="007D34B9"/>
    <w:rsid w:val="007D35B2"/>
    <w:rsid w:val="007D3AEC"/>
    <w:rsid w:val="007D3FD8"/>
    <w:rsid w:val="007D4DC3"/>
    <w:rsid w:val="007D50FE"/>
    <w:rsid w:val="007D5181"/>
    <w:rsid w:val="007D5317"/>
    <w:rsid w:val="007D5450"/>
    <w:rsid w:val="007D573B"/>
    <w:rsid w:val="007D57F6"/>
    <w:rsid w:val="007D5967"/>
    <w:rsid w:val="007D5E26"/>
    <w:rsid w:val="007D5F56"/>
    <w:rsid w:val="007D602B"/>
    <w:rsid w:val="007D61E4"/>
    <w:rsid w:val="007D628A"/>
    <w:rsid w:val="007D62B4"/>
    <w:rsid w:val="007D64D8"/>
    <w:rsid w:val="007D6551"/>
    <w:rsid w:val="007D67A4"/>
    <w:rsid w:val="007D69BC"/>
    <w:rsid w:val="007D6AFB"/>
    <w:rsid w:val="007D6BAA"/>
    <w:rsid w:val="007D6D5E"/>
    <w:rsid w:val="007D6FC8"/>
    <w:rsid w:val="007D7175"/>
    <w:rsid w:val="007D73E1"/>
    <w:rsid w:val="007D769B"/>
    <w:rsid w:val="007D76AE"/>
    <w:rsid w:val="007D77C7"/>
    <w:rsid w:val="007D7CC8"/>
    <w:rsid w:val="007E0349"/>
    <w:rsid w:val="007E0432"/>
    <w:rsid w:val="007E0597"/>
    <w:rsid w:val="007E069D"/>
    <w:rsid w:val="007E0BC4"/>
    <w:rsid w:val="007E0F92"/>
    <w:rsid w:val="007E122B"/>
    <w:rsid w:val="007E155B"/>
    <w:rsid w:val="007E1915"/>
    <w:rsid w:val="007E2202"/>
    <w:rsid w:val="007E249B"/>
    <w:rsid w:val="007E2590"/>
    <w:rsid w:val="007E2756"/>
    <w:rsid w:val="007E2770"/>
    <w:rsid w:val="007E288F"/>
    <w:rsid w:val="007E2A73"/>
    <w:rsid w:val="007E2E46"/>
    <w:rsid w:val="007E2F5A"/>
    <w:rsid w:val="007E320E"/>
    <w:rsid w:val="007E323E"/>
    <w:rsid w:val="007E340D"/>
    <w:rsid w:val="007E3484"/>
    <w:rsid w:val="007E3982"/>
    <w:rsid w:val="007E4176"/>
    <w:rsid w:val="007E41A5"/>
    <w:rsid w:val="007E4646"/>
    <w:rsid w:val="007E4795"/>
    <w:rsid w:val="007E48FD"/>
    <w:rsid w:val="007E4EB3"/>
    <w:rsid w:val="007E4EE6"/>
    <w:rsid w:val="007E5099"/>
    <w:rsid w:val="007E50C5"/>
    <w:rsid w:val="007E55BE"/>
    <w:rsid w:val="007E5A5A"/>
    <w:rsid w:val="007E5BC4"/>
    <w:rsid w:val="007E5CD4"/>
    <w:rsid w:val="007E5CE2"/>
    <w:rsid w:val="007E5D41"/>
    <w:rsid w:val="007E5E2C"/>
    <w:rsid w:val="007E5F27"/>
    <w:rsid w:val="007E6043"/>
    <w:rsid w:val="007E619E"/>
    <w:rsid w:val="007E6254"/>
    <w:rsid w:val="007E62B4"/>
    <w:rsid w:val="007E656D"/>
    <w:rsid w:val="007E65DD"/>
    <w:rsid w:val="007E66E2"/>
    <w:rsid w:val="007E67FB"/>
    <w:rsid w:val="007E6AAB"/>
    <w:rsid w:val="007E6FAA"/>
    <w:rsid w:val="007E7501"/>
    <w:rsid w:val="007E756C"/>
    <w:rsid w:val="007E7B9F"/>
    <w:rsid w:val="007E7D0D"/>
    <w:rsid w:val="007E7E1C"/>
    <w:rsid w:val="007F0776"/>
    <w:rsid w:val="007F07F4"/>
    <w:rsid w:val="007F07FD"/>
    <w:rsid w:val="007F0BF6"/>
    <w:rsid w:val="007F0CB8"/>
    <w:rsid w:val="007F0FD2"/>
    <w:rsid w:val="007F1016"/>
    <w:rsid w:val="007F10FC"/>
    <w:rsid w:val="007F142B"/>
    <w:rsid w:val="007F190C"/>
    <w:rsid w:val="007F19AA"/>
    <w:rsid w:val="007F2272"/>
    <w:rsid w:val="007F2306"/>
    <w:rsid w:val="007F26DB"/>
    <w:rsid w:val="007F2C18"/>
    <w:rsid w:val="007F2DF4"/>
    <w:rsid w:val="007F2F43"/>
    <w:rsid w:val="007F2F4D"/>
    <w:rsid w:val="007F320F"/>
    <w:rsid w:val="007F37AD"/>
    <w:rsid w:val="007F37AE"/>
    <w:rsid w:val="007F38D3"/>
    <w:rsid w:val="007F3C73"/>
    <w:rsid w:val="007F42CF"/>
    <w:rsid w:val="007F4331"/>
    <w:rsid w:val="007F48BB"/>
    <w:rsid w:val="007F48ED"/>
    <w:rsid w:val="007F4D56"/>
    <w:rsid w:val="007F4D74"/>
    <w:rsid w:val="007F4F16"/>
    <w:rsid w:val="007F53A9"/>
    <w:rsid w:val="007F55F1"/>
    <w:rsid w:val="007F5C43"/>
    <w:rsid w:val="007F5D52"/>
    <w:rsid w:val="007F5EAD"/>
    <w:rsid w:val="007F5F33"/>
    <w:rsid w:val="007F6724"/>
    <w:rsid w:val="007F67A9"/>
    <w:rsid w:val="007F691E"/>
    <w:rsid w:val="007F6E0C"/>
    <w:rsid w:val="007F727C"/>
    <w:rsid w:val="007F73E2"/>
    <w:rsid w:val="007F748F"/>
    <w:rsid w:val="007F7624"/>
    <w:rsid w:val="007F76BB"/>
    <w:rsid w:val="007F7E2B"/>
    <w:rsid w:val="0080043A"/>
    <w:rsid w:val="00800555"/>
    <w:rsid w:val="00800593"/>
    <w:rsid w:val="008005CC"/>
    <w:rsid w:val="0080060F"/>
    <w:rsid w:val="00800797"/>
    <w:rsid w:val="00800C51"/>
    <w:rsid w:val="00800CA5"/>
    <w:rsid w:val="00800CAA"/>
    <w:rsid w:val="00800FC4"/>
    <w:rsid w:val="00801189"/>
    <w:rsid w:val="00801548"/>
    <w:rsid w:val="00801586"/>
    <w:rsid w:val="0080159E"/>
    <w:rsid w:val="008019DF"/>
    <w:rsid w:val="00801A3A"/>
    <w:rsid w:val="00801E69"/>
    <w:rsid w:val="00802385"/>
    <w:rsid w:val="0080240A"/>
    <w:rsid w:val="008026E5"/>
    <w:rsid w:val="0080298A"/>
    <w:rsid w:val="0080298B"/>
    <w:rsid w:val="00802A07"/>
    <w:rsid w:val="00802C75"/>
    <w:rsid w:val="00802DA5"/>
    <w:rsid w:val="00803046"/>
    <w:rsid w:val="00803776"/>
    <w:rsid w:val="008037DB"/>
    <w:rsid w:val="008039AB"/>
    <w:rsid w:val="00803B4B"/>
    <w:rsid w:val="00803CE6"/>
    <w:rsid w:val="008040B3"/>
    <w:rsid w:val="008040BC"/>
    <w:rsid w:val="008040E8"/>
    <w:rsid w:val="00804470"/>
    <w:rsid w:val="008045AD"/>
    <w:rsid w:val="008048AD"/>
    <w:rsid w:val="00804913"/>
    <w:rsid w:val="00804ABA"/>
    <w:rsid w:val="00804E79"/>
    <w:rsid w:val="0080503F"/>
    <w:rsid w:val="00805262"/>
    <w:rsid w:val="00805269"/>
    <w:rsid w:val="0080543D"/>
    <w:rsid w:val="008055A7"/>
    <w:rsid w:val="008055EA"/>
    <w:rsid w:val="0080578D"/>
    <w:rsid w:val="008058F6"/>
    <w:rsid w:val="00805C7D"/>
    <w:rsid w:val="00805DE6"/>
    <w:rsid w:val="00805FB9"/>
    <w:rsid w:val="00806141"/>
    <w:rsid w:val="00806932"/>
    <w:rsid w:val="00806B10"/>
    <w:rsid w:val="00806BF8"/>
    <w:rsid w:val="00807252"/>
    <w:rsid w:val="00807383"/>
    <w:rsid w:val="00807419"/>
    <w:rsid w:val="008076A5"/>
    <w:rsid w:val="008077B2"/>
    <w:rsid w:val="0080780B"/>
    <w:rsid w:val="008078B7"/>
    <w:rsid w:val="00807C1A"/>
    <w:rsid w:val="00807CE2"/>
    <w:rsid w:val="00807CE5"/>
    <w:rsid w:val="00810474"/>
    <w:rsid w:val="008111F2"/>
    <w:rsid w:val="0081147E"/>
    <w:rsid w:val="00812128"/>
    <w:rsid w:val="00812176"/>
    <w:rsid w:val="00812321"/>
    <w:rsid w:val="00812AAE"/>
    <w:rsid w:val="00812AF2"/>
    <w:rsid w:val="00812D5C"/>
    <w:rsid w:val="00812E06"/>
    <w:rsid w:val="00813274"/>
    <w:rsid w:val="00813288"/>
    <w:rsid w:val="00813315"/>
    <w:rsid w:val="008133B2"/>
    <w:rsid w:val="008136B2"/>
    <w:rsid w:val="00813804"/>
    <w:rsid w:val="00813855"/>
    <w:rsid w:val="00813888"/>
    <w:rsid w:val="00813B99"/>
    <w:rsid w:val="008141D2"/>
    <w:rsid w:val="0081445E"/>
    <w:rsid w:val="0081457A"/>
    <w:rsid w:val="008145BC"/>
    <w:rsid w:val="00814711"/>
    <w:rsid w:val="00814855"/>
    <w:rsid w:val="00814AC5"/>
    <w:rsid w:val="00814AF0"/>
    <w:rsid w:val="00814D42"/>
    <w:rsid w:val="00814F0E"/>
    <w:rsid w:val="00815556"/>
    <w:rsid w:val="00815A27"/>
    <w:rsid w:val="00816359"/>
    <w:rsid w:val="00816442"/>
    <w:rsid w:val="008164CF"/>
    <w:rsid w:val="0081656D"/>
    <w:rsid w:val="0081659C"/>
    <w:rsid w:val="00816884"/>
    <w:rsid w:val="00816F05"/>
    <w:rsid w:val="00817166"/>
    <w:rsid w:val="00817469"/>
    <w:rsid w:val="008174E0"/>
    <w:rsid w:val="008177C2"/>
    <w:rsid w:val="00817A33"/>
    <w:rsid w:val="00817C17"/>
    <w:rsid w:val="008200F6"/>
    <w:rsid w:val="0082043D"/>
    <w:rsid w:val="008204D5"/>
    <w:rsid w:val="008206A5"/>
    <w:rsid w:val="008208ED"/>
    <w:rsid w:val="00820AEC"/>
    <w:rsid w:val="00820B2F"/>
    <w:rsid w:val="00820CE9"/>
    <w:rsid w:val="00820D90"/>
    <w:rsid w:val="00820DC9"/>
    <w:rsid w:val="00820F3A"/>
    <w:rsid w:val="00820FC7"/>
    <w:rsid w:val="00821271"/>
    <w:rsid w:val="00821C68"/>
    <w:rsid w:val="00821C76"/>
    <w:rsid w:val="00821C8D"/>
    <w:rsid w:val="00821CA8"/>
    <w:rsid w:val="00822050"/>
    <w:rsid w:val="0082225E"/>
    <w:rsid w:val="00822425"/>
    <w:rsid w:val="0082242E"/>
    <w:rsid w:val="00822787"/>
    <w:rsid w:val="00822798"/>
    <w:rsid w:val="00822DF8"/>
    <w:rsid w:val="00822E12"/>
    <w:rsid w:val="00822F9D"/>
    <w:rsid w:val="00822FEE"/>
    <w:rsid w:val="0082313E"/>
    <w:rsid w:val="008232CC"/>
    <w:rsid w:val="0082343D"/>
    <w:rsid w:val="00823459"/>
    <w:rsid w:val="00823477"/>
    <w:rsid w:val="00823C26"/>
    <w:rsid w:val="00823EAE"/>
    <w:rsid w:val="00823F6F"/>
    <w:rsid w:val="00824055"/>
    <w:rsid w:val="0082405D"/>
    <w:rsid w:val="008242B4"/>
    <w:rsid w:val="00824671"/>
    <w:rsid w:val="008246B9"/>
    <w:rsid w:val="00824A4A"/>
    <w:rsid w:val="00824AF1"/>
    <w:rsid w:val="00824BE7"/>
    <w:rsid w:val="00824D37"/>
    <w:rsid w:val="00824D4D"/>
    <w:rsid w:val="00824E46"/>
    <w:rsid w:val="00825189"/>
    <w:rsid w:val="0082519E"/>
    <w:rsid w:val="008252D3"/>
    <w:rsid w:val="00825335"/>
    <w:rsid w:val="008253A1"/>
    <w:rsid w:val="008257AA"/>
    <w:rsid w:val="0082585C"/>
    <w:rsid w:val="008259D7"/>
    <w:rsid w:val="00825B33"/>
    <w:rsid w:val="00825C27"/>
    <w:rsid w:val="00825CBB"/>
    <w:rsid w:val="00825DFA"/>
    <w:rsid w:val="00825FA7"/>
    <w:rsid w:val="008263BD"/>
    <w:rsid w:val="008264D6"/>
    <w:rsid w:val="0082663A"/>
    <w:rsid w:val="008266F1"/>
    <w:rsid w:val="008268CA"/>
    <w:rsid w:val="00826994"/>
    <w:rsid w:val="008269A8"/>
    <w:rsid w:val="00826EB4"/>
    <w:rsid w:val="008270C1"/>
    <w:rsid w:val="008270CD"/>
    <w:rsid w:val="008273FF"/>
    <w:rsid w:val="0082748B"/>
    <w:rsid w:val="008275F5"/>
    <w:rsid w:val="008276E7"/>
    <w:rsid w:val="00827733"/>
    <w:rsid w:val="00827924"/>
    <w:rsid w:val="00827ACF"/>
    <w:rsid w:val="00827F8D"/>
    <w:rsid w:val="00830030"/>
    <w:rsid w:val="008300C9"/>
    <w:rsid w:val="00830447"/>
    <w:rsid w:val="008306D8"/>
    <w:rsid w:val="00830920"/>
    <w:rsid w:val="00830AC8"/>
    <w:rsid w:val="00830C27"/>
    <w:rsid w:val="008313BB"/>
    <w:rsid w:val="008313E6"/>
    <w:rsid w:val="00831943"/>
    <w:rsid w:val="00831B63"/>
    <w:rsid w:val="00831BD2"/>
    <w:rsid w:val="00831E69"/>
    <w:rsid w:val="00831EFF"/>
    <w:rsid w:val="00831F1E"/>
    <w:rsid w:val="0083219B"/>
    <w:rsid w:val="0083247A"/>
    <w:rsid w:val="00832DA5"/>
    <w:rsid w:val="008331E9"/>
    <w:rsid w:val="008332FE"/>
    <w:rsid w:val="00833474"/>
    <w:rsid w:val="00833663"/>
    <w:rsid w:val="008336D4"/>
    <w:rsid w:val="008337A8"/>
    <w:rsid w:val="00833AF4"/>
    <w:rsid w:val="00833BA9"/>
    <w:rsid w:val="00833CCA"/>
    <w:rsid w:val="00833DDE"/>
    <w:rsid w:val="0083403D"/>
    <w:rsid w:val="00834301"/>
    <w:rsid w:val="0083440F"/>
    <w:rsid w:val="00834420"/>
    <w:rsid w:val="00834505"/>
    <w:rsid w:val="008345BF"/>
    <w:rsid w:val="00834876"/>
    <w:rsid w:val="008348F3"/>
    <w:rsid w:val="00834AAD"/>
    <w:rsid w:val="00834CE9"/>
    <w:rsid w:val="00835077"/>
    <w:rsid w:val="00835635"/>
    <w:rsid w:val="00835773"/>
    <w:rsid w:val="00835B17"/>
    <w:rsid w:val="00835CCC"/>
    <w:rsid w:val="00835FCE"/>
    <w:rsid w:val="0083602B"/>
    <w:rsid w:val="00836126"/>
    <w:rsid w:val="00836715"/>
    <w:rsid w:val="00836E03"/>
    <w:rsid w:val="00836EFF"/>
    <w:rsid w:val="00836F2C"/>
    <w:rsid w:val="00837848"/>
    <w:rsid w:val="008379C8"/>
    <w:rsid w:val="00837D08"/>
    <w:rsid w:val="00840853"/>
    <w:rsid w:val="0084097C"/>
    <w:rsid w:val="00840AAC"/>
    <w:rsid w:val="00840B80"/>
    <w:rsid w:val="00841076"/>
    <w:rsid w:val="008416C0"/>
    <w:rsid w:val="008416F2"/>
    <w:rsid w:val="008418B1"/>
    <w:rsid w:val="008418F3"/>
    <w:rsid w:val="008419C5"/>
    <w:rsid w:val="00841BFE"/>
    <w:rsid w:val="00841C7E"/>
    <w:rsid w:val="00841F59"/>
    <w:rsid w:val="00841F66"/>
    <w:rsid w:val="0084226A"/>
    <w:rsid w:val="00842BB3"/>
    <w:rsid w:val="00842F90"/>
    <w:rsid w:val="0084310E"/>
    <w:rsid w:val="00843591"/>
    <w:rsid w:val="00843761"/>
    <w:rsid w:val="008438B6"/>
    <w:rsid w:val="00843AA6"/>
    <w:rsid w:val="00843E2B"/>
    <w:rsid w:val="00843FFE"/>
    <w:rsid w:val="0084406B"/>
    <w:rsid w:val="008443BA"/>
    <w:rsid w:val="0084458D"/>
    <w:rsid w:val="00844606"/>
    <w:rsid w:val="008446F6"/>
    <w:rsid w:val="00844AA5"/>
    <w:rsid w:val="008458D1"/>
    <w:rsid w:val="00845939"/>
    <w:rsid w:val="00845AEA"/>
    <w:rsid w:val="00845C2E"/>
    <w:rsid w:val="00845D3D"/>
    <w:rsid w:val="00845F26"/>
    <w:rsid w:val="00846069"/>
    <w:rsid w:val="008460AE"/>
    <w:rsid w:val="008462C7"/>
    <w:rsid w:val="0084644F"/>
    <w:rsid w:val="008464D2"/>
    <w:rsid w:val="008465E6"/>
    <w:rsid w:val="00846905"/>
    <w:rsid w:val="00846A7E"/>
    <w:rsid w:val="00847379"/>
    <w:rsid w:val="00847536"/>
    <w:rsid w:val="008476AA"/>
    <w:rsid w:val="008477BD"/>
    <w:rsid w:val="0084781B"/>
    <w:rsid w:val="0084791B"/>
    <w:rsid w:val="0084796D"/>
    <w:rsid w:val="00847B3A"/>
    <w:rsid w:val="00847CB1"/>
    <w:rsid w:val="00847D3B"/>
    <w:rsid w:val="00847ED7"/>
    <w:rsid w:val="00847F2D"/>
    <w:rsid w:val="008500FA"/>
    <w:rsid w:val="00850396"/>
    <w:rsid w:val="008506D0"/>
    <w:rsid w:val="00850895"/>
    <w:rsid w:val="008509E2"/>
    <w:rsid w:val="00850CC6"/>
    <w:rsid w:val="00850DEB"/>
    <w:rsid w:val="008511B7"/>
    <w:rsid w:val="008512A6"/>
    <w:rsid w:val="008513C5"/>
    <w:rsid w:val="008513EA"/>
    <w:rsid w:val="008514DE"/>
    <w:rsid w:val="008514F5"/>
    <w:rsid w:val="008517C9"/>
    <w:rsid w:val="008517EE"/>
    <w:rsid w:val="00851A99"/>
    <w:rsid w:val="00851B1C"/>
    <w:rsid w:val="00851B27"/>
    <w:rsid w:val="00851C82"/>
    <w:rsid w:val="00851ED1"/>
    <w:rsid w:val="00851F36"/>
    <w:rsid w:val="00852052"/>
    <w:rsid w:val="00852113"/>
    <w:rsid w:val="00852141"/>
    <w:rsid w:val="0085294E"/>
    <w:rsid w:val="00852A01"/>
    <w:rsid w:val="00852BFE"/>
    <w:rsid w:val="00852F8B"/>
    <w:rsid w:val="00853100"/>
    <w:rsid w:val="0085396A"/>
    <w:rsid w:val="00853A2E"/>
    <w:rsid w:val="00853D05"/>
    <w:rsid w:val="00853D12"/>
    <w:rsid w:val="00853F0F"/>
    <w:rsid w:val="00853F97"/>
    <w:rsid w:val="008540EB"/>
    <w:rsid w:val="0085431B"/>
    <w:rsid w:val="0085444A"/>
    <w:rsid w:val="008544B5"/>
    <w:rsid w:val="00854566"/>
    <w:rsid w:val="00854AC2"/>
    <w:rsid w:val="00854BC0"/>
    <w:rsid w:val="00854C05"/>
    <w:rsid w:val="008558EF"/>
    <w:rsid w:val="008559FD"/>
    <w:rsid w:val="00855C66"/>
    <w:rsid w:val="00855D46"/>
    <w:rsid w:val="008560CE"/>
    <w:rsid w:val="008561F9"/>
    <w:rsid w:val="00856992"/>
    <w:rsid w:val="00856A09"/>
    <w:rsid w:val="00856AA3"/>
    <w:rsid w:val="00857DEE"/>
    <w:rsid w:val="00857DF4"/>
    <w:rsid w:val="008607F2"/>
    <w:rsid w:val="00860AD4"/>
    <w:rsid w:val="00860C63"/>
    <w:rsid w:val="00860DB7"/>
    <w:rsid w:val="00860DD6"/>
    <w:rsid w:val="00860F8F"/>
    <w:rsid w:val="00860F9B"/>
    <w:rsid w:val="00861272"/>
    <w:rsid w:val="00861477"/>
    <w:rsid w:val="008614CA"/>
    <w:rsid w:val="0086179E"/>
    <w:rsid w:val="00862226"/>
    <w:rsid w:val="00862902"/>
    <w:rsid w:val="00862C4F"/>
    <w:rsid w:val="00862CD3"/>
    <w:rsid w:val="00862DAC"/>
    <w:rsid w:val="00863378"/>
    <w:rsid w:val="008637E9"/>
    <w:rsid w:val="00863958"/>
    <w:rsid w:val="00863D7C"/>
    <w:rsid w:val="00863DF7"/>
    <w:rsid w:val="00863E90"/>
    <w:rsid w:val="00863EF6"/>
    <w:rsid w:val="0086409B"/>
    <w:rsid w:val="00864660"/>
    <w:rsid w:val="00864B33"/>
    <w:rsid w:val="00864B88"/>
    <w:rsid w:val="0086511E"/>
    <w:rsid w:val="0086530E"/>
    <w:rsid w:val="008654CA"/>
    <w:rsid w:val="00865506"/>
    <w:rsid w:val="0086566F"/>
    <w:rsid w:val="008656F8"/>
    <w:rsid w:val="008658AA"/>
    <w:rsid w:val="00865C52"/>
    <w:rsid w:val="00865D6C"/>
    <w:rsid w:val="00865DC7"/>
    <w:rsid w:val="00865FE9"/>
    <w:rsid w:val="00866341"/>
    <w:rsid w:val="0086637F"/>
    <w:rsid w:val="00866B94"/>
    <w:rsid w:val="00866EB5"/>
    <w:rsid w:val="00866EEF"/>
    <w:rsid w:val="00867014"/>
    <w:rsid w:val="00867290"/>
    <w:rsid w:val="008672FE"/>
    <w:rsid w:val="00867459"/>
    <w:rsid w:val="00867703"/>
    <w:rsid w:val="00867833"/>
    <w:rsid w:val="00867B6F"/>
    <w:rsid w:val="00867CE1"/>
    <w:rsid w:val="00867DA2"/>
    <w:rsid w:val="00867E4D"/>
    <w:rsid w:val="00867F26"/>
    <w:rsid w:val="00867F43"/>
    <w:rsid w:val="0087007B"/>
    <w:rsid w:val="0087008C"/>
    <w:rsid w:val="008700CA"/>
    <w:rsid w:val="008701E7"/>
    <w:rsid w:val="008703C3"/>
    <w:rsid w:val="00870508"/>
    <w:rsid w:val="00870722"/>
    <w:rsid w:val="008709A1"/>
    <w:rsid w:val="00870B54"/>
    <w:rsid w:val="00870C6F"/>
    <w:rsid w:val="00870C8B"/>
    <w:rsid w:val="00871095"/>
    <w:rsid w:val="008714E6"/>
    <w:rsid w:val="0087151E"/>
    <w:rsid w:val="00871A9E"/>
    <w:rsid w:val="00871AF3"/>
    <w:rsid w:val="00871B95"/>
    <w:rsid w:val="00872461"/>
    <w:rsid w:val="008724E3"/>
    <w:rsid w:val="0087271B"/>
    <w:rsid w:val="00872DB3"/>
    <w:rsid w:val="00873001"/>
    <w:rsid w:val="00873068"/>
    <w:rsid w:val="0087326F"/>
    <w:rsid w:val="00873530"/>
    <w:rsid w:val="008735DD"/>
    <w:rsid w:val="008737CC"/>
    <w:rsid w:val="00873986"/>
    <w:rsid w:val="00873CDB"/>
    <w:rsid w:val="00873E43"/>
    <w:rsid w:val="00874609"/>
    <w:rsid w:val="0087490F"/>
    <w:rsid w:val="00874991"/>
    <w:rsid w:val="00874AD4"/>
    <w:rsid w:val="00874B51"/>
    <w:rsid w:val="00874DD4"/>
    <w:rsid w:val="00874E18"/>
    <w:rsid w:val="008751E6"/>
    <w:rsid w:val="0087531F"/>
    <w:rsid w:val="00875B1F"/>
    <w:rsid w:val="00875D8A"/>
    <w:rsid w:val="00875FD1"/>
    <w:rsid w:val="00875FFE"/>
    <w:rsid w:val="00876321"/>
    <w:rsid w:val="0087659D"/>
    <w:rsid w:val="00876731"/>
    <w:rsid w:val="00876797"/>
    <w:rsid w:val="008769B5"/>
    <w:rsid w:val="00876B80"/>
    <w:rsid w:val="00876E8B"/>
    <w:rsid w:val="008774C0"/>
    <w:rsid w:val="00877BD5"/>
    <w:rsid w:val="00877DE5"/>
    <w:rsid w:val="00877F09"/>
    <w:rsid w:val="0088010C"/>
    <w:rsid w:val="008802CA"/>
    <w:rsid w:val="00880355"/>
    <w:rsid w:val="0088051A"/>
    <w:rsid w:val="00880834"/>
    <w:rsid w:val="00880CBB"/>
    <w:rsid w:val="00880FD7"/>
    <w:rsid w:val="0088127C"/>
    <w:rsid w:val="0088159C"/>
    <w:rsid w:val="00881887"/>
    <w:rsid w:val="008818E4"/>
    <w:rsid w:val="00881FA5"/>
    <w:rsid w:val="008822D5"/>
    <w:rsid w:val="00882364"/>
    <w:rsid w:val="008823A3"/>
    <w:rsid w:val="008824F9"/>
    <w:rsid w:val="008826DC"/>
    <w:rsid w:val="00882967"/>
    <w:rsid w:val="00882BE0"/>
    <w:rsid w:val="00882C14"/>
    <w:rsid w:val="00882E4B"/>
    <w:rsid w:val="00883483"/>
    <w:rsid w:val="008839E4"/>
    <w:rsid w:val="00883CA2"/>
    <w:rsid w:val="00883D38"/>
    <w:rsid w:val="00883E17"/>
    <w:rsid w:val="00884163"/>
    <w:rsid w:val="008842DF"/>
    <w:rsid w:val="00884465"/>
    <w:rsid w:val="0088477C"/>
    <w:rsid w:val="0088484D"/>
    <w:rsid w:val="00884CE8"/>
    <w:rsid w:val="00884EF2"/>
    <w:rsid w:val="008852AB"/>
    <w:rsid w:val="0088545A"/>
    <w:rsid w:val="00885671"/>
    <w:rsid w:val="00885D54"/>
    <w:rsid w:val="00885E17"/>
    <w:rsid w:val="008863A6"/>
    <w:rsid w:val="00886435"/>
    <w:rsid w:val="008865E3"/>
    <w:rsid w:val="008865F9"/>
    <w:rsid w:val="008866E0"/>
    <w:rsid w:val="00886F5E"/>
    <w:rsid w:val="008872C2"/>
    <w:rsid w:val="008872C6"/>
    <w:rsid w:val="00887CAB"/>
    <w:rsid w:val="00887F2E"/>
    <w:rsid w:val="0089021A"/>
    <w:rsid w:val="008902C1"/>
    <w:rsid w:val="00890481"/>
    <w:rsid w:val="00890B56"/>
    <w:rsid w:val="00890ED1"/>
    <w:rsid w:val="00891182"/>
    <w:rsid w:val="008911CD"/>
    <w:rsid w:val="00891206"/>
    <w:rsid w:val="00892250"/>
    <w:rsid w:val="008922AC"/>
    <w:rsid w:val="008922E2"/>
    <w:rsid w:val="0089248B"/>
    <w:rsid w:val="00892A3C"/>
    <w:rsid w:val="00892BFA"/>
    <w:rsid w:val="00893121"/>
    <w:rsid w:val="00893473"/>
    <w:rsid w:val="00893656"/>
    <w:rsid w:val="0089365A"/>
    <w:rsid w:val="0089396D"/>
    <w:rsid w:val="008939CF"/>
    <w:rsid w:val="00893B73"/>
    <w:rsid w:val="00893CEE"/>
    <w:rsid w:val="00893D96"/>
    <w:rsid w:val="0089400A"/>
    <w:rsid w:val="00894067"/>
    <w:rsid w:val="00894301"/>
    <w:rsid w:val="008944F0"/>
    <w:rsid w:val="00894772"/>
    <w:rsid w:val="008949E8"/>
    <w:rsid w:val="00894BCE"/>
    <w:rsid w:val="00894BFF"/>
    <w:rsid w:val="00894C3C"/>
    <w:rsid w:val="0089516D"/>
    <w:rsid w:val="00895193"/>
    <w:rsid w:val="008952F1"/>
    <w:rsid w:val="00895545"/>
    <w:rsid w:val="00895D58"/>
    <w:rsid w:val="00895E0F"/>
    <w:rsid w:val="00895F87"/>
    <w:rsid w:val="008961A7"/>
    <w:rsid w:val="008962CD"/>
    <w:rsid w:val="008963A5"/>
    <w:rsid w:val="00896575"/>
    <w:rsid w:val="00896612"/>
    <w:rsid w:val="008968D9"/>
    <w:rsid w:val="0089690E"/>
    <w:rsid w:val="00896A26"/>
    <w:rsid w:val="00896BC5"/>
    <w:rsid w:val="00896ED7"/>
    <w:rsid w:val="0089797E"/>
    <w:rsid w:val="00897A0E"/>
    <w:rsid w:val="00897ED1"/>
    <w:rsid w:val="00897F20"/>
    <w:rsid w:val="008A0453"/>
    <w:rsid w:val="008A061D"/>
    <w:rsid w:val="008A07CE"/>
    <w:rsid w:val="008A07F0"/>
    <w:rsid w:val="008A0C6F"/>
    <w:rsid w:val="008A1609"/>
    <w:rsid w:val="008A1BAA"/>
    <w:rsid w:val="008A1BC1"/>
    <w:rsid w:val="008A1E72"/>
    <w:rsid w:val="008A2413"/>
    <w:rsid w:val="008A25A6"/>
    <w:rsid w:val="008A2904"/>
    <w:rsid w:val="008A291F"/>
    <w:rsid w:val="008A2E0C"/>
    <w:rsid w:val="008A34E0"/>
    <w:rsid w:val="008A368E"/>
    <w:rsid w:val="008A36F0"/>
    <w:rsid w:val="008A37E5"/>
    <w:rsid w:val="008A401D"/>
    <w:rsid w:val="008A4256"/>
    <w:rsid w:val="008A451C"/>
    <w:rsid w:val="008A47DC"/>
    <w:rsid w:val="008A4824"/>
    <w:rsid w:val="008A49B1"/>
    <w:rsid w:val="008A4F1E"/>
    <w:rsid w:val="008A529E"/>
    <w:rsid w:val="008A53F8"/>
    <w:rsid w:val="008A56DC"/>
    <w:rsid w:val="008A5771"/>
    <w:rsid w:val="008A57FB"/>
    <w:rsid w:val="008A5E33"/>
    <w:rsid w:val="008A5ED4"/>
    <w:rsid w:val="008A63B0"/>
    <w:rsid w:val="008A65AB"/>
    <w:rsid w:val="008A6623"/>
    <w:rsid w:val="008A663D"/>
    <w:rsid w:val="008A680F"/>
    <w:rsid w:val="008A6A40"/>
    <w:rsid w:val="008A728F"/>
    <w:rsid w:val="008A73C1"/>
    <w:rsid w:val="008A74D2"/>
    <w:rsid w:val="008A76A5"/>
    <w:rsid w:val="008B007B"/>
    <w:rsid w:val="008B052D"/>
    <w:rsid w:val="008B0B57"/>
    <w:rsid w:val="008B0CB1"/>
    <w:rsid w:val="008B1089"/>
    <w:rsid w:val="008B1146"/>
    <w:rsid w:val="008B114F"/>
    <w:rsid w:val="008B1150"/>
    <w:rsid w:val="008B1161"/>
    <w:rsid w:val="008B1293"/>
    <w:rsid w:val="008B13DE"/>
    <w:rsid w:val="008B1813"/>
    <w:rsid w:val="008B1870"/>
    <w:rsid w:val="008B21B6"/>
    <w:rsid w:val="008B2236"/>
    <w:rsid w:val="008B226B"/>
    <w:rsid w:val="008B22DB"/>
    <w:rsid w:val="008B297A"/>
    <w:rsid w:val="008B2FAB"/>
    <w:rsid w:val="008B31D5"/>
    <w:rsid w:val="008B3498"/>
    <w:rsid w:val="008B3A18"/>
    <w:rsid w:val="008B3A4A"/>
    <w:rsid w:val="008B3D66"/>
    <w:rsid w:val="008B411F"/>
    <w:rsid w:val="008B4175"/>
    <w:rsid w:val="008B4397"/>
    <w:rsid w:val="008B444E"/>
    <w:rsid w:val="008B44D0"/>
    <w:rsid w:val="008B452F"/>
    <w:rsid w:val="008B4626"/>
    <w:rsid w:val="008B47CA"/>
    <w:rsid w:val="008B48B7"/>
    <w:rsid w:val="008B4976"/>
    <w:rsid w:val="008B4FC7"/>
    <w:rsid w:val="008B5102"/>
    <w:rsid w:val="008B548D"/>
    <w:rsid w:val="008B58E7"/>
    <w:rsid w:val="008B5E20"/>
    <w:rsid w:val="008B615E"/>
    <w:rsid w:val="008B63D6"/>
    <w:rsid w:val="008B67BC"/>
    <w:rsid w:val="008B6E48"/>
    <w:rsid w:val="008B6FC0"/>
    <w:rsid w:val="008B7102"/>
    <w:rsid w:val="008B7149"/>
    <w:rsid w:val="008B71D6"/>
    <w:rsid w:val="008B723D"/>
    <w:rsid w:val="008B76EE"/>
    <w:rsid w:val="008B7721"/>
    <w:rsid w:val="008B77E9"/>
    <w:rsid w:val="008B781A"/>
    <w:rsid w:val="008B7CB2"/>
    <w:rsid w:val="008C0597"/>
    <w:rsid w:val="008C081E"/>
    <w:rsid w:val="008C0BCD"/>
    <w:rsid w:val="008C0E6B"/>
    <w:rsid w:val="008C1B54"/>
    <w:rsid w:val="008C23C8"/>
    <w:rsid w:val="008C23C9"/>
    <w:rsid w:val="008C24CB"/>
    <w:rsid w:val="008C2C78"/>
    <w:rsid w:val="008C2E28"/>
    <w:rsid w:val="008C2FA9"/>
    <w:rsid w:val="008C30E7"/>
    <w:rsid w:val="008C310E"/>
    <w:rsid w:val="008C32A9"/>
    <w:rsid w:val="008C33E6"/>
    <w:rsid w:val="008C363C"/>
    <w:rsid w:val="008C37DA"/>
    <w:rsid w:val="008C3A88"/>
    <w:rsid w:val="008C3B2E"/>
    <w:rsid w:val="008C4352"/>
    <w:rsid w:val="008C4456"/>
    <w:rsid w:val="008C47FA"/>
    <w:rsid w:val="008C497B"/>
    <w:rsid w:val="008C4C86"/>
    <w:rsid w:val="008C4CC1"/>
    <w:rsid w:val="008C4DF2"/>
    <w:rsid w:val="008C4F20"/>
    <w:rsid w:val="008C5008"/>
    <w:rsid w:val="008C525B"/>
    <w:rsid w:val="008C5B5B"/>
    <w:rsid w:val="008C5E64"/>
    <w:rsid w:val="008C65CC"/>
    <w:rsid w:val="008C6796"/>
    <w:rsid w:val="008C6D97"/>
    <w:rsid w:val="008C6FA4"/>
    <w:rsid w:val="008C7015"/>
    <w:rsid w:val="008C7160"/>
    <w:rsid w:val="008C73AC"/>
    <w:rsid w:val="008C7674"/>
    <w:rsid w:val="008C770D"/>
    <w:rsid w:val="008C781A"/>
    <w:rsid w:val="008C7953"/>
    <w:rsid w:val="008C79B9"/>
    <w:rsid w:val="008C7B2E"/>
    <w:rsid w:val="008C7C58"/>
    <w:rsid w:val="008C7C7C"/>
    <w:rsid w:val="008D052F"/>
    <w:rsid w:val="008D06AC"/>
    <w:rsid w:val="008D06CF"/>
    <w:rsid w:val="008D0782"/>
    <w:rsid w:val="008D0833"/>
    <w:rsid w:val="008D0D2A"/>
    <w:rsid w:val="008D0DA1"/>
    <w:rsid w:val="008D0DAA"/>
    <w:rsid w:val="008D115B"/>
    <w:rsid w:val="008D122C"/>
    <w:rsid w:val="008D1351"/>
    <w:rsid w:val="008D1B09"/>
    <w:rsid w:val="008D1B67"/>
    <w:rsid w:val="008D1DA5"/>
    <w:rsid w:val="008D204F"/>
    <w:rsid w:val="008D20E2"/>
    <w:rsid w:val="008D2521"/>
    <w:rsid w:val="008D2C41"/>
    <w:rsid w:val="008D3301"/>
    <w:rsid w:val="008D3347"/>
    <w:rsid w:val="008D394B"/>
    <w:rsid w:val="008D3AC8"/>
    <w:rsid w:val="008D4E81"/>
    <w:rsid w:val="008D4F44"/>
    <w:rsid w:val="008D5053"/>
    <w:rsid w:val="008D51EC"/>
    <w:rsid w:val="008D5326"/>
    <w:rsid w:val="008D53DC"/>
    <w:rsid w:val="008D5517"/>
    <w:rsid w:val="008D5530"/>
    <w:rsid w:val="008D582A"/>
    <w:rsid w:val="008D5960"/>
    <w:rsid w:val="008D5A82"/>
    <w:rsid w:val="008D5C2B"/>
    <w:rsid w:val="008D6132"/>
    <w:rsid w:val="008D6163"/>
    <w:rsid w:val="008D64F3"/>
    <w:rsid w:val="008D6627"/>
    <w:rsid w:val="008D684F"/>
    <w:rsid w:val="008D6B42"/>
    <w:rsid w:val="008D6B6B"/>
    <w:rsid w:val="008D6CA4"/>
    <w:rsid w:val="008D6CCB"/>
    <w:rsid w:val="008D6EF6"/>
    <w:rsid w:val="008D71C6"/>
    <w:rsid w:val="008D754B"/>
    <w:rsid w:val="008D7579"/>
    <w:rsid w:val="008D7731"/>
    <w:rsid w:val="008D77CB"/>
    <w:rsid w:val="008D7B61"/>
    <w:rsid w:val="008D7FB4"/>
    <w:rsid w:val="008E05F9"/>
    <w:rsid w:val="008E0629"/>
    <w:rsid w:val="008E06C1"/>
    <w:rsid w:val="008E089A"/>
    <w:rsid w:val="008E08AC"/>
    <w:rsid w:val="008E0967"/>
    <w:rsid w:val="008E0AE2"/>
    <w:rsid w:val="008E0F86"/>
    <w:rsid w:val="008E116D"/>
    <w:rsid w:val="008E14A9"/>
    <w:rsid w:val="008E1615"/>
    <w:rsid w:val="008E171E"/>
    <w:rsid w:val="008E1816"/>
    <w:rsid w:val="008E1A26"/>
    <w:rsid w:val="008E1CA0"/>
    <w:rsid w:val="008E1D4B"/>
    <w:rsid w:val="008E2A23"/>
    <w:rsid w:val="008E2ABF"/>
    <w:rsid w:val="008E2C87"/>
    <w:rsid w:val="008E37BC"/>
    <w:rsid w:val="008E3A51"/>
    <w:rsid w:val="008E3D95"/>
    <w:rsid w:val="008E3EDB"/>
    <w:rsid w:val="008E3FEB"/>
    <w:rsid w:val="008E4256"/>
    <w:rsid w:val="008E45AD"/>
    <w:rsid w:val="008E460F"/>
    <w:rsid w:val="008E48AD"/>
    <w:rsid w:val="008E48E8"/>
    <w:rsid w:val="008E4B6C"/>
    <w:rsid w:val="008E4F0C"/>
    <w:rsid w:val="008E503F"/>
    <w:rsid w:val="008E5070"/>
    <w:rsid w:val="008E53A2"/>
    <w:rsid w:val="008E5434"/>
    <w:rsid w:val="008E5B2F"/>
    <w:rsid w:val="008E5E6B"/>
    <w:rsid w:val="008E62A2"/>
    <w:rsid w:val="008E6841"/>
    <w:rsid w:val="008E694A"/>
    <w:rsid w:val="008E6BB6"/>
    <w:rsid w:val="008E6BBA"/>
    <w:rsid w:val="008E6E8C"/>
    <w:rsid w:val="008E6F38"/>
    <w:rsid w:val="008E7006"/>
    <w:rsid w:val="008E706E"/>
    <w:rsid w:val="008E7163"/>
    <w:rsid w:val="008E72F9"/>
    <w:rsid w:val="008E75DC"/>
    <w:rsid w:val="008E7B49"/>
    <w:rsid w:val="008E7B51"/>
    <w:rsid w:val="008E7CC6"/>
    <w:rsid w:val="008F0202"/>
    <w:rsid w:val="008F03B6"/>
    <w:rsid w:val="008F054C"/>
    <w:rsid w:val="008F0CE6"/>
    <w:rsid w:val="008F0D78"/>
    <w:rsid w:val="008F0FAA"/>
    <w:rsid w:val="008F122E"/>
    <w:rsid w:val="008F1286"/>
    <w:rsid w:val="008F1311"/>
    <w:rsid w:val="008F1584"/>
    <w:rsid w:val="008F1693"/>
    <w:rsid w:val="008F179B"/>
    <w:rsid w:val="008F18EC"/>
    <w:rsid w:val="008F1A55"/>
    <w:rsid w:val="008F1AF6"/>
    <w:rsid w:val="008F1F72"/>
    <w:rsid w:val="008F27AA"/>
    <w:rsid w:val="008F286D"/>
    <w:rsid w:val="008F2ACF"/>
    <w:rsid w:val="008F2BF5"/>
    <w:rsid w:val="008F2D5A"/>
    <w:rsid w:val="008F2E11"/>
    <w:rsid w:val="008F2E39"/>
    <w:rsid w:val="008F2EDB"/>
    <w:rsid w:val="008F313B"/>
    <w:rsid w:val="008F3270"/>
    <w:rsid w:val="008F3286"/>
    <w:rsid w:val="008F337D"/>
    <w:rsid w:val="008F3411"/>
    <w:rsid w:val="008F3484"/>
    <w:rsid w:val="008F389C"/>
    <w:rsid w:val="008F4055"/>
    <w:rsid w:val="008F45B6"/>
    <w:rsid w:val="008F45F2"/>
    <w:rsid w:val="008F46DA"/>
    <w:rsid w:val="008F4920"/>
    <w:rsid w:val="008F4C85"/>
    <w:rsid w:val="008F4E07"/>
    <w:rsid w:val="008F4F30"/>
    <w:rsid w:val="008F4F8E"/>
    <w:rsid w:val="008F55E8"/>
    <w:rsid w:val="008F56EA"/>
    <w:rsid w:val="008F596E"/>
    <w:rsid w:val="008F5F8F"/>
    <w:rsid w:val="008F68DC"/>
    <w:rsid w:val="008F6AFF"/>
    <w:rsid w:val="008F7036"/>
    <w:rsid w:val="008F71E8"/>
    <w:rsid w:val="008F725B"/>
    <w:rsid w:val="008F726F"/>
    <w:rsid w:val="008F7C31"/>
    <w:rsid w:val="008F7CB3"/>
    <w:rsid w:val="008F7EA1"/>
    <w:rsid w:val="00900429"/>
    <w:rsid w:val="0090044B"/>
    <w:rsid w:val="009005A2"/>
    <w:rsid w:val="00900C94"/>
    <w:rsid w:val="009010AA"/>
    <w:rsid w:val="009011E8"/>
    <w:rsid w:val="009014A7"/>
    <w:rsid w:val="0090153F"/>
    <w:rsid w:val="00901EF1"/>
    <w:rsid w:val="009020C2"/>
    <w:rsid w:val="0090280E"/>
    <w:rsid w:val="0090287A"/>
    <w:rsid w:val="00902E36"/>
    <w:rsid w:val="00902E73"/>
    <w:rsid w:val="00902FFC"/>
    <w:rsid w:val="009030C4"/>
    <w:rsid w:val="00903532"/>
    <w:rsid w:val="00903906"/>
    <w:rsid w:val="00903914"/>
    <w:rsid w:val="00903B72"/>
    <w:rsid w:val="00903BF8"/>
    <w:rsid w:val="009040B5"/>
    <w:rsid w:val="0090460F"/>
    <w:rsid w:val="009046B5"/>
    <w:rsid w:val="00905201"/>
    <w:rsid w:val="00905396"/>
    <w:rsid w:val="009054A3"/>
    <w:rsid w:val="00905775"/>
    <w:rsid w:val="00905939"/>
    <w:rsid w:val="0090594B"/>
    <w:rsid w:val="009059C1"/>
    <w:rsid w:val="00905A22"/>
    <w:rsid w:val="00905DB4"/>
    <w:rsid w:val="00906310"/>
    <w:rsid w:val="009064A7"/>
    <w:rsid w:val="00906817"/>
    <w:rsid w:val="009069DA"/>
    <w:rsid w:val="00906C6F"/>
    <w:rsid w:val="009070A1"/>
    <w:rsid w:val="00907123"/>
    <w:rsid w:val="00907197"/>
    <w:rsid w:val="009073ED"/>
    <w:rsid w:val="00907604"/>
    <w:rsid w:val="00907AC2"/>
    <w:rsid w:val="00907B27"/>
    <w:rsid w:val="00907BBE"/>
    <w:rsid w:val="00907E9A"/>
    <w:rsid w:val="00910259"/>
    <w:rsid w:val="00910422"/>
    <w:rsid w:val="00910455"/>
    <w:rsid w:val="009107F5"/>
    <w:rsid w:val="00910832"/>
    <w:rsid w:val="00910A32"/>
    <w:rsid w:val="00910CED"/>
    <w:rsid w:val="00910EE8"/>
    <w:rsid w:val="00910F83"/>
    <w:rsid w:val="00911278"/>
    <w:rsid w:val="009115BB"/>
    <w:rsid w:val="00911639"/>
    <w:rsid w:val="009117C6"/>
    <w:rsid w:val="00911A9D"/>
    <w:rsid w:val="00911BBF"/>
    <w:rsid w:val="0091259A"/>
    <w:rsid w:val="00912BDE"/>
    <w:rsid w:val="00912EEE"/>
    <w:rsid w:val="00912F51"/>
    <w:rsid w:val="009131EC"/>
    <w:rsid w:val="0091324D"/>
    <w:rsid w:val="00913445"/>
    <w:rsid w:val="009136B4"/>
    <w:rsid w:val="009136CA"/>
    <w:rsid w:val="00913DCF"/>
    <w:rsid w:val="009141B2"/>
    <w:rsid w:val="009142AD"/>
    <w:rsid w:val="0091432D"/>
    <w:rsid w:val="00914BD1"/>
    <w:rsid w:val="00914CD0"/>
    <w:rsid w:val="00914DC0"/>
    <w:rsid w:val="00914F65"/>
    <w:rsid w:val="0091541B"/>
    <w:rsid w:val="009154B0"/>
    <w:rsid w:val="009157B2"/>
    <w:rsid w:val="00915A63"/>
    <w:rsid w:val="00915EF3"/>
    <w:rsid w:val="00915FC6"/>
    <w:rsid w:val="009168D4"/>
    <w:rsid w:val="00916CF7"/>
    <w:rsid w:val="00916EB2"/>
    <w:rsid w:val="00917175"/>
    <w:rsid w:val="0091762D"/>
    <w:rsid w:val="009177D8"/>
    <w:rsid w:val="00917A4F"/>
    <w:rsid w:val="00917B90"/>
    <w:rsid w:val="0092005C"/>
    <w:rsid w:val="009201DB"/>
    <w:rsid w:val="00920209"/>
    <w:rsid w:val="0092033B"/>
    <w:rsid w:val="009204C4"/>
    <w:rsid w:val="009205C1"/>
    <w:rsid w:val="0092067F"/>
    <w:rsid w:val="00920923"/>
    <w:rsid w:val="00920ADB"/>
    <w:rsid w:val="00920BF1"/>
    <w:rsid w:val="00920C92"/>
    <w:rsid w:val="00920CBF"/>
    <w:rsid w:val="00920D77"/>
    <w:rsid w:val="009210F0"/>
    <w:rsid w:val="009211D1"/>
    <w:rsid w:val="009217D6"/>
    <w:rsid w:val="009217EE"/>
    <w:rsid w:val="00921846"/>
    <w:rsid w:val="0092184A"/>
    <w:rsid w:val="00921CAD"/>
    <w:rsid w:val="00922481"/>
    <w:rsid w:val="009226FB"/>
    <w:rsid w:val="00922ECF"/>
    <w:rsid w:val="00923092"/>
    <w:rsid w:val="009231BC"/>
    <w:rsid w:val="009231DC"/>
    <w:rsid w:val="0092330D"/>
    <w:rsid w:val="009233CD"/>
    <w:rsid w:val="009234A1"/>
    <w:rsid w:val="00923881"/>
    <w:rsid w:val="00923A7F"/>
    <w:rsid w:val="00923B39"/>
    <w:rsid w:val="00923CAC"/>
    <w:rsid w:val="00923D1C"/>
    <w:rsid w:val="00924208"/>
    <w:rsid w:val="009246EF"/>
    <w:rsid w:val="0092498B"/>
    <w:rsid w:val="009249A3"/>
    <w:rsid w:val="00924B8D"/>
    <w:rsid w:val="00924D43"/>
    <w:rsid w:val="00924F9A"/>
    <w:rsid w:val="0092510C"/>
    <w:rsid w:val="009251E1"/>
    <w:rsid w:val="009252F0"/>
    <w:rsid w:val="00925946"/>
    <w:rsid w:val="00925AD5"/>
    <w:rsid w:val="00925FBF"/>
    <w:rsid w:val="0092606F"/>
    <w:rsid w:val="009263BA"/>
    <w:rsid w:val="0092657E"/>
    <w:rsid w:val="00926837"/>
    <w:rsid w:val="00926A86"/>
    <w:rsid w:val="00927126"/>
    <w:rsid w:val="009276B5"/>
    <w:rsid w:val="00927913"/>
    <w:rsid w:val="00927987"/>
    <w:rsid w:val="00927B2F"/>
    <w:rsid w:val="00927C80"/>
    <w:rsid w:val="00927F58"/>
    <w:rsid w:val="00930063"/>
    <w:rsid w:val="009305F1"/>
    <w:rsid w:val="0093065A"/>
    <w:rsid w:val="00930B2A"/>
    <w:rsid w:val="00930D85"/>
    <w:rsid w:val="00930F3E"/>
    <w:rsid w:val="00931144"/>
    <w:rsid w:val="009312FC"/>
    <w:rsid w:val="009315BA"/>
    <w:rsid w:val="0093175F"/>
    <w:rsid w:val="00931AB8"/>
    <w:rsid w:val="00931BC2"/>
    <w:rsid w:val="00931DB3"/>
    <w:rsid w:val="00931E9E"/>
    <w:rsid w:val="00932106"/>
    <w:rsid w:val="009326FE"/>
    <w:rsid w:val="00932746"/>
    <w:rsid w:val="009328DF"/>
    <w:rsid w:val="00932CA3"/>
    <w:rsid w:val="0093322F"/>
    <w:rsid w:val="00933350"/>
    <w:rsid w:val="00933379"/>
    <w:rsid w:val="009337AC"/>
    <w:rsid w:val="00933813"/>
    <w:rsid w:val="00933BCC"/>
    <w:rsid w:val="00933D05"/>
    <w:rsid w:val="00933E0F"/>
    <w:rsid w:val="009342D9"/>
    <w:rsid w:val="009342F2"/>
    <w:rsid w:val="00934309"/>
    <w:rsid w:val="00934709"/>
    <w:rsid w:val="00934800"/>
    <w:rsid w:val="0093481E"/>
    <w:rsid w:val="0093485C"/>
    <w:rsid w:val="00934C2A"/>
    <w:rsid w:val="00934E49"/>
    <w:rsid w:val="00934F9A"/>
    <w:rsid w:val="00935410"/>
    <w:rsid w:val="009355EC"/>
    <w:rsid w:val="009355F5"/>
    <w:rsid w:val="00935B2B"/>
    <w:rsid w:val="00935B74"/>
    <w:rsid w:val="00935F85"/>
    <w:rsid w:val="00936658"/>
    <w:rsid w:val="00936CCE"/>
    <w:rsid w:val="00936CF4"/>
    <w:rsid w:val="00936E80"/>
    <w:rsid w:val="009370A1"/>
    <w:rsid w:val="00937175"/>
    <w:rsid w:val="00937760"/>
    <w:rsid w:val="009377E4"/>
    <w:rsid w:val="00937BB5"/>
    <w:rsid w:val="0094008E"/>
    <w:rsid w:val="00940266"/>
    <w:rsid w:val="00940537"/>
    <w:rsid w:val="009406DE"/>
    <w:rsid w:val="00940CDC"/>
    <w:rsid w:val="00940EBC"/>
    <w:rsid w:val="00940F49"/>
    <w:rsid w:val="0094112C"/>
    <w:rsid w:val="009412BE"/>
    <w:rsid w:val="009413F8"/>
    <w:rsid w:val="00941920"/>
    <w:rsid w:val="009419EE"/>
    <w:rsid w:val="00941D68"/>
    <w:rsid w:val="00941FAC"/>
    <w:rsid w:val="00942270"/>
    <w:rsid w:val="009427AB"/>
    <w:rsid w:val="009429B6"/>
    <w:rsid w:val="0094321B"/>
    <w:rsid w:val="00943A3D"/>
    <w:rsid w:val="00943DCF"/>
    <w:rsid w:val="00943DE2"/>
    <w:rsid w:val="00943E9A"/>
    <w:rsid w:val="009441E4"/>
    <w:rsid w:val="009441F5"/>
    <w:rsid w:val="009442FA"/>
    <w:rsid w:val="00944375"/>
    <w:rsid w:val="00944845"/>
    <w:rsid w:val="00944B9C"/>
    <w:rsid w:val="00944E0B"/>
    <w:rsid w:val="00944E96"/>
    <w:rsid w:val="009451C8"/>
    <w:rsid w:val="0094538B"/>
    <w:rsid w:val="009455B1"/>
    <w:rsid w:val="00945742"/>
    <w:rsid w:val="00945824"/>
    <w:rsid w:val="00945988"/>
    <w:rsid w:val="00945A6B"/>
    <w:rsid w:val="00945D77"/>
    <w:rsid w:val="00945F9F"/>
    <w:rsid w:val="00946198"/>
    <w:rsid w:val="0094624D"/>
    <w:rsid w:val="009463BF"/>
    <w:rsid w:val="0094667B"/>
    <w:rsid w:val="00946746"/>
    <w:rsid w:val="00946C09"/>
    <w:rsid w:val="00946EE4"/>
    <w:rsid w:val="00947339"/>
    <w:rsid w:val="009473AB"/>
    <w:rsid w:val="00947511"/>
    <w:rsid w:val="009475D0"/>
    <w:rsid w:val="00947611"/>
    <w:rsid w:val="00947D9F"/>
    <w:rsid w:val="00947E10"/>
    <w:rsid w:val="00947FE4"/>
    <w:rsid w:val="00950292"/>
    <w:rsid w:val="0095032F"/>
    <w:rsid w:val="00950499"/>
    <w:rsid w:val="00950937"/>
    <w:rsid w:val="00950AD0"/>
    <w:rsid w:val="00950AEF"/>
    <w:rsid w:val="009510C4"/>
    <w:rsid w:val="0095114E"/>
    <w:rsid w:val="0095147A"/>
    <w:rsid w:val="009516C4"/>
    <w:rsid w:val="009519DA"/>
    <w:rsid w:val="00951B64"/>
    <w:rsid w:val="00952202"/>
    <w:rsid w:val="0095239B"/>
    <w:rsid w:val="009525CB"/>
    <w:rsid w:val="009529F3"/>
    <w:rsid w:val="00952A1B"/>
    <w:rsid w:val="00952CFE"/>
    <w:rsid w:val="00952E5F"/>
    <w:rsid w:val="0095313A"/>
    <w:rsid w:val="009532AC"/>
    <w:rsid w:val="00953322"/>
    <w:rsid w:val="00953571"/>
    <w:rsid w:val="009537A7"/>
    <w:rsid w:val="00953A4C"/>
    <w:rsid w:val="00953A7E"/>
    <w:rsid w:val="00953CF4"/>
    <w:rsid w:val="00953F73"/>
    <w:rsid w:val="00953FA1"/>
    <w:rsid w:val="009541AC"/>
    <w:rsid w:val="00954263"/>
    <w:rsid w:val="00954286"/>
    <w:rsid w:val="009542A8"/>
    <w:rsid w:val="00954501"/>
    <w:rsid w:val="00954892"/>
    <w:rsid w:val="009549F9"/>
    <w:rsid w:val="00954ADB"/>
    <w:rsid w:val="00954BF0"/>
    <w:rsid w:val="009552EA"/>
    <w:rsid w:val="0095582B"/>
    <w:rsid w:val="009559B6"/>
    <w:rsid w:val="00955DDE"/>
    <w:rsid w:val="009561EF"/>
    <w:rsid w:val="00956793"/>
    <w:rsid w:val="00956827"/>
    <w:rsid w:val="009568F4"/>
    <w:rsid w:val="00956C96"/>
    <w:rsid w:val="00956E87"/>
    <w:rsid w:val="00956FD3"/>
    <w:rsid w:val="009571A6"/>
    <w:rsid w:val="0095738D"/>
    <w:rsid w:val="00957C78"/>
    <w:rsid w:val="00957CEF"/>
    <w:rsid w:val="00957E04"/>
    <w:rsid w:val="0096018A"/>
    <w:rsid w:val="0096034D"/>
    <w:rsid w:val="009603BD"/>
    <w:rsid w:val="00960559"/>
    <w:rsid w:val="009606F6"/>
    <w:rsid w:val="00960972"/>
    <w:rsid w:val="00960A6A"/>
    <w:rsid w:val="00960C62"/>
    <w:rsid w:val="00960C9C"/>
    <w:rsid w:val="00960FEE"/>
    <w:rsid w:val="009616EC"/>
    <w:rsid w:val="0096174B"/>
    <w:rsid w:val="00961909"/>
    <w:rsid w:val="00961B9A"/>
    <w:rsid w:val="00961D17"/>
    <w:rsid w:val="00961EA3"/>
    <w:rsid w:val="00961F76"/>
    <w:rsid w:val="00961FCD"/>
    <w:rsid w:val="0096203D"/>
    <w:rsid w:val="00962117"/>
    <w:rsid w:val="0096215D"/>
    <w:rsid w:val="009621C5"/>
    <w:rsid w:val="0096221B"/>
    <w:rsid w:val="00962243"/>
    <w:rsid w:val="00962362"/>
    <w:rsid w:val="00962A49"/>
    <w:rsid w:val="00962AF0"/>
    <w:rsid w:val="00962CC0"/>
    <w:rsid w:val="00962DA1"/>
    <w:rsid w:val="00962F80"/>
    <w:rsid w:val="00963025"/>
    <w:rsid w:val="00963187"/>
    <w:rsid w:val="00963420"/>
    <w:rsid w:val="009635A6"/>
    <w:rsid w:val="00963885"/>
    <w:rsid w:val="00963AC8"/>
    <w:rsid w:val="00963EC6"/>
    <w:rsid w:val="0096417C"/>
    <w:rsid w:val="009645D2"/>
    <w:rsid w:val="00964834"/>
    <w:rsid w:val="00964EA4"/>
    <w:rsid w:val="00964F50"/>
    <w:rsid w:val="009653A7"/>
    <w:rsid w:val="009658C6"/>
    <w:rsid w:val="00965AD4"/>
    <w:rsid w:val="00965C8E"/>
    <w:rsid w:val="00965CB9"/>
    <w:rsid w:val="00965DF9"/>
    <w:rsid w:val="00965FD4"/>
    <w:rsid w:val="00965FE7"/>
    <w:rsid w:val="009660AB"/>
    <w:rsid w:val="009661AC"/>
    <w:rsid w:val="00966389"/>
    <w:rsid w:val="009663F1"/>
    <w:rsid w:val="00966488"/>
    <w:rsid w:val="009665B9"/>
    <w:rsid w:val="009665DA"/>
    <w:rsid w:val="0096669B"/>
    <w:rsid w:val="00966998"/>
    <w:rsid w:val="009669BE"/>
    <w:rsid w:val="00966B4A"/>
    <w:rsid w:val="00967021"/>
    <w:rsid w:val="009674AC"/>
    <w:rsid w:val="00967660"/>
    <w:rsid w:val="009676C2"/>
    <w:rsid w:val="00967754"/>
    <w:rsid w:val="0096777C"/>
    <w:rsid w:val="009678A2"/>
    <w:rsid w:val="00967B58"/>
    <w:rsid w:val="00967EF5"/>
    <w:rsid w:val="00970039"/>
    <w:rsid w:val="009702C1"/>
    <w:rsid w:val="00970389"/>
    <w:rsid w:val="0097041A"/>
    <w:rsid w:val="00970687"/>
    <w:rsid w:val="00970793"/>
    <w:rsid w:val="0097083A"/>
    <w:rsid w:val="00970CD4"/>
    <w:rsid w:val="00970F19"/>
    <w:rsid w:val="00971146"/>
    <w:rsid w:val="009711A9"/>
    <w:rsid w:val="009711CD"/>
    <w:rsid w:val="0097195B"/>
    <w:rsid w:val="00971E6E"/>
    <w:rsid w:val="00971FDE"/>
    <w:rsid w:val="00972316"/>
    <w:rsid w:val="0097242F"/>
    <w:rsid w:val="00972E0C"/>
    <w:rsid w:val="00972F5B"/>
    <w:rsid w:val="009733B4"/>
    <w:rsid w:val="009733D4"/>
    <w:rsid w:val="009734B2"/>
    <w:rsid w:val="00973604"/>
    <w:rsid w:val="00973607"/>
    <w:rsid w:val="009739F4"/>
    <w:rsid w:val="00973BDF"/>
    <w:rsid w:val="00973FF9"/>
    <w:rsid w:val="009740EE"/>
    <w:rsid w:val="00974552"/>
    <w:rsid w:val="009745C3"/>
    <w:rsid w:val="009745F4"/>
    <w:rsid w:val="00974688"/>
    <w:rsid w:val="00974B6E"/>
    <w:rsid w:val="00974CD8"/>
    <w:rsid w:val="00974E5C"/>
    <w:rsid w:val="00975097"/>
    <w:rsid w:val="009753D0"/>
    <w:rsid w:val="00975444"/>
    <w:rsid w:val="00975594"/>
    <w:rsid w:val="0097578E"/>
    <w:rsid w:val="00975933"/>
    <w:rsid w:val="00975965"/>
    <w:rsid w:val="00975977"/>
    <w:rsid w:val="00975DB5"/>
    <w:rsid w:val="00976045"/>
    <w:rsid w:val="00976088"/>
    <w:rsid w:val="0097626D"/>
    <w:rsid w:val="00976338"/>
    <w:rsid w:val="00976442"/>
    <w:rsid w:val="00976A05"/>
    <w:rsid w:val="00976A8A"/>
    <w:rsid w:val="009772A5"/>
    <w:rsid w:val="00977342"/>
    <w:rsid w:val="00977354"/>
    <w:rsid w:val="009777C2"/>
    <w:rsid w:val="00977866"/>
    <w:rsid w:val="00977E3C"/>
    <w:rsid w:val="00980064"/>
    <w:rsid w:val="0098013A"/>
    <w:rsid w:val="00980301"/>
    <w:rsid w:val="009804B5"/>
    <w:rsid w:val="0098050D"/>
    <w:rsid w:val="0098083F"/>
    <w:rsid w:val="00980865"/>
    <w:rsid w:val="00980B01"/>
    <w:rsid w:val="00980B57"/>
    <w:rsid w:val="00980C90"/>
    <w:rsid w:val="00980E28"/>
    <w:rsid w:val="00980E63"/>
    <w:rsid w:val="009815EC"/>
    <w:rsid w:val="009818A8"/>
    <w:rsid w:val="00981C16"/>
    <w:rsid w:val="00981D00"/>
    <w:rsid w:val="00981D20"/>
    <w:rsid w:val="00981E6F"/>
    <w:rsid w:val="00982465"/>
    <w:rsid w:val="009824A2"/>
    <w:rsid w:val="009824D5"/>
    <w:rsid w:val="00982534"/>
    <w:rsid w:val="00982B80"/>
    <w:rsid w:val="00982CBB"/>
    <w:rsid w:val="00982E2B"/>
    <w:rsid w:val="00982E47"/>
    <w:rsid w:val="009830E6"/>
    <w:rsid w:val="0098325C"/>
    <w:rsid w:val="00983580"/>
    <w:rsid w:val="00983B10"/>
    <w:rsid w:val="00983DC3"/>
    <w:rsid w:val="0098408A"/>
    <w:rsid w:val="00984240"/>
    <w:rsid w:val="00984369"/>
    <w:rsid w:val="0098449E"/>
    <w:rsid w:val="0098464F"/>
    <w:rsid w:val="0098480B"/>
    <w:rsid w:val="00985149"/>
    <w:rsid w:val="00985488"/>
    <w:rsid w:val="009854FA"/>
    <w:rsid w:val="00985C21"/>
    <w:rsid w:val="00985C48"/>
    <w:rsid w:val="00985E24"/>
    <w:rsid w:val="0098673A"/>
    <w:rsid w:val="00986DA8"/>
    <w:rsid w:val="00986E12"/>
    <w:rsid w:val="009875AA"/>
    <w:rsid w:val="009877AD"/>
    <w:rsid w:val="009877BF"/>
    <w:rsid w:val="009901D2"/>
    <w:rsid w:val="00990461"/>
    <w:rsid w:val="00990698"/>
    <w:rsid w:val="00990790"/>
    <w:rsid w:val="0099095D"/>
    <w:rsid w:val="00990A5D"/>
    <w:rsid w:val="00990BE4"/>
    <w:rsid w:val="00990C54"/>
    <w:rsid w:val="009910BA"/>
    <w:rsid w:val="0099135D"/>
    <w:rsid w:val="0099168F"/>
    <w:rsid w:val="009918EC"/>
    <w:rsid w:val="00991D3C"/>
    <w:rsid w:val="00991D93"/>
    <w:rsid w:val="0099234E"/>
    <w:rsid w:val="00992394"/>
    <w:rsid w:val="0099261C"/>
    <w:rsid w:val="0099264F"/>
    <w:rsid w:val="009928FA"/>
    <w:rsid w:val="00992B2B"/>
    <w:rsid w:val="00992B68"/>
    <w:rsid w:val="00992D80"/>
    <w:rsid w:val="00993183"/>
    <w:rsid w:val="009932C9"/>
    <w:rsid w:val="00993329"/>
    <w:rsid w:val="0099366C"/>
    <w:rsid w:val="00993A2A"/>
    <w:rsid w:val="00993B08"/>
    <w:rsid w:val="00993B7B"/>
    <w:rsid w:val="00993B7C"/>
    <w:rsid w:val="00993CC2"/>
    <w:rsid w:val="00993DF8"/>
    <w:rsid w:val="0099414F"/>
    <w:rsid w:val="00994284"/>
    <w:rsid w:val="009945D8"/>
    <w:rsid w:val="0099470F"/>
    <w:rsid w:val="00994959"/>
    <w:rsid w:val="00994B76"/>
    <w:rsid w:val="00994CA4"/>
    <w:rsid w:val="00995104"/>
    <w:rsid w:val="009951D8"/>
    <w:rsid w:val="00995295"/>
    <w:rsid w:val="00995AC7"/>
    <w:rsid w:val="00995D14"/>
    <w:rsid w:val="00995D18"/>
    <w:rsid w:val="00995E52"/>
    <w:rsid w:val="00995E56"/>
    <w:rsid w:val="009960AC"/>
    <w:rsid w:val="009965FE"/>
    <w:rsid w:val="009966ED"/>
    <w:rsid w:val="00996960"/>
    <w:rsid w:val="00996ABB"/>
    <w:rsid w:val="00996F81"/>
    <w:rsid w:val="00996FA9"/>
    <w:rsid w:val="0099721B"/>
    <w:rsid w:val="00997369"/>
    <w:rsid w:val="0099745B"/>
    <w:rsid w:val="0099757A"/>
    <w:rsid w:val="0099773F"/>
    <w:rsid w:val="00997E3B"/>
    <w:rsid w:val="00997E9D"/>
    <w:rsid w:val="009A0087"/>
    <w:rsid w:val="009A0452"/>
    <w:rsid w:val="009A0582"/>
    <w:rsid w:val="009A05E5"/>
    <w:rsid w:val="009A0696"/>
    <w:rsid w:val="009A07BE"/>
    <w:rsid w:val="009A07FB"/>
    <w:rsid w:val="009A0922"/>
    <w:rsid w:val="009A0CE2"/>
    <w:rsid w:val="009A0D05"/>
    <w:rsid w:val="009A0DD2"/>
    <w:rsid w:val="009A0E0E"/>
    <w:rsid w:val="009A11FA"/>
    <w:rsid w:val="009A133C"/>
    <w:rsid w:val="009A15CF"/>
    <w:rsid w:val="009A174C"/>
    <w:rsid w:val="009A1896"/>
    <w:rsid w:val="009A1CB7"/>
    <w:rsid w:val="009A1F37"/>
    <w:rsid w:val="009A2048"/>
    <w:rsid w:val="009A207E"/>
    <w:rsid w:val="009A2518"/>
    <w:rsid w:val="009A26C8"/>
    <w:rsid w:val="009A26FF"/>
    <w:rsid w:val="009A27AE"/>
    <w:rsid w:val="009A2BEA"/>
    <w:rsid w:val="009A2C73"/>
    <w:rsid w:val="009A2EA3"/>
    <w:rsid w:val="009A302F"/>
    <w:rsid w:val="009A3191"/>
    <w:rsid w:val="009A39B2"/>
    <w:rsid w:val="009A3DA0"/>
    <w:rsid w:val="009A402B"/>
    <w:rsid w:val="009A41F0"/>
    <w:rsid w:val="009A4321"/>
    <w:rsid w:val="009A46B9"/>
    <w:rsid w:val="009A4A04"/>
    <w:rsid w:val="009A4A94"/>
    <w:rsid w:val="009A4CD7"/>
    <w:rsid w:val="009A4D3E"/>
    <w:rsid w:val="009A4F66"/>
    <w:rsid w:val="009A50A4"/>
    <w:rsid w:val="009A597B"/>
    <w:rsid w:val="009A60B8"/>
    <w:rsid w:val="009A6382"/>
    <w:rsid w:val="009A6A1A"/>
    <w:rsid w:val="009A6B3E"/>
    <w:rsid w:val="009A6BC5"/>
    <w:rsid w:val="009A6CA4"/>
    <w:rsid w:val="009A6EA0"/>
    <w:rsid w:val="009A6FD9"/>
    <w:rsid w:val="009A6FF6"/>
    <w:rsid w:val="009A70AF"/>
    <w:rsid w:val="009A724D"/>
    <w:rsid w:val="009A727F"/>
    <w:rsid w:val="009A742A"/>
    <w:rsid w:val="009A7692"/>
    <w:rsid w:val="009A772C"/>
    <w:rsid w:val="009A794E"/>
    <w:rsid w:val="009A7C10"/>
    <w:rsid w:val="009B000F"/>
    <w:rsid w:val="009B010F"/>
    <w:rsid w:val="009B018C"/>
    <w:rsid w:val="009B094D"/>
    <w:rsid w:val="009B09D9"/>
    <w:rsid w:val="009B0A3C"/>
    <w:rsid w:val="009B0CA1"/>
    <w:rsid w:val="009B0F4B"/>
    <w:rsid w:val="009B106D"/>
    <w:rsid w:val="009B1547"/>
    <w:rsid w:val="009B1561"/>
    <w:rsid w:val="009B15F1"/>
    <w:rsid w:val="009B172E"/>
    <w:rsid w:val="009B1742"/>
    <w:rsid w:val="009B1BCA"/>
    <w:rsid w:val="009B1CD1"/>
    <w:rsid w:val="009B1E2D"/>
    <w:rsid w:val="009B296B"/>
    <w:rsid w:val="009B2B38"/>
    <w:rsid w:val="009B33C7"/>
    <w:rsid w:val="009B3615"/>
    <w:rsid w:val="009B3B3A"/>
    <w:rsid w:val="009B4268"/>
    <w:rsid w:val="009B433D"/>
    <w:rsid w:val="009B46AF"/>
    <w:rsid w:val="009B4797"/>
    <w:rsid w:val="009B47BE"/>
    <w:rsid w:val="009B4CFD"/>
    <w:rsid w:val="009B4D72"/>
    <w:rsid w:val="009B4E72"/>
    <w:rsid w:val="009B504B"/>
    <w:rsid w:val="009B53BD"/>
    <w:rsid w:val="009B57EC"/>
    <w:rsid w:val="009B5BA4"/>
    <w:rsid w:val="009B5E8D"/>
    <w:rsid w:val="009B5F42"/>
    <w:rsid w:val="009B5FC2"/>
    <w:rsid w:val="009B61B8"/>
    <w:rsid w:val="009B6596"/>
    <w:rsid w:val="009B65AD"/>
    <w:rsid w:val="009B6B3D"/>
    <w:rsid w:val="009B6DA1"/>
    <w:rsid w:val="009B6F81"/>
    <w:rsid w:val="009B7003"/>
    <w:rsid w:val="009B782C"/>
    <w:rsid w:val="009B7E72"/>
    <w:rsid w:val="009B7EC9"/>
    <w:rsid w:val="009C056C"/>
    <w:rsid w:val="009C0732"/>
    <w:rsid w:val="009C0A90"/>
    <w:rsid w:val="009C0BE8"/>
    <w:rsid w:val="009C11F9"/>
    <w:rsid w:val="009C1250"/>
    <w:rsid w:val="009C1251"/>
    <w:rsid w:val="009C1551"/>
    <w:rsid w:val="009C1694"/>
    <w:rsid w:val="009C181E"/>
    <w:rsid w:val="009C18C4"/>
    <w:rsid w:val="009C1A28"/>
    <w:rsid w:val="009C1CDC"/>
    <w:rsid w:val="009C1D89"/>
    <w:rsid w:val="009C1E4E"/>
    <w:rsid w:val="009C20FD"/>
    <w:rsid w:val="009C22B2"/>
    <w:rsid w:val="009C235B"/>
    <w:rsid w:val="009C28FD"/>
    <w:rsid w:val="009C2E33"/>
    <w:rsid w:val="009C2F12"/>
    <w:rsid w:val="009C3222"/>
    <w:rsid w:val="009C33D9"/>
    <w:rsid w:val="009C34D0"/>
    <w:rsid w:val="009C3526"/>
    <w:rsid w:val="009C3623"/>
    <w:rsid w:val="009C3A20"/>
    <w:rsid w:val="009C3CD6"/>
    <w:rsid w:val="009C3E2F"/>
    <w:rsid w:val="009C3E87"/>
    <w:rsid w:val="009C40AA"/>
    <w:rsid w:val="009C40EF"/>
    <w:rsid w:val="009C46AC"/>
    <w:rsid w:val="009C4B49"/>
    <w:rsid w:val="009C4BBB"/>
    <w:rsid w:val="009C4C6C"/>
    <w:rsid w:val="009C4D2B"/>
    <w:rsid w:val="009C4F45"/>
    <w:rsid w:val="009C5039"/>
    <w:rsid w:val="009C5067"/>
    <w:rsid w:val="009C50A7"/>
    <w:rsid w:val="009C55B8"/>
    <w:rsid w:val="009C5634"/>
    <w:rsid w:val="009C565D"/>
    <w:rsid w:val="009C56E0"/>
    <w:rsid w:val="009C57B3"/>
    <w:rsid w:val="009C5864"/>
    <w:rsid w:val="009C5D3E"/>
    <w:rsid w:val="009C5F69"/>
    <w:rsid w:val="009C5FD2"/>
    <w:rsid w:val="009C6193"/>
    <w:rsid w:val="009C6265"/>
    <w:rsid w:val="009C626B"/>
    <w:rsid w:val="009C6BDC"/>
    <w:rsid w:val="009C6F03"/>
    <w:rsid w:val="009C7016"/>
    <w:rsid w:val="009C704D"/>
    <w:rsid w:val="009C7070"/>
    <w:rsid w:val="009C7289"/>
    <w:rsid w:val="009C72D9"/>
    <w:rsid w:val="009C7315"/>
    <w:rsid w:val="009C7770"/>
    <w:rsid w:val="009C7C5D"/>
    <w:rsid w:val="009C7D03"/>
    <w:rsid w:val="009D011E"/>
    <w:rsid w:val="009D0161"/>
    <w:rsid w:val="009D019B"/>
    <w:rsid w:val="009D05BF"/>
    <w:rsid w:val="009D08F6"/>
    <w:rsid w:val="009D09B5"/>
    <w:rsid w:val="009D15AE"/>
    <w:rsid w:val="009D17EA"/>
    <w:rsid w:val="009D17FA"/>
    <w:rsid w:val="009D18AC"/>
    <w:rsid w:val="009D1A01"/>
    <w:rsid w:val="009D1F0C"/>
    <w:rsid w:val="009D1F29"/>
    <w:rsid w:val="009D203F"/>
    <w:rsid w:val="009D268F"/>
    <w:rsid w:val="009D2740"/>
    <w:rsid w:val="009D2B9C"/>
    <w:rsid w:val="009D2BD0"/>
    <w:rsid w:val="009D2DE3"/>
    <w:rsid w:val="009D38C0"/>
    <w:rsid w:val="009D3A3D"/>
    <w:rsid w:val="009D3B39"/>
    <w:rsid w:val="009D3C12"/>
    <w:rsid w:val="009D3D89"/>
    <w:rsid w:val="009D4016"/>
    <w:rsid w:val="009D4291"/>
    <w:rsid w:val="009D4778"/>
    <w:rsid w:val="009D51AA"/>
    <w:rsid w:val="009D5417"/>
    <w:rsid w:val="009D569C"/>
    <w:rsid w:val="009D579A"/>
    <w:rsid w:val="009D58F8"/>
    <w:rsid w:val="009D5941"/>
    <w:rsid w:val="009D5C71"/>
    <w:rsid w:val="009D5E2A"/>
    <w:rsid w:val="009D6277"/>
    <w:rsid w:val="009D676E"/>
    <w:rsid w:val="009D691F"/>
    <w:rsid w:val="009D69AC"/>
    <w:rsid w:val="009D6A99"/>
    <w:rsid w:val="009D6DDE"/>
    <w:rsid w:val="009D704A"/>
    <w:rsid w:val="009D7112"/>
    <w:rsid w:val="009D72DF"/>
    <w:rsid w:val="009D755F"/>
    <w:rsid w:val="009D7797"/>
    <w:rsid w:val="009D7B15"/>
    <w:rsid w:val="009D7E7F"/>
    <w:rsid w:val="009E00DB"/>
    <w:rsid w:val="009E0625"/>
    <w:rsid w:val="009E0768"/>
    <w:rsid w:val="009E07CF"/>
    <w:rsid w:val="009E0978"/>
    <w:rsid w:val="009E0AD2"/>
    <w:rsid w:val="009E0B18"/>
    <w:rsid w:val="009E1439"/>
    <w:rsid w:val="009E149D"/>
    <w:rsid w:val="009E175C"/>
    <w:rsid w:val="009E175E"/>
    <w:rsid w:val="009E187B"/>
    <w:rsid w:val="009E19FF"/>
    <w:rsid w:val="009E1CA3"/>
    <w:rsid w:val="009E1D65"/>
    <w:rsid w:val="009E1DD1"/>
    <w:rsid w:val="009E1E6F"/>
    <w:rsid w:val="009E216E"/>
    <w:rsid w:val="009E2245"/>
    <w:rsid w:val="009E22DA"/>
    <w:rsid w:val="009E276A"/>
    <w:rsid w:val="009E27E3"/>
    <w:rsid w:val="009E29A1"/>
    <w:rsid w:val="009E2D74"/>
    <w:rsid w:val="009E2FE1"/>
    <w:rsid w:val="009E2FF2"/>
    <w:rsid w:val="009E3297"/>
    <w:rsid w:val="009E3E52"/>
    <w:rsid w:val="009E3EBA"/>
    <w:rsid w:val="009E430F"/>
    <w:rsid w:val="009E449A"/>
    <w:rsid w:val="009E44BB"/>
    <w:rsid w:val="009E4A53"/>
    <w:rsid w:val="009E4C2D"/>
    <w:rsid w:val="009E4CA1"/>
    <w:rsid w:val="009E4CC5"/>
    <w:rsid w:val="009E4F89"/>
    <w:rsid w:val="009E5394"/>
    <w:rsid w:val="009E53D3"/>
    <w:rsid w:val="009E5549"/>
    <w:rsid w:val="009E55D5"/>
    <w:rsid w:val="009E560C"/>
    <w:rsid w:val="009E57AD"/>
    <w:rsid w:val="009E592A"/>
    <w:rsid w:val="009E59B4"/>
    <w:rsid w:val="009E5B20"/>
    <w:rsid w:val="009E5B4D"/>
    <w:rsid w:val="009E5B90"/>
    <w:rsid w:val="009E5BF9"/>
    <w:rsid w:val="009E5DCF"/>
    <w:rsid w:val="009E5F36"/>
    <w:rsid w:val="009E5F3B"/>
    <w:rsid w:val="009E610E"/>
    <w:rsid w:val="009E634F"/>
    <w:rsid w:val="009E6426"/>
    <w:rsid w:val="009E6B48"/>
    <w:rsid w:val="009E6CDE"/>
    <w:rsid w:val="009E71AF"/>
    <w:rsid w:val="009E72D8"/>
    <w:rsid w:val="009E734D"/>
    <w:rsid w:val="009E7364"/>
    <w:rsid w:val="009E74F7"/>
    <w:rsid w:val="009E76F9"/>
    <w:rsid w:val="009E77FC"/>
    <w:rsid w:val="009E7C1D"/>
    <w:rsid w:val="009F0014"/>
    <w:rsid w:val="009F028D"/>
    <w:rsid w:val="009F09D7"/>
    <w:rsid w:val="009F0A1D"/>
    <w:rsid w:val="009F0BB9"/>
    <w:rsid w:val="009F0DCC"/>
    <w:rsid w:val="009F0E1A"/>
    <w:rsid w:val="009F122A"/>
    <w:rsid w:val="009F13D3"/>
    <w:rsid w:val="009F1C9B"/>
    <w:rsid w:val="009F1D06"/>
    <w:rsid w:val="009F2269"/>
    <w:rsid w:val="009F27B5"/>
    <w:rsid w:val="009F28B5"/>
    <w:rsid w:val="009F2E5F"/>
    <w:rsid w:val="009F2F2C"/>
    <w:rsid w:val="009F3077"/>
    <w:rsid w:val="009F30A9"/>
    <w:rsid w:val="009F3581"/>
    <w:rsid w:val="009F3A71"/>
    <w:rsid w:val="009F3DD0"/>
    <w:rsid w:val="009F3DE5"/>
    <w:rsid w:val="009F3FB2"/>
    <w:rsid w:val="009F410E"/>
    <w:rsid w:val="009F4261"/>
    <w:rsid w:val="009F4450"/>
    <w:rsid w:val="009F48C0"/>
    <w:rsid w:val="009F4955"/>
    <w:rsid w:val="009F4E2E"/>
    <w:rsid w:val="009F4E3D"/>
    <w:rsid w:val="009F4F1F"/>
    <w:rsid w:val="009F50A4"/>
    <w:rsid w:val="009F52C4"/>
    <w:rsid w:val="009F5447"/>
    <w:rsid w:val="009F557B"/>
    <w:rsid w:val="009F568B"/>
    <w:rsid w:val="009F5828"/>
    <w:rsid w:val="009F5A25"/>
    <w:rsid w:val="009F5A79"/>
    <w:rsid w:val="009F6177"/>
    <w:rsid w:val="009F662B"/>
    <w:rsid w:val="009F68E2"/>
    <w:rsid w:val="009F6B62"/>
    <w:rsid w:val="009F6E3A"/>
    <w:rsid w:val="009F72B0"/>
    <w:rsid w:val="009F7403"/>
    <w:rsid w:val="009F741C"/>
    <w:rsid w:val="009F7500"/>
    <w:rsid w:val="009F758F"/>
    <w:rsid w:val="009F7626"/>
    <w:rsid w:val="009F768E"/>
    <w:rsid w:val="009F76E7"/>
    <w:rsid w:val="009F76F9"/>
    <w:rsid w:val="009F7A94"/>
    <w:rsid w:val="009F7D59"/>
    <w:rsid w:val="009F7D5D"/>
    <w:rsid w:val="00A0010B"/>
    <w:rsid w:val="00A010DC"/>
    <w:rsid w:val="00A012C7"/>
    <w:rsid w:val="00A01677"/>
    <w:rsid w:val="00A01687"/>
    <w:rsid w:val="00A01B12"/>
    <w:rsid w:val="00A01E2A"/>
    <w:rsid w:val="00A01E81"/>
    <w:rsid w:val="00A022D4"/>
    <w:rsid w:val="00A023B0"/>
    <w:rsid w:val="00A029F2"/>
    <w:rsid w:val="00A02A02"/>
    <w:rsid w:val="00A02D43"/>
    <w:rsid w:val="00A02D4C"/>
    <w:rsid w:val="00A038E0"/>
    <w:rsid w:val="00A03ADC"/>
    <w:rsid w:val="00A03AE3"/>
    <w:rsid w:val="00A03CB8"/>
    <w:rsid w:val="00A042BE"/>
    <w:rsid w:val="00A0454F"/>
    <w:rsid w:val="00A0458F"/>
    <w:rsid w:val="00A04690"/>
    <w:rsid w:val="00A046FB"/>
    <w:rsid w:val="00A04765"/>
    <w:rsid w:val="00A0492A"/>
    <w:rsid w:val="00A04B93"/>
    <w:rsid w:val="00A0512C"/>
    <w:rsid w:val="00A051CB"/>
    <w:rsid w:val="00A052DE"/>
    <w:rsid w:val="00A05977"/>
    <w:rsid w:val="00A05ABE"/>
    <w:rsid w:val="00A05CC5"/>
    <w:rsid w:val="00A05ED2"/>
    <w:rsid w:val="00A05F04"/>
    <w:rsid w:val="00A06019"/>
    <w:rsid w:val="00A06168"/>
    <w:rsid w:val="00A06186"/>
    <w:rsid w:val="00A06372"/>
    <w:rsid w:val="00A06D7F"/>
    <w:rsid w:val="00A073CF"/>
    <w:rsid w:val="00A0752A"/>
    <w:rsid w:val="00A078F4"/>
    <w:rsid w:val="00A07980"/>
    <w:rsid w:val="00A07D10"/>
    <w:rsid w:val="00A102E4"/>
    <w:rsid w:val="00A10649"/>
    <w:rsid w:val="00A10808"/>
    <w:rsid w:val="00A10CC6"/>
    <w:rsid w:val="00A10D11"/>
    <w:rsid w:val="00A10F29"/>
    <w:rsid w:val="00A110CE"/>
    <w:rsid w:val="00A11444"/>
    <w:rsid w:val="00A116E5"/>
    <w:rsid w:val="00A11800"/>
    <w:rsid w:val="00A11A9A"/>
    <w:rsid w:val="00A11AB8"/>
    <w:rsid w:val="00A11C0C"/>
    <w:rsid w:val="00A11D59"/>
    <w:rsid w:val="00A11D5C"/>
    <w:rsid w:val="00A121E6"/>
    <w:rsid w:val="00A12403"/>
    <w:rsid w:val="00A12750"/>
    <w:rsid w:val="00A12B27"/>
    <w:rsid w:val="00A12B2A"/>
    <w:rsid w:val="00A12CA3"/>
    <w:rsid w:val="00A12CB4"/>
    <w:rsid w:val="00A12D69"/>
    <w:rsid w:val="00A12D9D"/>
    <w:rsid w:val="00A12E2D"/>
    <w:rsid w:val="00A135A8"/>
    <w:rsid w:val="00A13725"/>
    <w:rsid w:val="00A1386E"/>
    <w:rsid w:val="00A138EF"/>
    <w:rsid w:val="00A13C1F"/>
    <w:rsid w:val="00A141BA"/>
    <w:rsid w:val="00A14210"/>
    <w:rsid w:val="00A142AE"/>
    <w:rsid w:val="00A148BF"/>
    <w:rsid w:val="00A14A24"/>
    <w:rsid w:val="00A15108"/>
    <w:rsid w:val="00A1521B"/>
    <w:rsid w:val="00A159F7"/>
    <w:rsid w:val="00A15C50"/>
    <w:rsid w:val="00A15CF5"/>
    <w:rsid w:val="00A15F89"/>
    <w:rsid w:val="00A1649C"/>
    <w:rsid w:val="00A1660F"/>
    <w:rsid w:val="00A16616"/>
    <w:rsid w:val="00A16B1D"/>
    <w:rsid w:val="00A16C9D"/>
    <w:rsid w:val="00A16EBB"/>
    <w:rsid w:val="00A1735A"/>
    <w:rsid w:val="00A1785B"/>
    <w:rsid w:val="00A178CF"/>
    <w:rsid w:val="00A17926"/>
    <w:rsid w:val="00A17DAE"/>
    <w:rsid w:val="00A203C1"/>
    <w:rsid w:val="00A203E2"/>
    <w:rsid w:val="00A20603"/>
    <w:rsid w:val="00A20925"/>
    <w:rsid w:val="00A20A4E"/>
    <w:rsid w:val="00A20C1B"/>
    <w:rsid w:val="00A21277"/>
    <w:rsid w:val="00A212EF"/>
    <w:rsid w:val="00A21569"/>
    <w:rsid w:val="00A217EC"/>
    <w:rsid w:val="00A21AE9"/>
    <w:rsid w:val="00A21B58"/>
    <w:rsid w:val="00A2222A"/>
    <w:rsid w:val="00A224EB"/>
    <w:rsid w:val="00A225CB"/>
    <w:rsid w:val="00A22951"/>
    <w:rsid w:val="00A22B7E"/>
    <w:rsid w:val="00A23113"/>
    <w:rsid w:val="00A231F2"/>
    <w:rsid w:val="00A236CB"/>
    <w:rsid w:val="00A237E3"/>
    <w:rsid w:val="00A23968"/>
    <w:rsid w:val="00A23B78"/>
    <w:rsid w:val="00A23C2D"/>
    <w:rsid w:val="00A23D71"/>
    <w:rsid w:val="00A23D7F"/>
    <w:rsid w:val="00A243EF"/>
    <w:rsid w:val="00A24401"/>
    <w:rsid w:val="00A244A8"/>
    <w:rsid w:val="00A24CB3"/>
    <w:rsid w:val="00A253A6"/>
    <w:rsid w:val="00A25A78"/>
    <w:rsid w:val="00A25ACB"/>
    <w:rsid w:val="00A25B9E"/>
    <w:rsid w:val="00A2642F"/>
    <w:rsid w:val="00A26B77"/>
    <w:rsid w:val="00A26E28"/>
    <w:rsid w:val="00A26E31"/>
    <w:rsid w:val="00A272CE"/>
    <w:rsid w:val="00A2750B"/>
    <w:rsid w:val="00A275C3"/>
    <w:rsid w:val="00A276B9"/>
    <w:rsid w:val="00A2774B"/>
    <w:rsid w:val="00A27A5F"/>
    <w:rsid w:val="00A27B69"/>
    <w:rsid w:val="00A27D4B"/>
    <w:rsid w:val="00A27EB5"/>
    <w:rsid w:val="00A3002C"/>
    <w:rsid w:val="00A3022B"/>
    <w:rsid w:val="00A30338"/>
    <w:rsid w:val="00A303BB"/>
    <w:rsid w:val="00A30A01"/>
    <w:rsid w:val="00A30B08"/>
    <w:rsid w:val="00A30D9E"/>
    <w:rsid w:val="00A30E58"/>
    <w:rsid w:val="00A30E6F"/>
    <w:rsid w:val="00A3128B"/>
    <w:rsid w:val="00A312CC"/>
    <w:rsid w:val="00A3147A"/>
    <w:rsid w:val="00A314F4"/>
    <w:rsid w:val="00A31775"/>
    <w:rsid w:val="00A3183D"/>
    <w:rsid w:val="00A31B3F"/>
    <w:rsid w:val="00A31C0F"/>
    <w:rsid w:val="00A31C6D"/>
    <w:rsid w:val="00A31F64"/>
    <w:rsid w:val="00A32226"/>
    <w:rsid w:val="00A32378"/>
    <w:rsid w:val="00A32386"/>
    <w:rsid w:val="00A323A2"/>
    <w:rsid w:val="00A323B0"/>
    <w:rsid w:val="00A323BD"/>
    <w:rsid w:val="00A32885"/>
    <w:rsid w:val="00A328C5"/>
    <w:rsid w:val="00A32B8B"/>
    <w:rsid w:val="00A32E4F"/>
    <w:rsid w:val="00A3320F"/>
    <w:rsid w:val="00A33220"/>
    <w:rsid w:val="00A33432"/>
    <w:rsid w:val="00A335A9"/>
    <w:rsid w:val="00A3360C"/>
    <w:rsid w:val="00A33618"/>
    <w:rsid w:val="00A336C5"/>
    <w:rsid w:val="00A3376A"/>
    <w:rsid w:val="00A33939"/>
    <w:rsid w:val="00A33BCC"/>
    <w:rsid w:val="00A342D4"/>
    <w:rsid w:val="00A3445C"/>
    <w:rsid w:val="00A345AC"/>
    <w:rsid w:val="00A34854"/>
    <w:rsid w:val="00A3496B"/>
    <w:rsid w:val="00A34BA0"/>
    <w:rsid w:val="00A34CED"/>
    <w:rsid w:val="00A34DD6"/>
    <w:rsid w:val="00A34E1F"/>
    <w:rsid w:val="00A34EAA"/>
    <w:rsid w:val="00A3517E"/>
    <w:rsid w:val="00A35286"/>
    <w:rsid w:val="00A352E1"/>
    <w:rsid w:val="00A35378"/>
    <w:rsid w:val="00A354DC"/>
    <w:rsid w:val="00A35576"/>
    <w:rsid w:val="00A35843"/>
    <w:rsid w:val="00A35CB2"/>
    <w:rsid w:val="00A36075"/>
    <w:rsid w:val="00A360CA"/>
    <w:rsid w:val="00A36298"/>
    <w:rsid w:val="00A367FD"/>
    <w:rsid w:val="00A36A97"/>
    <w:rsid w:val="00A36CE8"/>
    <w:rsid w:val="00A36D90"/>
    <w:rsid w:val="00A36F02"/>
    <w:rsid w:val="00A36F6A"/>
    <w:rsid w:val="00A37069"/>
    <w:rsid w:val="00A37327"/>
    <w:rsid w:val="00A37465"/>
    <w:rsid w:val="00A374A2"/>
    <w:rsid w:val="00A37603"/>
    <w:rsid w:val="00A376DE"/>
    <w:rsid w:val="00A376E4"/>
    <w:rsid w:val="00A37EE1"/>
    <w:rsid w:val="00A403D4"/>
    <w:rsid w:val="00A4047C"/>
    <w:rsid w:val="00A40516"/>
    <w:rsid w:val="00A408FA"/>
    <w:rsid w:val="00A40962"/>
    <w:rsid w:val="00A40B01"/>
    <w:rsid w:val="00A40CB8"/>
    <w:rsid w:val="00A40D3E"/>
    <w:rsid w:val="00A40D9A"/>
    <w:rsid w:val="00A41102"/>
    <w:rsid w:val="00A41371"/>
    <w:rsid w:val="00A41400"/>
    <w:rsid w:val="00A41797"/>
    <w:rsid w:val="00A41DD3"/>
    <w:rsid w:val="00A41F51"/>
    <w:rsid w:val="00A42067"/>
    <w:rsid w:val="00A42165"/>
    <w:rsid w:val="00A42213"/>
    <w:rsid w:val="00A42463"/>
    <w:rsid w:val="00A427B3"/>
    <w:rsid w:val="00A429F6"/>
    <w:rsid w:val="00A42AC6"/>
    <w:rsid w:val="00A42B71"/>
    <w:rsid w:val="00A42B99"/>
    <w:rsid w:val="00A43042"/>
    <w:rsid w:val="00A4317B"/>
    <w:rsid w:val="00A4353D"/>
    <w:rsid w:val="00A43806"/>
    <w:rsid w:val="00A438A2"/>
    <w:rsid w:val="00A43CC0"/>
    <w:rsid w:val="00A43E9C"/>
    <w:rsid w:val="00A43EA3"/>
    <w:rsid w:val="00A44006"/>
    <w:rsid w:val="00A443EC"/>
    <w:rsid w:val="00A447DD"/>
    <w:rsid w:val="00A44806"/>
    <w:rsid w:val="00A449DF"/>
    <w:rsid w:val="00A44AA7"/>
    <w:rsid w:val="00A44BF3"/>
    <w:rsid w:val="00A44C6A"/>
    <w:rsid w:val="00A44C83"/>
    <w:rsid w:val="00A44C96"/>
    <w:rsid w:val="00A44F67"/>
    <w:rsid w:val="00A45218"/>
    <w:rsid w:val="00A454CE"/>
    <w:rsid w:val="00A45893"/>
    <w:rsid w:val="00A45CF3"/>
    <w:rsid w:val="00A45D05"/>
    <w:rsid w:val="00A45D78"/>
    <w:rsid w:val="00A45E1D"/>
    <w:rsid w:val="00A46189"/>
    <w:rsid w:val="00A46772"/>
    <w:rsid w:val="00A467B3"/>
    <w:rsid w:val="00A46FB6"/>
    <w:rsid w:val="00A4708A"/>
    <w:rsid w:val="00A4723A"/>
    <w:rsid w:val="00A47B6C"/>
    <w:rsid w:val="00A47CB5"/>
    <w:rsid w:val="00A47E64"/>
    <w:rsid w:val="00A50335"/>
    <w:rsid w:val="00A511D6"/>
    <w:rsid w:val="00A516D5"/>
    <w:rsid w:val="00A5191C"/>
    <w:rsid w:val="00A51C53"/>
    <w:rsid w:val="00A520B6"/>
    <w:rsid w:val="00A5217E"/>
    <w:rsid w:val="00A522FF"/>
    <w:rsid w:val="00A523E0"/>
    <w:rsid w:val="00A52402"/>
    <w:rsid w:val="00A52580"/>
    <w:rsid w:val="00A525D8"/>
    <w:rsid w:val="00A528BA"/>
    <w:rsid w:val="00A52A26"/>
    <w:rsid w:val="00A52D50"/>
    <w:rsid w:val="00A52F74"/>
    <w:rsid w:val="00A530E3"/>
    <w:rsid w:val="00A534E0"/>
    <w:rsid w:val="00A535C9"/>
    <w:rsid w:val="00A53715"/>
    <w:rsid w:val="00A53735"/>
    <w:rsid w:val="00A5387E"/>
    <w:rsid w:val="00A53898"/>
    <w:rsid w:val="00A53936"/>
    <w:rsid w:val="00A53971"/>
    <w:rsid w:val="00A53B3D"/>
    <w:rsid w:val="00A53D4B"/>
    <w:rsid w:val="00A53DA8"/>
    <w:rsid w:val="00A54099"/>
    <w:rsid w:val="00A54184"/>
    <w:rsid w:val="00A5418D"/>
    <w:rsid w:val="00A54403"/>
    <w:rsid w:val="00A544E6"/>
    <w:rsid w:val="00A54925"/>
    <w:rsid w:val="00A54A3E"/>
    <w:rsid w:val="00A54C1D"/>
    <w:rsid w:val="00A54DE9"/>
    <w:rsid w:val="00A54E4D"/>
    <w:rsid w:val="00A54FC0"/>
    <w:rsid w:val="00A55157"/>
    <w:rsid w:val="00A554D2"/>
    <w:rsid w:val="00A55722"/>
    <w:rsid w:val="00A55779"/>
    <w:rsid w:val="00A55A7B"/>
    <w:rsid w:val="00A55ECB"/>
    <w:rsid w:val="00A55FD9"/>
    <w:rsid w:val="00A5668D"/>
    <w:rsid w:val="00A56B05"/>
    <w:rsid w:val="00A56B33"/>
    <w:rsid w:val="00A57103"/>
    <w:rsid w:val="00A5715D"/>
    <w:rsid w:val="00A57162"/>
    <w:rsid w:val="00A571C1"/>
    <w:rsid w:val="00A57935"/>
    <w:rsid w:val="00A57B78"/>
    <w:rsid w:val="00A57CF9"/>
    <w:rsid w:val="00A602AD"/>
    <w:rsid w:val="00A60708"/>
    <w:rsid w:val="00A60BFE"/>
    <w:rsid w:val="00A60DF7"/>
    <w:rsid w:val="00A60EEA"/>
    <w:rsid w:val="00A612B7"/>
    <w:rsid w:val="00A61D48"/>
    <w:rsid w:val="00A62533"/>
    <w:rsid w:val="00A62579"/>
    <w:rsid w:val="00A626A0"/>
    <w:rsid w:val="00A62A13"/>
    <w:rsid w:val="00A62B74"/>
    <w:rsid w:val="00A62C13"/>
    <w:rsid w:val="00A62C24"/>
    <w:rsid w:val="00A62C74"/>
    <w:rsid w:val="00A62C7B"/>
    <w:rsid w:val="00A62CB7"/>
    <w:rsid w:val="00A62DFF"/>
    <w:rsid w:val="00A62E6A"/>
    <w:rsid w:val="00A62FA7"/>
    <w:rsid w:val="00A631E9"/>
    <w:rsid w:val="00A63518"/>
    <w:rsid w:val="00A63587"/>
    <w:rsid w:val="00A635B2"/>
    <w:rsid w:val="00A63DD5"/>
    <w:rsid w:val="00A63FA6"/>
    <w:rsid w:val="00A6400E"/>
    <w:rsid w:val="00A6433D"/>
    <w:rsid w:val="00A64370"/>
    <w:rsid w:val="00A64432"/>
    <w:rsid w:val="00A64892"/>
    <w:rsid w:val="00A648EF"/>
    <w:rsid w:val="00A64A2F"/>
    <w:rsid w:val="00A64A63"/>
    <w:rsid w:val="00A64D7C"/>
    <w:rsid w:val="00A64FEF"/>
    <w:rsid w:val="00A65018"/>
    <w:rsid w:val="00A6514D"/>
    <w:rsid w:val="00A65683"/>
    <w:rsid w:val="00A65BE7"/>
    <w:rsid w:val="00A65D68"/>
    <w:rsid w:val="00A66005"/>
    <w:rsid w:val="00A6607F"/>
    <w:rsid w:val="00A660F7"/>
    <w:rsid w:val="00A6632C"/>
    <w:rsid w:val="00A6636C"/>
    <w:rsid w:val="00A66431"/>
    <w:rsid w:val="00A664E3"/>
    <w:rsid w:val="00A6659E"/>
    <w:rsid w:val="00A668DD"/>
    <w:rsid w:val="00A66C3D"/>
    <w:rsid w:val="00A66C8C"/>
    <w:rsid w:val="00A671FA"/>
    <w:rsid w:val="00A67383"/>
    <w:rsid w:val="00A67710"/>
    <w:rsid w:val="00A677C7"/>
    <w:rsid w:val="00A70023"/>
    <w:rsid w:val="00A70394"/>
    <w:rsid w:val="00A703A0"/>
    <w:rsid w:val="00A704B9"/>
    <w:rsid w:val="00A7054C"/>
    <w:rsid w:val="00A7057A"/>
    <w:rsid w:val="00A7097F"/>
    <w:rsid w:val="00A70A7D"/>
    <w:rsid w:val="00A70C6A"/>
    <w:rsid w:val="00A70C81"/>
    <w:rsid w:val="00A71042"/>
    <w:rsid w:val="00A710EA"/>
    <w:rsid w:val="00A71343"/>
    <w:rsid w:val="00A714A4"/>
    <w:rsid w:val="00A71875"/>
    <w:rsid w:val="00A71AFA"/>
    <w:rsid w:val="00A71B7D"/>
    <w:rsid w:val="00A71C84"/>
    <w:rsid w:val="00A71DB5"/>
    <w:rsid w:val="00A71E21"/>
    <w:rsid w:val="00A71E6D"/>
    <w:rsid w:val="00A7208A"/>
    <w:rsid w:val="00A721AB"/>
    <w:rsid w:val="00A728E1"/>
    <w:rsid w:val="00A72C65"/>
    <w:rsid w:val="00A730ED"/>
    <w:rsid w:val="00A73139"/>
    <w:rsid w:val="00A731F9"/>
    <w:rsid w:val="00A7327E"/>
    <w:rsid w:val="00A7340E"/>
    <w:rsid w:val="00A73621"/>
    <w:rsid w:val="00A73811"/>
    <w:rsid w:val="00A73D03"/>
    <w:rsid w:val="00A73F50"/>
    <w:rsid w:val="00A7428C"/>
    <w:rsid w:val="00A74790"/>
    <w:rsid w:val="00A749D2"/>
    <w:rsid w:val="00A74DB9"/>
    <w:rsid w:val="00A751EF"/>
    <w:rsid w:val="00A752D8"/>
    <w:rsid w:val="00A75423"/>
    <w:rsid w:val="00A75E8D"/>
    <w:rsid w:val="00A75F81"/>
    <w:rsid w:val="00A762AA"/>
    <w:rsid w:val="00A766FF"/>
    <w:rsid w:val="00A76B4A"/>
    <w:rsid w:val="00A76E00"/>
    <w:rsid w:val="00A76EE9"/>
    <w:rsid w:val="00A7700E"/>
    <w:rsid w:val="00A77131"/>
    <w:rsid w:val="00A7746B"/>
    <w:rsid w:val="00A77620"/>
    <w:rsid w:val="00A77845"/>
    <w:rsid w:val="00A77B53"/>
    <w:rsid w:val="00A77C7B"/>
    <w:rsid w:val="00A77D15"/>
    <w:rsid w:val="00A77D45"/>
    <w:rsid w:val="00A77E99"/>
    <w:rsid w:val="00A8050B"/>
    <w:rsid w:val="00A80624"/>
    <w:rsid w:val="00A8094A"/>
    <w:rsid w:val="00A80A31"/>
    <w:rsid w:val="00A80C47"/>
    <w:rsid w:val="00A80FCE"/>
    <w:rsid w:val="00A81089"/>
    <w:rsid w:val="00A8111C"/>
    <w:rsid w:val="00A812CE"/>
    <w:rsid w:val="00A813B1"/>
    <w:rsid w:val="00A81D11"/>
    <w:rsid w:val="00A81EFB"/>
    <w:rsid w:val="00A8210E"/>
    <w:rsid w:val="00A8212E"/>
    <w:rsid w:val="00A8236D"/>
    <w:rsid w:val="00A823E1"/>
    <w:rsid w:val="00A82770"/>
    <w:rsid w:val="00A82999"/>
    <w:rsid w:val="00A82D76"/>
    <w:rsid w:val="00A82E0C"/>
    <w:rsid w:val="00A831ED"/>
    <w:rsid w:val="00A83369"/>
    <w:rsid w:val="00A83525"/>
    <w:rsid w:val="00A836CD"/>
    <w:rsid w:val="00A83851"/>
    <w:rsid w:val="00A83BF4"/>
    <w:rsid w:val="00A83C2C"/>
    <w:rsid w:val="00A8409F"/>
    <w:rsid w:val="00A841B8"/>
    <w:rsid w:val="00A8489D"/>
    <w:rsid w:val="00A84967"/>
    <w:rsid w:val="00A849AF"/>
    <w:rsid w:val="00A849D1"/>
    <w:rsid w:val="00A84A59"/>
    <w:rsid w:val="00A84B62"/>
    <w:rsid w:val="00A84B65"/>
    <w:rsid w:val="00A84C30"/>
    <w:rsid w:val="00A84C41"/>
    <w:rsid w:val="00A85115"/>
    <w:rsid w:val="00A8546E"/>
    <w:rsid w:val="00A855C1"/>
    <w:rsid w:val="00A8597C"/>
    <w:rsid w:val="00A859E5"/>
    <w:rsid w:val="00A85C13"/>
    <w:rsid w:val="00A85C6A"/>
    <w:rsid w:val="00A861D1"/>
    <w:rsid w:val="00A862C5"/>
    <w:rsid w:val="00A86418"/>
    <w:rsid w:val="00A86617"/>
    <w:rsid w:val="00A86E24"/>
    <w:rsid w:val="00A86F95"/>
    <w:rsid w:val="00A870D1"/>
    <w:rsid w:val="00A87180"/>
    <w:rsid w:val="00A87261"/>
    <w:rsid w:val="00A87514"/>
    <w:rsid w:val="00A87648"/>
    <w:rsid w:val="00A878D1"/>
    <w:rsid w:val="00A87CC9"/>
    <w:rsid w:val="00A90154"/>
    <w:rsid w:val="00A90272"/>
    <w:rsid w:val="00A90657"/>
    <w:rsid w:val="00A906FA"/>
    <w:rsid w:val="00A90944"/>
    <w:rsid w:val="00A90A7F"/>
    <w:rsid w:val="00A90AAD"/>
    <w:rsid w:val="00A90B82"/>
    <w:rsid w:val="00A90FFA"/>
    <w:rsid w:val="00A91051"/>
    <w:rsid w:val="00A91215"/>
    <w:rsid w:val="00A9132A"/>
    <w:rsid w:val="00A9134F"/>
    <w:rsid w:val="00A91BCE"/>
    <w:rsid w:val="00A91E60"/>
    <w:rsid w:val="00A9216C"/>
    <w:rsid w:val="00A928CC"/>
    <w:rsid w:val="00A92B1E"/>
    <w:rsid w:val="00A92DBF"/>
    <w:rsid w:val="00A9343B"/>
    <w:rsid w:val="00A945D4"/>
    <w:rsid w:val="00A9469B"/>
    <w:rsid w:val="00A94765"/>
    <w:rsid w:val="00A947DF"/>
    <w:rsid w:val="00A94ACE"/>
    <w:rsid w:val="00A94BF2"/>
    <w:rsid w:val="00A94FB6"/>
    <w:rsid w:val="00A9520D"/>
    <w:rsid w:val="00A952BB"/>
    <w:rsid w:val="00A95486"/>
    <w:rsid w:val="00A95715"/>
    <w:rsid w:val="00A957ED"/>
    <w:rsid w:val="00A958CB"/>
    <w:rsid w:val="00A9593F"/>
    <w:rsid w:val="00A959E2"/>
    <w:rsid w:val="00A95EAD"/>
    <w:rsid w:val="00A96099"/>
    <w:rsid w:val="00A9622F"/>
    <w:rsid w:val="00A96293"/>
    <w:rsid w:val="00A9692E"/>
    <w:rsid w:val="00A969CA"/>
    <w:rsid w:val="00A96AAF"/>
    <w:rsid w:val="00A97011"/>
    <w:rsid w:val="00A970D3"/>
    <w:rsid w:val="00A973E2"/>
    <w:rsid w:val="00A976F1"/>
    <w:rsid w:val="00A9775F"/>
    <w:rsid w:val="00A97A08"/>
    <w:rsid w:val="00A97CE6"/>
    <w:rsid w:val="00AA02CB"/>
    <w:rsid w:val="00AA05DF"/>
    <w:rsid w:val="00AA0AC1"/>
    <w:rsid w:val="00AA0B79"/>
    <w:rsid w:val="00AA0FDB"/>
    <w:rsid w:val="00AA1092"/>
    <w:rsid w:val="00AA13DA"/>
    <w:rsid w:val="00AA1532"/>
    <w:rsid w:val="00AA1757"/>
    <w:rsid w:val="00AA181B"/>
    <w:rsid w:val="00AA1907"/>
    <w:rsid w:val="00AA2221"/>
    <w:rsid w:val="00AA2801"/>
    <w:rsid w:val="00AA29BD"/>
    <w:rsid w:val="00AA2BE2"/>
    <w:rsid w:val="00AA3671"/>
    <w:rsid w:val="00AA3A33"/>
    <w:rsid w:val="00AA3AFC"/>
    <w:rsid w:val="00AA3CC0"/>
    <w:rsid w:val="00AA3EF2"/>
    <w:rsid w:val="00AA42AC"/>
    <w:rsid w:val="00AA450F"/>
    <w:rsid w:val="00AA467D"/>
    <w:rsid w:val="00AA47BA"/>
    <w:rsid w:val="00AA4802"/>
    <w:rsid w:val="00AA4BF2"/>
    <w:rsid w:val="00AA4C11"/>
    <w:rsid w:val="00AA4C22"/>
    <w:rsid w:val="00AA4D65"/>
    <w:rsid w:val="00AA4DF6"/>
    <w:rsid w:val="00AA5118"/>
    <w:rsid w:val="00AA54C6"/>
    <w:rsid w:val="00AA56B0"/>
    <w:rsid w:val="00AA575C"/>
    <w:rsid w:val="00AA5A3C"/>
    <w:rsid w:val="00AA5BC6"/>
    <w:rsid w:val="00AA5D47"/>
    <w:rsid w:val="00AA6097"/>
    <w:rsid w:val="00AA6163"/>
    <w:rsid w:val="00AA61F2"/>
    <w:rsid w:val="00AA6616"/>
    <w:rsid w:val="00AA667E"/>
    <w:rsid w:val="00AA68D2"/>
    <w:rsid w:val="00AA6AC1"/>
    <w:rsid w:val="00AA6AE7"/>
    <w:rsid w:val="00AA6B65"/>
    <w:rsid w:val="00AA6DD4"/>
    <w:rsid w:val="00AA7090"/>
    <w:rsid w:val="00AA73FF"/>
    <w:rsid w:val="00AA7751"/>
    <w:rsid w:val="00AA77EF"/>
    <w:rsid w:val="00AA7D2E"/>
    <w:rsid w:val="00AB01F2"/>
    <w:rsid w:val="00AB0274"/>
    <w:rsid w:val="00AB036B"/>
    <w:rsid w:val="00AB039D"/>
    <w:rsid w:val="00AB03F7"/>
    <w:rsid w:val="00AB0436"/>
    <w:rsid w:val="00AB0D3A"/>
    <w:rsid w:val="00AB1196"/>
    <w:rsid w:val="00AB11AB"/>
    <w:rsid w:val="00AB14CC"/>
    <w:rsid w:val="00AB1738"/>
    <w:rsid w:val="00AB173C"/>
    <w:rsid w:val="00AB1950"/>
    <w:rsid w:val="00AB1AD7"/>
    <w:rsid w:val="00AB1D8F"/>
    <w:rsid w:val="00AB1DC2"/>
    <w:rsid w:val="00AB1EF6"/>
    <w:rsid w:val="00AB221A"/>
    <w:rsid w:val="00AB2456"/>
    <w:rsid w:val="00AB2569"/>
    <w:rsid w:val="00AB261F"/>
    <w:rsid w:val="00AB289F"/>
    <w:rsid w:val="00AB2DC1"/>
    <w:rsid w:val="00AB2EC2"/>
    <w:rsid w:val="00AB2EEB"/>
    <w:rsid w:val="00AB2F7D"/>
    <w:rsid w:val="00AB3292"/>
    <w:rsid w:val="00AB33E3"/>
    <w:rsid w:val="00AB361A"/>
    <w:rsid w:val="00AB3657"/>
    <w:rsid w:val="00AB38C6"/>
    <w:rsid w:val="00AB3960"/>
    <w:rsid w:val="00AB39B3"/>
    <w:rsid w:val="00AB3A69"/>
    <w:rsid w:val="00AB3B56"/>
    <w:rsid w:val="00AB3E86"/>
    <w:rsid w:val="00AB4299"/>
    <w:rsid w:val="00AB44AC"/>
    <w:rsid w:val="00AB4865"/>
    <w:rsid w:val="00AB4D93"/>
    <w:rsid w:val="00AB4DA2"/>
    <w:rsid w:val="00AB52DD"/>
    <w:rsid w:val="00AB56A2"/>
    <w:rsid w:val="00AB58D2"/>
    <w:rsid w:val="00AB5DE5"/>
    <w:rsid w:val="00AB5E40"/>
    <w:rsid w:val="00AB5F98"/>
    <w:rsid w:val="00AB608D"/>
    <w:rsid w:val="00AB61FB"/>
    <w:rsid w:val="00AB63A6"/>
    <w:rsid w:val="00AB650D"/>
    <w:rsid w:val="00AB688C"/>
    <w:rsid w:val="00AB6D49"/>
    <w:rsid w:val="00AB6F6C"/>
    <w:rsid w:val="00AB70BE"/>
    <w:rsid w:val="00AB7255"/>
    <w:rsid w:val="00AB7787"/>
    <w:rsid w:val="00AB77E5"/>
    <w:rsid w:val="00AB78D9"/>
    <w:rsid w:val="00AB7DC2"/>
    <w:rsid w:val="00AB7E74"/>
    <w:rsid w:val="00AB7FD0"/>
    <w:rsid w:val="00AC00F3"/>
    <w:rsid w:val="00AC0222"/>
    <w:rsid w:val="00AC04C8"/>
    <w:rsid w:val="00AC0612"/>
    <w:rsid w:val="00AC0AB1"/>
    <w:rsid w:val="00AC1217"/>
    <w:rsid w:val="00AC1346"/>
    <w:rsid w:val="00AC18D9"/>
    <w:rsid w:val="00AC2487"/>
    <w:rsid w:val="00AC27FF"/>
    <w:rsid w:val="00AC2A2F"/>
    <w:rsid w:val="00AC2C04"/>
    <w:rsid w:val="00AC2C70"/>
    <w:rsid w:val="00AC31EC"/>
    <w:rsid w:val="00AC31FD"/>
    <w:rsid w:val="00AC3286"/>
    <w:rsid w:val="00AC3293"/>
    <w:rsid w:val="00AC3624"/>
    <w:rsid w:val="00AC39FE"/>
    <w:rsid w:val="00AC3B0B"/>
    <w:rsid w:val="00AC3B27"/>
    <w:rsid w:val="00AC410C"/>
    <w:rsid w:val="00AC429F"/>
    <w:rsid w:val="00AC4321"/>
    <w:rsid w:val="00AC4557"/>
    <w:rsid w:val="00AC49CF"/>
    <w:rsid w:val="00AC4A47"/>
    <w:rsid w:val="00AC4B2B"/>
    <w:rsid w:val="00AC527B"/>
    <w:rsid w:val="00AC53F6"/>
    <w:rsid w:val="00AC542C"/>
    <w:rsid w:val="00AC59A7"/>
    <w:rsid w:val="00AC5B6C"/>
    <w:rsid w:val="00AC5BE8"/>
    <w:rsid w:val="00AC5C06"/>
    <w:rsid w:val="00AC5EFE"/>
    <w:rsid w:val="00AC68C8"/>
    <w:rsid w:val="00AC6955"/>
    <w:rsid w:val="00AC6AFA"/>
    <w:rsid w:val="00AC6F35"/>
    <w:rsid w:val="00AC717A"/>
    <w:rsid w:val="00AC77CB"/>
    <w:rsid w:val="00AC782D"/>
    <w:rsid w:val="00AC7908"/>
    <w:rsid w:val="00AC79A0"/>
    <w:rsid w:val="00AC7A16"/>
    <w:rsid w:val="00AC7C5A"/>
    <w:rsid w:val="00AC7E54"/>
    <w:rsid w:val="00AD0009"/>
    <w:rsid w:val="00AD012E"/>
    <w:rsid w:val="00AD069D"/>
    <w:rsid w:val="00AD081B"/>
    <w:rsid w:val="00AD084B"/>
    <w:rsid w:val="00AD0A55"/>
    <w:rsid w:val="00AD0C38"/>
    <w:rsid w:val="00AD101C"/>
    <w:rsid w:val="00AD1295"/>
    <w:rsid w:val="00AD14C1"/>
    <w:rsid w:val="00AD16FC"/>
    <w:rsid w:val="00AD1A5D"/>
    <w:rsid w:val="00AD1C9D"/>
    <w:rsid w:val="00AD1E58"/>
    <w:rsid w:val="00AD1F54"/>
    <w:rsid w:val="00AD2058"/>
    <w:rsid w:val="00AD2113"/>
    <w:rsid w:val="00AD212F"/>
    <w:rsid w:val="00AD22EF"/>
    <w:rsid w:val="00AD2DAC"/>
    <w:rsid w:val="00AD2E1C"/>
    <w:rsid w:val="00AD2E79"/>
    <w:rsid w:val="00AD2EC5"/>
    <w:rsid w:val="00AD323C"/>
    <w:rsid w:val="00AD36E0"/>
    <w:rsid w:val="00AD3888"/>
    <w:rsid w:val="00AD38A2"/>
    <w:rsid w:val="00AD38EF"/>
    <w:rsid w:val="00AD3A52"/>
    <w:rsid w:val="00AD3A59"/>
    <w:rsid w:val="00AD3F62"/>
    <w:rsid w:val="00AD4035"/>
    <w:rsid w:val="00AD44DE"/>
    <w:rsid w:val="00AD4872"/>
    <w:rsid w:val="00AD4DB2"/>
    <w:rsid w:val="00AD500B"/>
    <w:rsid w:val="00AD51AB"/>
    <w:rsid w:val="00AD5205"/>
    <w:rsid w:val="00AD5708"/>
    <w:rsid w:val="00AD5852"/>
    <w:rsid w:val="00AD598B"/>
    <w:rsid w:val="00AD5E0C"/>
    <w:rsid w:val="00AD6123"/>
    <w:rsid w:val="00AD6845"/>
    <w:rsid w:val="00AD68C1"/>
    <w:rsid w:val="00AD6C00"/>
    <w:rsid w:val="00AD6C74"/>
    <w:rsid w:val="00AD7053"/>
    <w:rsid w:val="00AD748B"/>
    <w:rsid w:val="00AD7659"/>
    <w:rsid w:val="00AD7895"/>
    <w:rsid w:val="00AD79F1"/>
    <w:rsid w:val="00AD79F4"/>
    <w:rsid w:val="00AD7B8E"/>
    <w:rsid w:val="00AD7FC8"/>
    <w:rsid w:val="00AE00E2"/>
    <w:rsid w:val="00AE01CF"/>
    <w:rsid w:val="00AE01E4"/>
    <w:rsid w:val="00AE0677"/>
    <w:rsid w:val="00AE0A3A"/>
    <w:rsid w:val="00AE0C87"/>
    <w:rsid w:val="00AE0DCC"/>
    <w:rsid w:val="00AE1315"/>
    <w:rsid w:val="00AE1842"/>
    <w:rsid w:val="00AE1C39"/>
    <w:rsid w:val="00AE2025"/>
    <w:rsid w:val="00AE2421"/>
    <w:rsid w:val="00AE26DD"/>
    <w:rsid w:val="00AE2A19"/>
    <w:rsid w:val="00AE2EA0"/>
    <w:rsid w:val="00AE368F"/>
    <w:rsid w:val="00AE386E"/>
    <w:rsid w:val="00AE41B1"/>
    <w:rsid w:val="00AE4240"/>
    <w:rsid w:val="00AE43E9"/>
    <w:rsid w:val="00AE45D5"/>
    <w:rsid w:val="00AE46C8"/>
    <w:rsid w:val="00AE4955"/>
    <w:rsid w:val="00AE4C04"/>
    <w:rsid w:val="00AE4E68"/>
    <w:rsid w:val="00AE4E9D"/>
    <w:rsid w:val="00AE527A"/>
    <w:rsid w:val="00AE5404"/>
    <w:rsid w:val="00AE5422"/>
    <w:rsid w:val="00AE5791"/>
    <w:rsid w:val="00AE579B"/>
    <w:rsid w:val="00AE57BB"/>
    <w:rsid w:val="00AE59A6"/>
    <w:rsid w:val="00AE6AAA"/>
    <w:rsid w:val="00AE6BE3"/>
    <w:rsid w:val="00AE6F13"/>
    <w:rsid w:val="00AE7068"/>
    <w:rsid w:val="00AE7321"/>
    <w:rsid w:val="00AE73D7"/>
    <w:rsid w:val="00AE75C1"/>
    <w:rsid w:val="00AE76FD"/>
    <w:rsid w:val="00AE7841"/>
    <w:rsid w:val="00AE7B30"/>
    <w:rsid w:val="00AE7C82"/>
    <w:rsid w:val="00AE7D10"/>
    <w:rsid w:val="00AF025C"/>
    <w:rsid w:val="00AF043A"/>
    <w:rsid w:val="00AF05B0"/>
    <w:rsid w:val="00AF0E17"/>
    <w:rsid w:val="00AF10B2"/>
    <w:rsid w:val="00AF112A"/>
    <w:rsid w:val="00AF11C4"/>
    <w:rsid w:val="00AF12A8"/>
    <w:rsid w:val="00AF18E7"/>
    <w:rsid w:val="00AF1BE6"/>
    <w:rsid w:val="00AF1C90"/>
    <w:rsid w:val="00AF1D41"/>
    <w:rsid w:val="00AF1F1A"/>
    <w:rsid w:val="00AF2181"/>
    <w:rsid w:val="00AF24DF"/>
    <w:rsid w:val="00AF263B"/>
    <w:rsid w:val="00AF29F6"/>
    <w:rsid w:val="00AF2A7B"/>
    <w:rsid w:val="00AF2C75"/>
    <w:rsid w:val="00AF2CCD"/>
    <w:rsid w:val="00AF34A0"/>
    <w:rsid w:val="00AF3903"/>
    <w:rsid w:val="00AF3B34"/>
    <w:rsid w:val="00AF3C5C"/>
    <w:rsid w:val="00AF3D83"/>
    <w:rsid w:val="00AF3DCD"/>
    <w:rsid w:val="00AF427C"/>
    <w:rsid w:val="00AF45D7"/>
    <w:rsid w:val="00AF47D4"/>
    <w:rsid w:val="00AF48C4"/>
    <w:rsid w:val="00AF495B"/>
    <w:rsid w:val="00AF49DD"/>
    <w:rsid w:val="00AF4F9C"/>
    <w:rsid w:val="00AF52BC"/>
    <w:rsid w:val="00AF5337"/>
    <w:rsid w:val="00AF540E"/>
    <w:rsid w:val="00AF57F7"/>
    <w:rsid w:val="00AF5C5D"/>
    <w:rsid w:val="00AF64B6"/>
    <w:rsid w:val="00AF64C5"/>
    <w:rsid w:val="00AF659E"/>
    <w:rsid w:val="00AF6681"/>
    <w:rsid w:val="00AF66A9"/>
    <w:rsid w:val="00AF67DD"/>
    <w:rsid w:val="00AF692A"/>
    <w:rsid w:val="00AF6CF2"/>
    <w:rsid w:val="00AF744E"/>
    <w:rsid w:val="00AF74C2"/>
    <w:rsid w:val="00AF76E1"/>
    <w:rsid w:val="00AF79E5"/>
    <w:rsid w:val="00AF7A9B"/>
    <w:rsid w:val="00AF7E92"/>
    <w:rsid w:val="00B00018"/>
    <w:rsid w:val="00B000BE"/>
    <w:rsid w:val="00B0030E"/>
    <w:rsid w:val="00B00879"/>
    <w:rsid w:val="00B00938"/>
    <w:rsid w:val="00B00C29"/>
    <w:rsid w:val="00B00D80"/>
    <w:rsid w:val="00B012CA"/>
    <w:rsid w:val="00B01369"/>
    <w:rsid w:val="00B01D56"/>
    <w:rsid w:val="00B01E3F"/>
    <w:rsid w:val="00B023FD"/>
    <w:rsid w:val="00B0249F"/>
    <w:rsid w:val="00B02584"/>
    <w:rsid w:val="00B029D0"/>
    <w:rsid w:val="00B02C47"/>
    <w:rsid w:val="00B035D9"/>
    <w:rsid w:val="00B03AAB"/>
    <w:rsid w:val="00B03AC1"/>
    <w:rsid w:val="00B03BF2"/>
    <w:rsid w:val="00B04024"/>
    <w:rsid w:val="00B042BF"/>
    <w:rsid w:val="00B04410"/>
    <w:rsid w:val="00B044CA"/>
    <w:rsid w:val="00B044E2"/>
    <w:rsid w:val="00B0470A"/>
    <w:rsid w:val="00B04734"/>
    <w:rsid w:val="00B0479B"/>
    <w:rsid w:val="00B048F0"/>
    <w:rsid w:val="00B04D56"/>
    <w:rsid w:val="00B0510E"/>
    <w:rsid w:val="00B05139"/>
    <w:rsid w:val="00B052F6"/>
    <w:rsid w:val="00B05423"/>
    <w:rsid w:val="00B05D68"/>
    <w:rsid w:val="00B05FEC"/>
    <w:rsid w:val="00B0627F"/>
    <w:rsid w:val="00B062B1"/>
    <w:rsid w:val="00B064DB"/>
    <w:rsid w:val="00B066FD"/>
    <w:rsid w:val="00B06898"/>
    <w:rsid w:val="00B0726C"/>
    <w:rsid w:val="00B073B7"/>
    <w:rsid w:val="00B073DD"/>
    <w:rsid w:val="00B07491"/>
    <w:rsid w:val="00B07527"/>
    <w:rsid w:val="00B07569"/>
    <w:rsid w:val="00B075FC"/>
    <w:rsid w:val="00B07601"/>
    <w:rsid w:val="00B076A4"/>
    <w:rsid w:val="00B079BF"/>
    <w:rsid w:val="00B07AC0"/>
    <w:rsid w:val="00B07BA0"/>
    <w:rsid w:val="00B07C18"/>
    <w:rsid w:val="00B07D12"/>
    <w:rsid w:val="00B07F3D"/>
    <w:rsid w:val="00B1019C"/>
    <w:rsid w:val="00B101CD"/>
    <w:rsid w:val="00B10463"/>
    <w:rsid w:val="00B105C4"/>
    <w:rsid w:val="00B1068B"/>
    <w:rsid w:val="00B10790"/>
    <w:rsid w:val="00B10A48"/>
    <w:rsid w:val="00B10B4E"/>
    <w:rsid w:val="00B10CD5"/>
    <w:rsid w:val="00B110CA"/>
    <w:rsid w:val="00B110F5"/>
    <w:rsid w:val="00B1119D"/>
    <w:rsid w:val="00B11322"/>
    <w:rsid w:val="00B11430"/>
    <w:rsid w:val="00B118D1"/>
    <w:rsid w:val="00B11B5F"/>
    <w:rsid w:val="00B11BD3"/>
    <w:rsid w:val="00B11F81"/>
    <w:rsid w:val="00B121CA"/>
    <w:rsid w:val="00B12319"/>
    <w:rsid w:val="00B1265F"/>
    <w:rsid w:val="00B12B3E"/>
    <w:rsid w:val="00B12EBE"/>
    <w:rsid w:val="00B12F0E"/>
    <w:rsid w:val="00B12F3B"/>
    <w:rsid w:val="00B13015"/>
    <w:rsid w:val="00B13206"/>
    <w:rsid w:val="00B13405"/>
    <w:rsid w:val="00B136FB"/>
    <w:rsid w:val="00B13794"/>
    <w:rsid w:val="00B1382F"/>
    <w:rsid w:val="00B13921"/>
    <w:rsid w:val="00B13A33"/>
    <w:rsid w:val="00B13A9F"/>
    <w:rsid w:val="00B13B99"/>
    <w:rsid w:val="00B13CD1"/>
    <w:rsid w:val="00B1412C"/>
    <w:rsid w:val="00B144A8"/>
    <w:rsid w:val="00B14578"/>
    <w:rsid w:val="00B14A35"/>
    <w:rsid w:val="00B14F54"/>
    <w:rsid w:val="00B15302"/>
    <w:rsid w:val="00B1535C"/>
    <w:rsid w:val="00B1536C"/>
    <w:rsid w:val="00B15397"/>
    <w:rsid w:val="00B15581"/>
    <w:rsid w:val="00B155AE"/>
    <w:rsid w:val="00B15A59"/>
    <w:rsid w:val="00B161E9"/>
    <w:rsid w:val="00B16354"/>
    <w:rsid w:val="00B16548"/>
    <w:rsid w:val="00B169DB"/>
    <w:rsid w:val="00B169F0"/>
    <w:rsid w:val="00B16AEC"/>
    <w:rsid w:val="00B16C7D"/>
    <w:rsid w:val="00B16EFC"/>
    <w:rsid w:val="00B17232"/>
    <w:rsid w:val="00B17491"/>
    <w:rsid w:val="00B17AFB"/>
    <w:rsid w:val="00B17F37"/>
    <w:rsid w:val="00B17F6C"/>
    <w:rsid w:val="00B20090"/>
    <w:rsid w:val="00B202D4"/>
    <w:rsid w:val="00B20515"/>
    <w:rsid w:val="00B20E42"/>
    <w:rsid w:val="00B20E6A"/>
    <w:rsid w:val="00B20E83"/>
    <w:rsid w:val="00B21057"/>
    <w:rsid w:val="00B2112B"/>
    <w:rsid w:val="00B216EC"/>
    <w:rsid w:val="00B21868"/>
    <w:rsid w:val="00B21A36"/>
    <w:rsid w:val="00B21A6C"/>
    <w:rsid w:val="00B21A8B"/>
    <w:rsid w:val="00B21B7A"/>
    <w:rsid w:val="00B21CF3"/>
    <w:rsid w:val="00B21D69"/>
    <w:rsid w:val="00B21F61"/>
    <w:rsid w:val="00B21F71"/>
    <w:rsid w:val="00B220CC"/>
    <w:rsid w:val="00B2217D"/>
    <w:rsid w:val="00B22760"/>
    <w:rsid w:val="00B2295C"/>
    <w:rsid w:val="00B22A4E"/>
    <w:rsid w:val="00B22AC9"/>
    <w:rsid w:val="00B22CEE"/>
    <w:rsid w:val="00B22E39"/>
    <w:rsid w:val="00B2319A"/>
    <w:rsid w:val="00B233B8"/>
    <w:rsid w:val="00B234C3"/>
    <w:rsid w:val="00B235E1"/>
    <w:rsid w:val="00B2377F"/>
    <w:rsid w:val="00B237DE"/>
    <w:rsid w:val="00B23887"/>
    <w:rsid w:val="00B23950"/>
    <w:rsid w:val="00B23DBD"/>
    <w:rsid w:val="00B24082"/>
    <w:rsid w:val="00B241F9"/>
    <w:rsid w:val="00B24238"/>
    <w:rsid w:val="00B24CD7"/>
    <w:rsid w:val="00B24F22"/>
    <w:rsid w:val="00B24F96"/>
    <w:rsid w:val="00B25579"/>
    <w:rsid w:val="00B25994"/>
    <w:rsid w:val="00B259BD"/>
    <w:rsid w:val="00B259CD"/>
    <w:rsid w:val="00B25F06"/>
    <w:rsid w:val="00B25F50"/>
    <w:rsid w:val="00B25F52"/>
    <w:rsid w:val="00B2603B"/>
    <w:rsid w:val="00B261AA"/>
    <w:rsid w:val="00B261DE"/>
    <w:rsid w:val="00B2621B"/>
    <w:rsid w:val="00B263D0"/>
    <w:rsid w:val="00B266A0"/>
    <w:rsid w:val="00B266C8"/>
    <w:rsid w:val="00B26A1F"/>
    <w:rsid w:val="00B26A5D"/>
    <w:rsid w:val="00B26B55"/>
    <w:rsid w:val="00B27104"/>
    <w:rsid w:val="00B2748A"/>
    <w:rsid w:val="00B27560"/>
    <w:rsid w:val="00B275FA"/>
    <w:rsid w:val="00B276E7"/>
    <w:rsid w:val="00B2779E"/>
    <w:rsid w:val="00B27937"/>
    <w:rsid w:val="00B27B06"/>
    <w:rsid w:val="00B27BC2"/>
    <w:rsid w:val="00B27BD5"/>
    <w:rsid w:val="00B27D92"/>
    <w:rsid w:val="00B27EAF"/>
    <w:rsid w:val="00B302ED"/>
    <w:rsid w:val="00B305A8"/>
    <w:rsid w:val="00B3087F"/>
    <w:rsid w:val="00B30929"/>
    <w:rsid w:val="00B3114C"/>
    <w:rsid w:val="00B31308"/>
    <w:rsid w:val="00B31441"/>
    <w:rsid w:val="00B31560"/>
    <w:rsid w:val="00B31669"/>
    <w:rsid w:val="00B317FA"/>
    <w:rsid w:val="00B3191D"/>
    <w:rsid w:val="00B32343"/>
    <w:rsid w:val="00B3274B"/>
    <w:rsid w:val="00B32D73"/>
    <w:rsid w:val="00B32F05"/>
    <w:rsid w:val="00B32FAD"/>
    <w:rsid w:val="00B330EE"/>
    <w:rsid w:val="00B331E1"/>
    <w:rsid w:val="00B332CB"/>
    <w:rsid w:val="00B33494"/>
    <w:rsid w:val="00B336BF"/>
    <w:rsid w:val="00B33C54"/>
    <w:rsid w:val="00B33E67"/>
    <w:rsid w:val="00B33F8B"/>
    <w:rsid w:val="00B3400C"/>
    <w:rsid w:val="00B34194"/>
    <w:rsid w:val="00B3452F"/>
    <w:rsid w:val="00B34564"/>
    <w:rsid w:val="00B34AF9"/>
    <w:rsid w:val="00B34F0D"/>
    <w:rsid w:val="00B34F20"/>
    <w:rsid w:val="00B352C0"/>
    <w:rsid w:val="00B3533D"/>
    <w:rsid w:val="00B35523"/>
    <w:rsid w:val="00B35BF4"/>
    <w:rsid w:val="00B35E70"/>
    <w:rsid w:val="00B3614B"/>
    <w:rsid w:val="00B36749"/>
    <w:rsid w:val="00B36803"/>
    <w:rsid w:val="00B36921"/>
    <w:rsid w:val="00B36DE3"/>
    <w:rsid w:val="00B3750F"/>
    <w:rsid w:val="00B37757"/>
    <w:rsid w:val="00B37D40"/>
    <w:rsid w:val="00B37DE1"/>
    <w:rsid w:val="00B37DFC"/>
    <w:rsid w:val="00B37EA2"/>
    <w:rsid w:val="00B37EF4"/>
    <w:rsid w:val="00B40760"/>
    <w:rsid w:val="00B409C0"/>
    <w:rsid w:val="00B409F4"/>
    <w:rsid w:val="00B40CD0"/>
    <w:rsid w:val="00B40E39"/>
    <w:rsid w:val="00B4135A"/>
    <w:rsid w:val="00B4141A"/>
    <w:rsid w:val="00B41471"/>
    <w:rsid w:val="00B414BD"/>
    <w:rsid w:val="00B4159C"/>
    <w:rsid w:val="00B41749"/>
    <w:rsid w:val="00B417DF"/>
    <w:rsid w:val="00B4197F"/>
    <w:rsid w:val="00B41A14"/>
    <w:rsid w:val="00B41AD3"/>
    <w:rsid w:val="00B42146"/>
    <w:rsid w:val="00B42270"/>
    <w:rsid w:val="00B426F8"/>
    <w:rsid w:val="00B42D23"/>
    <w:rsid w:val="00B42FC1"/>
    <w:rsid w:val="00B432AA"/>
    <w:rsid w:val="00B4361C"/>
    <w:rsid w:val="00B4387A"/>
    <w:rsid w:val="00B43A66"/>
    <w:rsid w:val="00B43B10"/>
    <w:rsid w:val="00B43D20"/>
    <w:rsid w:val="00B43D9C"/>
    <w:rsid w:val="00B441DB"/>
    <w:rsid w:val="00B443C1"/>
    <w:rsid w:val="00B44422"/>
    <w:rsid w:val="00B44674"/>
    <w:rsid w:val="00B44915"/>
    <w:rsid w:val="00B44C24"/>
    <w:rsid w:val="00B45079"/>
    <w:rsid w:val="00B4556A"/>
    <w:rsid w:val="00B45626"/>
    <w:rsid w:val="00B45AF9"/>
    <w:rsid w:val="00B45B79"/>
    <w:rsid w:val="00B45B7A"/>
    <w:rsid w:val="00B46B64"/>
    <w:rsid w:val="00B46BDD"/>
    <w:rsid w:val="00B46CC1"/>
    <w:rsid w:val="00B46DBE"/>
    <w:rsid w:val="00B470EA"/>
    <w:rsid w:val="00B47394"/>
    <w:rsid w:val="00B475A9"/>
    <w:rsid w:val="00B4799D"/>
    <w:rsid w:val="00B47A89"/>
    <w:rsid w:val="00B47D66"/>
    <w:rsid w:val="00B47F0C"/>
    <w:rsid w:val="00B50331"/>
    <w:rsid w:val="00B50334"/>
    <w:rsid w:val="00B50C5A"/>
    <w:rsid w:val="00B50D1D"/>
    <w:rsid w:val="00B50DBD"/>
    <w:rsid w:val="00B50EB7"/>
    <w:rsid w:val="00B50EBE"/>
    <w:rsid w:val="00B5135D"/>
    <w:rsid w:val="00B5160C"/>
    <w:rsid w:val="00B51A16"/>
    <w:rsid w:val="00B51BFA"/>
    <w:rsid w:val="00B51E10"/>
    <w:rsid w:val="00B51E46"/>
    <w:rsid w:val="00B51EB4"/>
    <w:rsid w:val="00B52323"/>
    <w:rsid w:val="00B5274E"/>
    <w:rsid w:val="00B52B71"/>
    <w:rsid w:val="00B52B80"/>
    <w:rsid w:val="00B52CCA"/>
    <w:rsid w:val="00B52D3E"/>
    <w:rsid w:val="00B52DCB"/>
    <w:rsid w:val="00B52E0E"/>
    <w:rsid w:val="00B52F34"/>
    <w:rsid w:val="00B530DC"/>
    <w:rsid w:val="00B5313E"/>
    <w:rsid w:val="00B53267"/>
    <w:rsid w:val="00B53387"/>
    <w:rsid w:val="00B534F0"/>
    <w:rsid w:val="00B53AEF"/>
    <w:rsid w:val="00B53BC9"/>
    <w:rsid w:val="00B53D03"/>
    <w:rsid w:val="00B53E86"/>
    <w:rsid w:val="00B5417C"/>
    <w:rsid w:val="00B546E2"/>
    <w:rsid w:val="00B5548E"/>
    <w:rsid w:val="00B55AC6"/>
    <w:rsid w:val="00B55D56"/>
    <w:rsid w:val="00B55F9E"/>
    <w:rsid w:val="00B55FBA"/>
    <w:rsid w:val="00B560F0"/>
    <w:rsid w:val="00B56134"/>
    <w:rsid w:val="00B566BA"/>
    <w:rsid w:val="00B569A4"/>
    <w:rsid w:val="00B569B8"/>
    <w:rsid w:val="00B570F1"/>
    <w:rsid w:val="00B57DC9"/>
    <w:rsid w:val="00B57E2F"/>
    <w:rsid w:val="00B60670"/>
    <w:rsid w:val="00B60950"/>
    <w:rsid w:val="00B609BB"/>
    <w:rsid w:val="00B60D86"/>
    <w:rsid w:val="00B60DEB"/>
    <w:rsid w:val="00B6114D"/>
    <w:rsid w:val="00B612DE"/>
    <w:rsid w:val="00B6132E"/>
    <w:rsid w:val="00B613EC"/>
    <w:rsid w:val="00B615D3"/>
    <w:rsid w:val="00B61650"/>
    <w:rsid w:val="00B61EB6"/>
    <w:rsid w:val="00B62148"/>
    <w:rsid w:val="00B62226"/>
    <w:rsid w:val="00B626A3"/>
    <w:rsid w:val="00B62746"/>
    <w:rsid w:val="00B62954"/>
    <w:rsid w:val="00B62DAF"/>
    <w:rsid w:val="00B62E1E"/>
    <w:rsid w:val="00B62F2A"/>
    <w:rsid w:val="00B62FE1"/>
    <w:rsid w:val="00B6392E"/>
    <w:rsid w:val="00B63BA9"/>
    <w:rsid w:val="00B63C03"/>
    <w:rsid w:val="00B63D15"/>
    <w:rsid w:val="00B64103"/>
    <w:rsid w:val="00B641A2"/>
    <w:rsid w:val="00B6429C"/>
    <w:rsid w:val="00B64AB2"/>
    <w:rsid w:val="00B651FC"/>
    <w:rsid w:val="00B65207"/>
    <w:rsid w:val="00B6522F"/>
    <w:rsid w:val="00B65343"/>
    <w:rsid w:val="00B654FC"/>
    <w:rsid w:val="00B65BE6"/>
    <w:rsid w:val="00B65C8F"/>
    <w:rsid w:val="00B65D39"/>
    <w:rsid w:val="00B65EDD"/>
    <w:rsid w:val="00B65FEF"/>
    <w:rsid w:val="00B6648B"/>
    <w:rsid w:val="00B665B6"/>
    <w:rsid w:val="00B66615"/>
    <w:rsid w:val="00B667B3"/>
    <w:rsid w:val="00B66D07"/>
    <w:rsid w:val="00B66D23"/>
    <w:rsid w:val="00B66E04"/>
    <w:rsid w:val="00B67104"/>
    <w:rsid w:val="00B672A1"/>
    <w:rsid w:val="00B67333"/>
    <w:rsid w:val="00B673C4"/>
    <w:rsid w:val="00B67518"/>
    <w:rsid w:val="00B678D5"/>
    <w:rsid w:val="00B678D9"/>
    <w:rsid w:val="00B67CB0"/>
    <w:rsid w:val="00B67DB4"/>
    <w:rsid w:val="00B67DB7"/>
    <w:rsid w:val="00B67DC3"/>
    <w:rsid w:val="00B67E5F"/>
    <w:rsid w:val="00B70554"/>
    <w:rsid w:val="00B706D1"/>
    <w:rsid w:val="00B71015"/>
    <w:rsid w:val="00B71248"/>
    <w:rsid w:val="00B7127C"/>
    <w:rsid w:val="00B71B61"/>
    <w:rsid w:val="00B72018"/>
    <w:rsid w:val="00B72633"/>
    <w:rsid w:val="00B727D2"/>
    <w:rsid w:val="00B72965"/>
    <w:rsid w:val="00B72A38"/>
    <w:rsid w:val="00B72A3E"/>
    <w:rsid w:val="00B72E6C"/>
    <w:rsid w:val="00B72F50"/>
    <w:rsid w:val="00B731DE"/>
    <w:rsid w:val="00B731EC"/>
    <w:rsid w:val="00B732C5"/>
    <w:rsid w:val="00B7354A"/>
    <w:rsid w:val="00B739B0"/>
    <w:rsid w:val="00B73A00"/>
    <w:rsid w:val="00B73AAF"/>
    <w:rsid w:val="00B73D41"/>
    <w:rsid w:val="00B73DE6"/>
    <w:rsid w:val="00B73DF3"/>
    <w:rsid w:val="00B73F25"/>
    <w:rsid w:val="00B741AF"/>
    <w:rsid w:val="00B7439A"/>
    <w:rsid w:val="00B74454"/>
    <w:rsid w:val="00B7465C"/>
    <w:rsid w:val="00B748CC"/>
    <w:rsid w:val="00B74A97"/>
    <w:rsid w:val="00B74B49"/>
    <w:rsid w:val="00B74B4A"/>
    <w:rsid w:val="00B74B7D"/>
    <w:rsid w:val="00B74FAA"/>
    <w:rsid w:val="00B75285"/>
    <w:rsid w:val="00B75485"/>
    <w:rsid w:val="00B75488"/>
    <w:rsid w:val="00B7555F"/>
    <w:rsid w:val="00B757AA"/>
    <w:rsid w:val="00B758A5"/>
    <w:rsid w:val="00B75A8C"/>
    <w:rsid w:val="00B75B2C"/>
    <w:rsid w:val="00B75E18"/>
    <w:rsid w:val="00B76067"/>
    <w:rsid w:val="00B76260"/>
    <w:rsid w:val="00B76399"/>
    <w:rsid w:val="00B76706"/>
    <w:rsid w:val="00B76966"/>
    <w:rsid w:val="00B76E0E"/>
    <w:rsid w:val="00B76EBD"/>
    <w:rsid w:val="00B76ECE"/>
    <w:rsid w:val="00B77545"/>
    <w:rsid w:val="00B775BE"/>
    <w:rsid w:val="00B776CD"/>
    <w:rsid w:val="00B77801"/>
    <w:rsid w:val="00B80197"/>
    <w:rsid w:val="00B801A8"/>
    <w:rsid w:val="00B80214"/>
    <w:rsid w:val="00B80476"/>
    <w:rsid w:val="00B8064C"/>
    <w:rsid w:val="00B806CB"/>
    <w:rsid w:val="00B808E4"/>
    <w:rsid w:val="00B80A92"/>
    <w:rsid w:val="00B80C40"/>
    <w:rsid w:val="00B80E47"/>
    <w:rsid w:val="00B81052"/>
    <w:rsid w:val="00B81156"/>
    <w:rsid w:val="00B812BD"/>
    <w:rsid w:val="00B815B0"/>
    <w:rsid w:val="00B81879"/>
    <w:rsid w:val="00B81A78"/>
    <w:rsid w:val="00B81B6B"/>
    <w:rsid w:val="00B81C89"/>
    <w:rsid w:val="00B81E3E"/>
    <w:rsid w:val="00B82082"/>
    <w:rsid w:val="00B82321"/>
    <w:rsid w:val="00B8255F"/>
    <w:rsid w:val="00B825B0"/>
    <w:rsid w:val="00B82A7D"/>
    <w:rsid w:val="00B82C01"/>
    <w:rsid w:val="00B82C1F"/>
    <w:rsid w:val="00B82E52"/>
    <w:rsid w:val="00B8304C"/>
    <w:rsid w:val="00B83381"/>
    <w:rsid w:val="00B835A3"/>
    <w:rsid w:val="00B83E46"/>
    <w:rsid w:val="00B843B6"/>
    <w:rsid w:val="00B84689"/>
    <w:rsid w:val="00B849C9"/>
    <w:rsid w:val="00B84A62"/>
    <w:rsid w:val="00B84ED3"/>
    <w:rsid w:val="00B84F34"/>
    <w:rsid w:val="00B84F7F"/>
    <w:rsid w:val="00B853C7"/>
    <w:rsid w:val="00B85414"/>
    <w:rsid w:val="00B85465"/>
    <w:rsid w:val="00B85747"/>
    <w:rsid w:val="00B8645C"/>
    <w:rsid w:val="00B86801"/>
    <w:rsid w:val="00B86933"/>
    <w:rsid w:val="00B86BB1"/>
    <w:rsid w:val="00B86C48"/>
    <w:rsid w:val="00B87258"/>
    <w:rsid w:val="00B87688"/>
    <w:rsid w:val="00B8777E"/>
    <w:rsid w:val="00B87D7A"/>
    <w:rsid w:val="00B908F8"/>
    <w:rsid w:val="00B90B26"/>
    <w:rsid w:val="00B90D71"/>
    <w:rsid w:val="00B90DBE"/>
    <w:rsid w:val="00B90DC1"/>
    <w:rsid w:val="00B9101E"/>
    <w:rsid w:val="00B91027"/>
    <w:rsid w:val="00B9111B"/>
    <w:rsid w:val="00B911E7"/>
    <w:rsid w:val="00B91223"/>
    <w:rsid w:val="00B9141B"/>
    <w:rsid w:val="00B91487"/>
    <w:rsid w:val="00B917C1"/>
    <w:rsid w:val="00B91D5A"/>
    <w:rsid w:val="00B91F97"/>
    <w:rsid w:val="00B921B0"/>
    <w:rsid w:val="00B9259E"/>
    <w:rsid w:val="00B927CB"/>
    <w:rsid w:val="00B92CB2"/>
    <w:rsid w:val="00B92DCC"/>
    <w:rsid w:val="00B92FE6"/>
    <w:rsid w:val="00B93044"/>
    <w:rsid w:val="00B935F8"/>
    <w:rsid w:val="00B93D0B"/>
    <w:rsid w:val="00B93D3B"/>
    <w:rsid w:val="00B93E98"/>
    <w:rsid w:val="00B943FB"/>
    <w:rsid w:val="00B94914"/>
    <w:rsid w:val="00B94A79"/>
    <w:rsid w:val="00B94ADD"/>
    <w:rsid w:val="00B94C87"/>
    <w:rsid w:val="00B94D17"/>
    <w:rsid w:val="00B950CA"/>
    <w:rsid w:val="00B952F6"/>
    <w:rsid w:val="00B953B9"/>
    <w:rsid w:val="00B95491"/>
    <w:rsid w:val="00B95568"/>
    <w:rsid w:val="00B9557F"/>
    <w:rsid w:val="00B95AB2"/>
    <w:rsid w:val="00B95D4B"/>
    <w:rsid w:val="00B95D73"/>
    <w:rsid w:val="00B96316"/>
    <w:rsid w:val="00B963DB"/>
    <w:rsid w:val="00B964E1"/>
    <w:rsid w:val="00B9652D"/>
    <w:rsid w:val="00B965FD"/>
    <w:rsid w:val="00B96766"/>
    <w:rsid w:val="00B96C7F"/>
    <w:rsid w:val="00B96E51"/>
    <w:rsid w:val="00B970A0"/>
    <w:rsid w:val="00B97189"/>
    <w:rsid w:val="00B972E1"/>
    <w:rsid w:val="00B972F6"/>
    <w:rsid w:val="00B973EA"/>
    <w:rsid w:val="00B977E4"/>
    <w:rsid w:val="00B97A18"/>
    <w:rsid w:val="00B97B3D"/>
    <w:rsid w:val="00BA015D"/>
    <w:rsid w:val="00BA0229"/>
    <w:rsid w:val="00BA0860"/>
    <w:rsid w:val="00BA0A8E"/>
    <w:rsid w:val="00BA0ECC"/>
    <w:rsid w:val="00BA17E4"/>
    <w:rsid w:val="00BA1A10"/>
    <w:rsid w:val="00BA1B35"/>
    <w:rsid w:val="00BA1B99"/>
    <w:rsid w:val="00BA1C72"/>
    <w:rsid w:val="00BA1C8A"/>
    <w:rsid w:val="00BA2652"/>
    <w:rsid w:val="00BA2914"/>
    <w:rsid w:val="00BA2B6F"/>
    <w:rsid w:val="00BA2DD7"/>
    <w:rsid w:val="00BA3072"/>
    <w:rsid w:val="00BA30C7"/>
    <w:rsid w:val="00BA35C5"/>
    <w:rsid w:val="00BA3857"/>
    <w:rsid w:val="00BA3A00"/>
    <w:rsid w:val="00BA3CB8"/>
    <w:rsid w:val="00BA3CFD"/>
    <w:rsid w:val="00BA3D55"/>
    <w:rsid w:val="00BA409C"/>
    <w:rsid w:val="00BA4183"/>
    <w:rsid w:val="00BA449D"/>
    <w:rsid w:val="00BA45D8"/>
    <w:rsid w:val="00BA52B6"/>
    <w:rsid w:val="00BA5320"/>
    <w:rsid w:val="00BA532E"/>
    <w:rsid w:val="00BA5982"/>
    <w:rsid w:val="00BA5B32"/>
    <w:rsid w:val="00BA5B52"/>
    <w:rsid w:val="00BA5B9A"/>
    <w:rsid w:val="00BA5E53"/>
    <w:rsid w:val="00BA5ED7"/>
    <w:rsid w:val="00BA613A"/>
    <w:rsid w:val="00BA6226"/>
    <w:rsid w:val="00BA6510"/>
    <w:rsid w:val="00BA65AB"/>
    <w:rsid w:val="00BA688B"/>
    <w:rsid w:val="00BA6C06"/>
    <w:rsid w:val="00BA6DF7"/>
    <w:rsid w:val="00BA7246"/>
    <w:rsid w:val="00BA7262"/>
    <w:rsid w:val="00BA7269"/>
    <w:rsid w:val="00BA757B"/>
    <w:rsid w:val="00BA7AAD"/>
    <w:rsid w:val="00BA7AB6"/>
    <w:rsid w:val="00BA7B74"/>
    <w:rsid w:val="00BA7D3A"/>
    <w:rsid w:val="00BB0E11"/>
    <w:rsid w:val="00BB0F25"/>
    <w:rsid w:val="00BB0F4D"/>
    <w:rsid w:val="00BB1628"/>
    <w:rsid w:val="00BB1803"/>
    <w:rsid w:val="00BB1837"/>
    <w:rsid w:val="00BB1857"/>
    <w:rsid w:val="00BB18C4"/>
    <w:rsid w:val="00BB1C14"/>
    <w:rsid w:val="00BB1CBA"/>
    <w:rsid w:val="00BB25A9"/>
    <w:rsid w:val="00BB27DE"/>
    <w:rsid w:val="00BB298C"/>
    <w:rsid w:val="00BB29AF"/>
    <w:rsid w:val="00BB2ABC"/>
    <w:rsid w:val="00BB2D92"/>
    <w:rsid w:val="00BB3461"/>
    <w:rsid w:val="00BB3619"/>
    <w:rsid w:val="00BB36B1"/>
    <w:rsid w:val="00BB372A"/>
    <w:rsid w:val="00BB3895"/>
    <w:rsid w:val="00BB3990"/>
    <w:rsid w:val="00BB3F05"/>
    <w:rsid w:val="00BB4035"/>
    <w:rsid w:val="00BB434B"/>
    <w:rsid w:val="00BB4485"/>
    <w:rsid w:val="00BB4AEA"/>
    <w:rsid w:val="00BB4B7E"/>
    <w:rsid w:val="00BB4F35"/>
    <w:rsid w:val="00BB5673"/>
    <w:rsid w:val="00BB5AAA"/>
    <w:rsid w:val="00BB5B80"/>
    <w:rsid w:val="00BB5EEC"/>
    <w:rsid w:val="00BB617F"/>
    <w:rsid w:val="00BB67F4"/>
    <w:rsid w:val="00BB68FD"/>
    <w:rsid w:val="00BB6981"/>
    <w:rsid w:val="00BB6C69"/>
    <w:rsid w:val="00BB70C8"/>
    <w:rsid w:val="00BB7218"/>
    <w:rsid w:val="00BB7227"/>
    <w:rsid w:val="00BB7410"/>
    <w:rsid w:val="00BB761A"/>
    <w:rsid w:val="00BB788E"/>
    <w:rsid w:val="00BB78D1"/>
    <w:rsid w:val="00BC0455"/>
    <w:rsid w:val="00BC0974"/>
    <w:rsid w:val="00BC0AB0"/>
    <w:rsid w:val="00BC0C75"/>
    <w:rsid w:val="00BC0E32"/>
    <w:rsid w:val="00BC0E33"/>
    <w:rsid w:val="00BC0F7E"/>
    <w:rsid w:val="00BC126B"/>
    <w:rsid w:val="00BC130F"/>
    <w:rsid w:val="00BC18C9"/>
    <w:rsid w:val="00BC1918"/>
    <w:rsid w:val="00BC1A76"/>
    <w:rsid w:val="00BC1AB4"/>
    <w:rsid w:val="00BC1B77"/>
    <w:rsid w:val="00BC1FFB"/>
    <w:rsid w:val="00BC2122"/>
    <w:rsid w:val="00BC23A5"/>
    <w:rsid w:val="00BC265E"/>
    <w:rsid w:val="00BC269F"/>
    <w:rsid w:val="00BC29C7"/>
    <w:rsid w:val="00BC2BC9"/>
    <w:rsid w:val="00BC2BE0"/>
    <w:rsid w:val="00BC2D2B"/>
    <w:rsid w:val="00BC2DB1"/>
    <w:rsid w:val="00BC2DD0"/>
    <w:rsid w:val="00BC33CF"/>
    <w:rsid w:val="00BC35A6"/>
    <w:rsid w:val="00BC38CE"/>
    <w:rsid w:val="00BC3991"/>
    <w:rsid w:val="00BC3FD0"/>
    <w:rsid w:val="00BC4609"/>
    <w:rsid w:val="00BC4B45"/>
    <w:rsid w:val="00BC4B70"/>
    <w:rsid w:val="00BC555E"/>
    <w:rsid w:val="00BC575C"/>
    <w:rsid w:val="00BC5923"/>
    <w:rsid w:val="00BC5A95"/>
    <w:rsid w:val="00BC5AD6"/>
    <w:rsid w:val="00BC61C4"/>
    <w:rsid w:val="00BC65D9"/>
    <w:rsid w:val="00BC683D"/>
    <w:rsid w:val="00BC69AA"/>
    <w:rsid w:val="00BC6B48"/>
    <w:rsid w:val="00BC6CC5"/>
    <w:rsid w:val="00BC6D68"/>
    <w:rsid w:val="00BC6DC4"/>
    <w:rsid w:val="00BC7240"/>
    <w:rsid w:val="00BC74D6"/>
    <w:rsid w:val="00BC76EA"/>
    <w:rsid w:val="00BC79A6"/>
    <w:rsid w:val="00BC79B3"/>
    <w:rsid w:val="00BC7C7C"/>
    <w:rsid w:val="00BD0322"/>
    <w:rsid w:val="00BD05D8"/>
    <w:rsid w:val="00BD06E7"/>
    <w:rsid w:val="00BD0A2B"/>
    <w:rsid w:val="00BD0C7F"/>
    <w:rsid w:val="00BD0CAD"/>
    <w:rsid w:val="00BD1838"/>
    <w:rsid w:val="00BD1BAB"/>
    <w:rsid w:val="00BD1CFD"/>
    <w:rsid w:val="00BD20C3"/>
    <w:rsid w:val="00BD216D"/>
    <w:rsid w:val="00BD2C72"/>
    <w:rsid w:val="00BD2CF3"/>
    <w:rsid w:val="00BD3003"/>
    <w:rsid w:val="00BD30D1"/>
    <w:rsid w:val="00BD33D9"/>
    <w:rsid w:val="00BD36DF"/>
    <w:rsid w:val="00BD3886"/>
    <w:rsid w:val="00BD3A20"/>
    <w:rsid w:val="00BD3C13"/>
    <w:rsid w:val="00BD3D49"/>
    <w:rsid w:val="00BD3E51"/>
    <w:rsid w:val="00BD3E6C"/>
    <w:rsid w:val="00BD3EC7"/>
    <w:rsid w:val="00BD3F08"/>
    <w:rsid w:val="00BD3F85"/>
    <w:rsid w:val="00BD4202"/>
    <w:rsid w:val="00BD4222"/>
    <w:rsid w:val="00BD446A"/>
    <w:rsid w:val="00BD460A"/>
    <w:rsid w:val="00BD4D9A"/>
    <w:rsid w:val="00BD4FEC"/>
    <w:rsid w:val="00BD503E"/>
    <w:rsid w:val="00BD5550"/>
    <w:rsid w:val="00BD559C"/>
    <w:rsid w:val="00BD56B8"/>
    <w:rsid w:val="00BD5802"/>
    <w:rsid w:val="00BD618C"/>
    <w:rsid w:val="00BD64BE"/>
    <w:rsid w:val="00BD6593"/>
    <w:rsid w:val="00BD6630"/>
    <w:rsid w:val="00BD6C37"/>
    <w:rsid w:val="00BD6DFD"/>
    <w:rsid w:val="00BD6FDD"/>
    <w:rsid w:val="00BD7460"/>
    <w:rsid w:val="00BD74BF"/>
    <w:rsid w:val="00BE0156"/>
    <w:rsid w:val="00BE05B9"/>
    <w:rsid w:val="00BE0AC6"/>
    <w:rsid w:val="00BE0F8B"/>
    <w:rsid w:val="00BE0F99"/>
    <w:rsid w:val="00BE101D"/>
    <w:rsid w:val="00BE1176"/>
    <w:rsid w:val="00BE12C9"/>
    <w:rsid w:val="00BE140E"/>
    <w:rsid w:val="00BE1529"/>
    <w:rsid w:val="00BE16AB"/>
    <w:rsid w:val="00BE1CB8"/>
    <w:rsid w:val="00BE1EB7"/>
    <w:rsid w:val="00BE2334"/>
    <w:rsid w:val="00BE2550"/>
    <w:rsid w:val="00BE2748"/>
    <w:rsid w:val="00BE2A26"/>
    <w:rsid w:val="00BE2A83"/>
    <w:rsid w:val="00BE2A90"/>
    <w:rsid w:val="00BE2C59"/>
    <w:rsid w:val="00BE3137"/>
    <w:rsid w:val="00BE3459"/>
    <w:rsid w:val="00BE3651"/>
    <w:rsid w:val="00BE37FF"/>
    <w:rsid w:val="00BE39B4"/>
    <w:rsid w:val="00BE39DE"/>
    <w:rsid w:val="00BE3AD1"/>
    <w:rsid w:val="00BE3D57"/>
    <w:rsid w:val="00BE3DBE"/>
    <w:rsid w:val="00BE3E6B"/>
    <w:rsid w:val="00BE410A"/>
    <w:rsid w:val="00BE47DD"/>
    <w:rsid w:val="00BE48E6"/>
    <w:rsid w:val="00BE4DC7"/>
    <w:rsid w:val="00BE4DFE"/>
    <w:rsid w:val="00BE5116"/>
    <w:rsid w:val="00BE534A"/>
    <w:rsid w:val="00BE5ACB"/>
    <w:rsid w:val="00BE5B67"/>
    <w:rsid w:val="00BE5DD0"/>
    <w:rsid w:val="00BE5E4E"/>
    <w:rsid w:val="00BE5FB1"/>
    <w:rsid w:val="00BE6458"/>
    <w:rsid w:val="00BE6628"/>
    <w:rsid w:val="00BE6C18"/>
    <w:rsid w:val="00BE6CE4"/>
    <w:rsid w:val="00BE74FD"/>
    <w:rsid w:val="00BE7598"/>
    <w:rsid w:val="00BE78AF"/>
    <w:rsid w:val="00BE7912"/>
    <w:rsid w:val="00BE7CF2"/>
    <w:rsid w:val="00BE7DC5"/>
    <w:rsid w:val="00BF000B"/>
    <w:rsid w:val="00BF0046"/>
    <w:rsid w:val="00BF0052"/>
    <w:rsid w:val="00BF026E"/>
    <w:rsid w:val="00BF044C"/>
    <w:rsid w:val="00BF0757"/>
    <w:rsid w:val="00BF0A16"/>
    <w:rsid w:val="00BF0BA0"/>
    <w:rsid w:val="00BF0E35"/>
    <w:rsid w:val="00BF0F33"/>
    <w:rsid w:val="00BF132A"/>
    <w:rsid w:val="00BF16CF"/>
    <w:rsid w:val="00BF198A"/>
    <w:rsid w:val="00BF19BB"/>
    <w:rsid w:val="00BF1AF8"/>
    <w:rsid w:val="00BF23C0"/>
    <w:rsid w:val="00BF24D5"/>
    <w:rsid w:val="00BF2509"/>
    <w:rsid w:val="00BF2632"/>
    <w:rsid w:val="00BF27F2"/>
    <w:rsid w:val="00BF2B0D"/>
    <w:rsid w:val="00BF2C55"/>
    <w:rsid w:val="00BF3073"/>
    <w:rsid w:val="00BF322D"/>
    <w:rsid w:val="00BF325C"/>
    <w:rsid w:val="00BF32B7"/>
    <w:rsid w:val="00BF330A"/>
    <w:rsid w:val="00BF3715"/>
    <w:rsid w:val="00BF38CD"/>
    <w:rsid w:val="00BF3B82"/>
    <w:rsid w:val="00BF3E3F"/>
    <w:rsid w:val="00BF4775"/>
    <w:rsid w:val="00BF4860"/>
    <w:rsid w:val="00BF48E2"/>
    <w:rsid w:val="00BF4BF3"/>
    <w:rsid w:val="00BF4EE4"/>
    <w:rsid w:val="00BF4F5D"/>
    <w:rsid w:val="00BF5122"/>
    <w:rsid w:val="00BF5455"/>
    <w:rsid w:val="00BF5B8E"/>
    <w:rsid w:val="00BF62E6"/>
    <w:rsid w:val="00BF63B6"/>
    <w:rsid w:val="00BF653F"/>
    <w:rsid w:val="00BF65A5"/>
    <w:rsid w:val="00BF676E"/>
    <w:rsid w:val="00BF6A44"/>
    <w:rsid w:val="00BF6B2D"/>
    <w:rsid w:val="00BF6E21"/>
    <w:rsid w:val="00BF6FD1"/>
    <w:rsid w:val="00BF7238"/>
    <w:rsid w:val="00BF7598"/>
    <w:rsid w:val="00BF7886"/>
    <w:rsid w:val="00C000A3"/>
    <w:rsid w:val="00C0042E"/>
    <w:rsid w:val="00C006A0"/>
    <w:rsid w:val="00C008E5"/>
    <w:rsid w:val="00C00E0A"/>
    <w:rsid w:val="00C00EDF"/>
    <w:rsid w:val="00C01169"/>
    <w:rsid w:val="00C012AF"/>
    <w:rsid w:val="00C01844"/>
    <w:rsid w:val="00C01876"/>
    <w:rsid w:val="00C018AE"/>
    <w:rsid w:val="00C01B16"/>
    <w:rsid w:val="00C024A0"/>
    <w:rsid w:val="00C0297F"/>
    <w:rsid w:val="00C029D7"/>
    <w:rsid w:val="00C02BD0"/>
    <w:rsid w:val="00C02D1E"/>
    <w:rsid w:val="00C030FE"/>
    <w:rsid w:val="00C03530"/>
    <w:rsid w:val="00C036B9"/>
    <w:rsid w:val="00C0370B"/>
    <w:rsid w:val="00C03F43"/>
    <w:rsid w:val="00C03F48"/>
    <w:rsid w:val="00C03FD8"/>
    <w:rsid w:val="00C04513"/>
    <w:rsid w:val="00C04557"/>
    <w:rsid w:val="00C04CDB"/>
    <w:rsid w:val="00C04DD1"/>
    <w:rsid w:val="00C0502A"/>
    <w:rsid w:val="00C05121"/>
    <w:rsid w:val="00C05248"/>
    <w:rsid w:val="00C056C9"/>
    <w:rsid w:val="00C057EB"/>
    <w:rsid w:val="00C05900"/>
    <w:rsid w:val="00C05AE7"/>
    <w:rsid w:val="00C05EFF"/>
    <w:rsid w:val="00C05FFB"/>
    <w:rsid w:val="00C06179"/>
    <w:rsid w:val="00C06186"/>
    <w:rsid w:val="00C0691E"/>
    <w:rsid w:val="00C069F1"/>
    <w:rsid w:val="00C06BCE"/>
    <w:rsid w:val="00C06DB4"/>
    <w:rsid w:val="00C06F28"/>
    <w:rsid w:val="00C06FD0"/>
    <w:rsid w:val="00C0707C"/>
    <w:rsid w:val="00C07267"/>
    <w:rsid w:val="00C0747B"/>
    <w:rsid w:val="00C076C2"/>
    <w:rsid w:val="00C07972"/>
    <w:rsid w:val="00C07E81"/>
    <w:rsid w:val="00C07ED2"/>
    <w:rsid w:val="00C10448"/>
    <w:rsid w:val="00C105C2"/>
    <w:rsid w:val="00C109CB"/>
    <w:rsid w:val="00C10C9B"/>
    <w:rsid w:val="00C10CC1"/>
    <w:rsid w:val="00C10F6E"/>
    <w:rsid w:val="00C10F78"/>
    <w:rsid w:val="00C11561"/>
    <w:rsid w:val="00C117BA"/>
    <w:rsid w:val="00C1200C"/>
    <w:rsid w:val="00C1249E"/>
    <w:rsid w:val="00C124C9"/>
    <w:rsid w:val="00C12554"/>
    <w:rsid w:val="00C1256A"/>
    <w:rsid w:val="00C127B6"/>
    <w:rsid w:val="00C12A64"/>
    <w:rsid w:val="00C12DD6"/>
    <w:rsid w:val="00C138AF"/>
    <w:rsid w:val="00C13C42"/>
    <w:rsid w:val="00C14C63"/>
    <w:rsid w:val="00C14F48"/>
    <w:rsid w:val="00C151E3"/>
    <w:rsid w:val="00C15221"/>
    <w:rsid w:val="00C152E3"/>
    <w:rsid w:val="00C154CD"/>
    <w:rsid w:val="00C15507"/>
    <w:rsid w:val="00C15671"/>
    <w:rsid w:val="00C158D3"/>
    <w:rsid w:val="00C158DA"/>
    <w:rsid w:val="00C160CD"/>
    <w:rsid w:val="00C165B2"/>
    <w:rsid w:val="00C16703"/>
    <w:rsid w:val="00C16AB2"/>
    <w:rsid w:val="00C16C05"/>
    <w:rsid w:val="00C17036"/>
    <w:rsid w:val="00C17215"/>
    <w:rsid w:val="00C173AD"/>
    <w:rsid w:val="00C1758F"/>
    <w:rsid w:val="00C176CB"/>
    <w:rsid w:val="00C17B66"/>
    <w:rsid w:val="00C17DE5"/>
    <w:rsid w:val="00C17E68"/>
    <w:rsid w:val="00C17F3E"/>
    <w:rsid w:val="00C17FB2"/>
    <w:rsid w:val="00C208D5"/>
    <w:rsid w:val="00C20B43"/>
    <w:rsid w:val="00C20CAB"/>
    <w:rsid w:val="00C20F7A"/>
    <w:rsid w:val="00C21163"/>
    <w:rsid w:val="00C2128A"/>
    <w:rsid w:val="00C2133E"/>
    <w:rsid w:val="00C214C5"/>
    <w:rsid w:val="00C214E6"/>
    <w:rsid w:val="00C2151A"/>
    <w:rsid w:val="00C219FD"/>
    <w:rsid w:val="00C21A38"/>
    <w:rsid w:val="00C21C30"/>
    <w:rsid w:val="00C21EAB"/>
    <w:rsid w:val="00C21F8F"/>
    <w:rsid w:val="00C220D3"/>
    <w:rsid w:val="00C224F6"/>
    <w:rsid w:val="00C2251E"/>
    <w:rsid w:val="00C225D6"/>
    <w:rsid w:val="00C22D7F"/>
    <w:rsid w:val="00C22EDF"/>
    <w:rsid w:val="00C23005"/>
    <w:rsid w:val="00C230B7"/>
    <w:rsid w:val="00C2346D"/>
    <w:rsid w:val="00C236F1"/>
    <w:rsid w:val="00C2374B"/>
    <w:rsid w:val="00C23C8C"/>
    <w:rsid w:val="00C23EC1"/>
    <w:rsid w:val="00C23F67"/>
    <w:rsid w:val="00C240BF"/>
    <w:rsid w:val="00C24245"/>
    <w:rsid w:val="00C2479D"/>
    <w:rsid w:val="00C247BF"/>
    <w:rsid w:val="00C24BE2"/>
    <w:rsid w:val="00C24ED1"/>
    <w:rsid w:val="00C24F1D"/>
    <w:rsid w:val="00C24F6C"/>
    <w:rsid w:val="00C25159"/>
    <w:rsid w:val="00C253E2"/>
    <w:rsid w:val="00C25D5F"/>
    <w:rsid w:val="00C26040"/>
    <w:rsid w:val="00C267C6"/>
    <w:rsid w:val="00C26CC7"/>
    <w:rsid w:val="00C27030"/>
    <w:rsid w:val="00C271E2"/>
    <w:rsid w:val="00C27518"/>
    <w:rsid w:val="00C2784F"/>
    <w:rsid w:val="00C27D1D"/>
    <w:rsid w:val="00C27F24"/>
    <w:rsid w:val="00C301B8"/>
    <w:rsid w:val="00C3023F"/>
    <w:rsid w:val="00C30438"/>
    <w:rsid w:val="00C304C5"/>
    <w:rsid w:val="00C30873"/>
    <w:rsid w:val="00C30902"/>
    <w:rsid w:val="00C30E82"/>
    <w:rsid w:val="00C3105A"/>
    <w:rsid w:val="00C31313"/>
    <w:rsid w:val="00C313F4"/>
    <w:rsid w:val="00C3143C"/>
    <w:rsid w:val="00C31448"/>
    <w:rsid w:val="00C31810"/>
    <w:rsid w:val="00C3184B"/>
    <w:rsid w:val="00C318E5"/>
    <w:rsid w:val="00C31D95"/>
    <w:rsid w:val="00C31DE4"/>
    <w:rsid w:val="00C31FBA"/>
    <w:rsid w:val="00C323D1"/>
    <w:rsid w:val="00C32576"/>
    <w:rsid w:val="00C325F9"/>
    <w:rsid w:val="00C32AFA"/>
    <w:rsid w:val="00C32C12"/>
    <w:rsid w:val="00C32C39"/>
    <w:rsid w:val="00C32E32"/>
    <w:rsid w:val="00C33439"/>
    <w:rsid w:val="00C33DAD"/>
    <w:rsid w:val="00C348C9"/>
    <w:rsid w:val="00C349B8"/>
    <w:rsid w:val="00C34A49"/>
    <w:rsid w:val="00C34BAA"/>
    <w:rsid w:val="00C34F1C"/>
    <w:rsid w:val="00C35415"/>
    <w:rsid w:val="00C354E3"/>
    <w:rsid w:val="00C355EB"/>
    <w:rsid w:val="00C35D6A"/>
    <w:rsid w:val="00C35E06"/>
    <w:rsid w:val="00C35FB5"/>
    <w:rsid w:val="00C36132"/>
    <w:rsid w:val="00C36168"/>
    <w:rsid w:val="00C362BB"/>
    <w:rsid w:val="00C36535"/>
    <w:rsid w:val="00C3665A"/>
    <w:rsid w:val="00C367B2"/>
    <w:rsid w:val="00C36B06"/>
    <w:rsid w:val="00C36C89"/>
    <w:rsid w:val="00C36FA9"/>
    <w:rsid w:val="00C3708F"/>
    <w:rsid w:val="00C3728B"/>
    <w:rsid w:val="00C373CB"/>
    <w:rsid w:val="00C378EA"/>
    <w:rsid w:val="00C37BC1"/>
    <w:rsid w:val="00C37C88"/>
    <w:rsid w:val="00C37DE9"/>
    <w:rsid w:val="00C37FB8"/>
    <w:rsid w:val="00C401D1"/>
    <w:rsid w:val="00C40483"/>
    <w:rsid w:val="00C407AB"/>
    <w:rsid w:val="00C40AAF"/>
    <w:rsid w:val="00C40C50"/>
    <w:rsid w:val="00C40F89"/>
    <w:rsid w:val="00C41695"/>
    <w:rsid w:val="00C41B04"/>
    <w:rsid w:val="00C41D69"/>
    <w:rsid w:val="00C41F7A"/>
    <w:rsid w:val="00C42042"/>
    <w:rsid w:val="00C4265D"/>
    <w:rsid w:val="00C42674"/>
    <w:rsid w:val="00C428A6"/>
    <w:rsid w:val="00C42D3F"/>
    <w:rsid w:val="00C43908"/>
    <w:rsid w:val="00C43B4A"/>
    <w:rsid w:val="00C43C91"/>
    <w:rsid w:val="00C44069"/>
    <w:rsid w:val="00C443DF"/>
    <w:rsid w:val="00C44476"/>
    <w:rsid w:val="00C4500C"/>
    <w:rsid w:val="00C4504E"/>
    <w:rsid w:val="00C45414"/>
    <w:rsid w:val="00C4545E"/>
    <w:rsid w:val="00C4574A"/>
    <w:rsid w:val="00C458FE"/>
    <w:rsid w:val="00C45A54"/>
    <w:rsid w:val="00C45C73"/>
    <w:rsid w:val="00C4629F"/>
    <w:rsid w:val="00C463D5"/>
    <w:rsid w:val="00C4644A"/>
    <w:rsid w:val="00C464FE"/>
    <w:rsid w:val="00C465E1"/>
    <w:rsid w:val="00C467FD"/>
    <w:rsid w:val="00C46812"/>
    <w:rsid w:val="00C46AA1"/>
    <w:rsid w:val="00C472B8"/>
    <w:rsid w:val="00C472DF"/>
    <w:rsid w:val="00C4730A"/>
    <w:rsid w:val="00C4751E"/>
    <w:rsid w:val="00C4751F"/>
    <w:rsid w:val="00C47594"/>
    <w:rsid w:val="00C47831"/>
    <w:rsid w:val="00C47A2C"/>
    <w:rsid w:val="00C47AA1"/>
    <w:rsid w:val="00C47C2D"/>
    <w:rsid w:val="00C50676"/>
    <w:rsid w:val="00C50A03"/>
    <w:rsid w:val="00C5100D"/>
    <w:rsid w:val="00C51307"/>
    <w:rsid w:val="00C51415"/>
    <w:rsid w:val="00C5156D"/>
    <w:rsid w:val="00C517CA"/>
    <w:rsid w:val="00C51864"/>
    <w:rsid w:val="00C51878"/>
    <w:rsid w:val="00C51A6C"/>
    <w:rsid w:val="00C523B3"/>
    <w:rsid w:val="00C524BE"/>
    <w:rsid w:val="00C5277B"/>
    <w:rsid w:val="00C52BF3"/>
    <w:rsid w:val="00C52DED"/>
    <w:rsid w:val="00C52F8C"/>
    <w:rsid w:val="00C531B8"/>
    <w:rsid w:val="00C53708"/>
    <w:rsid w:val="00C53728"/>
    <w:rsid w:val="00C53955"/>
    <w:rsid w:val="00C53A76"/>
    <w:rsid w:val="00C53BAC"/>
    <w:rsid w:val="00C53ED9"/>
    <w:rsid w:val="00C53F6B"/>
    <w:rsid w:val="00C540EA"/>
    <w:rsid w:val="00C54667"/>
    <w:rsid w:val="00C54668"/>
    <w:rsid w:val="00C546C6"/>
    <w:rsid w:val="00C5472E"/>
    <w:rsid w:val="00C548E5"/>
    <w:rsid w:val="00C54DFB"/>
    <w:rsid w:val="00C55124"/>
    <w:rsid w:val="00C552C8"/>
    <w:rsid w:val="00C5537A"/>
    <w:rsid w:val="00C55395"/>
    <w:rsid w:val="00C55402"/>
    <w:rsid w:val="00C5552B"/>
    <w:rsid w:val="00C5579F"/>
    <w:rsid w:val="00C5599F"/>
    <w:rsid w:val="00C55A42"/>
    <w:rsid w:val="00C55BED"/>
    <w:rsid w:val="00C55D4D"/>
    <w:rsid w:val="00C56A0D"/>
    <w:rsid w:val="00C56E99"/>
    <w:rsid w:val="00C5700F"/>
    <w:rsid w:val="00C5723C"/>
    <w:rsid w:val="00C576C3"/>
    <w:rsid w:val="00C576E5"/>
    <w:rsid w:val="00C57ADB"/>
    <w:rsid w:val="00C57B31"/>
    <w:rsid w:val="00C57BC4"/>
    <w:rsid w:val="00C57C19"/>
    <w:rsid w:val="00C60337"/>
    <w:rsid w:val="00C60372"/>
    <w:rsid w:val="00C6054F"/>
    <w:rsid w:val="00C60659"/>
    <w:rsid w:val="00C6066C"/>
    <w:rsid w:val="00C606D0"/>
    <w:rsid w:val="00C606E8"/>
    <w:rsid w:val="00C607C3"/>
    <w:rsid w:val="00C60C67"/>
    <w:rsid w:val="00C612E0"/>
    <w:rsid w:val="00C61516"/>
    <w:rsid w:val="00C61646"/>
    <w:rsid w:val="00C616E3"/>
    <w:rsid w:val="00C61856"/>
    <w:rsid w:val="00C618C3"/>
    <w:rsid w:val="00C61916"/>
    <w:rsid w:val="00C619ED"/>
    <w:rsid w:val="00C61E6A"/>
    <w:rsid w:val="00C62091"/>
    <w:rsid w:val="00C62171"/>
    <w:rsid w:val="00C622F5"/>
    <w:rsid w:val="00C62699"/>
    <w:rsid w:val="00C626A2"/>
    <w:rsid w:val="00C62853"/>
    <w:rsid w:val="00C62975"/>
    <w:rsid w:val="00C629C6"/>
    <w:rsid w:val="00C62E15"/>
    <w:rsid w:val="00C62E42"/>
    <w:rsid w:val="00C62F90"/>
    <w:rsid w:val="00C63051"/>
    <w:rsid w:val="00C630A4"/>
    <w:rsid w:val="00C632C3"/>
    <w:rsid w:val="00C636CC"/>
    <w:rsid w:val="00C6371E"/>
    <w:rsid w:val="00C6376F"/>
    <w:rsid w:val="00C6386F"/>
    <w:rsid w:val="00C63F0A"/>
    <w:rsid w:val="00C641E9"/>
    <w:rsid w:val="00C646E0"/>
    <w:rsid w:val="00C646F0"/>
    <w:rsid w:val="00C6492D"/>
    <w:rsid w:val="00C64AF1"/>
    <w:rsid w:val="00C64B75"/>
    <w:rsid w:val="00C64CA8"/>
    <w:rsid w:val="00C64E07"/>
    <w:rsid w:val="00C652DA"/>
    <w:rsid w:val="00C65572"/>
    <w:rsid w:val="00C65655"/>
    <w:rsid w:val="00C657DD"/>
    <w:rsid w:val="00C65A5E"/>
    <w:rsid w:val="00C65A69"/>
    <w:rsid w:val="00C65A6A"/>
    <w:rsid w:val="00C65D4F"/>
    <w:rsid w:val="00C66083"/>
    <w:rsid w:val="00C66225"/>
    <w:rsid w:val="00C662B0"/>
    <w:rsid w:val="00C663FE"/>
    <w:rsid w:val="00C6645A"/>
    <w:rsid w:val="00C66482"/>
    <w:rsid w:val="00C66878"/>
    <w:rsid w:val="00C66ABC"/>
    <w:rsid w:val="00C66B3A"/>
    <w:rsid w:val="00C66C0D"/>
    <w:rsid w:val="00C66F28"/>
    <w:rsid w:val="00C67001"/>
    <w:rsid w:val="00C67495"/>
    <w:rsid w:val="00C67507"/>
    <w:rsid w:val="00C70017"/>
    <w:rsid w:val="00C7026C"/>
    <w:rsid w:val="00C7031D"/>
    <w:rsid w:val="00C704C0"/>
    <w:rsid w:val="00C704C9"/>
    <w:rsid w:val="00C70720"/>
    <w:rsid w:val="00C70A1C"/>
    <w:rsid w:val="00C70BC1"/>
    <w:rsid w:val="00C70ED2"/>
    <w:rsid w:val="00C71189"/>
    <w:rsid w:val="00C71824"/>
    <w:rsid w:val="00C71889"/>
    <w:rsid w:val="00C7198A"/>
    <w:rsid w:val="00C72074"/>
    <w:rsid w:val="00C7217C"/>
    <w:rsid w:val="00C7233C"/>
    <w:rsid w:val="00C72406"/>
    <w:rsid w:val="00C7288A"/>
    <w:rsid w:val="00C72BA9"/>
    <w:rsid w:val="00C72C42"/>
    <w:rsid w:val="00C732CF"/>
    <w:rsid w:val="00C737F5"/>
    <w:rsid w:val="00C73805"/>
    <w:rsid w:val="00C738CF"/>
    <w:rsid w:val="00C73A42"/>
    <w:rsid w:val="00C73DD4"/>
    <w:rsid w:val="00C74147"/>
    <w:rsid w:val="00C74327"/>
    <w:rsid w:val="00C75517"/>
    <w:rsid w:val="00C75619"/>
    <w:rsid w:val="00C75861"/>
    <w:rsid w:val="00C75A74"/>
    <w:rsid w:val="00C75C38"/>
    <w:rsid w:val="00C75FB2"/>
    <w:rsid w:val="00C76077"/>
    <w:rsid w:val="00C76228"/>
    <w:rsid w:val="00C764E4"/>
    <w:rsid w:val="00C76AAB"/>
    <w:rsid w:val="00C76BB9"/>
    <w:rsid w:val="00C76C31"/>
    <w:rsid w:val="00C76E57"/>
    <w:rsid w:val="00C770CE"/>
    <w:rsid w:val="00C7724F"/>
    <w:rsid w:val="00C77281"/>
    <w:rsid w:val="00C777A7"/>
    <w:rsid w:val="00C777E9"/>
    <w:rsid w:val="00C77804"/>
    <w:rsid w:val="00C80A72"/>
    <w:rsid w:val="00C80AF3"/>
    <w:rsid w:val="00C8110D"/>
    <w:rsid w:val="00C81331"/>
    <w:rsid w:val="00C81975"/>
    <w:rsid w:val="00C81BF0"/>
    <w:rsid w:val="00C82540"/>
    <w:rsid w:val="00C82624"/>
    <w:rsid w:val="00C82EBF"/>
    <w:rsid w:val="00C82ED3"/>
    <w:rsid w:val="00C82FB5"/>
    <w:rsid w:val="00C83405"/>
    <w:rsid w:val="00C83613"/>
    <w:rsid w:val="00C83958"/>
    <w:rsid w:val="00C83F9A"/>
    <w:rsid w:val="00C84324"/>
    <w:rsid w:val="00C8434D"/>
    <w:rsid w:val="00C84898"/>
    <w:rsid w:val="00C848A0"/>
    <w:rsid w:val="00C84A98"/>
    <w:rsid w:val="00C84AE5"/>
    <w:rsid w:val="00C84D61"/>
    <w:rsid w:val="00C850F8"/>
    <w:rsid w:val="00C85145"/>
    <w:rsid w:val="00C85608"/>
    <w:rsid w:val="00C85B6F"/>
    <w:rsid w:val="00C86183"/>
    <w:rsid w:val="00C861EB"/>
    <w:rsid w:val="00C86245"/>
    <w:rsid w:val="00C86370"/>
    <w:rsid w:val="00C867AE"/>
    <w:rsid w:val="00C867E1"/>
    <w:rsid w:val="00C86D7B"/>
    <w:rsid w:val="00C86EEC"/>
    <w:rsid w:val="00C87318"/>
    <w:rsid w:val="00C875F0"/>
    <w:rsid w:val="00C8771A"/>
    <w:rsid w:val="00C87C1D"/>
    <w:rsid w:val="00C904A8"/>
    <w:rsid w:val="00C90603"/>
    <w:rsid w:val="00C90DA1"/>
    <w:rsid w:val="00C90F11"/>
    <w:rsid w:val="00C9131E"/>
    <w:rsid w:val="00C915A0"/>
    <w:rsid w:val="00C9185A"/>
    <w:rsid w:val="00C919DA"/>
    <w:rsid w:val="00C91A1D"/>
    <w:rsid w:val="00C91AB0"/>
    <w:rsid w:val="00C91BE3"/>
    <w:rsid w:val="00C91E07"/>
    <w:rsid w:val="00C91E8F"/>
    <w:rsid w:val="00C91F7A"/>
    <w:rsid w:val="00C9215C"/>
    <w:rsid w:val="00C92222"/>
    <w:rsid w:val="00C9268B"/>
    <w:rsid w:val="00C9268D"/>
    <w:rsid w:val="00C92957"/>
    <w:rsid w:val="00C92C0C"/>
    <w:rsid w:val="00C92CFA"/>
    <w:rsid w:val="00C92F0A"/>
    <w:rsid w:val="00C92F77"/>
    <w:rsid w:val="00C930C9"/>
    <w:rsid w:val="00C9310B"/>
    <w:rsid w:val="00C93579"/>
    <w:rsid w:val="00C937E9"/>
    <w:rsid w:val="00C93A91"/>
    <w:rsid w:val="00C93C21"/>
    <w:rsid w:val="00C93CB0"/>
    <w:rsid w:val="00C941E2"/>
    <w:rsid w:val="00C942CD"/>
    <w:rsid w:val="00C945E1"/>
    <w:rsid w:val="00C95083"/>
    <w:rsid w:val="00C953CB"/>
    <w:rsid w:val="00C95639"/>
    <w:rsid w:val="00C95761"/>
    <w:rsid w:val="00C95ED5"/>
    <w:rsid w:val="00C9653E"/>
    <w:rsid w:val="00C966AC"/>
    <w:rsid w:val="00C969DE"/>
    <w:rsid w:val="00C96B91"/>
    <w:rsid w:val="00C96FEF"/>
    <w:rsid w:val="00C976DF"/>
    <w:rsid w:val="00C97969"/>
    <w:rsid w:val="00C97AB4"/>
    <w:rsid w:val="00C97ADC"/>
    <w:rsid w:val="00C97BE8"/>
    <w:rsid w:val="00C97D4F"/>
    <w:rsid w:val="00C97E64"/>
    <w:rsid w:val="00CA0104"/>
    <w:rsid w:val="00CA0188"/>
    <w:rsid w:val="00CA03B4"/>
    <w:rsid w:val="00CA0416"/>
    <w:rsid w:val="00CA04BA"/>
    <w:rsid w:val="00CA0576"/>
    <w:rsid w:val="00CA05D1"/>
    <w:rsid w:val="00CA0719"/>
    <w:rsid w:val="00CA07B2"/>
    <w:rsid w:val="00CA09D3"/>
    <w:rsid w:val="00CA0C34"/>
    <w:rsid w:val="00CA0D7E"/>
    <w:rsid w:val="00CA0E1E"/>
    <w:rsid w:val="00CA0FA1"/>
    <w:rsid w:val="00CA114E"/>
    <w:rsid w:val="00CA19B2"/>
    <w:rsid w:val="00CA1B6B"/>
    <w:rsid w:val="00CA1C94"/>
    <w:rsid w:val="00CA23ED"/>
    <w:rsid w:val="00CA24D9"/>
    <w:rsid w:val="00CA2EE2"/>
    <w:rsid w:val="00CA326D"/>
    <w:rsid w:val="00CA3AD1"/>
    <w:rsid w:val="00CA3CDD"/>
    <w:rsid w:val="00CA3DCC"/>
    <w:rsid w:val="00CA404F"/>
    <w:rsid w:val="00CA463C"/>
    <w:rsid w:val="00CA474B"/>
    <w:rsid w:val="00CA4760"/>
    <w:rsid w:val="00CA4863"/>
    <w:rsid w:val="00CA4C2D"/>
    <w:rsid w:val="00CA4C6A"/>
    <w:rsid w:val="00CA51C3"/>
    <w:rsid w:val="00CA5B28"/>
    <w:rsid w:val="00CA5CEA"/>
    <w:rsid w:val="00CA5D19"/>
    <w:rsid w:val="00CA633D"/>
    <w:rsid w:val="00CA63D9"/>
    <w:rsid w:val="00CA6759"/>
    <w:rsid w:val="00CA76F9"/>
    <w:rsid w:val="00CA7700"/>
    <w:rsid w:val="00CA7755"/>
    <w:rsid w:val="00CA776B"/>
    <w:rsid w:val="00CA777E"/>
    <w:rsid w:val="00CA7A40"/>
    <w:rsid w:val="00CA7AA0"/>
    <w:rsid w:val="00CA7BAC"/>
    <w:rsid w:val="00CA7D9A"/>
    <w:rsid w:val="00CB0237"/>
    <w:rsid w:val="00CB0447"/>
    <w:rsid w:val="00CB053B"/>
    <w:rsid w:val="00CB0729"/>
    <w:rsid w:val="00CB074A"/>
    <w:rsid w:val="00CB07D9"/>
    <w:rsid w:val="00CB08CA"/>
    <w:rsid w:val="00CB09B7"/>
    <w:rsid w:val="00CB0F1F"/>
    <w:rsid w:val="00CB0F7E"/>
    <w:rsid w:val="00CB102A"/>
    <w:rsid w:val="00CB1792"/>
    <w:rsid w:val="00CB184E"/>
    <w:rsid w:val="00CB202F"/>
    <w:rsid w:val="00CB224B"/>
    <w:rsid w:val="00CB23F7"/>
    <w:rsid w:val="00CB257A"/>
    <w:rsid w:val="00CB2643"/>
    <w:rsid w:val="00CB2775"/>
    <w:rsid w:val="00CB2EB3"/>
    <w:rsid w:val="00CB346D"/>
    <w:rsid w:val="00CB34E4"/>
    <w:rsid w:val="00CB3621"/>
    <w:rsid w:val="00CB373A"/>
    <w:rsid w:val="00CB38DE"/>
    <w:rsid w:val="00CB400B"/>
    <w:rsid w:val="00CB4184"/>
    <w:rsid w:val="00CB41DB"/>
    <w:rsid w:val="00CB421E"/>
    <w:rsid w:val="00CB469E"/>
    <w:rsid w:val="00CB486E"/>
    <w:rsid w:val="00CB494A"/>
    <w:rsid w:val="00CB4995"/>
    <w:rsid w:val="00CB4D0B"/>
    <w:rsid w:val="00CB50D9"/>
    <w:rsid w:val="00CB52FD"/>
    <w:rsid w:val="00CB5470"/>
    <w:rsid w:val="00CB56EC"/>
    <w:rsid w:val="00CB56F2"/>
    <w:rsid w:val="00CB5A25"/>
    <w:rsid w:val="00CB5B93"/>
    <w:rsid w:val="00CB5E6C"/>
    <w:rsid w:val="00CB5F55"/>
    <w:rsid w:val="00CB623C"/>
    <w:rsid w:val="00CB6733"/>
    <w:rsid w:val="00CB6737"/>
    <w:rsid w:val="00CB6A01"/>
    <w:rsid w:val="00CB6FA6"/>
    <w:rsid w:val="00CB7274"/>
    <w:rsid w:val="00CB72C9"/>
    <w:rsid w:val="00CB740D"/>
    <w:rsid w:val="00CB7483"/>
    <w:rsid w:val="00CB78B6"/>
    <w:rsid w:val="00CB7B22"/>
    <w:rsid w:val="00CB7C5C"/>
    <w:rsid w:val="00CB7DE0"/>
    <w:rsid w:val="00CC0543"/>
    <w:rsid w:val="00CC05D3"/>
    <w:rsid w:val="00CC0609"/>
    <w:rsid w:val="00CC071E"/>
    <w:rsid w:val="00CC083E"/>
    <w:rsid w:val="00CC1463"/>
    <w:rsid w:val="00CC158D"/>
    <w:rsid w:val="00CC168E"/>
    <w:rsid w:val="00CC1C59"/>
    <w:rsid w:val="00CC1D4B"/>
    <w:rsid w:val="00CC1E96"/>
    <w:rsid w:val="00CC20BF"/>
    <w:rsid w:val="00CC2255"/>
    <w:rsid w:val="00CC237C"/>
    <w:rsid w:val="00CC246F"/>
    <w:rsid w:val="00CC25A8"/>
    <w:rsid w:val="00CC263C"/>
    <w:rsid w:val="00CC2E07"/>
    <w:rsid w:val="00CC31E7"/>
    <w:rsid w:val="00CC3491"/>
    <w:rsid w:val="00CC3A21"/>
    <w:rsid w:val="00CC3A34"/>
    <w:rsid w:val="00CC3CEC"/>
    <w:rsid w:val="00CC3DC2"/>
    <w:rsid w:val="00CC40EB"/>
    <w:rsid w:val="00CC4179"/>
    <w:rsid w:val="00CC4314"/>
    <w:rsid w:val="00CC4522"/>
    <w:rsid w:val="00CC474D"/>
    <w:rsid w:val="00CC4818"/>
    <w:rsid w:val="00CC49F5"/>
    <w:rsid w:val="00CC4B9D"/>
    <w:rsid w:val="00CC4FFC"/>
    <w:rsid w:val="00CC50F1"/>
    <w:rsid w:val="00CC5105"/>
    <w:rsid w:val="00CC5180"/>
    <w:rsid w:val="00CC51D6"/>
    <w:rsid w:val="00CC5280"/>
    <w:rsid w:val="00CC52A6"/>
    <w:rsid w:val="00CC554A"/>
    <w:rsid w:val="00CC5C70"/>
    <w:rsid w:val="00CC5DBC"/>
    <w:rsid w:val="00CC6139"/>
    <w:rsid w:val="00CC6282"/>
    <w:rsid w:val="00CC67AF"/>
    <w:rsid w:val="00CC6897"/>
    <w:rsid w:val="00CC68DC"/>
    <w:rsid w:val="00CC6A7E"/>
    <w:rsid w:val="00CC6F8F"/>
    <w:rsid w:val="00CC745A"/>
    <w:rsid w:val="00CC7832"/>
    <w:rsid w:val="00CC783C"/>
    <w:rsid w:val="00CC7E1E"/>
    <w:rsid w:val="00CC7E5C"/>
    <w:rsid w:val="00CC7FD7"/>
    <w:rsid w:val="00CD0113"/>
    <w:rsid w:val="00CD0127"/>
    <w:rsid w:val="00CD028A"/>
    <w:rsid w:val="00CD052F"/>
    <w:rsid w:val="00CD05A1"/>
    <w:rsid w:val="00CD0667"/>
    <w:rsid w:val="00CD06E4"/>
    <w:rsid w:val="00CD076C"/>
    <w:rsid w:val="00CD07A1"/>
    <w:rsid w:val="00CD087F"/>
    <w:rsid w:val="00CD0AD1"/>
    <w:rsid w:val="00CD0E95"/>
    <w:rsid w:val="00CD13A4"/>
    <w:rsid w:val="00CD18D9"/>
    <w:rsid w:val="00CD19EB"/>
    <w:rsid w:val="00CD1B28"/>
    <w:rsid w:val="00CD1B29"/>
    <w:rsid w:val="00CD1C40"/>
    <w:rsid w:val="00CD1E87"/>
    <w:rsid w:val="00CD2013"/>
    <w:rsid w:val="00CD208C"/>
    <w:rsid w:val="00CD2242"/>
    <w:rsid w:val="00CD22BE"/>
    <w:rsid w:val="00CD249B"/>
    <w:rsid w:val="00CD2523"/>
    <w:rsid w:val="00CD2912"/>
    <w:rsid w:val="00CD291D"/>
    <w:rsid w:val="00CD2C3B"/>
    <w:rsid w:val="00CD2E1F"/>
    <w:rsid w:val="00CD2EB3"/>
    <w:rsid w:val="00CD30ED"/>
    <w:rsid w:val="00CD3197"/>
    <w:rsid w:val="00CD34DD"/>
    <w:rsid w:val="00CD34FA"/>
    <w:rsid w:val="00CD3544"/>
    <w:rsid w:val="00CD3E8B"/>
    <w:rsid w:val="00CD41DD"/>
    <w:rsid w:val="00CD47F2"/>
    <w:rsid w:val="00CD4E1C"/>
    <w:rsid w:val="00CD4EBB"/>
    <w:rsid w:val="00CD5571"/>
    <w:rsid w:val="00CD569F"/>
    <w:rsid w:val="00CD5991"/>
    <w:rsid w:val="00CD5AC0"/>
    <w:rsid w:val="00CD5DA8"/>
    <w:rsid w:val="00CD5DAA"/>
    <w:rsid w:val="00CD5F0A"/>
    <w:rsid w:val="00CD5F4D"/>
    <w:rsid w:val="00CD6331"/>
    <w:rsid w:val="00CD6406"/>
    <w:rsid w:val="00CD64C9"/>
    <w:rsid w:val="00CD6540"/>
    <w:rsid w:val="00CD6703"/>
    <w:rsid w:val="00CD6A12"/>
    <w:rsid w:val="00CD6DD4"/>
    <w:rsid w:val="00CD730B"/>
    <w:rsid w:val="00CD7314"/>
    <w:rsid w:val="00CD7479"/>
    <w:rsid w:val="00CD756A"/>
    <w:rsid w:val="00CD7AB0"/>
    <w:rsid w:val="00CD7C05"/>
    <w:rsid w:val="00CD7C10"/>
    <w:rsid w:val="00CD7D8D"/>
    <w:rsid w:val="00CD7EA8"/>
    <w:rsid w:val="00CE00CD"/>
    <w:rsid w:val="00CE014C"/>
    <w:rsid w:val="00CE0627"/>
    <w:rsid w:val="00CE091F"/>
    <w:rsid w:val="00CE09C2"/>
    <w:rsid w:val="00CE0A3E"/>
    <w:rsid w:val="00CE0BE4"/>
    <w:rsid w:val="00CE1128"/>
    <w:rsid w:val="00CE1253"/>
    <w:rsid w:val="00CE1636"/>
    <w:rsid w:val="00CE185B"/>
    <w:rsid w:val="00CE19D8"/>
    <w:rsid w:val="00CE1A6A"/>
    <w:rsid w:val="00CE1BFB"/>
    <w:rsid w:val="00CE1EF2"/>
    <w:rsid w:val="00CE1FA2"/>
    <w:rsid w:val="00CE1FBD"/>
    <w:rsid w:val="00CE2001"/>
    <w:rsid w:val="00CE20D4"/>
    <w:rsid w:val="00CE2C4C"/>
    <w:rsid w:val="00CE2FEC"/>
    <w:rsid w:val="00CE3343"/>
    <w:rsid w:val="00CE3552"/>
    <w:rsid w:val="00CE3589"/>
    <w:rsid w:val="00CE3C8A"/>
    <w:rsid w:val="00CE3D2A"/>
    <w:rsid w:val="00CE436D"/>
    <w:rsid w:val="00CE44A8"/>
    <w:rsid w:val="00CE48FA"/>
    <w:rsid w:val="00CE495C"/>
    <w:rsid w:val="00CE5216"/>
    <w:rsid w:val="00CE52E3"/>
    <w:rsid w:val="00CE5986"/>
    <w:rsid w:val="00CE5DD1"/>
    <w:rsid w:val="00CE5E30"/>
    <w:rsid w:val="00CE5E85"/>
    <w:rsid w:val="00CE5FAA"/>
    <w:rsid w:val="00CE63FA"/>
    <w:rsid w:val="00CE6EC3"/>
    <w:rsid w:val="00CE6EEE"/>
    <w:rsid w:val="00CE7572"/>
    <w:rsid w:val="00CE76EE"/>
    <w:rsid w:val="00CE7B52"/>
    <w:rsid w:val="00CE7E4D"/>
    <w:rsid w:val="00CE7E70"/>
    <w:rsid w:val="00CF0243"/>
    <w:rsid w:val="00CF02A7"/>
    <w:rsid w:val="00CF02FB"/>
    <w:rsid w:val="00CF0607"/>
    <w:rsid w:val="00CF0D39"/>
    <w:rsid w:val="00CF0E85"/>
    <w:rsid w:val="00CF0FAC"/>
    <w:rsid w:val="00CF0FFE"/>
    <w:rsid w:val="00CF101F"/>
    <w:rsid w:val="00CF132F"/>
    <w:rsid w:val="00CF1558"/>
    <w:rsid w:val="00CF1565"/>
    <w:rsid w:val="00CF162A"/>
    <w:rsid w:val="00CF177B"/>
    <w:rsid w:val="00CF192F"/>
    <w:rsid w:val="00CF194F"/>
    <w:rsid w:val="00CF1A06"/>
    <w:rsid w:val="00CF1B11"/>
    <w:rsid w:val="00CF1DF8"/>
    <w:rsid w:val="00CF1F60"/>
    <w:rsid w:val="00CF1FD6"/>
    <w:rsid w:val="00CF203C"/>
    <w:rsid w:val="00CF2145"/>
    <w:rsid w:val="00CF2348"/>
    <w:rsid w:val="00CF2501"/>
    <w:rsid w:val="00CF255C"/>
    <w:rsid w:val="00CF2631"/>
    <w:rsid w:val="00CF27A9"/>
    <w:rsid w:val="00CF27DB"/>
    <w:rsid w:val="00CF29EB"/>
    <w:rsid w:val="00CF2D06"/>
    <w:rsid w:val="00CF3014"/>
    <w:rsid w:val="00CF36BD"/>
    <w:rsid w:val="00CF3769"/>
    <w:rsid w:val="00CF3C30"/>
    <w:rsid w:val="00CF547E"/>
    <w:rsid w:val="00CF5895"/>
    <w:rsid w:val="00CF5954"/>
    <w:rsid w:val="00CF5A41"/>
    <w:rsid w:val="00CF5B65"/>
    <w:rsid w:val="00CF5BD9"/>
    <w:rsid w:val="00CF5D8A"/>
    <w:rsid w:val="00CF5D99"/>
    <w:rsid w:val="00CF5F23"/>
    <w:rsid w:val="00CF6013"/>
    <w:rsid w:val="00CF62EA"/>
    <w:rsid w:val="00CF64BB"/>
    <w:rsid w:val="00CF650A"/>
    <w:rsid w:val="00CF6BE8"/>
    <w:rsid w:val="00CF6D16"/>
    <w:rsid w:val="00CF6DBF"/>
    <w:rsid w:val="00CF6E1E"/>
    <w:rsid w:val="00CF6F7C"/>
    <w:rsid w:val="00CF6FF5"/>
    <w:rsid w:val="00CF703E"/>
    <w:rsid w:val="00CF7345"/>
    <w:rsid w:val="00CF741D"/>
    <w:rsid w:val="00CF7BFD"/>
    <w:rsid w:val="00CF7D09"/>
    <w:rsid w:val="00CF7E82"/>
    <w:rsid w:val="00D00051"/>
    <w:rsid w:val="00D00195"/>
    <w:rsid w:val="00D00243"/>
    <w:rsid w:val="00D00402"/>
    <w:rsid w:val="00D0064D"/>
    <w:rsid w:val="00D00664"/>
    <w:rsid w:val="00D0075D"/>
    <w:rsid w:val="00D007E4"/>
    <w:rsid w:val="00D008E3"/>
    <w:rsid w:val="00D00993"/>
    <w:rsid w:val="00D0099E"/>
    <w:rsid w:val="00D009AA"/>
    <w:rsid w:val="00D009BA"/>
    <w:rsid w:val="00D00B45"/>
    <w:rsid w:val="00D00C3D"/>
    <w:rsid w:val="00D00CA9"/>
    <w:rsid w:val="00D00DC1"/>
    <w:rsid w:val="00D0114A"/>
    <w:rsid w:val="00D015EF"/>
    <w:rsid w:val="00D01688"/>
    <w:rsid w:val="00D016DD"/>
    <w:rsid w:val="00D01865"/>
    <w:rsid w:val="00D01AD7"/>
    <w:rsid w:val="00D01DEF"/>
    <w:rsid w:val="00D01E2C"/>
    <w:rsid w:val="00D01E95"/>
    <w:rsid w:val="00D01F9A"/>
    <w:rsid w:val="00D02198"/>
    <w:rsid w:val="00D0238E"/>
    <w:rsid w:val="00D0239F"/>
    <w:rsid w:val="00D02E7E"/>
    <w:rsid w:val="00D0308A"/>
    <w:rsid w:val="00D0325B"/>
    <w:rsid w:val="00D03C56"/>
    <w:rsid w:val="00D03E40"/>
    <w:rsid w:val="00D04064"/>
    <w:rsid w:val="00D04154"/>
    <w:rsid w:val="00D04509"/>
    <w:rsid w:val="00D04ABA"/>
    <w:rsid w:val="00D04AEC"/>
    <w:rsid w:val="00D05038"/>
    <w:rsid w:val="00D050ED"/>
    <w:rsid w:val="00D05236"/>
    <w:rsid w:val="00D05591"/>
    <w:rsid w:val="00D055E1"/>
    <w:rsid w:val="00D0579D"/>
    <w:rsid w:val="00D057AE"/>
    <w:rsid w:val="00D05F13"/>
    <w:rsid w:val="00D05F34"/>
    <w:rsid w:val="00D062BC"/>
    <w:rsid w:val="00D0659A"/>
    <w:rsid w:val="00D065A0"/>
    <w:rsid w:val="00D0712F"/>
    <w:rsid w:val="00D07276"/>
    <w:rsid w:val="00D0742A"/>
    <w:rsid w:val="00D07497"/>
    <w:rsid w:val="00D07682"/>
    <w:rsid w:val="00D077B3"/>
    <w:rsid w:val="00D07841"/>
    <w:rsid w:val="00D07984"/>
    <w:rsid w:val="00D07D37"/>
    <w:rsid w:val="00D07D5C"/>
    <w:rsid w:val="00D07F1F"/>
    <w:rsid w:val="00D10049"/>
    <w:rsid w:val="00D1010F"/>
    <w:rsid w:val="00D102D3"/>
    <w:rsid w:val="00D102E3"/>
    <w:rsid w:val="00D1065D"/>
    <w:rsid w:val="00D1082E"/>
    <w:rsid w:val="00D10D79"/>
    <w:rsid w:val="00D10E13"/>
    <w:rsid w:val="00D110A2"/>
    <w:rsid w:val="00D1136C"/>
    <w:rsid w:val="00D118DD"/>
    <w:rsid w:val="00D11A1C"/>
    <w:rsid w:val="00D11BF4"/>
    <w:rsid w:val="00D11F64"/>
    <w:rsid w:val="00D12070"/>
    <w:rsid w:val="00D1221A"/>
    <w:rsid w:val="00D1221D"/>
    <w:rsid w:val="00D123A9"/>
    <w:rsid w:val="00D123EC"/>
    <w:rsid w:val="00D12697"/>
    <w:rsid w:val="00D127AE"/>
    <w:rsid w:val="00D12B64"/>
    <w:rsid w:val="00D12B78"/>
    <w:rsid w:val="00D13416"/>
    <w:rsid w:val="00D1366E"/>
    <w:rsid w:val="00D13839"/>
    <w:rsid w:val="00D13B8E"/>
    <w:rsid w:val="00D13CA8"/>
    <w:rsid w:val="00D13D6E"/>
    <w:rsid w:val="00D13FA5"/>
    <w:rsid w:val="00D14003"/>
    <w:rsid w:val="00D14040"/>
    <w:rsid w:val="00D14131"/>
    <w:rsid w:val="00D1414C"/>
    <w:rsid w:val="00D142FA"/>
    <w:rsid w:val="00D148DD"/>
    <w:rsid w:val="00D14E4A"/>
    <w:rsid w:val="00D1520E"/>
    <w:rsid w:val="00D154B4"/>
    <w:rsid w:val="00D15578"/>
    <w:rsid w:val="00D158A2"/>
    <w:rsid w:val="00D15E75"/>
    <w:rsid w:val="00D160C6"/>
    <w:rsid w:val="00D161E6"/>
    <w:rsid w:val="00D16440"/>
    <w:rsid w:val="00D166A4"/>
    <w:rsid w:val="00D16B2F"/>
    <w:rsid w:val="00D16C40"/>
    <w:rsid w:val="00D16E07"/>
    <w:rsid w:val="00D1788B"/>
    <w:rsid w:val="00D178EB"/>
    <w:rsid w:val="00D17923"/>
    <w:rsid w:val="00D179CA"/>
    <w:rsid w:val="00D17DB7"/>
    <w:rsid w:val="00D202EB"/>
    <w:rsid w:val="00D20878"/>
    <w:rsid w:val="00D2089A"/>
    <w:rsid w:val="00D208BA"/>
    <w:rsid w:val="00D20933"/>
    <w:rsid w:val="00D209FF"/>
    <w:rsid w:val="00D20C9E"/>
    <w:rsid w:val="00D21913"/>
    <w:rsid w:val="00D2193A"/>
    <w:rsid w:val="00D2196A"/>
    <w:rsid w:val="00D21B70"/>
    <w:rsid w:val="00D21C40"/>
    <w:rsid w:val="00D21C72"/>
    <w:rsid w:val="00D21F3F"/>
    <w:rsid w:val="00D220C7"/>
    <w:rsid w:val="00D221FA"/>
    <w:rsid w:val="00D225E7"/>
    <w:rsid w:val="00D229C9"/>
    <w:rsid w:val="00D22D1B"/>
    <w:rsid w:val="00D22DEE"/>
    <w:rsid w:val="00D22E7A"/>
    <w:rsid w:val="00D22FAE"/>
    <w:rsid w:val="00D23458"/>
    <w:rsid w:val="00D234CA"/>
    <w:rsid w:val="00D23750"/>
    <w:rsid w:val="00D23769"/>
    <w:rsid w:val="00D2381F"/>
    <w:rsid w:val="00D23A25"/>
    <w:rsid w:val="00D23D17"/>
    <w:rsid w:val="00D241EF"/>
    <w:rsid w:val="00D24287"/>
    <w:rsid w:val="00D2434F"/>
    <w:rsid w:val="00D24364"/>
    <w:rsid w:val="00D244FC"/>
    <w:rsid w:val="00D24586"/>
    <w:rsid w:val="00D2475A"/>
    <w:rsid w:val="00D24874"/>
    <w:rsid w:val="00D24920"/>
    <w:rsid w:val="00D24D69"/>
    <w:rsid w:val="00D24F74"/>
    <w:rsid w:val="00D25094"/>
    <w:rsid w:val="00D250D2"/>
    <w:rsid w:val="00D250E9"/>
    <w:rsid w:val="00D250EF"/>
    <w:rsid w:val="00D25168"/>
    <w:rsid w:val="00D256E6"/>
    <w:rsid w:val="00D25773"/>
    <w:rsid w:val="00D257D5"/>
    <w:rsid w:val="00D25CBB"/>
    <w:rsid w:val="00D25CCA"/>
    <w:rsid w:val="00D26150"/>
    <w:rsid w:val="00D2641F"/>
    <w:rsid w:val="00D265C6"/>
    <w:rsid w:val="00D268BE"/>
    <w:rsid w:val="00D2691A"/>
    <w:rsid w:val="00D26C51"/>
    <w:rsid w:val="00D271AC"/>
    <w:rsid w:val="00D27609"/>
    <w:rsid w:val="00D27950"/>
    <w:rsid w:val="00D279BB"/>
    <w:rsid w:val="00D27AAA"/>
    <w:rsid w:val="00D27C35"/>
    <w:rsid w:val="00D300DA"/>
    <w:rsid w:val="00D30132"/>
    <w:rsid w:val="00D303EE"/>
    <w:rsid w:val="00D306B6"/>
    <w:rsid w:val="00D307D9"/>
    <w:rsid w:val="00D30DEE"/>
    <w:rsid w:val="00D30E78"/>
    <w:rsid w:val="00D31170"/>
    <w:rsid w:val="00D311E7"/>
    <w:rsid w:val="00D31348"/>
    <w:rsid w:val="00D314AD"/>
    <w:rsid w:val="00D31582"/>
    <w:rsid w:val="00D31BDD"/>
    <w:rsid w:val="00D32151"/>
    <w:rsid w:val="00D324FC"/>
    <w:rsid w:val="00D32558"/>
    <w:rsid w:val="00D32912"/>
    <w:rsid w:val="00D32A27"/>
    <w:rsid w:val="00D32F54"/>
    <w:rsid w:val="00D3320F"/>
    <w:rsid w:val="00D3343E"/>
    <w:rsid w:val="00D334D5"/>
    <w:rsid w:val="00D33919"/>
    <w:rsid w:val="00D33AAD"/>
    <w:rsid w:val="00D33B8B"/>
    <w:rsid w:val="00D34189"/>
    <w:rsid w:val="00D343D7"/>
    <w:rsid w:val="00D34589"/>
    <w:rsid w:val="00D34757"/>
    <w:rsid w:val="00D349D7"/>
    <w:rsid w:val="00D34CAB"/>
    <w:rsid w:val="00D34FE4"/>
    <w:rsid w:val="00D35223"/>
    <w:rsid w:val="00D3540D"/>
    <w:rsid w:val="00D3552E"/>
    <w:rsid w:val="00D3553D"/>
    <w:rsid w:val="00D3576B"/>
    <w:rsid w:val="00D35B03"/>
    <w:rsid w:val="00D35C4C"/>
    <w:rsid w:val="00D35FD5"/>
    <w:rsid w:val="00D361A7"/>
    <w:rsid w:val="00D36A01"/>
    <w:rsid w:val="00D36A0C"/>
    <w:rsid w:val="00D36ADA"/>
    <w:rsid w:val="00D36E44"/>
    <w:rsid w:val="00D36F14"/>
    <w:rsid w:val="00D3736D"/>
    <w:rsid w:val="00D37550"/>
    <w:rsid w:val="00D376ED"/>
    <w:rsid w:val="00D37715"/>
    <w:rsid w:val="00D37B46"/>
    <w:rsid w:val="00D400B0"/>
    <w:rsid w:val="00D4030A"/>
    <w:rsid w:val="00D403C0"/>
    <w:rsid w:val="00D4075C"/>
    <w:rsid w:val="00D40CD6"/>
    <w:rsid w:val="00D40CE6"/>
    <w:rsid w:val="00D40E31"/>
    <w:rsid w:val="00D40F7B"/>
    <w:rsid w:val="00D412B0"/>
    <w:rsid w:val="00D417F7"/>
    <w:rsid w:val="00D41A0D"/>
    <w:rsid w:val="00D41BC7"/>
    <w:rsid w:val="00D41BE4"/>
    <w:rsid w:val="00D41C06"/>
    <w:rsid w:val="00D41C33"/>
    <w:rsid w:val="00D41D0D"/>
    <w:rsid w:val="00D41FF4"/>
    <w:rsid w:val="00D42531"/>
    <w:rsid w:val="00D42928"/>
    <w:rsid w:val="00D42AB7"/>
    <w:rsid w:val="00D42D74"/>
    <w:rsid w:val="00D42FF7"/>
    <w:rsid w:val="00D43376"/>
    <w:rsid w:val="00D43385"/>
    <w:rsid w:val="00D4340D"/>
    <w:rsid w:val="00D435F9"/>
    <w:rsid w:val="00D43693"/>
    <w:rsid w:val="00D43856"/>
    <w:rsid w:val="00D438FB"/>
    <w:rsid w:val="00D43EFA"/>
    <w:rsid w:val="00D44230"/>
    <w:rsid w:val="00D442C7"/>
    <w:rsid w:val="00D446BC"/>
    <w:rsid w:val="00D44B15"/>
    <w:rsid w:val="00D44B2B"/>
    <w:rsid w:val="00D44B5D"/>
    <w:rsid w:val="00D4517E"/>
    <w:rsid w:val="00D4543F"/>
    <w:rsid w:val="00D45502"/>
    <w:rsid w:val="00D45508"/>
    <w:rsid w:val="00D457C5"/>
    <w:rsid w:val="00D4589B"/>
    <w:rsid w:val="00D45EFB"/>
    <w:rsid w:val="00D460EB"/>
    <w:rsid w:val="00D463E2"/>
    <w:rsid w:val="00D4659C"/>
    <w:rsid w:val="00D46635"/>
    <w:rsid w:val="00D468D0"/>
    <w:rsid w:val="00D46AE2"/>
    <w:rsid w:val="00D46C8F"/>
    <w:rsid w:val="00D47073"/>
    <w:rsid w:val="00D479E4"/>
    <w:rsid w:val="00D47AEB"/>
    <w:rsid w:val="00D47CBD"/>
    <w:rsid w:val="00D502A6"/>
    <w:rsid w:val="00D502C1"/>
    <w:rsid w:val="00D502DD"/>
    <w:rsid w:val="00D503A9"/>
    <w:rsid w:val="00D503FC"/>
    <w:rsid w:val="00D50674"/>
    <w:rsid w:val="00D506D1"/>
    <w:rsid w:val="00D506F5"/>
    <w:rsid w:val="00D50B35"/>
    <w:rsid w:val="00D50CCE"/>
    <w:rsid w:val="00D50F49"/>
    <w:rsid w:val="00D50FEC"/>
    <w:rsid w:val="00D51AB2"/>
    <w:rsid w:val="00D51D3E"/>
    <w:rsid w:val="00D51D9F"/>
    <w:rsid w:val="00D51ED2"/>
    <w:rsid w:val="00D51F0A"/>
    <w:rsid w:val="00D5200B"/>
    <w:rsid w:val="00D52478"/>
    <w:rsid w:val="00D524BE"/>
    <w:rsid w:val="00D52956"/>
    <w:rsid w:val="00D52BBC"/>
    <w:rsid w:val="00D52C38"/>
    <w:rsid w:val="00D52CE1"/>
    <w:rsid w:val="00D52CE3"/>
    <w:rsid w:val="00D53235"/>
    <w:rsid w:val="00D5362D"/>
    <w:rsid w:val="00D536A4"/>
    <w:rsid w:val="00D5392B"/>
    <w:rsid w:val="00D53980"/>
    <w:rsid w:val="00D53989"/>
    <w:rsid w:val="00D5399E"/>
    <w:rsid w:val="00D539DD"/>
    <w:rsid w:val="00D53E5D"/>
    <w:rsid w:val="00D53FF4"/>
    <w:rsid w:val="00D5468E"/>
    <w:rsid w:val="00D54BF9"/>
    <w:rsid w:val="00D54E5B"/>
    <w:rsid w:val="00D5500B"/>
    <w:rsid w:val="00D5547D"/>
    <w:rsid w:val="00D55572"/>
    <w:rsid w:val="00D5560D"/>
    <w:rsid w:val="00D557C6"/>
    <w:rsid w:val="00D557EE"/>
    <w:rsid w:val="00D5583B"/>
    <w:rsid w:val="00D55AA4"/>
    <w:rsid w:val="00D55AB3"/>
    <w:rsid w:val="00D5640B"/>
    <w:rsid w:val="00D56C12"/>
    <w:rsid w:val="00D57040"/>
    <w:rsid w:val="00D57446"/>
    <w:rsid w:val="00D576BC"/>
    <w:rsid w:val="00D579A6"/>
    <w:rsid w:val="00D579CC"/>
    <w:rsid w:val="00D57A73"/>
    <w:rsid w:val="00D57D22"/>
    <w:rsid w:val="00D60235"/>
    <w:rsid w:val="00D60339"/>
    <w:rsid w:val="00D6035A"/>
    <w:rsid w:val="00D6053E"/>
    <w:rsid w:val="00D60564"/>
    <w:rsid w:val="00D6083C"/>
    <w:rsid w:val="00D6088B"/>
    <w:rsid w:val="00D60C5B"/>
    <w:rsid w:val="00D60EED"/>
    <w:rsid w:val="00D60F21"/>
    <w:rsid w:val="00D615AD"/>
    <w:rsid w:val="00D617CC"/>
    <w:rsid w:val="00D61820"/>
    <w:rsid w:val="00D6183D"/>
    <w:rsid w:val="00D61A02"/>
    <w:rsid w:val="00D62208"/>
    <w:rsid w:val="00D625F2"/>
    <w:rsid w:val="00D62AAF"/>
    <w:rsid w:val="00D62B8A"/>
    <w:rsid w:val="00D634A7"/>
    <w:rsid w:val="00D634E9"/>
    <w:rsid w:val="00D636AA"/>
    <w:rsid w:val="00D63CDA"/>
    <w:rsid w:val="00D643C5"/>
    <w:rsid w:val="00D64791"/>
    <w:rsid w:val="00D647D7"/>
    <w:rsid w:val="00D6480C"/>
    <w:rsid w:val="00D64A46"/>
    <w:rsid w:val="00D64B5A"/>
    <w:rsid w:val="00D64CE8"/>
    <w:rsid w:val="00D64F53"/>
    <w:rsid w:val="00D65064"/>
    <w:rsid w:val="00D6563A"/>
    <w:rsid w:val="00D656B9"/>
    <w:rsid w:val="00D65BA6"/>
    <w:rsid w:val="00D65E4D"/>
    <w:rsid w:val="00D66132"/>
    <w:rsid w:val="00D66287"/>
    <w:rsid w:val="00D662C9"/>
    <w:rsid w:val="00D665A3"/>
    <w:rsid w:val="00D66CDA"/>
    <w:rsid w:val="00D66CDB"/>
    <w:rsid w:val="00D66EFF"/>
    <w:rsid w:val="00D66F39"/>
    <w:rsid w:val="00D67710"/>
    <w:rsid w:val="00D677CA"/>
    <w:rsid w:val="00D67C18"/>
    <w:rsid w:val="00D70039"/>
    <w:rsid w:val="00D70318"/>
    <w:rsid w:val="00D70604"/>
    <w:rsid w:val="00D70631"/>
    <w:rsid w:val="00D708BC"/>
    <w:rsid w:val="00D709D6"/>
    <w:rsid w:val="00D70B9C"/>
    <w:rsid w:val="00D70C68"/>
    <w:rsid w:val="00D70C6E"/>
    <w:rsid w:val="00D70E1F"/>
    <w:rsid w:val="00D70EFA"/>
    <w:rsid w:val="00D711FF"/>
    <w:rsid w:val="00D714AE"/>
    <w:rsid w:val="00D7165F"/>
    <w:rsid w:val="00D717C5"/>
    <w:rsid w:val="00D724E2"/>
    <w:rsid w:val="00D72500"/>
    <w:rsid w:val="00D72826"/>
    <w:rsid w:val="00D728E2"/>
    <w:rsid w:val="00D729DC"/>
    <w:rsid w:val="00D72B1F"/>
    <w:rsid w:val="00D72D1D"/>
    <w:rsid w:val="00D73108"/>
    <w:rsid w:val="00D731EB"/>
    <w:rsid w:val="00D7358E"/>
    <w:rsid w:val="00D7392E"/>
    <w:rsid w:val="00D740D6"/>
    <w:rsid w:val="00D740DB"/>
    <w:rsid w:val="00D7476D"/>
    <w:rsid w:val="00D74933"/>
    <w:rsid w:val="00D749DD"/>
    <w:rsid w:val="00D74A63"/>
    <w:rsid w:val="00D74AF0"/>
    <w:rsid w:val="00D74BDE"/>
    <w:rsid w:val="00D74D0C"/>
    <w:rsid w:val="00D750BA"/>
    <w:rsid w:val="00D75160"/>
    <w:rsid w:val="00D755E7"/>
    <w:rsid w:val="00D75626"/>
    <w:rsid w:val="00D756AA"/>
    <w:rsid w:val="00D757BD"/>
    <w:rsid w:val="00D75843"/>
    <w:rsid w:val="00D75DE5"/>
    <w:rsid w:val="00D75FA2"/>
    <w:rsid w:val="00D76097"/>
    <w:rsid w:val="00D765A0"/>
    <w:rsid w:val="00D765D0"/>
    <w:rsid w:val="00D76709"/>
    <w:rsid w:val="00D767A0"/>
    <w:rsid w:val="00D7682A"/>
    <w:rsid w:val="00D76E51"/>
    <w:rsid w:val="00D7703D"/>
    <w:rsid w:val="00D776D4"/>
    <w:rsid w:val="00D77800"/>
    <w:rsid w:val="00D779F9"/>
    <w:rsid w:val="00D77BBF"/>
    <w:rsid w:val="00D8040B"/>
    <w:rsid w:val="00D80512"/>
    <w:rsid w:val="00D80567"/>
    <w:rsid w:val="00D80889"/>
    <w:rsid w:val="00D80912"/>
    <w:rsid w:val="00D809AE"/>
    <w:rsid w:val="00D80AF6"/>
    <w:rsid w:val="00D80C3D"/>
    <w:rsid w:val="00D80FB0"/>
    <w:rsid w:val="00D812B7"/>
    <w:rsid w:val="00D81550"/>
    <w:rsid w:val="00D818DD"/>
    <w:rsid w:val="00D81DF1"/>
    <w:rsid w:val="00D820EF"/>
    <w:rsid w:val="00D8231D"/>
    <w:rsid w:val="00D82569"/>
    <w:rsid w:val="00D825DD"/>
    <w:rsid w:val="00D82658"/>
    <w:rsid w:val="00D8297C"/>
    <w:rsid w:val="00D82A80"/>
    <w:rsid w:val="00D831DD"/>
    <w:rsid w:val="00D832A1"/>
    <w:rsid w:val="00D832D6"/>
    <w:rsid w:val="00D83420"/>
    <w:rsid w:val="00D83753"/>
    <w:rsid w:val="00D83BC6"/>
    <w:rsid w:val="00D84463"/>
    <w:rsid w:val="00D8455B"/>
    <w:rsid w:val="00D845B3"/>
    <w:rsid w:val="00D849DC"/>
    <w:rsid w:val="00D84A7E"/>
    <w:rsid w:val="00D84C1F"/>
    <w:rsid w:val="00D84E7E"/>
    <w:rsid w:val="00D850FE"/>
    <w:rsid w:val="00D85500"/>
    <w:rsid w:val="00D8562E"/>
    <w:rsid w:val="00D85B61"/>
    <w:rsid w:val="00D85FDD"/>
    <w:rsid w:val="00D862D7"/>
    <w:rsid w:val="00D866CC"/>
    <w:rsid w:val="00D86929"/>
    <w:rsid w:val="00D869CB"/>
    <w:rsid w:val="00D86AF6"/>
    <w:rsid w:val="00D86CDC"/>
    <w:rsid w:val="00D86D0A"/>
    <w:rsid w:val="00D870FF"/>
    <w:rsid w:val="00D874B9"/>
    <w:rsid w:val="00D879F1"/>
    <w:rsid w:val="00D87A10"/>
    <w:rsid w:val="00D87A6E"/>
    <w:rsid w:val="00D87EAA"/>
    <w:rsid w:val="00D900EF"/>
    <w:rsid w:val="00D90555"/>
    <w:rsid w:val="00D907B3"/>
    <w:rsid w:val="00D9089A"/>
    <w:rsid w:val="00D90932"/>
    <w:rsid w:val="00D90C91"/>
    <w:rsid w:val="00D90CD2"/>
    <w:rsid w:val="00D912E6"/>
    <w:rsid w:val="00D913F5"/>
    <w:rsid w:val="00D91D74"/>
    <w:rsid w:val="00D91E52"/>
    <w:rsid w:val="00D91E68"/>
    <w:rsid w:val="00D9201D"/>
    <w:rsid w:val="00D925AB"/>
    <w:rsid w:val="00D92877"/>
    <w:rsid w:val="00D9294C"/>
    <w:rsid w:val="00D92A24"/>
    <w:rsid w:val="00D92BFF"/>
    <w:rsid w:val="00D92DE5"/>
    <w:rsid w:val="00D92F09"/>
    <w:rsid w:val="00D930B9"/>
    <w:rsid w:val="00D937F1"/>
    <w:rsid w:val="00D93FD0"/>
    <w:rsid w:val="00D940D6"/>
    <w:rsid w:val="00D941A4"/>
    <w:rsid w:val="00D944F1"/>
    <w:rsid w:val="00D9471D"/>
    <w:rsid w:val="00D94A2A"/>
    <w:rsid w:val="00D94A4A"/>
    <w:rsid w:val="00D94A8C"/>
    <w:rsid w:val="00D94BA6"/>
    <w:rsid w:val="00D94C8A"/>
    <w:rsid w:val="00D94E8F"/>
    <w:rsid w:val="00D94F9F"/>
    <w:rsid w:val="00D95051"/>
    <w:rsid w:val="00D9508E"/>
    <w:rsid w:val="00D95460"/>
    <w:rsid w:val="00D95963"/>
    <w:rsid w:val="00D95B84"/>
    <w:rsid w:val="00D95CB4"/>
    <w:rsid w:val="00D95CDA"/>
    <w:rsid w:val="00D95E94"/>
    <w:rsid w:val="00D95F9E"/>
    <w:rsid w:val="00D96231"/>
    <w:rsid w:val="00D96714"/>
    <w:rsid w:val="00D969F4"/>
    <w:rsid w:val="00D96AFE"/>
    <w:rsid w:val="00D96EA9"/>
    <w:rsid w:val="00D97320"/>
    <w:rsid w:val="00D9784A"/>
    <w:rsid w:val="00D978E5"/>
    <w:rsid w:val="00D97D00"/>
    <w:rsid w:val="00D97EFE"/>
    <w:rsid w:val="00DA008F"/>
    <w:rsid w:val="00DA01BF"/>
    <w:rsid w:val="00DA08BB"/>
    <w:rsid w:val="00DA09AF"/>
    <w:rsid w:val="00DA09D2"/>
    <w:rsid w:val="00DA0B44"/>
    <w:rsid w:val="00DA14F6"/>
    <w:rsid w:val="00DA1801"/>
    <w:rsid w:val="00DA1803"/>
    <w:rsid w:val="00DA1923"/>
    <w:rsid w:val="00DA1F2D"/>
    <w:rsid w:val="00DA1F83"/>
    <w:rsid w:val="00DA2176"/>
    <w:rsid w:val="00DA2223"/>
    <w:rsid w:val="00DA22ED"/>
    <w:rsid w:val="00DA24E6"/>
    <w:rsid w:val="00DA26FA"/>
    <w:rsid w:val="00DA2720"/>
    <w:rsid w:val="00DA2838"/>
    <w:rsid w:val="00DA2885"/>
    <w:rsid w:val="00DA3167"/>
    <w:rsid w:val="00DA31B5"/>
    <w:rsid w:val="00DA3497"/>
    <w:rsid w:val="00DA3767"/>
    <w:rsid w:val="00DA385D"/>
    <w:rsid w:val="00DA39FF"/>
    <w:rsid w:val="00DA3A17"/>
    <w:rsid w:val="00DA3D62"/>
    <w:rsid w:val="00DA3DE7"/>
    <w:rsid w:val="00DA4049"/>
    <w:rsid w:val="00DA43F1"/>
    <w:rsid w:val="00DA4549"/>
    <w:rsid w:val="00DA455E"/>
    <w:rsid w:val="00DA48EF"/>
    <w:rsid w:val="00DA49CA"/>
    <w:rsid w:val="00DA49CF"/>
    <w:rsid w:val="00DA5281"/>
    <w:rsid w:val="00DA5446"/>
    <w:rsid w:val="00DA5E4B"/>
    <w:rsid w:val="00DA6189"/>
    <w:rsid w:val="00DA6A3D"/>
    <w:rsid w:val="00DA7613"/>
    <w:rsid w:val="00DA7622"/>
    <w:rsid w:val="00DA7637"/>
    <w:rsid w:val="00DA77EB"/>
    <w:rsid w:val="00DA7BE9"/>
    <w:rsid w:val="00DA7C43"/>
    <w:rsid w:val="00DA7D70"/>
    <w:rsid w:val="00DA7E37"/>
    <w:rsid w:val="00DA7FD7"/>
    <w:rsid w:val="00DB0259"/>
    <w:rsid w:val="00DB072F"/>
    <w:rsid w:val="00DB0B99"/>
    <w:rsid w:val="00DB0CC9"/>
    <w:rsid w:val="00DB0D3F"/>
    <w:rsid w:val="00DB0DAC"/>
    <w:rsid w:val="00DB124D"/>
    <w:rsid w:val="00DB17CA"/>
    <w:rsid w:val="00DB18D5"/>
    <w:rsid w:val="00DB18EE"/>
    <w:rsid w:val="00DB1A21"/>
    <w:rsid w:val="00DB1A4C"/>
    <w:rsid w:val="00DB1C33"/>
    <w:rsid w:val="00DB1D3E"/>
    <w:rsid w:val="00DB1EF5"/>
    <w:rsid w:val="00DB1F51"/>
    <w:rsid w:val="00DB1FE2"/>
    <w:rsid w:val="00DB2327"/>
    <w:rsid w:val="00DB24BC"/>
    <w:rsid w:val="00DB256C"/>
    <w:rsid w:val="00DB27C6"/>
    <w:rsid w:val="00DB28E3"/>
    <w:rsid w:val="00DB3507"/>
    <w:rsid w:val="00DB37CD"/>
    <w:rsid w:val="00DB39D1"/>
    <w:rsid w:val="00DB3F0A"/>
    <w:rsid w:val="00DB41CC"/>
    <w:rsid w:val="00DB4665"/>
    <w:rsid w:val="00DB46B9"/>
    <w:rsid w:val="00DB49E5"/>
    <w:rsid w:val="00DB4AFF"/>
    <w:rsid w:val="00DB4B12"/>
    <w:rsid w:val="00DB4B7C"/>
    <w:rsid w:val="00DB4C97"/>
    <w:rsid w:val="00DB52BA"/>
    <w:rsid w:val="00DB53FD"/>
    <w:rsid w:val="00DB54EB"/>
    <w:rsid w:val="00DB5A4C"/>
    <w:rsid w:val="00DB5AA2"/>
    <w:rsid w:val="00DB5B85"/>
    <w:rsid w:val="00DB5E56"/>
    <w:rsid w:val="00DB6066"/>
    <w:rsid w:val="00DB6115"/>
    <w:rsid w:val="00DB61F1"/>
    <w:rsid w:val="00DB637D"/>
    <w:rsid w:val="00DB68DD"/>
    <w:rsid w:val="00DB6958"/>
    <w:rsid w:val="00DB6B9B"/>
    <w:rsid w:val="00DB6BDA"/>
    <w:rsid w:val="00DB6E0A"/>
    <w:rsid w:val="00DB6F45"/>
    <w:rsid w:val="00DB7168"/>
    <w:rsid w:val="00DB76E4"/>
    <w:rsid w:val="00DB7A6D"/>
    <w:rsid w:val="00DB7C25"/>
    <w:rsid w:val="00DB7FA0"/>
    <w:rsid w:val="00DB7FF4"/>
    <w:rsid w:val="00DC00FF"/>
    <w:rsid w:val="00DC0129"/>
    <w:rsid w:val="00DC0191"/>
    <w:rsid w:val="00DC02B3"/>
    <w:rsid w:val="00DC0646"/>
    <w:rsid w:val="00DC07AC"/>
    <w:rsid w:val="00DC07F1"/>
    <w:rsid w:val="00DC0A11"/>
    <w:rsid w:val="00DC0AA5"/>
    <w:rsid w:val="00DC0F1F"/>
    <w:rsid w:val="00DC12EB"/>
    <w:rsid w:val="00DC16EC"/>
    <w:rsid w:val="00DC1B38"/>
    <w:rsid w:val="00DC1BA2"/>
    <w:rsid w:val="00DC1BD3"/>
    <w:rsid w:val="00DC1C8D"/>
    <w:rsid w:val="00DC22CF"/>
    <w:rsid w:val="00DC2492"/>
    <w:rsid w:val="00DC252C"/>
    <w:rsid w:val="00DC25B5"/>
    <w:rsid w:val="00DC26F6"/>
    <w:rsid w:val="00DC27BC"/>
    <w:rsid w:val="00DC2904"/>
    <w:rsid w:val="00DC2926"/>
    <w:rsid w:val="00DC2DC7"/>
    <w:rsid w:val="00DC2E42"/>
    <w:rsid w:val="00DC31C7"/>
    <w:rsid w:val="00DC3405"/>
    <w:rsid w:val="00DC35AC"/>
    <w:rsid w:val="00DC39F8"/>
    <w:rsid w:val="00DC3A72"/>
    <w:rsid w:val="00DC3C0D"/>
    <w:rsid w:val="00DC3C85"/>
    <w:rsid w:val="00DC3CEC"/>
    <w:rsid w:val="00DC3E91"/>
    <w:rsid w:val="00DC4063"/>
    <w:rsid w:val="00DC409B"/>
    <w:rsid w:val="00DC4401"/>
    <w:rsid w:val="00DC4502"/>
    <w:rsid w:val="00DC479B"/>
    <w:rsid w:val="00DC4BFC"/>
    <w:rsid w:val="00DC4C60"/>
    <w:rsid w:val="00DC511F"/>
    <w:rsid w:val="00DC551C"/>
    <w:rsid w:val="00DC58BD"/>
    <w:rsid w:val="00DC5931"/>
    <w:rsid w:val="00DC5A0D"/>
    <w:rsid w:val="00DC5C6C"/>
    <w:rsid w:val="00DC5E12"/>
    <w:rsid w:val="00DC5F93"/>
    <w:rsid w:val="00DC6203"/>
    <w:rsid w:val="00DC6387"/>
    <w:rsid w:val="00DC6685"/>
    <w:rsid w:val="00DC6868"/>
    <w:rsid w:val="00DC6B52"/>
    <w:rsid w:val="00DC6DCC"/>
    <w:rsid w:val="00DC6F0E"/>
    <w:rsid w:val="00DC7000"/>
    <w:rsid w:val="00DC742E"/>
    <w:rsid w:val="00DC78B7"/>
    <w:rsid w:val="00DC7FD6"/>
    <w:rsid w:val="00DD0135"/>
    <w:rsid w:val="00DD0249"/>
    <w:rsid w:val="00DD042F"/>
    <w:rsid w:val="00DD05DC"/>
    <w:rsid w:val="00DD061A"/>
    <w:rsid w:val="00DD0948"/>
    <w:rsid w:val="00DD0A7A"/>
    <w:rsid w:val="00DD0B37"/>
    <w:rsid w:val="00DD1017"/>
    <w:rsid w:val="00DD1042"/>
    <w:rsid w:val="00DD1105"/>
    <w:rsid w:val="00DD1213"/>
    <w:rsid w:val="00DD12B1"/>
    <w:rsid w:val="00DD14EB"/>
    <w:rsid w:val="00DD1511"/>
    <w:rsid w:val="00DD168F"/>
    <w:rsid w:val="00DD16DB"/>
    <w:rsid w:val="00DD17AC"/>
    <w:rsid w:val="00DD1B07"/>
    <w:rsid w:val="00DD1CDB"/>
    <w:rsid w:val="00DD20D2"/>
    <w:rsid w:val="00DD247B"/>
    <w:rsid w:val="00DD255F"/>
    <w:rsid w:val="00DD270C"/>
    <w:rsid w:val="00DD274B"/>
    <w:rsid w:val="00DD277A"/>
    <w:rsid w:val="00DD2A72"/>
    <w:rsid w:val="00DD2AAB"/>
    <w:rsid w:val="00DD2F61"/>
    <w:rsid w:val="00DD30B6"/>
    <w:rsid w:val="00DD3386"/>
    <w:rsid w:val="00DD3534"/>
    <w:rsid w:val="00DD38C7"/>
    <w:rsid w:val="00DD3AB4"/>
    <w:rsid w:val="00DD3AEB"/>
    <w:rsid w:val="00DD3C15"/>
    <w:rsid w:val="00DD4022"/>
    <w:rsid w:val="00DD419B"/>
    <w:rsid w:val="00DD42BA"/>
    <w:rsid w:val="00DD453D"/>
    <w:rsid w:val="00DD4556"/>
    <w:rsid w:val="00DD473F"/>
    <w:rsid w:val="00DD478F"/>
    <w:rsid w:val="00DD4901"/>
    <w:rsid w:val="00DD49C0"/>
    <w:rsid w:val="00DD49E2"/>
    <w:rsid w:val="00DD4BE6"/>
    <w:rsid w:val="00DD513E"/>
    <w:rsid w:val="00DD55DE"/>
    <w:rsid w:val="00DD577E"/>
    <w:rsid w:val="00DD5812"/>
    <w:rsid w:val="00DD58DE"/>
    <w:rsid w:val="00DD59C0"/>
    <w:rsid w:val="00DD5ABC"/>
    <w:rsid w:val="00DD60CD"/>
    <w:rsid w:val="00DD6C24"/>
    <w:rsid w:val="00DD70F4"/>
    <w:rsid w:val="00DD786C"/>
    <w:rsid w:val="00DE0556"/>
    <w:rsid w:val="00DE074F"/>
    <w:rsid w:val="00DE0B91"/>
    <w:rsid w:val="00DE0CD8"/>
    <w:rsid w:val="00DE0EA8"/>
    <w:rsid w:val="00DE110E"/>
    <w:rsid w:val="00DE12F3"/>
    <w:rsid w:val="00DE1911"/>
    <w:rsid w:val="00DE1B4F"/>
    <w:rsid w:val="00DE1D2D"/>
    <w:rsid w:val="00DE1D7C"/>
    <w:rsid w:val="00DE2066"/>
    <w:rsid w:val="00DE28F2"/>
    <w:rsid w:val="00DE291A"/>
    <w:rsid w:val="00DE2C38"/>
    <w:rsid w:val="00DE305A"/>
    <w:rsid w:val="00DE30C2"/>
    <w:rsid w:val="00DE33E1"/>
    <w:rsid w:val="00DE352E"/>
    <w:rsid w:val="00DE354E"/>
    <w:rsid w:val="00DE35B6"/>
    <w:rsid w:val="00DE3600"/>
    <w:rsid w:val="00DE3658"/>
    <w:rsid w:val="00DE3660"/>
    <w:rsid w:val="00DE3678"/>
    <w:rsid w:val="00DE3740"/>
    <w:rsid w:val="00DE3825"/>
    <w:rsid w:val="00DE4462"/>
    <w:rsid w:val="00DE4561"/>
    <w:rsid w:val="00DE4976"/>
    <w:rsid w:val="00DE4C64"/>
    <w:rsid w:val="00DE4ED8"/>
    <w:rsid w:val="00DE5337"/>
    <w:rsid w:val="00DE534B"/>
    <w:rsid w:val="00DE5DAE"/>
    <w:rsid w:val="00DE5F9A"/>
    <w:rsid w:val="00DE6233"/>
    <w:rsid w:val="00DE6364"/>
    <w:rsid w:val="00DE63B4"/>
    <w:rsid w:val="00DE6412"/>
    <w:rsid w:val="00DE6922"/>
    <w:rsid w:val="00DE6CE1"/>
    <w:rsid w:val="00DE72D8"/>
    <w:rsid w:val="00DE72E1"/>
    <w:rsid w:val="00DE740C"/>
    <w:rsid w:val="00DE7586"/>
    <w:rsid w:val="00DE75B9"/>
    <w:rsid w:val="00DE76BC"/>
    <w:rsid w:val="00DE7729"/>
    <w:rsid w:val="00DE7F68"/>
    <w:rsid w:val="00DF0007"/>
    <w:rsid w:val="00DF0008"/>
    <w:rsid w:val="00DF00A2"/>
    <w:rsid w:val="00DF0387"/>
    <w:rsid w:val="00DF06D1"/>
    <w:rsid w:val="00DF08F5"/>
    <w:rsid w:val="00DF0AC7"/>
    <w:rsid w:val="00DF0BC6"/>
    <w:rsid w:val="00DF0D75"/>
    <w:rsid w:val="00DF1197"/>
    <w:rsid w:val="00DF1548"/>
    <w:rsid w:val="00DF16FA"/>
    <w:rsid w:val="00DF17C5"/>
    <w:rsid w:val="00DF1B32"/>
    <w:rsid w:val="00DF1D3D"/>
    <w:rsid w:val="00DF1F3B"/>
    <w:rsid w:val="00DF2199"/>
    <w:rsid w:val="00DF24D4"/>
    <w:rsid w:val="00DF24D5"/>
    <w:rsid w:val="00DF2741"/>
    <w:rsid w:val="00DF28C3"/>
    <w:rsid w:val="00DF28CB"/>
    <w:rsid w:val="00DF2983"/>
    <w:rsid w:val="00DF2E58"/>
    <w:rsid w:val="00DF3087"/>
    <w:rsid w:val="00DF35EF"/>
    <w:rsid w:val="00DF3705"/>
    <w:rsid w:val="00DF3D7C"/>
    <w:rsid w:val="00DF3FB0"/>
    <w:rsid w:val="00DF40BD"/>
    <w:rsid w:val="00DF4758"/>
    <w:rsid w:val="00DF48F5"/>
    <w:rsid w:val="00DF4927"/>
    <w:rsid w:val="00DF4F79"/>
    <w:rsid w:val="00DF507F"/>
    <w:rsid w:val="00DF554D"/>
    <w:rsid w:val="00DF576F"/>
    <w:rsid w:val="00DF58BC"/>
    <w:rsid w:val="00DF5BE3"/>
    <w:rsid w:val="00DF5D06"/>
    <w:rsid w:val="00DF5F70"/>
    <w:rsid w:val="00DF6122"/>
    <w:rsid w:val="00DF62DB"/>
    <w:rsid w:val="00DF6667"/>
    <w:rsid w:val="00DF66B7"/>
    <w:rsid w:val="00DF68C4"/>
    <w:rsid w:val="00DF6C35"/>
    <w:rsid w:val="00DF6DD9"/>
    <w:rsid w:val="00DF7124"/>
    <w:rsid w:val="00DF7233"/>
    <w:rsid w:val="00DF7320"/>
    <w:rsid w:val="00DF7433"/>
    <w:rsid w:val="00DF7465"/>
    <w:rsid w:val="00DF7560"/>
    <w:rsid w:val="00DF7682"/>
    <w:rsid w:val="00DF78DE"/>
    <w:rsid w:val="00DF7CA7"/>
    <w:rsid w:val="00DF7D59"/>
    <w:rsid w:val="00DF7F6D"/>
    <w:rsid w:val="00DF7F9B"/>
    <w:rsid w:val="00E003DE"/>
    <w:rsid w:val="00E005AA"/>
    <w:rsid w:val="00E0095A"/>
    <w:rsid w:val="00E00A7F"/>
    <w:rsid w:val="00E00BAB"/>
    <w:rsid w:val="00E00CA8"/>
    <w:rsid w:val="00E01174"/>
    <w:rsid w:val="00E01404"/>
    <w:rsid w:val="00E017F5"/>
    <w:rsid w:val="00E019FC"/>
    <w:rsid w:val="00E01A90"/>
    <w:rsid w:val="00E0209A"/>
    <w:rsid w:val="00E02147"/>
    <w:rsid w:val="00E02795"/>
    <w:rsid w:val="00E02815"/>
    <w:rsid w:val="00E0316F"/>
    <w:rsid w:val="00E0353D"/>
    <w:rsid w:val="00E03549"/>
    <w:rsid w:val="00E03709"/>
    <w:rsid w:val="00E0370A"/>
    <w:rsid w:val="00E03898"/>
    <w:rsid w:val="00E03AC2"/>
    <w:rsid w:val="00E04144"/>
    <w:rsid w:val="00E044A6"/>
    <w:rsid w:val="00E0470E"/>
    <w:rsid w:val="00E04B9E"/>
    <w:rsid w:val="00E04B9F"/>
    <w:rsid w:val="00E04E00"/>
    <w:rsid w:val="00E04FAA"/>
    <w:rsid w:val="00E05046"/>
    <w:rsid w:val="00E05097"/>
    <w:rsid w:val="00E05165"/>
    <w:rsid w:val="00E051C8"/>
    <w:rsid w:val="00E051EE"/>
    <w:rsid w:val="00E05317"/>
    <w:rsid w:val="00E0534C"/>
    <w:rsid w:val="00E05402"/>
    <w:rsid w:val="00E05443"/>
    <w:rsid w:val="00E05514"/>
    <w:rsid w:val="00E05751"/>
    <w:rsid w:val="00E057C1"/>
    <w:rsid w:val="00E05968"/>
    <w:rsid w:val="00E05B55"/>
    <w:rsid w:val="00E05B8F"/>
    <w:rsid w:val="00E05F66"/>
    <w:rsid w:val="00E063E2"/>
    <w:rsid w:val="00E06454"/>
    <w:rsid w:val="00E06E26"/>
    <w:rsid w:val="00E0712A"/>
    <w:rsid w:val="00E07179"/>
    <w:rsid w:val="00E07511"/>
    <w:rsid w:val="00E07955"/>
    <w:rsid w:val="00E07B62"/>
    <w:rsid w:val="00E07DD8"/>
    <w:rsid w:val="00E07E21"/>
    <w:rsid w:val="00E07E9C"/>
    <w:rsid w:val="00E07EB8"/>
    <w:rsid w:val="00E07F78"/>
    <w:rsid w:val="00E1015B"/>
    <w:rsid w:val="00E10385"/>
    <w:rsid w:val="00E103F8"/>
    <w:rsid w:val="00E114E8"/>
    <w:rsid w:val="00E11A5E"/>
    <w:rsid w:val="00E11A99"/>
    <w:rsid w:val="00E11B19"/>
    <w:rsid w:val="00E11BAF"/>
    <w:rsid w:val="00E11BE3"/>
    <w:rsid w:val="00E11E7E"/>
    <w:rsid w:val="00E12054"/>
    <w:rsid w:val="00E12088"/>
    <w:rsid w:val="00E120CF"/>
    <w:rsid w:val="00E121DE"/>
    <w:rsid w:val="00E122A5"/>
    <w:rsid w:val="00E1247E"/>
    <w:rsid w:val="00E125FB"/>
    <w:rsid w:val="00E129D0"/>
    <w:rsid w:val="00E12A19"/>
    <w:rsid w:val="00E12B44"/>
    <w:rsid w:val="00E12D6F"/>
    <w:rsid w:val="00E12FDB"/>
    <w:rsid w:val="00E13074"/>
    <w:rsid w:val="00E13076"/>
    <w:rsid w:val="00E130F9"/>
    <w:rsid w:val="00E13188"/>
    <w:rsid w:val="00E131C3"/>
    <w:rsid w:val="00E1320F"/>
    <w:rsid w:val="00E13319"/>
    <w:rsid w:val="00E133C5"/>
    <w:rsid w:val="00E13455"/>
    <w:rsid w:val="00E1360C"/>
    <w:rsid w:val="00E136BE"/>
    <w:rsid w:val="00E139C9"/>
    <w:rsid w:val="00E13D6C"/>
    <w:rsid w:val="00E13E35"/>
    <w:rsid w:val="00E13EF6"/>
    <w:rsid w:val="00E143C6"/>
    <w:rsid w:val="00E14731"/>
    <w:rsid w:val="00E14759"/>
    <w:rsid w:val="00E148D1"/>
    <w:rsid w:val="00E149FB"/>
    <w:rsid w:val="00E14A5F"/>
    <w:rsid w:val="00E14E2B"/>
    <w:rsid w:val="00E1524E"/>
    <w:rsid w:val="00E152EE"/>
    <w:rsid w:val="00E15474"/>
    <w:rsid w:val="00E15572"/>
    <w:rsid w:val="00E159CE"/>
    <w:rsid w:val="00E15A95"/>
    <w:rsid w:val="00E15B88"/>
    <w:rsid w:val="00E15E01"/>
    <w:rsid w:val="00E15FE0"/>
    <w:rsid w:val="00E163A6"/>
    <w:rsid w:val="00E16E02"/>
    <w:rsid w:val="00E16F85"/>
    <w:rsid w:val="00E172CA"/>
    <w:rsid w:val="00E1738E"/>
    <w:rsid w:val="00E174D6"/>
    <w:rsid w:val="00E17545"/>
    <w:rsid w:val="00E17A6E"/>
    <w:rsid w:val="00E20190"/>
    <w:rsid w:val="00E2034C"/>
    <w:rsid w:val="00E20392"/>
    <w:rsid w:val="00E204FE"/>
    <w:rsid w:val="00E206C3"/>
    <w:rsid w:val="00E20AA7"/>
    <w:rsid w:val="00E20B39"/>
    <w:rsid w:val="00E20DF1"/>
    <w:rsid w:val="00E20E9D"/>
    <w:rsid w:val="00E20FCC"/>
    <w:rsid w:val="00E211C5"/>
    <w:rsid w:val="00E21364"/>
    <w:rsid w:val="00E21697"/>
    <w:rsid w:val="00E21823"/>
    <w:rsid w:val="00E21A01"/>
    <w:rsid w:val="00E21BC5"/>
    <w:rsid w:val="00E21E37"/>
    <w:rsid w:val="00E21E5E"/>
    <w:rsid w:val="00E22096"/>
    <w:rsid w:val="00E221B9"/>
    <w:rsid w:val="00E22335"/>
    <w:rsid w:val="00E2251F"/>
    <w:rsid w:val="00E228E5"/>
    <w:rsid w:val="00E22B6E"/>
    <w:rsid w:val="00E22C48"/>
    <w:rsid w:val="00E22C52"/>
    <w:rsid w:val="00E22D99"/>
    <w:rsid w:val="00E23159"/>
    <w:rsid w:val="00E23263"/>
    <w:rsid w:val="00E23366"/>
    <w:rsid w:val="00E236C6"/>
    <w:rsid w:val="00E23885"/>
    <w:rsid w:val="00E238B8"/>
    <w:rsid w:val="00E239C3"/>
    <w:rsid w:val="00E23ABC"/>
    <w:rsid w:val="00E23AE2"/>
    <w:rsid w:val="00E23B6E"/>
    <w:rsid w:val="00E23B9A"/>
    <w:rsid w:val="00E23E77"/>
    <w:rsid w:val="00E24102"/>
    <w:rsid w:val="00E24196"/>
    <w:rsid w:val="00E243FC"/>
    <w:rsid w:val="00E24559"/>
    <w:rsid w:val="00E24633"/>
    <w:rsid w:val="00E247A6"/>
    <w:rsid w:val="00E24BC9"/>
    <w:rsid w:val="00E24DE0"/>
    <w:rsid w:val="00E24ED2"/>
    <w:rsid w:val="00E25A72"/>
    <w:rsid w:val="00E25B4C"/>
    <w:rsid w:val="00E25CCF"/>
    <w:rsid w:val="00E25D73"/>
    <w:rsid w:val="00E25F74"/>
    <w:rsid w:val="00E25FD4"/>
    <w:rsid w:val="00E26300"/>
    <w:rsid w:val="00E263D8"/>
    <w:rsid w:val="00E269D7"/>
    <w:rsid w:val="00E26D53"/>
    <w:rsid w:val="00E26E81"/>
    <w:rsid w:val="00E27162"/>
    <w:rsid w:val="00E2716E"/>
    <w:rsid w:val="00E27435"/>
    <w:rsid w:val="00E2767F"/>
    <w:rsid w:val="00E276DE"/>
    <w:rsid w:val="00E27A53"/>
    <w:rsid w:val="00E27C79"/>
    <w:rsid w:val="00E27D41"/>
    <w:rsid w:val="00E300BD"/>
    <w:rsid w:val="00E3083D"/>
    <w:rsid w:val="00E30897"/>
    <w:rsid w:val="00E309D2"/>
    <w:rsid w:val="00E30ACA"/>
    <w:rsid w:val="00E30E94"/>
    <w:rsid w:val="00E31064"/>
    <w:rsid w:val="00E311E3"/>
    <w:rsid w:val="00E317EA"/>
    <w:rsid w:val="00E318E0"/>
    <w:rsid w:val="00E31E9C"/>
    <w:rsid w:val="00E31EC3"/>
    <w:rsid w:val="00E32127"/>
    <w:rsid w:val="00E322B5"/>
    <w:rsid w:val="00E3250E"/>
    <w:rsid w:val="00E326B6"/>
    <w:rsid w:val="00E3296B"/>
    <w:rsid w:val="00E32985"/>
    <w:rsid w:val="00E32CE4"/>
    <w:rsid w:val="00E32EF3"/>
    <w:rsid w:val="00E32F68"/>
    <w:rsid w:val="00E33491"/>
    <w:rsid w:val="00E335D5"/>
    <w:rsid w:val="00E3365E"/>
    <w:rsid w:val="00E33A4C"/>
    <w:rsid w:val="00E33A50"/>
    <w:rsid w:val="00E33BD0"/>
    <w:rsid w:val="00E33C5E"/>
    <w:rsid w:val="00E33CEC"/>
    <w:rsid w:val="00E33DE9"/>
    <w:rsid w:val="00E33E62"/>
    <w:rsid w:val="00E33F98"/>
    <w:rsid w:val="00E34156"/>
    <w:rsid w:val="00E3507E"/>
    <w:rsid w:val="00E350FC"/>
    <w:rsid w:val="00E351A5"/>
    <w:rsid w:val="00E351F9"/>
    <w:rsid w:val="00E35384"/>
    <w:rsid w:val="00E35390"/>
    <w:rsid w:val="00E3556F"/>
    <w:rsid w:val="00E3564F"/>
    <w:rsid w:val="00E35871"/>
    <w:rsid w:val="00E35AA6"/>
    <w:rsid w:val="00E35AC5"/>
    <w:rsid w:val="00E36196"/>
    <w:rsid w:val="00E36483"/>
    <w:rsid w:val="00E364E8"/>
    <w:rsid w:val="00E36D4D"/>
    <w:rsid w:val="00E36EE5"/>
    <w:rsid w:val="00E36FD9"/>
    <w:rsid w:val="00E3769A"/>
    <w:rsid w:val="00E378C4"/>
    <w:rsid w:val="00E378EC"/>
    <w:rsid w:val="00E379F2"/>
    <w:rsid w:val="00E37B9B"/>
    <w:rsid w:val="00E37BA8"/>
    <w:rsid w:val="00E37F75"/>
    <w:rsid w:val="00E37FD7"/>
    <w:rsid w:val="00E4019B"/>
    <w:rsid w:val="00E4081E"/>
    <w:rsid w:val="00E40AEB"/>
    <w:rsid w:val="00E40F6D"/>
    <w:rsid w:val="00E410A5"/>
    <w:rsid w:val="00E413E9"/>
    <w:rsid w:val="00E41728"/>
    <w:rsid w:val="00E418F5"/>
    <w:rsid w:val="00E4198A"/>
    <w:rsid w:val="00E42218"/>
    <w:rsid w:val="00E422FC"/>
    <w:rsid w:val="00E42357"/>
    <w:rsid w:val="00E424A4"/>
    <w:rsid w:val="00E42525"/>
    <w:rsid w:val="00E4269E"/>
    <w:rsid w:val="00E426F9"/>
    <w:rsid w:val="00E427CE"/>
    <w:rsid w:val="00E429DB"/>
    <w:rsid w:val="00E42D92"/>
    <w:rsid w:val="00E42D96"/>
    <w:rsid w:val="00E431E9"/>
    <w:rsid w:val="00E43322"/>
    <w:rsid w:val="00E43453"/>
    <w:rsid w:val="00E4361F"/>
    <w:rsid w:val="00E438F9"/>
    <w:rsid w:val="00E4420B"/>
    <w:rsid w:val="00E44235"/>
    <w:rsid w:val="00E44521"/>
    <w:rsid w:val="00E445A4"/>
    <w:rsid w:val="00E44813"/>
    <w:rsid w:val="00E44907"/>
    <w:rsid w:val="00E45159"/>
    <w:rsid w:val="00E4522F"/>
    <w:rsid w:val="00E4531F"/>
    <w:rsid w:val="00E455C8"/>
    <w:rsid w:val="00E456B8"/>
    <w:rsid w:val="00E456D5"/>
    <w:rsid w:val="00E45D0B"/>
    <w:rsid w:val="00E45DD3"/>
    <w:rsid w:val="00E45E50"/>
    <w:rsid w:val="00E460D5"/>
    <w:rsid w:val="00E46116"/>
    <w:rsid w:val="00E46235"/>
    <w:rsid w:val="00E4656D"/>
    <w:rsid w:val="00E46676"/>
    <w:rsid w:val="00E46989"/>
    <w:rsid w:val="00E46CB0"/>
    <w:rsid w:val="00E46D65"/>
    <w:rsid w:val="00E4702F"/>
    <w:rsid w:val="00E47530"/>
    <w:rsid w:val="00E47550"/>
    <w:rsid w:val="00E477B9"/>
    <w:rsid w:val="00E47A00"/>
    <w:rsid w:val="00E47B48"/>
    <w:rsid w:val="00E47F05"/>
    <w:rsid w:val="00E500A1"/>
    <w:rsid w:val="00E5019D"/>
    <w:rsid w:val="00E501CA"/>
    <w:rsid w:val="00E502F0"/>
    <w:rsid w:val="00E50475"/>
    <w:rsid w:val="00E508AD"/>
    <w:rsid w:val="00E509AB"/>
    <w:rsid w:val="00E509DF"/>
    <w:rsid w:val="00E50CEC"/>
    <w:rsid w:val="00E50EF3"/>
    <w:rsid w:val="00E51B67"/>
    <w:rsid w:val="00E51E55"/>
    <w:rsid w:val="00E52544"/>
    <w:rsid w:val="00E52569"/>
    <w:rsid w:val="00E53101"/>
    <w:rsid w:val="00E53182"/>
    <w:rsid w:val="00E533B0"/>
    <w:rsid w:val="00E53404"/>
    <w:rsid w:val="00E53541"/>
    <w:rsid w:val="00E53810"/>
    <w:rsid w:val="00E539B9"/>
    <w:rsid w:val="00E53C2E"/>
    <w:rsid w:val="00E53F1E"/>
    <w:rsid w:val="00E53F43"/>
    <w:rsid w:val="00E53F79"/>
    <w:rsid w:val="00E541D6"/>
    <w:rsid w:val="00E54255"/>
    <w:rsid w:val="00E542BD"/>
    <w:rsid w:val="00E5433A"/>
    <w:rsid w:val="00E54342"/>
    <w:rsid w:val="00E545E0"/>
    <w:rsid w:val="00E5465D"/>
    <w:rsid w:val="00E5483A"/>
    <w:rsid w:val="00E54B60"/>
    <w:rsid w:val="00E54D11"/>
    <w:rsid w:val="00E550BE"/>
    <w:rsid w:val="00E55275"/>
    <w:rsid w:val="00E552C2"/>
    <w:rsid w:val="00E553FE"/>
    <w:rsid w:val="00E55679"/>
    <w:rsid w:val="00E55F2E"/>
    <w:rsid w:val="00E561B5"/>
    <w:rsid w:val="00E5640A"/>
    <w:rsid w:val="00E56599"/>
    <w:rsid w:val="00E568A7"/>
    <w:rsid w:val="00E56C87"/>
    <w:rsid w:val="00E56F06"/>
    <w:rsid w:val="00E57AE6"/>
    <w:rsid w:val="00E57B97"/>
    <w:rsid w:val="00E57CA4"/>
    <w:rsid w:val="00E57CB5"/>
    <w:rsid w:val="00E57EEF"/>
    <w:rsid w:val="00E60523"/>
    <w:rsid w:val="00E60648"/>
    <w:rsid w:val="00E608B4"/>
    <w:rsid w:val="00E608D3"/>
    <w:rsid w:val="00E60C56"/>
    <w:rsid w:val="00E60FA3"/>
    <w:rsid w:val="00E613AB"/>
    <w:rsid w:val="00E6148E"/>
    <w:rsid w:val="00E6178E"/>
    <w:rsid w:val="00E61919"/>
    <w:rsid w:val="00E61B0B"/>
    <w:rsid w:val="00E61C4A"/>
    <w:rsid w:val="00E61F89"/>
    <w:rsid w:val="00E61FA1"/>
    <w:rsid w:val="00E61FC7"/>
    <w:rsid w:val="00E61FE8"/>
    <w:rsid w:val="00E624A7"/>
    <w:rsid w:val="00E627F5"/>
    <w:rsid w:val="00E62827"/>
    <w:rsid w:val="00E628DA"/>
    <w:rsid w:val="00E62A3B"/>
    <w:rsid w:val="00E62F23"/>
    <w:rsid w:val="00E63037"/>
    <w:rsid w:val="00E630DE"/>
    <w:rsid w:val="00E635A3"/>
    <w:rsid w:val="00E6372E"/>
    <w:rsid w:val="00E637E2"/>
    <w:rsid w:val="00E63FEC"/>
    <w:rsid w:val="00E64107"/>
    <w:rsid w:val="00E6462F"/>
    <w:rsid w:val="00E64C05"/>
    <w:rsid w:val="00E64EF3"/>
    <w:rsid w:val="00E64F2A"/>
    <w:rsid w:val="00E65083"/>
    <w:rsid w:val="00E653A1"/>
    <w:rsid w:val="00E6599E"/>
    <w:rsid w:val="00E65A14"/>
    <w:rsid w:val="00E65A52"/>
    <w:rsid w:val="00E65A67"/>
    <w:rsid w:val="00E65B5E"/>
    <w:rsid w:val="00E65B73"/>
    <w:rsid w:val="00E65D02"/>
    <w:rsid w:val="00E65E44"/>
    <w:rsid w:val="00E65EE9"/>
    <w:rsid w:val="00E65F8A"/>
    <w:rsid w:val="00E65FFC"/>
    <w:rsid w:val="00E661E3"/>
    <w:rsid w:val="00E665A5"/>
    <w:rsid w:val="00E665F0"/>
    <w:rsid w:val="00E66621"/>
    <w:rsid w:val="00E666EC"/>
    <w:rsid w:val="00E66729"/>
    <w:rsid w:val="00E667C1"/>
    <w:rsid w:val="00E66824"/>
    <w:rsid w:val="00E66858"/>
    <w:rsid w:val="00E668BA"/>
    <w:rsid w:val="00E66F28"/>
    <w:rsid w:val="00E67357"/>
    <w:rsid w:val="00E674BF"/>
    <w:rsid w:val="00E67998"/>
    <w:rsid w:val="00E67BA0"/>
    <w:rsid w:val="00E67E01"/>
    <w:rsid w:val="00E70014"/>
    <w:rsid w:val="00E701EB"/>
    <w:rsid w:val="00E7034D"/>
    <w:rsid w:val="00E703D6"/>
    <w:rsid w:val="00E705A6"/>
    <w:rsid w:val="00E7065B"/>
    <w:rsid w:val="00E706C4"/>
    <w:rsid w:val="00E70797"/>
    <w:rsid w:val="00E70895"/>
    <w:rsid w:val="00E709A0"/>
    <w:rsid w:val="00E70A49"/>
    <w:rsid w:val="00E70CDE"/>
    <w:rsid w:val="00E70CEB"/>
    <w:rsid w:val="00E71027"/>
    <w:rsid w:val="00E711AB"/>
    <w:rsid w:val="00E7124E"/>
    <w:rsid w:val="00E713B3"/>
    <w:rsid w:val="00E71504"/>
    <w:rsid w:val="00E71567"/>
    <w:rsid w:val="00E716F6"/>
    <w:rsid w:val="00E71914"/>
    <w:rsid w:val="00E71A2A"/>
    <w:rsid w:val="00E71A57"/>
    <w:rsid w:val="00E71ACB"/>
    <w:rsid w:val="00E71AFB"/>
    <w:rsid w:val="00E71CB7"/>
    <w:rsid w:val="00E71DA5"/>
    <w:rsid w:val="00E7206D"/>
    <w:rsid w:val="00E720FB"/>
    <w:rsid w:val="00E72697"/>
    <w:rsid w:val="00E72926"/>
    <w:rsid w:val="00E72C50"/>
    <w:rsid w:val="00E72ECE"/>
    <w:rsid w:val="00E72F7C"/>
    <w:rsid w:val="00E7337C"/>
    <w:rsid w:val="00E73745"/>
    <w:rsid w:val="00E73865"/>
    <w:rsid w:val="00E73A7D"/>
    <w:rsid w:val="00E73BF9"/>
    <w:rsid w:val="00E74064"/>
    <w:rsid w:val="00E740BA"/>
    <w:rsid w:val="00E74148"/>
    <w:rsid w:val="00E74228"/>
    <w:rsid w:val="00E74BA6"/>
    <w:rsid w:val="00E74ED0"/>
    <w:rsid w:val="00E750C5"/>
    <w:rsid w:val="00E75156"/>
    <w:rsid w:val="00E75422"/>
    <w:rsid w:val="00E75467"/>
    <w:rsid w:val="00E75947"/>
    <w:rsid w:val="00E7596A"/>
    <w:rsid w:val="00E759B2"/>
    <w:rsid w:val="00E75B45"/>
    <w:rsid w:val="00E75FC2"/>
    <w:rsid w:val="00E76045"/>
    <w:rsid w:val="00E762C5"/>
    <w:rsid w:val="00E763A2"/>
    <w:rsid w:val="00E7641C"/>
    <w:rsid w:val="00E7642C"/>
    <w:rsid w:val="00E764AC"/>
    <w:rsid w:val="00E765E8"/>
    <w:rsid w:val="00E77057"/>
    <w:rsid w:val="00E771EC"/>
    <w:rsid w:val="00E7732E"/>
    <w:rsid w:val="00E773E4"/>
    <w:rsid w:val="00E7740C"/>
    <w:rsid w:val="00E77432"/>
    <w:rsid w:val="00E776BB"/>
    <w:rsid w:val="00E777E4"/>
    <w:rsid w:val="00E77B4C"/>
    <w:rsid w:val="00E77CAD"/>
    <w:rsid w:val="00E77FA8"/>
    <w:rsid w:val="00E80015"/>
    <w:rsid w:val="00E8026D"/>
    <w:rsid w:val="00E8030A"/>
    <w:rsid w:val="00E8033A"/>
    <w:rsid w:val="00E80500"/>
    <w:rsid w:val="00E8094F"/>
    <w:rsid w:val="00E80A2B"/>
    <w:rsid w:val="00E80C42"/>
    <w:rsid w:val="00E813C0"/>
    <w:rsid w:val="00E81459"/>
    <w:rsid w:val="00E82093"/>
    <w:rsid w:val="00E821F0"/>
    <w:rsid w:val="00E82324"/>
    <w:rsid w:val="00E82471"/>
    <w:rsid w:val="00E8265B"/>
    <w:rsid w:val="00E826FB"/>
    <w:rsid w:val="00E8271A"/>
    <w:rsid w:val="00E8286F"/>
    <w:rsid w:val="00E8293D"/>
    <w:rsid w:val="00E82AE3"/>
    <w:rsid w:val="00E82FD4"/>
    <w:rsid w:val="00E8303D"/>
    <w:rsid w:val="00E8324C"/>
    <w:rsid w:val="00E835C1"/>
    <w:rsid w:val="00E83F5F"/>
    <w:rsid w:val="00E83F95"/>
    <w:rsid w:val="00E840FB"/>
    <w:rsid w:val="00E84258"/>
    <w:rsid w:val="00E84526"/>
    <w:rsid w:val="00E846A9"/>
    <w:rsid w:val="00E84719"/>
    <w:rsid w:val="00E848C4"/>
    <w:rsid w:val="00E84A60"/>
    <w:rsid w:val="00E84F79"/>
    <w:rsid w:val="00E8511A"/>
    <w:rsid w:val="00E853C8"/>
    <w:rsid w:val="00E853F5"/>
    <w:rsid w:val="00E85449"/>
    <w:rsid w:val="00E859F1"/>
    <w:rsid w:val="00E85A91"/>
    <w:rsid w:val="00E85B5F"/>
    <w:rsid w:val="00E85BE3"/>
    <w:rsid w:val="00E85C82"/>
    <w:rsid w:val="00E85F3D"/>
    <w:rsid w:val="00E8639A"/>
    <w:rsid w:val="00E86577"/>
    <w:rsid w:val="00E86799"/>
    <w:rsid w:val="00E86D66"/>
    <w:rsid w:val="00E87307"/>
    <w:rsid w:val="00E87313"/>
    <w:rsid w:val="00E87333"/>
    <w:rsid w:val="00E87362"/>
    <w:rsid w:val="00E8748C"/>
    <w:rsid w:val="00E87722"/>
    <w:rsid w:val="00E87744"/>
    <w:rsid w:val="00E87A47"/>
    <w:rsid w:val="00E87D94"/>
    <w:rsid w:val="00E87F55"/>
    <w:rsid w:val="00E87FC4"/>
    <w:rsid w:val="00E90A1C"/>
    <w:rsid w:val="00E91109"/>
    <w:rsid w:val="00E9155C"/>
    <w:rsid w:val="00E9161A"/>
    <w:rsid w:val="00E918A6"/>
    <w:rsid w:val="00E91BB1"/>
    <w:rsid w:val="00E91BB4"/>
    <w:rsid w:val="00E91C63"/>
    <w:rsid w:val="00E91CD1"/>
    <w:rsid w:val="00E91E00"/>
    <w:rsid w:val="00E922BF"/>
    <w:rsid w:val="00E9259F"/>
    <w:rsid w:val="00E926C9"/>
    <w:rsid w:val="00E92755"/>
    <w:rsid w:val="00E92762"/>
    <w:rsid w:val="00E92AEE"/>
    <w:rsid w:val="00E92CAE"/>
    <w:rsid w:val="00E93126"/>
    <w:rsid w:val="00E93279"/>
    <w:rsid w:val="00E93799"/>
    <w:rsid w:val="00E93D4E"/>
    <w:rsid w:val="00E93FE0"/>
    <w:rsid w:val="00E946BB"/>
    <w:rsid w:val="00E9543D"/>
    <w:rsid w:val="00E95626"/>
    <w:rsid w:val="00E95723"/>
    <w:rsid w:val="00E95859"/>
    <w:rsid w:val="00E95AE1"/>
    <w:rsid w:val="00E95B16"/>
    <w:rsid w:val="00E95C9A"/>
    <w:rsid w:val="00E95CBA"/>
    <w:rsid w:val="00E95D68"/>
    <w:rsid w:val="00E95E51"/>
    <w:rsid w:val="00E95EC2"/>
    <w:rsid w:val="00E95F2C"/>
    <w:rsid w:val="00E95FB8"/>
    <w:rsid w:val="00E96035"/>
    <w:rsid w:val="00E9629C"/>
    <w:rsid w:val="00E962BC"/>
    <w:rsid w:val="00E96DD1"/>
    <w:rsid w:val="00E96E58"/>
    <w:rsid w:val="00E96E77"/>
    <w:rsid w:val="00E96F2D"/>
    <w:rsid w:val="00E97485"/>
    <w:rsid w:val="00E97584"/>
    <w:rsid w:val="00E9772C"/>
    <w:rsid w:val="00E97795"/>
    <w:rsid w:val="00E977AA"/>
    <w:rsid w:val="00E977DB"/>
    <w:rsid w:val="00E97864"/>
    <w:rsid w:val="00E97D5E"/>
    <w:rsid w:val="00E97E68"/>
    <w:rsid w:val="00EA0241"/>
    <w:rsid w:val="00EA045F"/>
    <w:rsid w:val="00EA04DA"/>
    <w:rsid w:val="00EA0667"/>
    <w:rsid w:val="00EA0B1E"/>
    <w:rsid w:val="00EA0B68"/>
    <w:rsid w:val="00EA0D59"/>
    <w:rsid w:val="00EA0E76"/>
    <w:rsid w:val="00EA135B"/>
    <w:rsid w:val="00EA1460"/>
    <w:rsid w:val="00EA16CF"/>
    <w:rsid w:val="00EA196E"/>
    <w:rsid w:val="00EA1A07"/>
    <w:rsid w:val="00EA1A27"/>
    <w:rsid w:val="00EA1B8C"/>
    <w:rsid w:val="00EA2194"/>
    <w:rsid w:val="00EA2267"/>
    <w:rsid w:val="00EA2441"/>
    <w:rsid w:val="00EA2741"/>
    <w:rsid w:val="00EA2903"/>
    <w:rsid w:val="00EA298F"/>
    <w:rsid w:val="00EA2B7A"/>
    <w:rsid w:val="00EA2F75"/>
    <w:rsid w:val="00EA3018"/>
    <w:rsid w:val="00EA3324"/>
    <w:rsid w:val="00EA33A6"/>
    <w:rsid w:val="00EA3E2B"/>
    <w:rsid w:val="00EA4240"/>
    <w:rsid w:val="00EA42F1"/>
    <w:rsid w:val="00EA4682"/>
    <w:rsid w:val="00EA4794"/>
    <w:rsid w:val="00EA487F"/>
    <w:rsid w:val="00EA49CD"/>
    <w:rsid w:val="00EA4A6D"/>
    <w:rsid w:val="00EA4AAC"/>
    <w:rsid w:val="00EA4EA4"/>
    <w:rsid w:val="00EA4EA8"/>
    <w:rsid w:val="00EA50D8"/>
    <w:rsid w:val="00EA522B"/>
    <w:rsid w:val="00EA5A22"/>
    <w:rsid w:val="00EA5A4F"/>
    <w:rsid w:val="00EA5AFA"/>
    <w:rsid w:val="00EA5B6F"/>
    <w:rsid w:val="00EA5B73"/>
    <w:rsid w:val="00EA6602"/>
    <w:rsid w:val="00EA6ECA"/>
    <w:rsid w:val="00EA7007"/>
    <w:rsid w:val="00EA73A2"/>
    <w:rsid w:val="00EA75DC"/>
    <w:rsid w:val="00EA7828"/>
    <w:rsid w:val="00EA7A72"/>
    <w:rsid w:val="00EA7C4C"/>
    <w:rsid w:val="00EB0340"/>
    <w:rsid w:val="00EB0371"/>
    <w:rsid w:val="00EB077B"/>
    <w:rsid w:val="00EB0B6C"/>
    <w:rsid w:val="00EB0EB9"/>
    <w:rsid w:val="00EB0EEC"/>
    <w:rsid w:val="00EB190B"/>
    <w:rsid w:val="00EB1CD5"/>
    <w:rsid w:val="00EB1CE6"/>
    <w:rsid w:val="00EB1DAC"/>
    <w:rsid w:val="00EB1E29"/>
    <w:rsid w:val="00EB2769"/>
    <w:rsid w:val="00EB2874"/>
    <w:rsid w:val="00EB28DB"/>
    <w:rsid w:val="00EB29DD"/>
    <w:rsid w:val="00EB2F87"/>
    <w:rsid w:val="00EB2FD2"/>
    <w:rsid w:val="00EB2FDD"/>
    <w:rsid w:val="00EB3011"/>
    <w:rsid w:val="00EB303B"/>
    <w:rsid w:val="00EB3664"/>
    <w:rsid w:val="00EB3DA5"/>
    <w:rsid w:val="00EB3F1C"/>
    <w:rsid w:val="00EB416E"/>
    <w:rsid w:val="00EB4A71"/>
    <w:rsid w:val="00EB4D0F"/>
    <w:rsid w:val="00EB534E"/>
    <w:rsid w:val="00EB5353"/>
    <w:rsid w:val="00EB54B9"/>
    <w:rsid w:val="00EB59CA"/>
    <w:rsid w:val="00EB5AF8"/>
    <w:rsid w:val="00EB5B9D"/>
    <w:rsid w:val="00EB6787"/>
    <w:rsid w:val="00EB68EF"/>
    <w:rsid w:val="00EB6B54"/>
    <w:rsid w:val="00EB6BF9"/>
    <w:rsid w:val="00EB7333"/>
    <w:rsid w:val="00EB749E"/>
    <w:rsid w:val="00EB74A6"/>
    <w:rsid w:val="00EB76E7"/>
    <w:rsid w:val="00EB7788"/>
    <w:rsid w:val="00EB7AE0"/>
    <w:rsid w:val="00EB7EDD"/>
    <w:rsid w:val="00EB7EF5"/>
    <w:rsid w:val="00EB7F52"/>
    <w:rsid w:val="00EB7FF5"/>
    <w:rsid w:val="00EC01B0"/>
    <w:rsid w:val="00EC02E9"/>
    <w:rsid w:val="00EC0667"/>
    <w:rsid w:val="00EC0743"/>
    <w:rsid w:val="00EC094E"/>
    <w:rsid w:val="00EC0B35"/>
    <w:rsid w:val="00EC0ED6"/>
    <w:rsid w:val="00EC13C2"/>
    <w:rsid w:val="00EC16BB"/>
    <w:rsid w:val="00EC1834"/>
    <w:rsid w:val="00EC1861"/>
    <w:rsid w:val="00EC19EA"/>
    <w:rsid w:val="00EC19F4"/>
    <w:rsid w:val="00EC1A4F"/>
    <w:rsid w:val="00EC1B80"/>
    <w:rsid w:val="00EC1DEF"/>
    <w:rsid w:val="00EC269B"/>
    <w:rsid w:val="00EC26D3"/>
    <w:rsid w:val="00EC2C0C"/>
    <w:rsid w:val="00EC2CA9"/>
    <w:rsid w:val="00EC3557"/>
    <w:rsid w:val="00EC37A8"/>
    <w:rsid w:val="00EC38B5"/>
    <w:rsid w:val="00EC39C6"/>
    <w:rsid w:val="00EC3A6B"/>
    <w:rsid w:val="00EC3D09"/>
    <w:rsid w:val="00EC3F3C"/>
    <w:rsid w:val="00EC4B5E"/>
    <w:rsid w:val="00EC4F5E"/>
    <w:rsid w:val="00EC4F76"/>
    <w:rsid w:val="00EC4F80"/>
    <w:rsid w:val="00EC4FF8"/>
    <w:rsid w:val="00EC52EE"/>
    <w:rsid w:val="00EC58D5"/>
    <w:rsid w:val="00EC58D8"/>
    <w:rsid w:val="00EC6183"/>
    <w:rsid w:val="00EC65D4"/>
    <w:rsid w:val="00EC67F6"/>
    <w:rsid w:val="00EC682B"/>
    <w:rsid w:val="00EC6FDA"/>
    <w:rsid w:val="00EC72C7"/>
    <w:rsid w:val="00EC7372"/>
    <w:rsid w:val="00EC73F8"/>
    <w:rsid w:val="00EC7590"/>
    <w:rsid w:val="00EC75A7"/>
    <w:rsid w:val="00EC76AA"/>
    <w:rsid w:val="00EC7851"/>
    <w:rsid w:val="00EC788C"/>
    <w:rsid w:val="00EC7F71"/>
    <w:rsid w:val="00ED0155"/>
    <w:rsid w:val="00ED01A6"/>
    <w:rsid w:val="00ED04F3"/>
    <w:rsid w:val="00ED0550"/>
    <w:rsid w:val="00ED067C"/>
    <w:rsid w:val="00ED0CB4"/>
    <w:rsid w:val="00ED1353"/>
    <w:rsid w:val="00ED1686"/>
    <w:rsid w:val="00ED1CD0"/>
    <w:rsid w:val="00ED20C8"/>
    <w:rsid w:val="00ED21AB"/>
    <w:rsid w:val="00ED2824"/>
    <w:rsid w:val="00ED2C72"/>
    <w:rsid w:val="00ED3995"/>
    <w:rsid w:val="00ED3B96"/>
    <w:rsid w:val="00ED4495"/>
    <w:rsid w:val="00ED44D6"/>
    <w:rsid w:val="00ED465C"/>
    <w:rsid w:val="00ED4867"/>
    <w:rsid w:val="00ED4E07"/>
    <w:rsid w:val="00ED542F"/>
    <w:rsid w:val="00ED5905"/>
    <w:rsid w:val="00ED59D0"/>
    <w:rsid w:val="00ED5C0F"/>
    <w:rsid w:val="00ED602B"/>
    <w:rsid w:val="00ED6042"/>
    <w:rsid w:val="00ED61AC"/>
    <w:rsid w:val="00ED63A3"/>
    <w:rsid w:val="00ED6AD4"/>
    <w:rsid w:val="00ED6B96"/>
    <w:rsid w:val="00ED6D5D"/>
    <w:rsid w:val="00ED71E1"/>
    <w:rsid w:val="00ED71EE"/>
    <w:rsid w:val="00ED7309"/>
    <w:rsid w:val="00ED78C3"/>
    <w:rsid w:val="00ED7A53"/>
    <w:rsid w:val="00ED7AE2"/>
    <w:rsid w:val="00ED7B5E"/>
    <w:rsid w:val="00ED7F43"/>
    <w:rsid w:val="00EE035C"/>
    <w:rsid w:val="00EE05F4"/>
    <w:rsid w:val="00EE0926"/>
    <w:rsid w:val="00EE0932"/>
    <w:rsid w:val="00EE0A27"/>
    <w:rsid w:val="00EE0D82"/>
    <w:rsid w:val="00EE0DA7"/>
    <w:rsid w:val="00EE0ED5"/>
    <w:rsid w:val="00EE1019"/>
    <w:rsid w:val="00EE10D5"/>
    <w:rsid w:val="00EE161B"/>
    <w:rsid w:val="00EE1622"/>
    <w:rsid w:val="00EE1951"/>
    <w:rsid w:val="00EE1B3E"/>
    <w:rsid w:val="00EE1BB6"/>
    <w:rsid w:val="00EE1E5C"/>
    <w:rsid w:val="00EE204E"/>
    <w:rsid w:val="00EE21AE"/>
    <w:rsid w:val="00EE272B"/>
    <w:rsid w:val="00EE27E9"/>
    <w:rsid w:val="00EE281B"/>
    <w:rsid w:val="00EE29B5"/>
    <w:rsid w:val="00EE2AAE"/>
    <w:rsid w:val="00EE2D67"/>
    <w:rsid w:val="00EE2DB3"/>
    <w:rsid w:val="00EE3073"/>
    <w:rsid w:val="00EE3153"/>
    <w:rsid w:val="00EE3257"/>
    <w:rsid w:val="00EE3916"/>
    <w:rsid w:val="00EE3964"/>
    <w:rsid w:val="00EE3B00"/>
    <w:rsid w:val="00EE442F"/>
    <w:rsid w:val="00EE4465"/>
    <w:rsid w:val="00EE45B8"/>
    <w:rsid w:val="00EE4A2C"/>
    <w:rsid w:val="00EE4AA2"/>
    <w:rsid w:val="00EE4BBF"/>
    <w:rsid w:val="00EE4EC1"/>
    <w:rsid w:val="00EE5154"/>
    <w:rsid w:val="00EE56C9"/>
    <w:rsid w:val="00EE5AAD"/>
    <w:rsid w:val="00EE5ADD"/>
    <w:rsid w:val="00EE5D24"/>
    <w:rsid w:val="00EE5F0D"/>
    <w:rsid w:val="00EE623A"/>
    <w:rsid w:val="00EE664D"/>
    <w:rsid w:val="00EE67DD"/>
    <w:rsid w:val="00EE6C68"/>
    <w:rsid w:val="00EE6F30"/>
    <w:rsid w:val="00EE72E4"/>
    <w:rsid w:val="00EE7551"/>
    <w:rsid w:val="00EE7572"/>
    <w:rsid w:val="00EE75D7"/>
    <w:rsid w:val="00EE77A2"/>
    <w:rsid w:val="00EF004A"/>
    <w:rsid w:val="00EF03FF"/>
    <w:rsid w:val="00EF04B5"/>
    <w:rsid w:val="00EF0973"/>
    <w:rsid w:val="00EF0F78"/>
    <w:rsid w:val="00EF1002"/>
    <w:rsid w:val="00EF1305"/>
    <w:rsid w:val="00EF14EB"/>
    <w:rsid w:val="00EF1613"/>
    <w:rsid w:val="00EF1786"/>
    <w:rsid w:val="00EF18CA"/>
    <w:rsid w:val="00EF199A"/>
    <w:rsid w:val="00EF1CA6"/>
    <w:rsid w:val="00EF22CA"/>
    <w:rsid w:val="00EF24BE"/>
    <w:rsid w:val="00EF25F1"/>
    <w:rsid w:val="00EF273C"/>
    <w:rsid w:val="00EF2AC5"/>
    <w:rsid w:val="00EF2AFF"/>
    <w:rsid w:val="00EF2E62"/>
    <w:rsid w:val="00EF3023"/>
    <w:rsid w:val="00EF3111"/>
    <w:rsid w:val="00EF3252"/>
    <w:rsid w:val="00EF34C5"/>
    <w:rsid w:val="00EF34F6"/>
    <w:rsid w:val="00EF353B"/>
    <w:rsid w:val="00EF3593"/>
    <w:rsid w:val="00EF365C"/>
    <w:rsid w:val="00EF398C"/>
    <w:rsid w:val="00EF3BA0"/>
    <w:rsid w:val="00EF3D6D"/>
    <w:rsid w:val="00EF3DFF"/>
    <w:rsid w:val="00EF42D1"/>
    <w:rsid w:val="00EF4699"/>
    <w:rsid w:val="00EF46A9"/>
    <w:rsid w:val="00EF46CC"/>
    <w:rsid w:val="00EF4C3A"/>
    <w:rsid w:val="00EF4C8D"/>
    <w:rsid w:val="00EF4DCA"/>
    <w:rsid w:val="00EF526B"/>
    <w:rsid w:val="00EF5C68"/>
    <w:rsid w:val="00EF60FE"/>
    <w:rsid w:val="00EF6281"/>
    <w:rsid w:val="00EF6321"/>
    <w:rsid w:val="00EF6489"/>
    <w:rsid w:val="00EF661D"/>
    <w:rsid w:val="00EF66FF"/>
    <w:rsid w:val="00EF695C"/>
    <w:rsid w:val="00EF6DD2"/>
    <w:rsid w:val="00EF6EF5"/>
    <w:rsid w:val="00EF7072"/>
    <w:rsid w:val="00EF7523"/>
    <w:rsid w:val="00EF7658"/>
    <w:rsid w:val="00EF76ED"/>
    <w:rsid w:val="00EF7798"/>
    <w:rsid w:val="00EF784C"/>
    <w:rsid w:val="00EF7989"/>
    <w:rsid w:val="00EF79D3"/>
    <w:rsid w:val="00EF7A3F"/>
    <w:rsid w:val="00EF7E61"/>
    <w:rsid w:val="00F009AF"/>
    <w:rsid w:val="00F00ABB"/>
    <w:rsid w:val="00F00AD5"/>
    <w:rsid w:val="00F00B17"/>
    <w:rsid w:val="00F0135A"/>
    <w:rsid w:val="00F01A65"/>
    <w:rsid w:val="00F02197"/>
    <w:rsid w:val="00F0219B"/>
    <w:rsid w:val="00F023D8"/>
    <w:rsid w:val="00F02440"/>
    <w:rsid w:val="00F02465"/>
    <w:rsid w:val="00F02500"/>
    <w:rsid w:val="00F02759"/>
    <w:rsid w:val="00F027C0"/>
    <w:rsid w:val="00F02862"/>
    <w:rsid w:val="00F02901"/>
    <w:rsid w:val="00F037F9"/>
    <w:rsid w:val="00F03837"/>
    <w:rsid w:val="00F03934"/>
    <w:rsid w:val="00F03A8E"/>
    <w:rsid w:val="00F03A90"/>
    <w:rsid w:val="00F03B2B"/>
    <w:rsid w:val="00F03B5F"/>
    <w:rsid w:val="00F03DB0"/>
    <w:rsid w:val="00F045F1"/>
    <w:rsid w:val="00F0480B"/>
    <w:rsid w:val="00F0481A"/>
    <w:rsid w:val="00F049E6"/>
    <w:rsid w:val="00F049E8"/>
    <w:rsid w:val="00F04F72"/>
    <w:rsid w:val="00F050D8"/>
    <w:rsid w:val="00F0544C"/>
    <w:rsid w:val="00F054F5"/>
    <w:rsid w:val="00F05602"/>
    <w:rsid w:val="00F05A7F"/>
    <w:rsid w:val="00F05A8D"/>
    <w:rsid w:val="00F05C9A"/>
    <w:rsid w:val="00F05D80"/>
    <w:rsid w:val="00F06830"/>
    <w:rsid w:val="00F06A6B"/>
    <w:rsid w:val="00F06D2A"/>
    <w:rsid w:val="00F06E36"/>
    <w:rsid w:val="00F07501"/>
    <w:rsid w:val="00F07789"/>
    <w:rsid w:val="00F102C5"/>
    <w:rsid w:val="00F104E1"/>
    <w:rsid w:val="00F10541"/>
    <w:rsid w:val="00F109AA"/>
    <w:rsid w:val="00F110EE"/>
    <w:rsid w:val="00F11159"/>
    <w:rsid w:val="00F11195"/>
    <w:rsid w:val="00F11230"/>
    <w:rsid w:val="00F11A18"/>
    <w:rsid w:val="00F11C38"/>
    <w:rsid w:val="00F11F62"/>
    <w:rsid w:val="00F12941"/>
    <w:rsid w:val="00F12BFC"/>
    <w:rsid w:val="00F12E19"/>
    <w:rsid w:val="00F13051"/>
    <w:rsid w:val="00F13119"/>
    <w:rsid w:val="00F133E9"/>
    <w:rsid w:val="00F133F2"/>
    <w:rsid w:val="00F1362E"/>
    <w:rsid w:val="00F13AF6"/>
    <w:rsid w:val="00F13B38"/>
    <w:rsid w:val="00F13EA3"/>
    <w:rsid w:val="00F13ECB"/>
    <w:rsid w:val="00F13F15"/>
    <w:rsid w:val="00F142C4"/>
    <w:rsid w:val="00F142CF"/>
    <w:rsid w:val="00F145D6"/>
    <w:rsid w:val="00F14823"/>
    <w:rsid w:val="00F14A4D"/>
    <w:rsid w:val="00F14DAA"/>
    <w:rsid w:val="00F14E67"/>
    <w:rsid w:val="00F14FC2"/>
    <w:rsid w:val="00F150F8"/>
    <w:rsid w:val="00F152BC"/>
    <w:rsid w:val="00F15614"/>
    <w:rsid w:val="00F15A67"/>
    <w:rsid w:val="00F15A89"/>
    <w:rsid w:val="00F15D1D"/>
    <w:rsid w:val="00F15ED3"/>
    <w:rsid w:val="00F16074"/>
    <w:rsid w:val="00F1680A"/>
    <w:rsid w:val="00F16886"/>
    <w:rsid w:val="00F16C62"/>
    <w:rsid w:val="00F173E4"/>
    <w:rsid w:val="00F17590"/>
    <w:rsid w:val="00F17716"/>
    <w:rsid w:val="00F177F5"/>
    <w:rsid w:val="00F17953"/>
    <w:rsid w:val="00F17C03"/>
    <w:rsid w:val="00F17F15"/>
    <w:rsid w:val="00F17F43"/>
    <w:rsid w:val="00F2014C"/>
    <w:rsid w:val="00F203AB"/>
    <w:rsid w:val="00F2063F"/>
    <w:rsid w:val="00F20857"/>
    <w:rsid w:val="00F208E2"/>
    <w:rsid w:val="00F20A76"/>
    <w:rsid w:val="00F20C58"/>
    <w:rsid w:val="00F20F07"/>
    <w:rsid w:val="00F20F16"/>
    <w:rsid w:val="00F20F96"/>
    <w:rsid w:val="00F21120"/>
    <w:rsid w:val="00F213C7"/>
    <w:rsid w:val="00F213C8"/>
    <w:rsid w:val="00F21550"/>
    <w:rsid w:val="00F21D0B"/>
    <w:rsid w:val="00F21DA8"/>
    <w:rsid w:val="00F229BD"/>
    <w:rsid w:val="00F22B34"/>
    <w:rsid w:val="00F22B5D"/>
    <w:rsid w:val="00F22B63"/>
    <w:rsid w:val="00F22C32"/>
    <w:rsid w:val="00F22C8C"/>
    <w:rsid w:val="00F22D71"/>
    <w:rsid w:val="00F2357D"/>
    <w:rsid w:val="00F23605"/>
    <w:rsid w:val="00F23DB4"/>
    <w:rsid w:val="00F23DC8"/>
    <w:rsid w:val="00F23F9F"/>
    <w:rsid w:val="00F2424F"/>
    <w:rsid w:val="00F2443F"/>
    <w:rsid w:val="00F24580"/>
    <w:rsid w:val="00F24607"/>
    <w:rsid w:val="00F247D1"/>
    <w:rsid w:val="00F247D4"/>
    <w:rsid w:val="00F24A48"/>
    <w:rsid w:val="00F24A59"/>
    <w:rsid w:val="00F25012"/>
    <w:rsid w:val="00F25485"/>
    <w:rsid w:val="00F25E1A"/>
    <w:rsid w:val="00F26131"/>
    <w:rsid w:val="00F262FC"/>
    <w:rsid w:val="00F26331"/>
    <w:rsid w:val="00F2658D"/>
    <w:rsid w:val="00F26666"/>
    <w:rsid w:val="00F26E9E"/>
    <w:rsid w:val="00F26F51"/>
    <w:rsid w:val="00F26F8E"/>
    <w:rsid w:val="00F2708E"/>
    <w:rsid w:val="00F270A8"/>
    <w:rsid w:val="00F271CD"/>
    <w:rsid w:val="00F276C5"/>
    <w:rsid w:val="00F277CB"/>
    <w:rsid w:val="00F279D3"/>
    <w:rsid w:val="00F27AAF"/>
    <w:rsid w:val="00F27AC7"/>
    <w:rsid w:val="00F27B03"/>
    <w:rsid w:val="00F27F89"/>
    <w:rsid w:val="00F30122"/>
    <w:rsid w:val="00F30976"/>
    <w:rsid w:val="00F30A24"/>
    <w:rsid w:val="00F30A9C"/>
    <w:rsid w:val="00F30EF5"/>
    <w:rsid w:val="00F31569"/>
    <w:rsid w:val="00F3162D"/>
    <w:rsid w:val="00F31911"/>
    <w:rsid w:val="00F31B14"/>
    <w:rsid w:val="00F320E2"/>
    <w:rsid w:val="00F322A0"/>
    <w:rsid w:val="00F32681"/>
    <w:rsid w:val="00F3269A"/>
    <w:rsid w:val="00F3281E"/>
    <w:rsid w:val="00F3296B"/>
    <w:rsid w:val="00F32E03"/>
    <w:rsid w:val="00F32E28"/>
    <w:rsid w:val="00F32F0D"/>
    <w:rsid w:val="00F32FA0"/>
    <w:rsid w:val="00F32FBD"/>
    <w:rsid w:val="00F33122"/>
    <w:rsid w:val="00F331EE"/>
    <w:rsid w:val="00F3329B"/>
    <w:rsid w:val="00F3336A"/>
    <w:rsid w:val="00F3348C"/>
    <w:rsid w:val="00F33789"/>
    <w:rsid w:val="00F338BB"/>
    <w:rsid w:val="00F33B7B"/>
    <w:rsid w:val="00F33BD4"/>
    <w:rsid w:val="00F3437D"/>
    <w:rsid w:val="00F34561"/>
    <w:rsid w:val="00F34622"/>
    <w:rsid w:val="00F34AA8"/>
    <w:rsid w:val="00F34ADB"/>
    <w:rsid w:val="00F35160"/>
    <w:rsid w:val="00F351CA"/>
    <w:rsid w:val="00F35587"/>
    <w:rsid w:val="00F35A7F"/>
    <w:rsid w:val="00F35FE0"/>
    <w:rsid w:val="00F36149"/>
    <w:rsid w:val="00F3623A"/>
    <w:rsid w:val="00F36674"/>
    <w:rsid w:val="00F36729"/>
    <w:rsid w:val="00F3716D"/>
    <w:rsid w:val="00F37280"/>
    <w:rsid w:val="00F37762"/>
    <w:rsid w:val="00F377AF"/>
    <w:rsid w:val="00F37864"/>
    <w:rsid w:val="00F37875"/>
    <w:rsid w:val="00F3793F"/>
    <w:rsid w:val="00F37EB0"/>
    <w:rsid w:val="00F4010B"/>
    <w:rsid w:val="00F40286"/>
    <w:rsid w:val="00F4089B"/>
    <w:rsid w:val="00F40ABB"/>
    <w:rsid w:val="00F40ADA"/>
    <w:rsid w:val="00F40AED"/>
    <w:rsid w:val="00F40B8A"/>
    <w:rsid w:val="00F40F7E"/>
    <w:rsid w:val="00F4126D"/>
    <w:rsid w:val="00F412CE"/>
    <w:rsid w:val="00F41608"/>
    <w:rsid w:val="00F41658"/>
    <w:rsid w:val="00F416BA"/>
    <w:rsid w:val="00F41724"/>
    <w:rsid w:val="00F41895"/>
    <w:rsid w:val="00F418EC"/>
    <w:rsid w:val="00F41971"/>
    <w:rsid w:val="00F419A1"/>
    <w:rsid w:val="00F419BB"/>
    <w:rsid w:val="00F41A96"/>
    <w:rsid w:val="00F41C8E"/>
    <w:rsid w:val="00F42490"/>
    <w:rsid w:val="00F42C82"/>
    <w:rsid w:val="00F43066"/>
    <w:rsid w:val="00F4309B"/>
    <w:rsid w:val="00F430BF"/>
    <w:rsid w:val="00F4339C"/>
    <w:rsid w:val="00F436A4"/>
    <w:rsid w:val="00F43ABF"/>
    <w:rsid w:val="00F43C91"/>
    <w:rsid w:val="00F43E2F"/>
    <w:rsid w:val="00F43EB1"/>
    <w:rsid w:val="00F44238"/>
    <w:rsid w:val="00F44506"/>
    <w:rsid w:val="00F445B7"/>
    <w:rsid w:val="00F44ABA"/>
    <w:rsid w:val="00F45818"/>
    <w:rsid w:val="00F4587C"/>
    <w:rsid w:val="00F45B75"/>
    <w:rsid w:val="00F45C13"/>
    <w:rsid w:val="00F45EAC"/>
    <w:rsid w:val="00F4621E"/>
    <w:rsid w:val="00F46254"/>
    <w:rsid w:val="00F4657D"/>
    <w:rsid w:val="00F465AF"/>
    <w:rsid w:val="00F46677"/>
    <w:rsid w:val="00F4670F"/>
    <w:rsid w:val="00F46842"/>
    <w:rsid w:val="00F468C6"/>
    <w:rsid w:val="00F46B73"/>
    <w:rsid w:val="00F46C10"/>
    <w:rsid w:val="00F46D24"/>
    <w:rsid w:val="00F46D29"/>
    <w:rsid w:val="00F46F1D"/>
    <w:rsid w:val="00F46FCC"/>
    <w:rsid w:val="00F47291"/>
    <w:rsid w:val="00F47518"/>
    <w:rsid w:val="00F47762"/>
    <w:rsid w:val="00F47793"/>
    <w:rsid w:val="00F479B4"/>
    <w:rsid w:val="00F47A07"/>
    <w:rsid w:val="00F47B73"/>
    <w:rsid w:val="00F47DD1"/>
    <w:rsid w:val="00F47DF7"/>
    <w:rsid w:val="00F47F9F"/>
    <w:rsid w:val="00F50051"/>
    <w:rsid w:val="00F506CE"/>
    <w:rsid w:val="00F50DDB"/>
    <w:rsid w:val="00F50E6C"/>
    <w:rsid w:val="00F512B8"/>
    <w:rsid w:val="00F51513"/>
    <w:rsid w:val="00F516B8"/>
    <w:rsid w:val="00F517FF"/>
    <w:rsid w:val="00F51838"/>
    <w:rsid w:val="00F51AA0"/>
    <w:rsid w:val="00F51AC4"/>
    <w:rsid w:val="00F51B82"/>
    <w:rsid w:val="00F51D19"/>
    <w:rsid w:val="00F51F71"/>
    <w:rsid w:val="00F520FD"/>
    <w:rsid w:val="00F52641"/>
    <w:rsid w:val="00F526B3"/>
    <w:rsid w:val="00F526F2"/>
    <w:rsid w:val="00F52808"/>
    <w:rsid w:val="00F5297C"/>
    <w:rsid w:val="00F52AFE"/>
    <w:rsid w:val="00F52D02"/>
    <w:rsid w:val="00F52D1C"/>
    <w:rsid w:val="00F52D5B"/>
    <w:rsid w:val="00F53502"/>
    <w:rsid w:val="00F535E0"/>
    <w:rsid w:val="00F535EC"/>
    <w:rsid w:val="00F536E1"/>
    <w:rsid w:val="00F5375B"/>
    <w:rsid w:val="00F53979"/>
    <w:rsid w:val="00F53D3A"/>
    <w:rsid w:val="00F53DC6"/>
    <w:rsid w:val="00F5413B"/>
    <w:rsid w:val="00F541BF"/>
    <w:rsid w:val="00F542DE"/>
    <w:rsid w:val="00F54301"/>
    <w:rsid w:val="00F54368"/>
    <w:rsid w:val="00F543A3"/>
    <w:rsid w:val="00F54453"/>
    <w:rsid w:val="00F5467C"/>
    <w:rsid w:val="00F54A3F"/>
    <w:rsid w:val="00F54B3B"/>
    <w:rsid w:val="00F54DDD"/>
    <w:rsid w:val="00F54E47"/>
    <w:rsid w:val="00F5510A"/>
    <w:rsid w:val="00F551C8"/>
    <w:rsid w:val="00F551F5"/>
    <w:rsid w:val="00F5538A"/>
    <w:rsid w:val="00F55630"/>
    <w:rsid w:val="00F556A9"/>
    <w:rsid w:val="00F556DF"/>
    <w:rsid w:val="00F55773"/>
    <w:rsid w:val="00F55D7B"/>
    <w:rsid w:val="00F560EB"/>
    <w:rsid w:val="00F562DA"/>
    <w:rsid w:val="00F564A3"/>
    <w:rsid w:val="00F564A4"/>
    <w:rsid w:val="00F56655"/>
    <w:rsid w:val="00F566D5"/>
    <w:rsid w:val="00F56B2A"/>
    <w:rsid w:val="00F56CFC"/>
    <w:rsid w:val="00F56E21"/>
    <w:rsid w:val="00F571FA"/>
    <w:rsid w:val="00F5741C"/>
    <w:rsid w:val="00F575D2"/>
    <w:rsid w:val="00F575E0"/>
    <w:rsid w:val="00F578FC"/>
    <w:rsid w:val="00F57AA8"/>
    <w:rsid w:val="00F57ADE"/>
    <w:rsid w:val="00F57C34"/>
    <w:rsid w:val="00F60108"/>
    <w:rsid w:val="00F60127"/>
    <w:rsid w:val="00F603BA"/>
    <w:rsid w:val="00F61505"/>
    <w:rsid w:val="00F619A9"/>
    <w:rsid w:val="00F61CC0"/>
    <w:rsid w:val="00F61DDA"/>
    <w:rsid w:val="00F62114"/>
    <w:rsid w:val="00F623A6"/>
    <w:rsid w:val="00F623D5"/>
    <w:rsid w:val="00F624BA"/>
    <w:rsid w:val="00F62577"/>
    <w:rsid w:val="00F62583"/>
    <w:rsid w:val="00F62986"/>
    <w:rsid w:val="00F62CC8"/>
    <w:rsid w:val="00F63311"/>
    <w:rsid w:val="00F63851"/>
    <w:rsid w:val="00F63A58"/>
    <w:rsid w:val="00F63E86"/>
    <w:rsid w:val="00F64115"/>
    <w:rsid w:val="00F6434A"/>
    <w:rsid w:val="00F646F5"/>
    <w:rsid w:val="00F64751"/>
    <w:rsid w:val="00F65515"/>
    <w:rsid w:val="00F6564C"/>
    <w:rsid w:val="00F65B4D"/>
    <w:rsid w:val="00F65CC6"/>
    <w:rsid w:val="00F65D6B"/>
    <w:rsid w:val="00F65FCB"/>
    <w:rsid w:val="00F66039"/>
    <w:rsid w:val="00F66117"/>
    <w:rsid w:val="00F661DC"/>
    <w:rsid w:val="00F664DE"/>
    <w:rsid w:val="00F66AFB"/>
    <w:rsid w:val="00F670CE"/>
    <w:rsid w:val="00F673B6"/>
    <w:rsid w:val="00F67603"/>
    <w:rsid w:val="00F6765F"/>
    <w:rsid w:val="00F6796C"/>
    <w:rsid w:val="00F67AA3"/>
    <w:rsid w:val="00F67BC2"/>
    <w:rsid w:val="00F67E5B"/>
    <w:rsid w:val="00F67F9C"/>
    <w:rsid w:val="00F70381"/>
    <w:rsid w:val="00F709B2"/>
    <w:rsid w:val="00F70B5F"/>
    <w:rsid w:val="00F7118F"/>
    <w:rsid w:val="00F712A5"/>
    <w:rsid w:val="00F715FB"/>
    <w:rsid w:val="00F7161A"/>
    <w:rsid w:val="00F717EA"/>
    <w:rsid w:val="00F71882"/>
    <w:rsid w:val="00F71943"/>
    <w:rsid w:val="00F719C9"/>
    <w:rsid w:val="00F71BB1"/>
    <w:rsid w:val="00F71C38"/>
    <w:rsid w:val="00F71D32"/>
    <w:rsid w:val="00F71E64"/>
    <w:rsid w:val="00F71E7E"/>
    <w:rsid w:val="00F71F2D"/>
    <w:rsid w:val="00F71FC2"/>
    <w:rsid w:val="00F726C0"/>
    <w:rsid w:val="00F72B89"/>
    <w:rsid w:val="00F72C22"/>
    <w:rsid w:val="00F72DC8"/>
    <w:rsid w:val="00F72F1D"/>
    <w:rsid w:val="00F73277"/>
    <w:rsid w:val="00F73330"/>
    <w:rsid w:val="00F7381F"/>
    <w:rsid w:val="00F742FE"/>
    <w:rsid w:val="00F74427"/>
    <w:rsid w:val="00F7480D"/>
    <w:rsid w:val="00F74B21"/>
    <w:rsid w:val="00F74BC8"/>
    <w:rsid w:val="00F7520F"/>
    <w:rsid w:val="00F756D4"/>
    <w:rsid w:val="00F75F2B"/>
    <w:rsid w:val="00F76562"/>
    <w:rsid w:val="00F765D2"/>
    <w:rsid w:val="00F76BDA"/>
    <w:rsid w:val="00F76D01"/>
    <w:rsid w:val="00F770BE"/>
    <w:rsid w:val="00F773E1"/>
    <w:rsid w:val="00F776DF"/>
    <w:rsid w:val="00F77B5B"/>
    <w:rsid w:val="00F77EAA"/>
    <w:rsid w:val="00F806AC"/>
    <w:rsid w:val="00F807CA"/>
    <w:rsid w:val="00F808E9"/>
    <w:rsid w:val="00F80D68"/>
    <w:rsid w:val="00F80D79"/>
    <w:rsid w:val="00F8102E"/>
    <w:rsid w:val="00F81434"/>
    <w:rsid w:val="00F81457"/>
    <w:rsid w:val="00F81509"/>
    <w:rsid w:val="00F815A4"/>
    <w:rsid w:val="00F81671"/>
    <w:rsid w:val="00F81765"/>
    <w:rsid w:val="00F81814"/>
    <w:rsid w:val="00F81A9C"/>
    <w:rsid w:val="00F81B84"/>
    <w:rsid w:val="00F81CB7"/>
    <w:rsid w:val="00F81DCD"/>
    <w:rsid w:val="00F81E23"/>
    <w:rsid w:val="00F81F8D"/>
    <w:rsid w:val="00F81FC0"/>
    <w:rsid w:val="00F82192"/>
    <w:rsid w:val="00F821B5"/>
    <w:rsid w:val="00F821B7"/>
    <w:rsid w:val="00F822A0"/>
    <w:rsid w:val="00F825BB"/>
    <w:rsid w:val="00F82643"/>
    <w:rsid w:val="00F8269D"/>
    <w:rsid w:val="00F826E7"/>
    <w:rsid w:val="00F82BA1"/>
    <w:rsid w:val="00F82F93"/>
    <w:rsid w:val="00F834DC"/>
    <w:rsid w:val="00F835CA"/>
    <w:rsid w:val="00F83BAB"/>
    <w:rsid w:val="00F840B5"/>
    <w:rsid w:val="00F8419D"/>
    <w:rsid w:val="00F84D8D"/>
    <w:rsid w:val="00F84E62"/>
    <w:rsid w:val="00F84EA8"/>
    <w:rsid w:val="00F84EF1"/>
    <w:rsid w:val="00F8553A"/>
    <w:rsid w:val="00F85640"/>
    <w:rsid w:val="00F858E4"/>
    <w:rsid w:val="00F859E6"/>
    <w:rsid w:val="00F85D02"/>
    <w:rsid w:val="00F861B8"/>
    <w:rsid w:val="00F8625C"/>
    <w:rsid w:val="00F864F0"/>
    <w:rsid w:val="00F86B80"/>
    <w:rsid w:val="00F86EDE"/>
    <w:rsid w:val="00F86F34"/>
    <w:rsid w:val="00F86F57"/>
    <w:rsid w:val="00F86F7B"/>
    <w:rsid w:val="00F875D2"/>
    <w:rsid w:val="00F8769A"/>
    <w:rsid w:val="00F8769C"/>
    <w:rsid w:val="00F876CC"/>
    <w:rsid w:val="00F876E5"/>
    <w:rsid w:val="00F87AA6"/>
    <w:rsid w:val="00F87F8A"/>
    <w:rsid w:val="00F90229"/>
    <w:rsid w:val="00F90345"/>
    <w:rsid w:val="00F9051C"/>
    <w:rsid w:val="00F90788"/>
    <w:rsid w:val="00F909DD"/>
    <w:rsid w:val="00F90C44"/>
    <w:rsid w:val="00F90C5C"/>
    <w:rsid w:val="00F90D7F"/>
    <w:rsid w:val="00F90DA1"/>
    <w:rsid w:val="00F91322"/>
    <w:rsid w:val="00F91A11"/>
    <w:rsid w:val="00F91A18"/>
    <w:rsid w:val="00F91F66"/>
    <w:rsid w:val="00F92955"/>
    <w:rsid w:val="00F92987"/>
    <w:rsid w:val="00F92996"/>
    <w:rsid w:val="00F92BE5"/>
    <w:rsid w:val="00F92E01"/>
    <w:rsid w:val="00F93288"/>
    <w:rsid w:val="00F93304"/>
    <w:rsid w:val="00F934D3"/>
    <w:rsid w:val="00F93733"/>
    <w:rsid w:val="00F937B7"/>
    <w:rsid w:val="00F939CB"/>
    <w:rsid w:val="00F93F83"/>
    <w:rsid w:val="00F94395"/>
    <w:rsid w:val="00F945E0"/>
    <w:rsid w:val="00F94837"/>
    <w:rsid w:val="00F9484E"/>
    <w:rsid w:val="00F94BDC"/>
    <w:rsid w:val="00F954AB"/>
    <w:rsid w:val="00F95666"/>
    <w:rsid w:val="00F95689"/>
    <w:rsid w:val="00F956F3"/>
    <w:rsid w:val="00F95A4D"/>
    <w:rsid w:val="00F95C96"/>
    <w:rsid w:val="00F95D78"/>
    <w:rsid w:val="00F95FAA"/>
    <w:rsid w:val="00F96289"/>
    <w:rsid w:val="00F9651A"/>
    <w:rsid w:val="00F96752"/>
    <w:rsid w:val="00F968F9"/>
    <w:rsid w:val="00F96AD5"/>
    <w:rsid w:val="00F96C3F"/>
    <w:rsid w:val="00F96E2C"/>
    <w:rsid w:val="00F97088"/>
    <w:rsid w:val="00F976C0"/>
    <w:rsid w:val="00F97836"/>
    <w:rsid w:val="00FA04D6"/>
    <w:rsid w:val="00FA04EF"/>
    <w:rsid w:val="00FA0795"/>
    <w:rsid w:val="00FA08C2"/>
    <w:rsid w:val="00FA0986"/>
    <w:rsid w:val="00FA0DA2"/>
    <w:rsid w:val="00FA0E2B"/>
    <w:rsid w:val="00FA104D"/>
    <w:rsid w:val="00FA113C"/>
    <w:rsid w:val="00FA120B"/>
    <w:rsid w:val="00FA162C"/>
    <w:rsid w:val="00FA17F0"/>
    <w:rsid w:val="00FA1933"/>
    <w:rsid w:val="00FA1B8D"/>
    <w:rsid w:val="00FA2708"/>
    <w:rsid w:val="00FA2727"/>
    <w:rsid w:val="00FA2771"/>
    <w:rsid w:val="00FA2A3D"/>
    <w:rsid w:val="00FA2B96"/>
    <w:rsid w:val="00FA2E23"/>
    <w:rsid w:val="00FA31E3"/>
    <w:rsid w:val="00FA35E8"/>
    <w:rsid w:val="00FA3A0A"/>
    <w:rsid w:val="00FA4329"/>
    <w:rsid w:val="00FA47DA"/>
    <w:rsid w:val="00FA4906"/>
    <w:rsid w:val="00FA4C39"/>
    <w:rsid w:val="00FA4F7A"/>
    <w:rsid w:val="00FA5078"/>
    <w:rsid w:val="00FA5244"/>
    <w:rsid w:val="00FA55DB"/>
    <w:rsid w:val="00FA583B"/>
    <w:rsid w:val="00FA624C"/>
    <w:rsid w:val="00FA6446"/>
    <w:rsid w:val="00FA6547"/>
    <w:rsid w:val="00FA657E"/>
    <w:rsid w:val="00FA67D1"/>
    <w:rsid w:val="00FA68D3"/>
    <w:rsid w:val="00FA6D4F"/>
    <w:rsid w:val="00FA6E35"/>
    <w:rsid w:val="00FA7474"/>
    <w:rsid w:val="00FA74C2"/>
    <w:rsid w:val="00FA78A6"/>
    <w:rsid w:val="00FA7C15"/>
    <w:rsid w:val="00FA7E3D"/>
    <w:rsid w:val="00FA7E56"/>
    <w:rsid w:val="00FA7EDE"/>
    <w:rsid w:val="00FB0085"/>
    <w:rsid w:val="00FB0447"/>
    <w:rsid w:val="00FB052C"/>
    <w:rsid w:val="00FB06D8"/>
    <w:rsid w:val="00FB07E8"/>
    <w:rsid w:val="00FB0C9E"/>
    <w:rsid w:val="00FB0F08"/>
    <w:rsid w:val="00FB0F10"/>
    <w:rsid w:val="00FB140B"/>
    <w:rsid w:val="00FB1859"/>
    <w:rsid w:val="00FB1935"/>
    <w:rsid w:val="00FB1A41"/>
    <w:rsid w:val="00FB1AE4"/>
    <w:rsid w:val="00FB1C06"/>
    <w:rsid w:val="00FB1C1E"/>
    <w:rsid w:val="00FB1D13"/>
    <w:rsid w:val="00FB22EF"/>
    <w:rsid w:val="00FB242F"/>
    <w:rsid w:val="00FB2508"/>
    <w:rsid w:val="00FB27B9"/>
    <w:rsid w:val="00FB27C1"/>
    <w:rsid w:val="00FB2BAD"/>
    <w:rsid w:val="00FB3151"/>
    <w:rsid w:val="00FB3ED3"/>
    <w:rsid w:val="00FB4279"/>
    <w:rsid w:val="00FB42AB"/>
    <w:rsid w:val="00FB45B7"/>
    <w:rsid w:val="00FB4942"/>
    <w:rsid w:val="00FB4967"/>
    <w:rsid w:val="00FB49AF"/>
    <w:rsid w:val="00FB4D53"/>
    <w:rsid w:val="00FB5182"/>
    <w:rsid w:val="00FB53E3"/>
    <w:rsid w:val="00FB566D"/>
    <w:rsid w:val="00FB5B40"/>
    <w:rsid w:val="00FB5D16"/>
    <w:rsid w:val="00FB5E9C"/>
    <w:rsid w:val="00FB5F51"/>
    <w:rsid w:val="00FB60DF"/>
    <w:rsid w:val="00FB6449"/>
    <w:rsid w:val="00FB6504"/>
    <w:rsid w:val="00FB6773"/>
    <w:rsid w:val="00FB69CF"/>
    <w:rsid w:val="00FB6B07"/>
    <w:rsid w:val="00FB6BA1"/>
    <w:rsid w:val="00FB6C90"/>
    <w:rsid w:val="00FB6CB2"/>
    <w:rsid w:val="00FB6D4D"/>
    <w:rsid w:val="00FB7222"/>
    <w:rsid w:val="00FB7396"/>
    <w:rsid w:val="00FB76B8"/>
    <w:rsid w:val="00FB77C5"/>
    <w:rsid w:val="00FB7934"/>
    <w:rsid w:val="00FB7B97"/>
    <w:rsid w:val="00FB7EF3"/>
    <w:rsid w:val="00FB7F6F"/>
    <w:rsid w:val="00FC0004"/>
    <w:rsid w:val="00FC0013"/>
    <w:rsid w:val="00FC00FE"/>
    <w:rsid w:val="00FC0193"/>
    <w:rsid w:val="00FC0B69"/>
    <w:rsid w:val="00FC0D0E"/>
    <w:rsid w:val="00FC0DD5"/>
    <w:rsid w:val="00FC0E23"/>
    <w:rsid w:val="00FC13FD"/>
    <w:rsid w:val="00FC143F"/>
    <w:rsid w:val="00FC162E"/>
    <w:rsid w:val="00FC1D70"/>
    <w:rsid w:val="00FC1E5C"/>
    <w:rsid w:val="00FC1E9F"/>
    <w:rsid w:val="00FC1EE3"/>
    <w:rsid w:val="00FC20E6"/>
    <w:rsid w:val="00FC242A"/>
    <w:rsid w:val="00FC2434"/>
    <w:rsid w:val="00FC2537"/>
    <w:rsid w:val="00FC2867"/>
    <w:rsid w:val="00FC2886"/>
    <w:rsid w:val="00FC29ED"/>
    <w:rsid w:val="00FC32CE"/>
    <w:rsid w:val="00FC32D5"/>
    <w:rsid w:val="00FC33E2"/>
    <w:rsid w:val="00FC3413"/>
    <w:rsid w:val="00FC34E1"/>
    <w:rsid w:val="00FC3E5D"/>
    <w:rsid w:val="00FC4058"/>
    <w:rsid w:val="00FC4181"/>
    <w:rsid w:val="00FC42E9"/>
    <w:rsid w:val="00FC4528"/>
    <w:rsid w:val="00FC48FE"/>
    <w:rsid w:val="00FC4D41"/>
    <w:rsid w:val="00FC4FC9"/>
    <w:rsid w:val="00FC52FB"/>
    <w:rsid w:val="00FC592E"/>
    <w:rsid w:val="00FC5937"/>
    <w:rsid w:val="00FC5FD2"/>
    <w:rsid w:val="00FC608D"/>
    <w:rsid w:val="00FC60A5"/>
    <w:rsid w:val="00FC617F"/>
    <w:rsid w:val="00FC6372"/>
    <w:rsid w:val="00FC63C2"/>
    <w:rsid w:val="00FC64B0"/>
    <w:rsid w:val="00FC64F6"/>
    <w:rsid w:val="00FC656F"/>
    <w:rsid w:val="00FC672F"/>
    <w:rsid w:val="00FC6C6D"/>
    <w:rsid w:val="00FC6C8E"/>
    <w:rsid w:val="00FC6CCF"/>
    <w:rsid w:val="00FC720C"/>
    <w:rsid w:val="00FC73EB"/>
    <w:rsid w:val="00FD01AF"/>
    <w:rsid w:val="00FD0BB7"/>
    <w:rsid w:val="00FD0CD2"/>
    <w:rsid w:val="00FD0E43"/>
    <w:rsid w:val="00FD0F39"/>
    <w:rsid w:val="00FD1555"/>
    <w:rsid w:val="00FD15B5"/>
    <w:rsid w:val="00FD1856"/>
    <w:rsid w:val="00FD1BD1"/>
    <w:rsid w:val="00FD1EA3"/>
    <w:rsid w:val="00FD1FBF"/>
    <w:rsid w:val="00FD2054"/>
    <w:rsid w:val="00FD20D6"/>
    <w:rsid w:val="00FD20F4"/>
    <w:rsid w:val="00FD21B0"/>
    <w:rsid w:val="00FD2236"/>
    <w:rsid w:val="00FD22F7"/>
    <w:rsid w:val="00FD24E4"/>
    <w:rsid w:val="00FD2504"/>
    <w:rsid w:val="00FD2617"/>
    <w:rsid w:val="00FD275C"/>
    <w:rsid w:val="00FD2778"/>
    <w:rsid w:val="00FD2B0D"/>
    <w:rsid w:val="00FD2ED7"/>
    <w:rsid w:val="00FD3303"/>
    <w:rsid w:val="00FD34F9"/>
    <w:rsid w:val="00FD35E7"/>
    <w:rsid w:val="00FD3605"/>
    <w:rsid w:val="00FD38DE"/>
    <w:rsid w:val="00FD39E2"/>
    <w:rsid w:val="00FD3B83"/>
    <w:rsid w:val="00FD3D49"/>
    <w:rsid w:val="00FD3ECC"/>
    <w:rsid w:val="00FD4063"/>
    <w:rsid w:val="00FD4291"/>
    <w:rsid w:val="00FD4954"/>
    <w:rsid w:val="00FD4E68"/>
    <w:rsid w:val="00FD4EB0"/>
    <w:rsid w:val="00FD4F58"/>
    <w:rsid w:val="00FD4FAA"/>
    <w:rsid w:val="00FD5054"/>
    <w:rsid w:val="00FD5093"/>
    <w:rsid w:val="00FD55BE"/>
    <w:rsid w:val="00FD5709"/>
    <w:rsid w:val="00FD5732"/>
    <w:rsid w:val="00FD591D"/>
    <w:rsid w:val="00FD5E6B"/>
    <w:rsid w:val="00FD5FB0"/>
    <w:rsid w:val="00FD604E"/>
    <w:rsid w:val="00FD60B3"/>
    <w:rsid w:val="00FD61DA"/>
    <w:rsid w:val="00FD6381"/>
    <w:rsid w:val="00FD6503"/>
    <w:rsid w:val="00FD6584"/>
    <w:rsid w:val="00FD65A8"/>
    <w:rsid w:val="00FD6833"/>
    <w:rsid w:val="00FD6CE6"/>
    <w:rsid w:val="00FD6EEB"/>
    <w:rsid w:val="00FD6F5F"/>
    <w:rsid w:val="00FD6F78"/>
    <w:rsid w:val="00FD7445"/>
    <w:rsid w:val="00FD7AF4"/>
    <w:rsid w:val="00FD7B19"/>
    <w:rsid w:val="00FD7FD1"/>
    <w:rsid w:val="00FE00A5"/>
    <w:rsid w:val="00FE00B6"/>
    <w:rsid w:val="00FE00BC"/>
    <w:rsid w:val="00FE03D6"/>
    <w:rsid w:val="00FE04B8"/>
    <w:rsid w:val="00FE0523"/>
    <w:rsid w:val="00FE1077"/>
    <w:rsid w:val="00FE1136"/>
    <w:rsid w:val="00FE12BF"/>
    <w:rsid w:val="00FE1773"/>
    <w:rsid w:val="00FE1813"/>
    <w:rsid w:val="00FE1AEA"/>
    <w:rsid w:val="00FE1F1C"/>
    <w:rsid w:val="00FE2048"/>
    <w:rsid w:val="00FE21BD"/>
    <w:rsid w:val="00FE2839"/>
    <w:rsid w:val="00FE2AD3"/>
    <w:rsid w:val="00FE2BDA"/>
    <w:rsid w:val="00FE313D"/>
    <w:rsid w:val="00FE315A"/>
    <w:rsid w:val="00FE32E0"/>
    <w:rsid w:val="00FE35A4"/>
    <w:rsid w:val="00FE39B7"/>
    <w:rsid w:val="00FE3A18"/>
    <w:rsid w:val="00FE3E10"/>
    <w:rsid w:val="00FE4123"/>
    <w:rsid w:val="00FE413C"/>
    <w:rsid w:val="00FE4734"/>
    <w:rsid w:val="00FE486D"/>
    <w:rsid w:val="00FE4A75"/>
    <w:rsid w:val="00FE4DE0"/>
    <w:rsid w:val="00FE4DF5"/>
    <w:rsid w:val="00FE4E3A"/>
    <w:rsid w:val="00FE5281"/>
    <w:rsid w:val="00FE52E1"/>
    <w:rsid w:val="00FE549E"/>
    <w:rsid w:val="00FE5668"/>
    <w:rsid w:val="00FE5A05"/>
    <w:rsid w:val="00FE5B78"/>
    <w:rsid w:val="00FE5D14"/>
    <w:rsid w:val="00FE5F4A"/>
    <w:rsid w:val="00FE6003"/>
    <w:rsid w:val="00FE6183"/>
    <w:rsid w:val="00FE619E"/>
    <w:rsid w:val="00FE6462"/>
    <w:rsid w:val="00FE6A92"/>
    <w:rsid w:val="00FE6B9A"/>
    <w:rsid w:val="00FE6FB2"/>
    <w:rsid w:val="00FE7026"/>
    <w:rsid w:val="00FE738E"/>
    <w:rsid w:val="00FE7614"/>
    <w:rsid w:val="00FE76B0"/>
    <w:rsid w:val="00FE7B92"/>
    <w:rsid w:val="00FF0004"/>
    <w:rsid w:val="00FF0264"/>
    <w:rsid w:val="00FF037E"/>
    <w:rsid w:val="00FF04A0"/>
    <w:rsid w:val="00FF082C"/>
    <w:rsid w:val="00FF0A08"/>
    <w:rsid w:val="00FF0BD3"/>
    <w:rsid w:val="00FF0FD8"/>
    <w:rsid w:val="00FF100D"/>
    <w:rsid w:val="00FF1015"/>
    <w:rsid w:val="00FF1171"/>
    <w:rsid w:val="00FF1278"/>
    <w:rsid w:val="00FF1807"/>
    <w:rsid w:val="00FF184D"/>
    <w:rsid w:val="00FF1E31"/>
    <w:rsid w:val="00FF1E82"/>
    <w:rsid w:val="00FF1ECE"/>
    <w:rsid w:val="00FF1F20"/>
    <w:rsid w:val="00FF20A2"/>
    <w:rsid w:val="00FF20BC"/>
    <w:rsid w:val="00FF2247"/>
    <w:rsid w:val="00FF2284"/>
    <w:rsid w:val="00FF231A"/>
    <w:rsid w:val="00FF24A7"/>
    <w:rsid w:val="00FF26E3"/>
    <w:rsid w:val="00FF28C7"/>
    <w:rsid w:val="00FF2953"/>
    <w:rsid w:val="00FF30F1"/>
    <w:rsid w:val="00FF3130"/>
    <w:rsid w:val="00FF313B"/>
    <w:rsid w:val="00FF3150"/>
    <w:rsid w:val="00FF31F7"/>
    <w:rsid w:val="00FF359D"/>
    <w:rsid w:val="00FF3C3C"/>
    <w:rsid w:val="00FF3DF5"/>
    <w:rsid w:val="00FF3F26"/>
    <w:rsid w:val="00FF3F55"/>
    <w:rsid w:val="00FF4044"/>
    <w:rsid w:val="00FF43F0"/>
    <w:rsid w:val="00FF4B3F"/>
    <w:rsid w:val="00FF4D84"/>
    <w:rsid w:val="00FF524E"/>
    <w:rsid w:val="00FF52B6"/>
    <w:rsid w:val="00FF562A"/>
    <w:rsid w:val="00FF57D9"/>
    <w:rsid w:val="00FF585E"/>
    <w:rsid w:val="00FF5975"/>
    <w:rsid w:val="00FF5B6B"/>
    <w:rsid w:val="00FF5C2A"/>
    <w:rsid w:val="00FF5E4C"/>
    <w:rsid w:val="00FF5EEB"/>
    <w:rsid w:val="00FF6037"/>
    <w:rsid w:val="00FF6664"/>
    <w:rsid w:val="00FF6832"/>
    <w:rsid w:val="00FF6A9D"/>
    <w:rsid w:val="00FF6BB9"/>
    <w:rsid w:val="00FF6DE6"/>
    <w:rsid w:val="00FF6F78"/>
    <w:rsid w:val="00FF6FBA"/>
    <w:rsid w:val="00FF7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233143"/>
  <w15:docId w15:val="{18CE7B0D-E5C9-4DC6-BC8A-71DE2014C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40"/>
      <w:jc w:val="both"/>
    </w:pPr>
    <w:rPr>
      <w:rFonts w:ascii="Courier New" w:hAnsi="Courier New"/>
      <w:sz w:val="24"/>
    </w:rPr>
  </w:style>
  <w:style w:type="paragraph" w:styleId="Heading1">
    <w:name w:val="heading 1"/>
    <w:aliases w:val="Heading 1 Char Char Char Char Char Char Char Char Char Char Char Char Char Char"/>
    <w:basedOn w:val="Normal"/>
    <w:next w:val="Text1"/>
    <w:link w:val="Heading1Char1"/>
    <w:qFormat/>
    <w:pPr>
      <w:keepNext/>
      <w:numPr>
        <w:numId w:val="1"/>
      </w:numPr>
      <w:spacing w:before="240"/>
      <w:outlineLvl w:val="0"/>
    </w:pPr>
    <w:rPr>
      <w:b/>
      <w:smallCaps/>
    </w:rPr>
  </w:style>
  <w:style w:type="paragraph" w:styleId="Heading2">
    <w:name w:val="heading 2"/>
    <w:basedOn w:val="Normal"/>
    <w:next w:val="Text2"/>
    <w:qFormat/>
    <w:pPr>
      <w:keepNext/>
      <w:numPr>
        <w:ilvl w:val="1"/>
        <w:numId w:val="1"/>
      </w:numPr>
      <w:outlineLvl w:val="1"/>
    </w:pPr>
    <w:rPr>
      <w:b/>
    </w:rPr>
  </w:style>
  <w:style w:type="paragraph" w:styleId="Heading3">
    <w:name w:val="heading 3"/>
    <w:basedOn w:val="Normal"/>
    <w:next w:val="Text3"/>
    <w:link w:val="Heading3Char"/>
    <w:qFormat/>
    <w:pPr>
      <w:keepNext/>
      <w:numPr>
        <w:ilvl w:val="2"/>
        <w:numId w:val="1"/>
      </w:numPr>
      <w:outlineLvl w:val="2"/>
    </w:pPr>
    <w:rPr>
      <w:i/>
    </w:rPr>
  </w:style>
  <w:style w:type="paragraph" w:styleId="Heading4">
    <w:name w:val="heading 4"/>
    <w:basedOn w:val="Normal"/>
    <w:next w:val="Text4"/>
    <w:qFormat/>
    <w:pPr>
      <w:keepNext/>
      <w:numPr>
        <w:ilvl w:val="3"/>
        <w:numId w:val="1"/>
      </w:numPr>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qFormat/>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link w:val="ZnakZnak"/>
    <w:uiPriority w:val="99"/>
    <w:semiHidden/>
    <w:unhideWhenUsed/>
  </w:style>
  <w:style w:type="paragraph" w:customStyle="1" w:styleId="Text1">
    <w:name w:val="Text 1"/>
    <w:basedOn w:val="Normal"/>
    <w:link w:val="Text1Char"/>
    <w:pPr>
      <w:ind w:left="482"/>
    </w:pPr>
  </w:style>
  <w:style w:type="paragraph" w:customStyle="1" w:styleId="Text2">
    <w:name w:val="Text 2"/>
    <w:basedOn w:val="Normal"/>
    <w:link w:val="Text2Char1"/>
    <w:pPr>
      <w:tabs>
        <w:tab w:val="left" w:pos="2160"/>
      </w:tabs>
      <w:ind w:left="1077"/>
    </w:pPr>
  </w:style>
  <w:style w:type="paragraph" w:customStyle="1" w:styleId="Text3">
    <w:name w:val="Text 3"/>
    <w:basedOn w:val="Normal"/>
    <w:pPr>
      <w:tabs>
        <w:tab w:val="left" w:pos="2302"/>
      </w:tabs>
      <w:ind w:left="1916"/>
    </w:pPr>
  </w:style>
  <w:style w:type="paragraph" w:customStyle="1" w:styleId="Text4">
    <w:name w:val="Text 4"/>
    <w:basedOn w:val="Normal"/>
    <w:pPr>
      <w:ind w:left="2880"/>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Enclosures"/>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42"/>
      </w:tabs>
      <w:spacing w:before="480" w:after="0"/>
      <w:ind w:left="1792" w:hanging="1792"/>
      <w:jc w:val="left"/>
    </w:pPr>
  </w:style>
  <w:style w:type="paragraph" w:customStyle="1" w:styleId="Participants">
    <w:name w:val="Participants"/>
    <w:basedOn w:val="Normal"/>
    <w:next w:val="Copies"/>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pPr>
      <w:tabs>
        <w:tab w:val="left" w:pos="2512"/>
        <w:tab w:val="left" w:pos="2762"/>
        <w:tab w:val="left" w:pos="5642"/>
        <w:tab w:val="left" w:pos="6362"/>
        <w:tab w:val="left" w:pos="6720"/>
      </w:tabs>
      <w:spacing w:before="480" w:after="0"/>
      <w:ind w:left="1792" w:hanging="1792"/>
      <w:jc w:val="left"/>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uiPriority w:val="99"/>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styleId="EndnoteText">
    <w:name w:val="endnote text"/>
    <w:basedOn w:val="Normal"/>
    <w:link w:val="EndnoteTextChar"/>
    <w:uiPriority w:val="99"/>
    <w:semiHidden/>
    <w:rPr>
      <w:sz w:val="20"/>
    </w:rPr>
  </w:style>
  <w:style w:type="paragraph" w:styleId="EnvelopeAddress">
    <w:name w:val="envelope address"/>
    <w:basedOn w:val="Normal"/>
    <w:pPr>
      <w:framePr w:w="7920" w:h="1980" w:hRule="exact" w:hSpace="180" w:wrap="auto" w:hAnchor="page" w:xAlign="center" w:yAlign="bottom"/>
      <w:spacing w:after="0"/>
    </w:pPr>
    <w:rPr>
      <w:rFonts w:ascii="Times New Roman" w:hAnsi="Times New Roman"/>
    </w:rPr>
  </w:style>
  <w:style w:type="paragraph" w:styleId="EnvelopeReturn">
    <w:name w:val="envelope return"/>
    <w:basedOn w:val="Normal"/>
    <w:pPr>
      <w:spacing w:after="0"/>
    </w:pPr>
    <w:rPr>
      <w:rFonts w:ascii="Times New Roman" w:hAnsi="Times New Roman"/>
      <w:sz w:val="20"/>
    </w:rPr>
  </w:style>
  <w:style w:type="paragraph" w:styleId="Footer">
    <w:name w:val="footer"/>
    <w:basedOn w:val="Normal"/>
    <w:link w:val="FooterChar"/>
    <w:pPr>
      <w:spacing w:after="0"/>
      <w:ind w:right="-567"/>
      <w:jc w:val="left"/>
    </w:pPr>
    <w:rPr>
      <w:rFonts w:ascii="Arial" w:hAnsi="Arial"/>
      <w:sz w:val="16"/>
    </w:rPr>
  </w:style>
  <w:style w:type="paragraph" w:styleId="FootnoteText">
    <w:name w:val="footnote text"/>
    <w:aliases w:val="Footnote Text Char,Footnote Text Char1 Char,Footnote Text Char Char Char,Fußnotentext Char Char1 Char Char,Fußnotentext Char1 Char1 Char Char Char,Fußnotentext Char Char Char Char Char Char Char1,Footnote Text Char1,Footnote Text Char Char"/>
    <w:basedOn w:val="Normal"/>
    <w:link w:val="FootnoteTextChar2"/>
    <w:qFormat/>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link w:val="ListChar"/>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link w:val="ListBulletChar1"/>
    <w:pPr>
      <w:numPr>
        <w:numId w:val="2"/>
      </w:numPr>
    </w:pPr>
  </w:style>
  <w:style w:type="paragraph" w:styleId="ListBullet2">
    <w:name w:val="List Bullet 2"/>
    <w:basedOn w:val="Text2"/>
    <w:uiPriority w:val="99"/>
    <w:pPr>
      <w:numPr>
        <w:numId w:val="4"/>
      </w:numPr>
      <w:tabs>
        <w:tab w:val="clear" w:pos="2160"/>
      </w:tabs>
    </w:pPr>
  </w:style>
  <w:style w:type="paragraph" w:styleId="ListBullet3">
    <w:name w:val="List Bullet 3"/>
    <w:basedOn w:val="Text3"/>
    <w:pPr>
      <w:numPr>
        <w:numId w:val="5"/>
      </w:numPr>
      <w:tabs>
        <w:tab w:val="clear" w:pos="2302"/>
      </w:tabs>
    </w:pPr>
  </w:style>
  <w:style w:type="paragraph" w:styleId="ListBullet4">
    <w:name w:val="List Bullet 4"/>
    <w:basedOn w:val="Text4"/>
    <w:pPr>
      <w:numPr>
        <w:numId w:val="6"/>
      </w:numPr>
    </w:pPr>
  </w:style>
  <w:style w:type="paragraph" w:styleId="ListBullet5">
    <w:name w:val="List Bullet 5"/>
    <w:basedOn w:val="Normal"/>
    <w:autoRedefine/>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0A64E1"/>
    <w:pPr>
      <w:numPr>
        <w:numId w:val="11"/>
      </w:numPr>
    </w:pPr>
    <w:rPr>
      <w:rFonts w:ascii="Times New Roman" w:hAnsi="Times New Roman"/>
    </w:rPr>
  </w:style>
  <w:style w:type="paragraph" w:styleId="ListNumber2">
    <w:name w:val="List Number 2"/>
    <w:basedOn w:val="Text2"/>
    <w:pPr>
      <w:numPr>
        <w:numId w:val="13"/>
      </w:numPr>
      <w:tabs>
        <w:tab w:val="clear" w:pos="2160"/>
      </w:tabs>
    </w:pPr>
  </w:style>
  <w:style w:type="paragraph" w:styleId="ListNumber3">
    <w:name w:val="List Number 3"/>
    <w:basedOn w:val="Text3"/>
    <w:pPr>
      <w:numPr>
        <w:numId w:val="14"/>
      </w:numPr>
      <w:tabs>
        <w:tab w:val="clear" w:pos="2302"/>
      </w:tabs>
    </w:pPr>
  </w:style>
  <w:style w:type="paragraph" w:styleId="ListNumber4">
    <w:name w:val="List Number 4"/>
    <w:basedOn w:val="Text4"/>
    <w:pPr>
      <w:numPr>
        <w:numId w:val="15"/>
      </w:numPr>
    </w:pPr>
  </w:style>
  <w:style w:type="paragraph" w:styleId="ListNumber5">
    <w:name w:val="List Number 5"/>
    <w:basedOn w:val="Normal"/>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link w:val="NumPar1Char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styleId="PlainText">
    <w:name w:val="Plain Text"/>
    <w:basedOn w:val="Normal"/>
    <w:link w:val="PlainTextChar"/>
    <w:uiPriority w:val="99"/>
    <w:rPr>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paragraph" w:customStyle="1" w:styleId="ListBullet1">
    <w:name w:val="List Bullet 1"/>
    <w:basedOn w:val="Text1"/>
    <w:pPr>
      <w:numPr>
        <w:numId w:val="3"/>
      </w:numPr>
    </w:pPr>
  </w:style>
  <w:style w:type="paragraph" w:customStyle="1" w:styleId="ListDash">
    <w:name w:val="List Dash"/>
    <w:basedOn w:val="Normal"/>
    <w:link w:val="ListDashChar"/>
    <w:pPr>
      <w:numPr>
        <w:numId w:val="18"/>
      </w:numPr>
    </w:pPr>
  </w:style>
  <w:style w:type="paragraph" w:customStyle="1" w:styleId="ListDash1">
    <w:name w:val="List Dash 1"/>
    <w:basedOn w:val="Text1"/>
    <w:pPr>
      <w:numPr>
        <w:numId w:val="7"/>
      </w:numPr>
    </w:pPr>
  </w:style>
  <w:style w:type="paragraph" w:customStyle="1" w:styleId="ListDash2">
    <w:name w:val="List Dash 2"/>
    <w:basedOn w:val="Text2"/>
    <w:pPr>
      <w:numPr>
        <w:numId w:val="8"/>
      </w:numPr>
      <w:tabs>
        <w:tab w:val="clear" w:pos="2160"/>
      </w:tabs>
    </w:pPr>
  </w:style>
  <w:style w:type="paragraph" w:customStyle="1" w:styleId="ListDash3">
    <w:name w:val="List Dash 3"/>
    <w:basedOn w:val="Text3"/>
    <w:pPr>
      <w:numPr>
        <w:numId w:val="9"/>
      </w:numPr>
      <w:tabs>
        <w:tab w:val="clear" w:pos="2302"/>
      </w:tabs>
    </w:pPr>
  </w:style>
  <w:style w:type="paragraph" w:customStyle="1" w:styleId="ListDash4">
    <w:name w:val="List Dash 4"/>
    <w:basedOn w:val="Text4"/>
    <w:pPr>
      <w:numPr>
        <w:numId w:val="10"/>
      </w:numPr>
    </w:pPr>
  </w:style>
  <w:style w:type="paragraph" w:customStyle="1" w:styleId="ListNumberLevel2">
    <w:name w:val="List Number (Level 2)"/>
    <w:basedOn w:val="Normal"/>
    <w:pPr>
      <w:numPr>
        <w:ilvl w:val="1"/>
        <w:numId w:val="11"/>
      </w:numPr>
    </w:pPr>
  </w:style>
  <w:style w:type="paragraph" w:customStyle="1" w:styleId="ListNumberLevel3">
    <w:name w:val="List Number (Level 3)"/>
    <w:basedOn w:val="Normal"/>
    <w:pPr>
      <w:numPr>
        <w:ilvl w:val="2"/>
        <w:numId w:val="11"/>
      </w:numPr>
    </w:pPr>
  </w:style>
  <w:style w:type="paragraph" w:customStyle="1" w:styleId="ListNumberLevel4">
    <w:name w:val="List Number (Level 4)"/>
    <w:basedOn w:val="Normal"/>
    <w:pPr>
      <w:numPr>
        <w:ilvl w:val="3"/>
        <w:numId w:val="11"/>
      </w:numPr>
    </w:pPr>
  </w:style>
  <w:style w:type="paragraph" w:customStyle="1" w:styleId="ListNumber1">
    <w:name w:val="List Number 1"/>
    <w:basedOn w:val="Text1"/>
    <w:pPr>
      <w:numPr>
        <w:numId w:val="12"/>
      </w:numPr>
    </w:pPr>
  </w:style>
  <w:style w:type="paragraph" w:customStyle="1" w:styleId="ListNumber1Level2">
    <w:name w:val="List Number 1 (Level 2)"/>
    <w:basedOn w:val="Text1"/>
    <w:pPr>
      <w:numPr>
        <w:ilvl w:val="1"/>
        <w:numId w:val="12"/>
      </w:numPr>
    </w:pPr>
  </w:style>
  <w:style w:type="paragraph" w:customStyle="1" w:styleId="ListNumber1Level3">
    <w:name w:val="List Number 1 (Level 3)"/>
    <w:basedOn w:val="Text1"/>
    <w:pPr>
      <w:numPr>
        <w:ilvl w:val="2"/>
        <w:numId w:val="12"/>
      </w:numPr>
    </w:pPr>
  </w:style>
  <w:style w:type="paragraph" w:customStyle="1" w:styleId="ListNumber1Level4">
    <w:name w:val="List Number 1 (Level 4)"/>
    <w:basedOn w:val="Text1"/>
    <w:pPr>
      <w:numPr>
        <w:ilvl w:val="3"/>
        <w:numId w:val="12"/>
      </w:numPr>
    </w:pPr>
  </w:style>
  <w:style w:type="paragraph" w:customStyle="1" w:styleId="ListNumber2Level2">
    <w:name w:val="List Number 2 (Level 2)"/>
    <w:basedOn w:val="Text2"/>
    <w:pPr>
      <w:numPr>
        <w:ilvl w:val="1"/>
        <w:numId w:val="13"/>
      </w:numPr>
      <w:tabs>
        <w:tab w:val="clear" w:pos="2160"/>
      </w:tabs>
    </w:pPr>
  </w:style>
  <w:style w:type="paragraph" w:customStyle="1" w:styleId="ListNumber2Level3">
    <w:name w:val="List Number 2 (Level 3)"/>
    <w:basedOn w:val="Text2"/>
    <w:pPr>
      <w:numPr>
        <w:ilvl w:val="2"/>
        <w:numId w:val="13"/>
      </w:numPr>
      <w:tabs>
        <w:tab w:val="clear" w:pos="2160"/>
      </w:tabs>
    </w:pPr>
  </w:style>
  <w:style w:type="paragraph" w:customStyle="1" w:styleId="ListNumber2Level4">
    <w:name w:val="List Number 2 (Level 4)"/>
    <w:basedOn w:val="Text2"/>
    <w:pPr>
      <w:numPr>
        <w:ilvl w:val="3"/>
        <w:numId w:val="13"/>
      </w:numPr>
      <w:tabs>
        <w:tab w:val="clear" w:pos="2160"/>
      </w:tabs>
    </w:pPr>
  </w:style>
  <w:style w:type="paragraph" w:customStyle="1" w:styleId="ListNumber3Level2">
    <w:name w:val="List Number 3 (Level 2)"/>
    <w:basedOn w:val="Text3"/>
    <w:pPr>
      <w:numPr>
        <w:ilvl w:val="1"/>
        <w:numId w:val="14"/>
      </w:numPr>
      <w:tabs>
        <w:tab w:val="clear" w:pos="2302"/>
      </w:tabs>
    </w:pPr>
  </w:style>
  <w:style w:type="paragraph" w:customStyle="1" w:styleId="ListNumber3Level3">
    <w:name w:val="List Number 3 (Level 3)"/>
    <w:basedOn w:val="Text3"/>
    <w:pPr>
      <w:numPr>
        <w:ilvl w:val="2"/>
        <w:numId w:val="14"/>
      </w:numPr>
      <w:tabs>
        <w:tab w:val="clear" w:pos="2302"/>
      </w:tabs>
    </w:pPr>
  </w:style>
  <w:style w:type="paragraph" w:customStyle="1" w:styleId="ListNumber3Level4">
    <w:name w:val="List Number 3 (Level 4)"/>
    <w:basedOn w:val="Text3"/>
    <w:pPr>
      <w:numPr>
        <w:ilvl w:val="3"/>
        <w:numId w:val="14"/>
      </w:numPr>
      <w:tabs>
        <w:tab w:val="clear" w:pos="2302"/>
      </w:tabs>
    </w:pPr>
  </w:style>
  <w:style w:type="paragraph" w:customStyle="1" w:styleId="ListNumber4Level2">
    <w:name w:val="List Number 4 (Level 2)"/>
    <w:basedOn w:val="Text4"/>
    <w:pPr>
      <w:numPr>
        <w:ilvl w:val="1"/>
        <w:numId w:val="15"/>
      </w:numPr>
    </w:pPr>
  </w:style>
  <w:style w:type="paragraph" w:customStyle="1" w:styleId="ListNumber4Level3">
    <w:name w:val="List Number 4 (Level 3)"/>
    <w:basedOn w:val="Text4"/>
    <w:pPr>
      <w:numPr>
        <w:ilvl w:val="2"/>
        <w:numId w:val="15"/>
      </w:numPr>
    </w:pPr>
  </w:style>
  <w:style w:type="paragraph" w:customStyle="1" w:styleId="ListNumber4Level4">
    <w:name w:val="List Number 4 (Level 4)"/>
    <w:basedOn w:val="Text4"/>
    <w:pPr>
      <w:numPr>
        <w:ilvl w:val="3"/>
        <w:numId w:val="15"/>
      </w:numPr>
    </w:pPr>
  </w:style>
  <w:style w:type="paragraph" w:styleId="TOCHeading">
    <w:name w:val="TOC Heading"/>
    <w:basedOn w:val="Normal"/>
    <w:next w:val="Normal"/>
    <w:qFormat/>
    <w:pPr>
      <w:keepNext/>
      <w:spacing w:before="240"/>
      <w:jc w:val="center"/>
    </w:pPr>
    <w:rPr>
      <w:b/>
    </w:rPr>
  </w:style>
  <w:style w:type="paragraph" w:customStyle="1" w:styleId="ATHeading1">
    <w:name w:val="AT Heading 1"/>
    <w:basedOn w:val="Normal"/>
    <w:next w:val="Normal"/>
    <w:pPr>
      <w:keepNext/>
      <w:keepLines/>
      <w:numPr>
        <w:numId w:val="16"/>
      </w:numPr>
      <w:spacing w:after="140"/>
      <w:jc w:val="left"/>
      <w:outlineLvl w:val="0"/>
    </w:pPr>
    <w:rPr>
      <w:rFonts w:ascii="Times New Roman" w:hAnsi="Times New Roman"/>
      <w:b/>
      <w:noProof/>
      <w:sz w:val="28"/>
    </w:rPr>
  </w:style>
  <w:style w:type="paragraph" w:customStyle="1" w:styleId="ZCom">
    <w:name w:val="Z_Com"/>
    <w:basedOn w:val="Normal"/>
    <w:next w:val="ZDGName"/>
    <w:uiPriority w:val="99"/>
    <w:pPr>
      <w:spacing w:after="0"/>
      <w:ind w:right="85"/>
    </w:pPr>
    <w:rPr>
      <w:rFonts w:ascii="Arial" w:hAnsi="Arial"/>
    </w:rPr>
  </w:style>
  <w:style w:type="paragraph" w:customStyle="1" w:styleId="ZDGName">
    <w:name w:val="Z_DGName"/>
    <w:basedOn w:val="Normal"/>
    <w:pPr>
      <w:spacing w:after="0"/>
      <w:ind w:right="85"/>
    </w:pPr>
    <w:rPr>
      <w:rFonts w:ascii="Arial" w:hAnsi="Arial"/>
      <w:sz w:val="16"/>
    </w:rPr>
  </w:style>
  <w:style w:type="paragraph" w:customStyle="1" w:styleId="H4">
    <w:name w:val="H4"/>
    <w:basedOn w:val="Normal"/>
    <w:next w:val="Normal"/>
    <w:pPr>
      <w:keepNext/>
      <w:widowControl w:val="0"/>
      <w:spacing w:before="100" w:after="100"/>
      <w:jc w:val="left"/>
      <w:outlineLvl w:val="4"/>
    </w:pPr>
    <w:rPr>
      <w:rFonts w:ascii="Times New Roman" w:hAnsi="Times New Roman"/>
      <w:b/>
      <w:snapToGrid w:val="0"/>
      <w:lang w:eastAsia="en-US"/>
    </w:rPr>
  </w:style>
  <w:style w:type="character" w:customStyle="1" w:styleId="HideTWBExt">
    <w:name w:val="HideTWBExt"/>
    <w:rPr>
      <w:noProof/>
      <w:vanish/>
      <w:color w:val="808080"/>
    </w:rPr>
  </w:style>
  <w:style w:type="paragraph" w:customStyle="1" w:styleId="Action">
    <w:name w:val="Action"/>
    <w:basedOn w:val="Normal"/>
    <w:pPr>
      <w:widowControl w:val="0"/>
      <w:tabs>
        <w:tab w:val="left" w:pos="357"/>
      </w:tabs>
      <w:ind w:left="357" w:hanging="357"/>
      <w:jc w:val="left"/>
    </w:pPr>
    <w:rPr>
      <w:rFonts w:ascii="Times New Roman" w:hAnsi="Times New Roman"/>
    </w:rPr>
  </w:style>
  <w:style w:type="paragraph" w:customStyle="1" w:styleId="ATHeading3">
    <w:name w:val="AT Heading 3"/>
    <w:basedOn w:val="Normal"/>
    <w:next w:val="Normal"/>
    <w:pPr>
      <w:keepNext/>
      <w:keepLines/>
      <w:spacing w:before="120" w:after="120"/>
      <w:jc w:val="left"/>
      <w:outlineLvl w:val="2"/>
    </w:pPr>
    <w:rPr>
      <w:rFonts w:ascii="Times New Roman" w:hAnsi="Times New Roman"/>
      <w:b/>
      <w:noProof/>
    </w:rPr>
  </w:style>
  <w:style w:type="character" w:customStyle="1" w:styleId="DefaultMargins">
    <w:name w:val="DefaultMargins"/>
    <w:rPr>
      <w:rFonts w:ascii="Courier New" w:hAnsi="Courier New"/>
      <w:noProof w:val="0"/>
      <w:sz w:val="20"/>
      <w:lang w:val="fr-FR"/>
    </w:rPr>
  </w:style>
  <w:style w:type="paragraph" w:customStyle="1" w:styleId="Initial">
    <w:name w:val="Initial"/>
    <w:link w:val="InitialChar"/>
    <w:pPr>
      <w:tabs>
        <w:tab w:val="left" w:pos="-720"/>
      </w:tabs>
      <w:suppressAutoHyphens/>
      <w:jc w:val="both"/>
    </w:pPr>
    <w:rPr>
      <w:spacing w:val="-3"/>
      <w:sz w:val="24"/>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Pr>
      <w:vertAlign w:val="superscript"/>
    </w:rPr>
  </w:style>
  <w:style w:type="paragraph" w:customStyle="1" w:styleId="H3">
    <w:name w:val="H3"/>
    <w:basedOn w:val="Normal"/>
    <w:next w:val="Normal"/>
    <w:pPr>
      <w:keepNext/>
      <w:spacing w:before="100" w:after="100"/>
      <w:jc w:val="left"/>
      <w:outlineLvl w:val="3"/>
    </w:pPr>
    <w:rPr>
      <w:rFonts w:ascii="Times New Roman" w:hAnsi="Times New Roman"/>
      <w:b/>
      <w:snapToGrid w:val="0"/>
      <w:sz w:val="28"/>
      <w:lang w:eastAsia="en-US"/>
    </w:rPr>
  </w:style>
  <w:style w:type="paragraph" w:customStyle="1" w:styleId="Rfrencesproposition">
    <w:name w:val="Références proposition"/>
    <w:basedOn w:val="Titreobjet"/>
    <w:next w:val="Normal"/>
    <w:pPr>
      <w:spacing w:after="480"/>
    </w:pPr>
  </w:style>
  <w:style w:type="paragraph" w:customStyle="1" w:styleId="Titreobjet">
    <w:name w:val="Titre objet"/>
    <w:basedOn w:val="Normal"/>
    <w:next w:val="Normal"/>
    <w:pPr>
      <w:widowControl w:val="0"/>
      <w:spacing w:after="0"/>
      <w:ind w:left="1418"/>
      <w:jc w:val="left"/>
    </w:pPr>
    <w:rPr>
      <w:rFonts w:ascii="Times New Roman" w:hAnsi="Times New Roman"/>
      <w:snapToGrid w:val="0"/>
      <w:lang w:eastAsia="en-US"/>
    </w:rPr>
  </w:style>
  <w:style w:type="character" w:styleId="Hyperlink">
    <w:name w:val="Hyperlink"/>
    <w:aliases w:val="Char1"/>
    <w:rPr>
      <w:color w:val="0000FF"/>
      <w:u w:val="single"/>
    </w:rPr>
  </w:style>
  <w:style w:type="character" w:styleId="Emphasis">
    <w:name w:val="Emphasis"/>
    <w:uiPriority w:val="20"/>
    <w:qFormat/>
    <w:rPr>
      <w:i/>
    </w:rPr>
  </w:style>
  <w:style w:type="character" w:customStyle="1" w:styleId="Added">
    <w:name w:val="Added"/>
    <w:rPr>
      <w:b/>
      <w:i/>
    </w:rPr>
  </w:style>
  <w:style w:type="paragraph" w:customStyle="1" w:styleId="Normal12">
    <w:name w:val="Normal 12"/>
    <w:basedOn w:val="Normal"/>
    <w:link w:val="Normal12Char"/>
    <w:rsid w:val="0027701F"/>
    <w:pPr>
      <w:tabs>
        <w:tab w:val="left" w:pos="-720"/>
      </w:tabs>
    </w:pPr>
    <w:rPr>
      <w:rFonts w:ascii="Times New Roman" w:hAnsi="Times New Roman"/>
      <w:noProof/>
    </w:rPr>
  </w:style>
  <w:style w:type="paragraph" w:customStyle="1" w:styleId="5Normal">
    <w:name w:val="5 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rPr>
  </w:style>
  <w:style w:type="paragraph" w:customStyle="1" w:styleId="Dput">
    <w:name w:val="Député"/>
    <w:basedOn w:val="Titreobjet"/>
    <w:pPr>
      <w:spacing w:after="240"/>
    </w:pPr>
  </w:style>
  <w:style w:type="paragraph" w:customStyle="1" w:styleId="Commissionparlementaire">
    <w:name w:val="Commission parlementaire"/>
    <w:basedOn w:val="Titreobjet"/>
    <w:next w:val="Normal"/>
    <w:pPr>
      <w:spacing w:after="480"/>
    </w:pPr>
  </w:style>
  <w:style w:type="character" w:styleId="FollowedHyperlink">
    <w:name w:val="FollowedHyperlink"/>
    <w:rPr>
      <w:color w:val="800080"/>
      <w:u w:val="single"/>
    </w:rPr>
  </w:style>
  <w:style w:type="paragraph" w:customStyle="1" w:styleId="DefinitionList">
    <w:name w:val="Definition List"/>
    <w:basedOn w:val="Normal"/>
    <w:next w:val="Normal"/>
    <w:pPr>
      <w:spacing w:after="0"/>
      <w:ind w:left="360"/>
      <w:jc w:val="left"/>
    </w:pPr>
    <w:rPr>
      <w:rFonts w:ascii="Times New Roman" w:hAnsi="Times New Roman"/>
      <w:snapToGrid w:val="0"/>
      <w:lang w:eastAsia="en-US"/>
    </w:rPr>
  </w:style>
  <w:style w:type="paragraph" w:customStyle="1" w:styleId="Visa">
    <w:name w:val="Visa"/>
    <w:basedOn w:val="Normal"/>
    <w:pPr>
      <w:widowControl w:val="0"/>
      <w:tabs>
        <w:tab w:val="left" w:pos="357"/>
      </w:tabs>
      <w:ind w:left="357" w:hanging="357"/>
      <w:jc w:val="left"/>
    </w:pPr>
    <w:rPr>
      <w:rFonts w:ascii="Times New Roman" w:hAnsi="Times New Roman"/>
      <w:snapToGrid w:val="0"/>
    </w:rPr>
  </w:style>
  <w:style w:type="paragraph" w:customStyle="1" w:styleId="PagereglementairetextePR">
    <w:name w:val="Page reglementaire texte PR"/>
    <w:basedOn w:val="Normal"/>
    <w:pPr>
      <w:widowControl w:val="0"/>
      <w:jc w:val="left"/>
    </w:pPr>
    <w:rPr>
      <w:rFonts w:ascii="Times New Roman" w:hAnsi="Times New Roman"/>
      <w:snapToGrid w:val="0"/>
      <w:lang w:eastAsia="en-US"/>
    </w:rPr>
  </w:style>
  <w:style w:type="paragraph" w:customStyle="1" w:styleId="H2">
    <w:name w:val="H2"/>
    <w:basedOn w:val="Normal"/>
    <w:next w:val="Normal"/>
    <w:pPr>
      <w:keepNext/>
      <w:spacing w:before="100" w:after="100"/>
      <w:jc w:val="left"/>
      <w:outlineLvl w:val="2"/>
    </w:pPr>
    <w:rPr>
      <w:rFonts w:ascii="Times New Roman" w:hAnsi="Times New Roman"/>
      <w:b/>
      <w:snapToGrid w:val="0"/>
      <w:sz w:val="36"/>
      <w:lang w:eastAsia="en-US"/>
    </w:rPr>
  </w:style>
  <w:style w:type="paragraph" w:customStyle="1" w:styleId="Rfrenceinstitutionelle">
    <w:name w:val="Référence institutionelle"/>
    <w:basedOn w:val="Normal"/>
    <w:next w:val="Normal"/>
    <w:pPr>
      <w:ind w:left="5103"/>
      <w:jc w:val="left"/>
    </w:pPr>
    <w:rPr>
      <w:rFonts w:ascii="Times New Roman" w:hAnsi="Times New Roman"/>
    </w:rPr>
  </w:style>
  <w:style w:type="character" w:styleId="CommentReference">
    <w:name w:val="annotation reference"/>
    <w:rPr>
      <w:sz w:val="16"/>
    </w:rPr>
  </w:style>
  <w:style w:type="paragraph" w:customStyle="1" w:styleId="Tiret1">
    <w:name w:val="Tiret 1"/>
    <w:basedOn w:val="Normal"/>
    <w:pPr>
      <w:spacing w:before="120" w:after="120"/>
      <w:ind w:left="1418" w:hanging="567"/>
    </w:pPr>
    <w:rPr>
      <w:rFonts w:ascii="Times New Roman" w:hAnsi="Times New Roman"/>
    </w:rPr>
  </w:style>
  <w:style w:type="character" w:styleId="Strong">
    <w:name w:val="Strong"/>
    <w:uiPriority w:val="22"/>
    <w:qFormat/>
    <w:rPr>
      <w:b/>
    </w:rPr>
  </w:style>
  <w:style w:type="character" w:customStyle="1" w:styleId="Deleted">
    <w:name w:val="Deleted"/>
    <w:rPr>
      <w:b/>
      <w:i/>
    </w:rPr>
  </w:style>
  <w:style w:type="character" w:customStyle="1" w:styleId="HideTWBInt">
    <w:name w:val="HideTWBInt"/>
    <w:rsid w:val="00671028"/>
    <w:rPr>
      <w:vanish/>
      <w:color w:val="808080"/>
    </w:rPr>
  </w:style>
  <w:style w:type="paragraph" w:styleId="NormalWeb">
    <w:name w:val="Normal (Web)"/>
    <w:aliases w:val=" webb,webb"/>
    <w:basedOn w:val="Normal"/>
    <w:link w:val="NormalWebChar1"/>
    <w:uiPriority w:val="99"/>
    <w:rsid w:val="00863DF7"/>
    <w:pPr>
      <w:spacing w:before="100" w:beforeAutospacing="1" w:after="100" w:afterAutospacing="1"/>
      <w:jc w:val="left"/>
    </w:pPr>
    <w:rPr>
      <w:rFonts w:ascii="Times New Roman" w:hAnsi="Times New Roman"/>
      <w:szCs w:val="24"/>
    </w:rPr>
  </w:style>
  <w:style w:type="character" w:customStyle="1" w:styleId="ListDashChar">
    <w:name w:val="List Dash Char"/>
    <w:link w:val="ListDash"/>
    <w:rsid w:val="0008216A"/>
    <w:rPr>
      <w:rFonts w:ascii="Courier New" w:hAnsi="Courier New"/>
      <w:sz w:val="24"/>
    </w:rPr>
  </w:style>
  <w:style w:type="character" w:customStyle="1" w:styleId="exergue">
    <w:name w:val="exergue"/>
    <w:basedOn w:val="DefaultParagraphFont"/>
    <w:rsid w:val="005E526A"/>
  </w:style>
  <w:style w:type="paragraph" w:customStyle="1" w:styleId="textmain">
    <w:name w:val="textmain"/>
    <w:basedOn w:val="Normal"/>
    <w:rsid w:val="005E2CA4"/>
    <w:pPr>
      <w:spacing w:before="100" w:beforeAutospacing="1" w:after="100" w:afterAutospacing="1"/>
      <w:jc w:val="left"/>
    </w:pPr>
    <w:rPr>
      <w:rFonts w:ascii="Times New Roman" w:hAnsi="Times New Roman"/>
      <w:szCs w:val="24"/>
      <w:lang w:eastAsia="ko-KR"/>
    </w:rPr>
  </w:style>
  <w:style w:type="paragraph" w:customStyle="1" w:styleId="Normal12Tab">
    <w:name w:val="Normal12Tab"/>
    <w:basedOn w:val="Normal"/>
    <w:rsid w:val="00AA6DD4"/>
    <w:pPr>
      <w:widowControl w:val="0"/>
      <w:tabs>
        <w:tab w:val="left" w:pos="357"/>
      </w:tabs>
      <w:jc w:val="left"/>
    </w:pPr>
    <w:rPr>
      <w:rFonts w:ascii="Times New Roman" w:hAnsi="Times New Roman"/>
      <w:lang w:eastAsia="en-US"/>
    </w:rPr>
  </w:style>
  <w:style w:type="paragraph" w:customStyle="1" w:styleId="PageHeading">
    <w:name w:val="PageHeading"/>
    <w:basedOn w:val="Normal"/>
    <w:rsid w:val="00A52A26"/>
    <w:pPr>
      <w:keepNext/>
      <w:widowControl w:val="0"/>
      <w:spacing w:before="240"/>
      <w:jc w:val="center"/>
    </w:pPr>
    <w:rPr>
      <w:rFonts w:ascii="Arial" w:hAnsi="Arial"/>
      <w:b/>
    </w:rPr>
  </w:style>
  <w:style w:type="paragraph" w:customStyle="1" w:styleId="Normal12Bold">
    <w:name w:val="Normal12Bold"/>
    <w:basedOn w:val="Normal"/>
    <w:rsid w:val="00A52A26"/>
    <w:pPr>
      <w:widowControl w:val="0"/>
      <w:jc w:val="left"/>
    </w:pPr>
    <w:rPr>
      <w:rFonts w:ascii="Times New Roman" w:hAnsi="Times New Roman"/>
      <w:b/>
    </w:rPr>
  </w:style>
  <w:style w:type="paragraph" w:customStyle="1" w:styleId="Normal1">
    <w:name w:val="Normal1"/>
    <w:link w:val="NORMALChar"/>
    <w:rsid w:val="00A52A26"/>
    <w:rPr>
      <w:lang w:eastAsia="en-US"/>
    </w:rPr>
  </w:style>
  <w:style w:type="character" w:customStyle="1" w:styleId="titretable">
    <w:name w:val="titretable"/>
    <w:basedOn w:val="DefaultParagraphFont"/>
    <w:rsid w:val="00776DA5"/>
  </w:style>
  <w:style w:type="paragraph" w:customStyle="1" w:styleId="Normal12Hanging">
    <w:name w:val="Normal12Hanging"/>
    <w:basedOn w:val="Normal"/>
    <w:link w:val="Normal12HangingChar"/>
    <w:rsid w:val="00776DA5"/>
    <w:pPr>
      <w:widowControl w:val="0"/>
      <w:ind w:left="357" w:hanging="357"/>
      <w:jc w:val="left"/>
    </w:pPr>
    <w:rPr>
      <w:rFonts w:ascii="Times New Roman" w:hAnsi="Times New Roman"/>
    </w:rPr>
  </w:style>
  <w:style w:type="paragraph" w:customStyle="1" w:styleId="Normal120">
    <w:name w:val="Normal12"/>
    <w:basedOn w:val="Normal"/>
    <w:link w:val="Normal12Char0"/>
    <w:rsid w:val="0087007B"/>
    <w:pPr>
      <w:widowControl w:val="0"/>
      <w:jc w:val="left"/>
    </w:pPr>
    <w:rPr>
      <w:rFonts w:ascii="Times New Roman" w:hAnsi="Times New Roman"/>
      <w:szCs w:val="24"/>
    </w:rPr>
  </w:style>
  <w:style w:type="table" w:styleId="TableGrid">
    <w:name w:val="Table Grid"/>
    <w:basedOn w:val="TableNormal"/>
    <w:rsid w:val="0087007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B39D1"/>
  </w:style>
  <w:style w:type="paragraph" w:customStyle="1" w:styleId="Typedudocument">
    <w:name w:val="Type du document"/>
    <w:basedOn w:val="Normal"/>
    <w:next w:val="Normal"/>
    <w:rsid w:val="00ED3B96"/>
    <w:pPr>
      <w:spacing w:before="360" w:after="0"/>
      <w:jc w:val="center"/>
    </w:pPr>
    <w:rPr>
      <w:rFonts w:ascii="Times New Roman" w:hAnsi="Times New Roman"/>
      <w:b/>
      <w:snapToGrid w:val="0"/>
      <w:lang w:eastAsia="en-US"/>
    </w:rPr>
  </w:style>
  <w:style w:type="character" w:customStyle="1" w:styleId="Normal12Char">
    <w:name w:val="Normal 12 Char"/>
    <w:link w:val="Normal12"/>
    <w:rsid w:val="0027701F"/>
    <w:rPr>
      <w:noProof/>
      <w:sz w:val="24"/>
      <w:lang w:val="fr-FR" w:eastAsia="en-GB" w:bidi="ar-SA"/>
    </w:rPr>
  </w:style>
  <w:style w:type="character" w:customStyle="1" w:styleId="msoins0">
    <w:name w:val="msoins"/>
    <w:rsid w:val="005513E0"/>
    <w:rPr>
      <w:color w:val="008080"/>
      <w:u w:val="single"/>
    </w:rPr>
  </w:style>
  <w:style w:type="paragraph" w:customStyle="1" w:styleId="NumPar1Char">
    <w:name w:val="NumPar 1 Char"/>
    <w:basedOn w:val="Normal"/>
    <w:next w:val="Normal"/>
    <w:link w:val="NumPar1CharChar"/>
    <w:rsid w:val="003F62ED"/>
    <w:pPr>
      <w:numPr>
        <w:numId w:val="17"/>
      </w:numPr>
      <w:tabs>
        <w:tab w:val="num" w:pos="1134"/>
      </w:tabs>
      <w:spacing w:before="120" w:after="120"/>
      <w:ind w:left="1134"/>
    </w:pPr>
    <w:rPr>
      <w:szCs w:val="24"/>
    </w:rPr>
  </w:style>
  <w:style w:type="character" w:customStyle="1" w:styleId="NumPar1CharChar">
    <w:name w:val="NumPar 1 Char Char"/>
    <w:link w:val="NumPar1Char"/>
    <w:rsid w:val="003F62ED"/>
    <w:rPr>
      <w:rFonts w:ascii="Courier New" w:hAnsi="Courier New"/>
      <w:sz w:val="24"/>
      <w:szCs w:val="24"/>
    </w:rPr>
  </w:style>
  <w:style w:type="paragraph" w:customStyle="1" w:styleId="Contact">
    <w:name w:val="Contact"/>
    <w:basedOn w:val="Normal"/>
    <w:next w:val="Enclosures"/>
    <w:rsid w:val="00FA6446"/>
    <w:pPr>
      <w:spacing w:before="480" w:after="0"/>
      <w:ind w:left="567" w:hanging="567"/>
      <w:jc w:val="left"/>
    </w:pPr>
    <w:rPr>
      <w:rFonts w:ascii="Times New Roman" w:hAnsi="Times New Roman"/>
      <w:lang w:eastAsia="en-US"/>
    </w:rPr>
  </w:style>
  <w:style w:type="paragraph" w:customStyle="1" w:styleId="NormalBold">
    <w:name w:val="NormalBold"/>
    <w:basedOn w:val="Normal"/>
    <w:link w:val="NormalBoldChar"/>
    <w:rsid w:val="00960559"/>
    <w:pPr>
      <w:widowControl w:val="0"/>
      <w:spacing w:after="0"/>
      <w:jc w:val="left"/>
    </w:pPr>
    <w:rPr>
      <w:rFonts w:ascii="Times New Roman" w:hAnsi="Times New Roman"/>
      <w:b/>
    </w:rPr>
  </w:style>
  <w:style w:type="character" w:customStyle="1" w:styleId="NormalBoldChar">
    <w:name w:val="NormalBold Char"/>
    <w:link w:val="NormalBold"/>
    <w:rsid w:val="001D670F"/>
    <w:rPr>
      <w:b/>
      <w:sz w:val="24"/>
      <w:lang w:val="fr-FR" w:eastAsia="en-GB" w:bidi="ar-SA"/>
    </w:rPr>
  </w:style>
  <w:style w:type="character" w:customStyle="1" w:styleId="subtitletable">
    <w:name w:val="subtitletable"/>
    <w:basedOn w:val="DefaultParagraphFont"/>
    <w:rsid w:val="00A66005"/>
  </w:style>
  <w:style w:type="character" w:customStyle="1" w:styleId="midtitletable">
    <w:name w:val="midtitletable"/>
    <w:basedOn w:val="DefaultParagraphFont"/>
    <w:rsid w:val="00031CA2"/>
  </w:style>
  <w:style w:type="paragraph" w:styleId="BalloonText">
    <w:name w:val="Balloon Text"/>
    <w:basedOn w:val="Normal"/>
    <w:semiHidden/>
    <w:rsid w:val="004D3FDF"/>
    <w:rPr>
      <w:rFonts w:ascii="Tahoma" w:hAnsi="Tahoma" w:cs="Tahoma"/>
      <w:sz w:val="16"/>
      <w:szCs w:val="16"/>
    </w:rPr>
  </w:style>
  <w:style w:type="character" w:customStyle="1" w:styleId="NORMALChar">
    <w:name w:val="NORMAL Char"/>
    <w:link w:val="Normal1"/>
    <w:rsid w:val="001F57FF"/>
    <w:rPr>
      <w:lang w:val="fr-FR" w:eastAsia="en-US" w:bidi="ar-SA"/>
    </w:rPr>
  </w:style>
  <w:style w:type="paragraph" w:customStyle="1" w:styleId="Olang">
    <w:name w:val="Olang"/>
    <w:basedOn w:val="Normal"/>
    <w:rsid w:val="00CD3544"/>
    <w:pPr>
      <w:widowControl w:val="0"/>
      <w:spacing w:before="240"/>
      <w:jc w:val="right"/>
    </w:pPr>
    <w:rPr>
      <w:rFonts w:ascii="Times New Roman" w:hAnsi="Times New Roman"/>
    </w:rPr>
  </w:style>
  <w:style w:type="character" w:customStyle="1" w:styleId="NormalWebChar1">
    <w:name w:val="Normal (Web) Char1"/>
    <w:aliases w:val=" webb Char,webb Char1"/>
    <w:link w:val="NormalWeb"/>
    <w:rsid w:val="00CD3544"/>
    <w:rPr>
      <w:sz w:val="24"/>
      <w:szCs w:val="24"/>
      <w:lang w:val="fr-FR" w:eastAsia="en-GB" w:bidi="ar-SA"/>
    </w:rPr>
  </w:style>
  <w:style w:type="character" w:customStyle="1" w:styleId="italic">
    <w:name w:val="italic"/>
    <w:basedOn w:val="DefaultParagraphFont"/>
    <w:rsid w:val="006334FA"/>
  </w:style>
  <w:style w:type="character" w:customStyle="1" w:styleId="italic1">
    <w:name w:val="italic1"/>
    <w:rsid w:val="006334FA"/>
    <w:rPr>
      <w:i/>
      <w:iCs/>
    </w:rPr>
  </w:style>
  <w:style w:type="paragraph" w:customStyle="1" w:styleId="text">
    <w:name w:val="text"/>
    <w:basedOn w:val="Normal"/>
    <w:rsid w:val="006334FA"/>
    <w:pPr>
      <w:spacing w:before="100" w:beforeAutospacing="1" w:after="100" w:afterAutospacing="1"/>
      <w:jc w:val="left"/>
    </w:pPr>
    <w:rPr>
      <w:rFonts w:ascii="Arial" w:hAnsi="Arial" w:cs="Arial"/>
      <w:color w:val="000080"/>
      <w:szCs w:val="24"/>
    </w:rPr>
  </w:style>
  <w:style w:type="paragraph" w:customStyle="1" w:styleId="ManualNumPar1">
    <w:name w:val="Manual NumPar 1"/>
    <w:basedOn w:val="Normal"/>
    <w:next w:val="Normal"/>
    <w:rsid w:val="00C629C6"/>
    <w:pPr>
      <w:spacing w:before="120" w:after="120"/>
      <w:ind w:left="850" w:hanging="850"/>
    </w:pPr>
    <w:rPr>
      <w:rFonts w:ascii="Times New Roman" w:hAnsi="Times New Roman"/>
    </w:rPr>
  </w:style>
  <w:style w:type="character" w:customStyle="1" w:styleId="contents">
    <w:name w:val="contents"/>
    <w:basedOn w:val="DefaultParagraphFont"/>
    <w:rsid w:val="004F3B17"/>
  </w:style>
  <w:style w:type="paragraph" w:customStyle="1" w:styleId="CharChar2CharCharCharCharCharCharCharCharCharChar">
    <w:name w:val="Char Char2 Char Char Char Char Char Char Char Char Char Char"/>
    <w:basedOn w:val="Normal"/>
    <w:rsid w:val="00887CAB"/>
    <w:pPr>
      <w:spacing w:after="160" w:line="240" w:lineRule="exact"/>
      <w:jc w:val="left"/>
    </w:pPr>
    <w:rPr>
      <w:rFonts w:ascii="Tahoma" w:hAnsi="Tahoma"/>
      <w:sz w:val="20"/>
      <w:lang w:eastAsia="en-US"/>
    </w:rPr>
  </w:style>
  <w:style w:type="character" w:customStyle="1" w:styleId="defaultmargins0">
    <w:name w:val="defaultmargins"/>
    <w:rsid w:val="00ED1686"/>
    <w:rPr>
      <w:rFonts w:ascii="Courier New" w:hAnsi="Courier New" w:cs="Courier New" w:hint="default"/>
    </w:rPr>
  </w:style>
  <w:style w:type="paragraph" w:customStyle="1" w:styleId="Cover12">
    <w:name w:val="Cover12"/>
    <w:basedOn w:val="Normal"/>
    <w:rsid w:val="00B72965"/>
    <w:pPr>
      <w:widowControl w:val="0"/>
      <w:ind w:left="1418"/>
      <w:jc w:val="left"/>
    </w:pPr>
    <w:rPr>
      <w:rFonts w:ascii="Times New Roman" w:hAnsi="Times New Roman"/>
    </w:rPr>
  </w:style>
  <w:style w:type="paragraph" w:customStyle="1" w:styleId="CharChar1">
    <w:name w:val="Char Char1"/>
    <w:basedOn w:val="Normal"/>
    <w:rsid w:val="009E2FF2"/>
    <w:pPr>
      <w:spacing w:after="160" w:line="240" w:lineRule="exact"/>
      <w:jc w:val="left"/>
    </w:pPr>
    <w:rPr>
      <w:rFonts w:ascii="Tahoma" w:hAnsi="Tahoma"/>
      <w:sz w:val="20"/>
      <w:lang w:eastAsia="en-US"/>
    </w:rPr>
  </w:style>
  <w:style w:type="paragraph" w:customStyle="1" w:styleId="normal12hanging0">
    <w:name w:val="normal12hanging"/>
    <w:basedOn w:val="Normal"/>
    <w:rsid w:val="00E709A0"/>
    <w:pPr>
      <w:ind w:left="357" w:hanging="357"/>
      <w:jc w:val="left"/>
    </w:pPr>
    <w:rPr>
      <w:rFonts w:ascii="Times New Roman" w:hAnsi="Times New Roman"/>
      <w:szCs w:val="24"/>
      <w:lang w:eastAsia="en-US"/>
    </w:rPr>
  </w:style>
  <w:style w:type="paragraph" w:customStyle="1" w:styleId="CharCharChar">
    <w:name w:val="Char Char Char"/>
    <w:basedOn w:val="Normal"/>
    <w:next w:val="Normal"/>
    <w:rsid w:val="00E709A0"/>
    <w:pPr>
      <w:spacing w:after="160" w:line="240" w:lineRule="exact"/>
      <w:jc w:val="left"/>
    </w:pPr>
    <w:rPr>
      <w:rFonts w:ascii="Tahoma" w:hAnsi="Tahoma"/>
      <w:lang w:eastAsia="en-US"/>
    </w:rPr>
  </w:style>
  <w:style w:type="paragraph" w:customStyle="1" w:styleId="CharCharChar0">
    <w:name w:val="Char Char Char"/>
    <w:basedOn w:val="Normal"/>
    <w:uiPriority w:val="99"/>
    <w:rsid w:val="0092510C"/>
    <w:pPr>
      <w:spacing w:after="160" w:line="240" w:lineRule="exact"/>
      <w:jc w:val="left"/>
    </w:pPr>
    <w:rPr>
      <w:rFonts w:ascii="Tahoma" w:hAnsi="Tahoma"/>
      <w:sz w:val="20"/>
      <w:lang w:eastAsia="en-US"/>
    </w:rPr>
  </w:style>
  <w:style w:type="character" w:customStyle="1" w:styleId="Normal12Char0">
    <w:name w:val="Normal12 Char"/>
    <w:link w:val="Normal120"/>
    <w:rsid w:val="008D0782"/>
    <w:rPr>
      <w:sz w:val="24"/>
      <w:szCs w:val="24"/>
      <w:lang w:val="fr-FR" w:eastAsia="en-GB" w:bidi="ar-SA"/>
    </w:rPr>
  </w:style>
  <w:style w:type="paragraph" w:customStyle="1" w:styleId="CoverNormalRC">
    <w:name w:val="CoverNormalRC"/>
    <w:basedOn w:val="Normal"/>
    <w:rsid w:val="00502387"/>
    <w:pPr>
      <w:widowControl w:val="0"/>
      <w:tabs>
        <w:tab w:val="left" w:pos="1701"/>
      </w:tabs>
      <w:spacing w:after="0"/>
      <w:ind w:left="1418"/>
      <w:jc w:val="left"/>
    </w:pPr>
    <w:rPr>
      <w:rFonts w:ascii="Times New Roman" w:hAnsi="Times New Roman"/>
    </w:rPr>
  </w:style>
  <w:style w:type="paragraph" w:customStyle="1" w:styleId="CharCarCarChar">
    <w:name w:val="Char Car Car Char"/>
    <w:basedOn w:val="Normal"/>
    <w:next w:val="Normal"/>
    <w:rsid w:val="0028727C"/>
    <w:pPr>
      <w:spacing w:after="160" w:line="240" w:lineRule="exact"/>
      <w:jc w:val="left"/>
    </w:pPr>
    <w:rPr>
      <w:rFonts w:ascii="Tahoma" w:hAnsi="Tahoma" w:cs="Tahoma"/>
      <w:szCs w:val="24"/>
      <w:lang w:eastAsia="en-US"/>
    </w:rPr>
  </w:style>
  <w:style w:type="paragraph" w:customStyle="1" w:styleId="Char1">
    <w:name w:val="Char1"/>
    <w:basedOn w:val="Normal"/>
    <w:rsid w:val="00F47B73"/>
    <w:pPr>
      <w:spacing w:after="160" w:line="240" w:lineRule="exact"/>
      <w:jc w:val="left"/>
    </w:pPr>
    <w:rPr>
      <w:rFonts w:ascii="Tahoma" w:hAnsi="Tahoma"/>
      <w:sz w:val="20"/>
      <w:lang w:eastAsia="en-US"/>
    </w:rPr>
  </w:style>
  <w:style w:type="paragraph" w:customStyle="1" w:styleId="Char">
    <w:name w:val="Char"/>
    <w:basedOn w:val="Normal"/>
    <w:rsid w:val="00124A7A"/>
    <w:pPr>
      <w:spacing w:after="160" w:line="240" w:lineRule="exact"/>
      <w:jc w:val="left"/>
    </w:pPr>
    <w:rPr>
      <w:rFonts w:ascii="Tahoma" w:hAnsi="Tahoma"/>
      <w:sz w:val="20"/>
      <w:lang w:eastAsia="en-US"/>
    </w:rPr>
  </w:style>
  <w:style w:type="character" w:customStyle="1" w:styleId="bold">
    <w:name w:val="bold"/>
    <w:basedOn w:val="DefaultParagraphFont"/>
    <w:rsid w:val="005B5CB2"/>
  </w:style>
  <w:style w:type="paragraph" w:customStyle="1" w:styleId="CoverNormal">
    <w:name w:val="CoverNormal"/>
    <w:basedOn w:val="Normal"/>
    <w:rsid w:val="00EA16CF"/>
    <w:pPr>
      <w:widowControl w:val="0"/>
      <w:spacing w:after="0"/>
      <w:ind w:left="1418"/>
      <w:jc w:val="left"/>
    </w:pPr>
    <w:rPr>
      <w:rFonts w:ascii="Times New Roman" w:hAnsi="Times New Roman"/>
    </w:rPr>
  </w:style>
  <w:style w:type="paragraph" w:styleId="CommentSubject">
    <w:name w:val="annotation subject"/>
    <w:aliases w:val=" Char Char Char Char Char"/>
    <w:basedOn w:val="CommentText"/>
    <w:next w:val="CommentText"/>
    <w:semiHidden/>
    <w:rsid w:val="00EA16CF"/>
    <w:pPr>
      <w:spacing w:before="120" w:after="120"/>
    </w:pPr>
    <w:rPr>
      <w:rFonts w:ascii="Times New Roman" w:hAnsi="Times New Roman"/>
      <w:b/>
      <w:bCs/>
      <w:snapToGrid w:val="0"/>
    </w:rPr>
  </w:style>
  <w:style w:type="character" w:customStyle="1" w:styleId="ListBulletChar1">
    <w:name w:val="List Bullet Char1"/>
    <w:link w:val="ListBullet"/>
    <w:rsid w:val="00EA16CF"/>
    <w:rPr>
      <w:rFonts w:ascii="Courier New" w:hAnsi="Courier New"/>
      <w:sz w:val="24"/>
    </w:rPr>
  </w:style>
  <w:style w:type="character" w:customStyle="1" w:styleId="contents1">
    <w:name w:val="contents1"/>
    <w:rsid w:val="00EA16CF"/>
    <w:rPr>
      <w:rFonts w:ascii="Arial" w:hAnsi="Arial" w:cs="Arial" w:hint="default"/>
      <w:b w:val="0"/>
      <w:bCs w:val="0"/>
      <w:color w:val="666666"/>
      <w:sz w:val="18"/>
      <w:szCs w:val="18"/>
    </w:rPr>
  </w:style>
  <w:style w:type="paragraph" w:customStyle="1" w:styleId="CharChar1Char">
    <w:name w:val="Char Char1 Char"/>
    <w:basedOn w:val="Normal"/>
    <w:rsid w:val="00476BB5"/>
    <w:pPr>
      <w:spacing w:after="160" w:line="240" w:lineRule="exact"/>
      <w:jc w:val="left"/>
    </w:pPr>
    <w:rPr>
      <w:rFonts w:ascii="Tahoma" w:hAnsi="Tahoma"/>
      <w:sz w:val="20"/>
      <w:lang w:eastAsia="en-US"/>
    </w:rPr>
  </w:style>
  <w:style w:type="character" w:customStyle="1" w:styleId="FootnoteTextChar2">
    <w:name w:val="Footnote Text Char2"/>
    <w:aliases w:val="Footnote Text Char Char1,Footnote Text Char1 Char Char,Footnote Text Char Char Char Char,Fußnotentext Char Char1 Char Char Char,Fußnotentext Char1 Char1 Char Char Char Char,Fußnotentext Char Char Char Char Char Char Char1 Char"/>
    <w:link w:val="FootnoteText"/>
    <w:rsid w:val="00103DE9"/>
    <w:rPr>
      <w:rFonts w:ascii="Courier New" w:hAnsi="Courier New"/>
      <w:lang w:val="fr-FR" w:eastAsia="en-GB" w:bidi="ar-SA"/>
    </w:rPr>
  </w:style>
  <w:style w:type="paragraph" w:customStyle="1" w:styleId="CharChar2CharCharCharCharCharCharChar">
    <w:name w:val="Char Char2 Char Char Char Char Char Char Char"/>
    <w:basedOn w:val="Normal"/>
    <w:rsid w:val="00FE32E0"/>
    <w:pPr>
      <w:spacing w:after="160" w:line="240" w:lineRule="exact"/>
      <w:jc w:val="left"/>
    </w:pPr>
    <w:rPr>
      <w:rFonts w:ascii="Tahoma" w:hAnsi="Tahoma"/>
      <w:sz w:val="20"/>
      <w:lang w:eastAsia="en-US"/>
    </w:rPr>
  </w:style>
  <w:style w:type="character" w:customStyle="1" w:styleId="Text1Char">
    <w:name w:val="Text 1 Char"/>
    <w:link w:val="Text1"/>
    <w:rsid w:val="001B76B5"/>
    <w:rPr>
      <w:rFonts w:ascii="Courier New" w:hAnsi="Courier New"/>
      <w:sz w:val="24"/>
      <w:lang w:val="fr-FR" w:eastAsia="en-GB" w:bidi="ar-SA"/>
    </w:rPr>
  </w:style>
  <w:style w:type="character" w:customStyle="1" w:styleId="bold1">
    <w:name w:val="bold1"/>
    <w:rsid w:val="00236008"/>
    <w:rPr>
      <w:b/>
      <w:bCs/>
    </w:rPr>
  </w:style>
  <w:style w:type="character" w:customStyle="1" w:styleId="ListChar">
    <w:name w:val="List Char"/>
    <w:link w:val="List"/>
    <w:rsid w:val="009E216E"/>
    <w:rPr>
      <w:rFonts w:ascii="Courier New" w:hAnsi="Courier New"/>
      <w:sz w:val="24"/>
      <w:lang w:val="fr-FR" w:eastAsia="en-GB" w:bidi="ar-SA"/>
    </w:rPr>
  </w:style>
  <w:style w:type="character" w:customStyle="1" w:styleId="sup1">
    <w:name w:val="sup1"/>
    <w:rsid w:val="009E216E"/>
    <w:rPr>
      <w:sz w:val="19"/>
      <w:szCs w:val="19"/>
      <w:vertAlign w:val="superscript"/>
    </w:rPr>
  </w:style>
  <w:style w:type="character" w:customStyle="1" w:styleId="Heading1Char1">
    <w:name w:val="Heading 1 Char1"/>
    <w:aliases w:val="Heading 1 Char Char Char Char Char Char Char Char Char Char Char Char Char Char Char"/>
    <w:link w:val="Heading1"/>
    <w:rsid w:val="009E216E"/>
    <w:rPr>
      <w:rFonts w:ascii="Courier New" w:hAnsi="Courier New"/>
      <w:b/>
      <w:smallCaps/>
      <w:sz w:val="24"/>
    </w:rPr>
  </w:style>
  <w:style w:type="paragraph" w:customStyle="1" w:styleId="Statut">
    <w:name w:val="Statut"/>
    <w:basedOn w:val="Normal"/>
    <w:next w:val="Normal"/>
    <w:rsid w:val="00FE35A4"/>
    <w:pPr>
      <w:spacing w:before="360" w:after="0"/>
      <w:jc w:val="center"/>
    </w:pPr>
    <w:rPr>
      <w:rFonts w:ascii="Times New Roman" w:hAnsi="Times New Roman"/>
      <w:lang w:eastAsia="en-US"/>
    </w:rPr>
  </w:style>
  <w:style w:type="paragraph" w:customStyle="1" w:styleId="CharCharCharCharCharCharCharCharChar">
    <w:name w:val="Char Char Char Char Char Char Char Char Char"/>
    <w:aliases w:val=" Char Char Char Char Char Char Char Char Char Char Char Char"/>
    <w:basedOn w:val="Normal"/>
    <w:next w:val="Normal"/>
    <w:rsid w:val="00FE35A4"/>
    <w:pPr>
      <w:spacing w:after="160" w:line="240" w:lineRule="exact"/>
      <w:jc w:val="left"/>
    </w:pPr>
    <w:rPr>
      <w:rFonts w:ascii="Tahoma" w:hAnsi="Tahoma"/>
      <w:lang w:eastAsia="en-US"/>
    </w:rPr>
  </w:style>
  <w:style w:type="character" w:customStyle="1" w:styleId="Marker">
    <w:name w:val="Marker"/>
    <w:rsid w:val="00FE35A4"/>
    <w:rPr>
      <w:color w:val="0000FF"/>
      <w:lang w:val="fr-FR"/>
    </w:rPr>
  </w:style>
  <w:style w:type="paragraph" w:customStyle="1" w:styleId="CarChar">
    <w:name w:val="Car Char"/>
    <w:basedOn w:val="Normal"/>
    <w:rsid w:val="00573DC5"/>
    <w:pPr>
      <w:spacing w:after="160" w:line="240" w:lineRule="exact"/>
      <w:jc w:val="left"/>
    </w:pPr>
    <w:rPr>
      <w:rFonts w:ascii="Tahoma" w:hAnsi="Tahoma"/>
      <w:sz w:val="20"/>
      <w:lang w:eastAsia="en-US"/>
    </w:rPr>
  </w:style>
  <w:style w:type="paragraph" w:customStyle="1" w:styleId="Car">
    <w:name w:val="Car"/>
    <w:basedOn w:val="Normal"/>
    <w:rsid w:val="00F02465"/>
    <w:pPr>
      <w:spacing w:after="160" w:line="240" w:lineRule="exact"/>
      <w:jc w:val="left"/>
    </w:pPr>
    <w:rPr>
      <w:rFonts w:ascii="Arial" w:hAnsi="Arial" w:cs="Arial"/>
      <w:sz w:val="28"/>
      <w:szCs w:val="28"/>
      <w:lang w:eastAsia="en-US"/>
    </w:rPr>
  </w:style>
  <w:style w:type="character" w:customStyle="1" w:styleId="ringrefselectedheader">
    <w:name w:val="ring_ref_selected_header"/>
    <w:basedOn w:val="DefaultParagraphFont"/>
    <w:rsid w:val="006D74E0"/>
  </w:style>
  <w:style w:type="character" w:customStyle="1" w:styleId="Normal12HangingChar">
    <w:name w:val="Normal12Hanging Char"/>
    <w:link w:val="Normal12Hanging"/>
    <w:rsid w:val="00990461"/>
    <w:rPr>
      <w:sz w:val="24"/>
      <w:lang w:val="fr-FR" w:eastAsia="en-GB" w:bidi="ar-SA"/>
    </w:rPr>
  </w:style>
  <w:style w:type="character" w:customStyle="1" w:styleId="fnChar">
    <w:name w:val="fn Char"/>
    <w:aliases w:val="Footnote Char,Voetnoottekst Char Char,Voetnoottekst Char1 Char,Voetnoottekst Char2 Char Char Char,Voetnoottekst Char Char1 Char Char Char,Podrozdział Char,Podrozdzia3 Char,Footnote text Char,Schriftart: 9 pt Char,Schriftart: 10 pt Char,Char Char"/>
    <w:rsid w:val="00990461"/>
    <w:rPr>
      <w:lang w:val="fr-FR" w:eastAsia="fr-FR" w:bidi="ar-SA"/>
    </w:rPr>
  </w:style>
  <w:style w:type="paragraph" w:customStyle="1" w:styleId="Default">
    <w:name w:val="Default"/>
    <w:rsid w:val="00990461"/>
    <w:pPr>
      <w:autoSpaceDE w:val="0"/>
      <w:autoSpaceDN w:val="0"/>
      <w:adjustRightInd w:val="0"/>
    </w:pPr>
    <w:rPr>
      <w:color w:val="000000"/>
      <w:sz w:val="24"/>
      <w:szCs w:val="24"/>
      <w:lang w:eastAsia="fr-FR"/>
    </w:rPr>
  </w:style>
  <w:style w:type="paragraph" w:customStyle="1" w:styleId="Hanging12">
    <w:name w:val="Hanging12"/>
    <w:basedOn w:val="Normal"/>
    <w:link w:val="Hanging12Char"/>
    <w:rsid w:val="00253F7D"/>
    <w:pPr>
      <w:widowControl w:val="0"/>
      <w:tabs>
        <w:tab w:val="left" w:pos="357"/>
      </w:tabs>
      <w:ind w:left="357" w:hanging="357"/>
      <w:jc w:val="left"/>
    </w:pPr>
    <w:rPr>
      <w:rFonts w:ascii="Times New Roman" w:hAnsi="Times New Roman"/>
    </w:rPr>
  </w:style>
  <w:style w:type="paragraph" w:customStyle="1" w:styleId="ringsteptitle">
    <w:name w:val="ring_step_title"/>
    <w:basedOn w:val="Normal"/>
    <w:rsid w:val="00FF43F0"/>
    <w:pPr>
      <w:spacing w:after="0"/>
      <w:jc w:val="left"/>
    </w:pPr>
    <w:rPr>
      <w:rFonts w:ascii="Arial" w:hAnsi="Arial" w:cs="Arial"/>
      <w:b/>
      <w:bCs/>
      <w:color w:val="666666"/>
      <w:sz w:val="17"/>
      <w:szCs w:val="17"/>
    </w:rPr>
  </w:style>
  <w:style w:type="character" w:customStyle="1" w:styleId="Normal12HangingCarattere">
    <w:name w:val="Normal12Hanging Carattere"/>
    <w:rsid w:val="00577812"/>
    <w:rPr>
      <w:sz w:val="24"/>
      <w:lang w:val="fr-FR" w:eastAsia="en-GB" w:bidi="ar-SA"/>
    </w:rPr>
  </w:style>
  <w:style w:type="character" w:customStyle="1" w:styleId="underline">
    <w:name w:val="underline"/>
    <w:basedOn w:val="DefaultParagraphFont"/>
    <w:rsid w:val="00DA48EF"/>
  </w:style>
  <w:style w:type="character" w:customStyle="1" w:styleId="ctteelong1">
    <w:name w:val="cttee_long1"/>
    <w:rsid w:val="00DA48EF"/>
    <w:rPr>
      <w:b/>
      <w:bCs/>
      <w:color w:val="000000"/>
      <w:sz w:val="25"/>
      <w:szCs w:val="25"/>
    </w:rPr>
  </w:style>
  <w:style w:type="paragraph" w:customStyle="1" w:styleId="CharChar2CharCharCharChar">
    <w:name w:val="Char Char2 Char Char Char Char"/>
    <w:basedOn w:val="Normal"/>
    <w:rsid w:val="00D35B03"/>
    <w:pPr>
      <w:spacing w:after="160" w:line="240" w:lineRule="exact"/>
      <w:jc w:val="left"/>
    </w:pPr>
    <w:rPr>
      <w:rFonts w:ascii="Tahoma" w:hAnsi="Tahoma"/>
      <w:sz w:val="20"/>
      <w:lang w:eastAsia="en-US"/>
    </w:rPr>
  </w:style>
  <w:style w:type="paragraph" w:customStyle="1" w:styleId="CharChar7CharCharCharCharCharCharChar">
    <w:name w:val="Char Char7 Char Char Char Char Char Char Char"/>
    <w:basedOn w:val="Normal"/>
    <w:rsid w:val="00CD730B"/>
    <w:pPr>
      <w:spacing w:after="160" w:line="240" w:lineRule="exact"/>
      <w:jc w:val="left"/>
    </w:pPr>
    <w:rPr>
      <w:rFonts w:ascii="Tahoma" w:hAnsi="Tahoma"/>
      <w:sz w:val="20"/>
      <w:lang w:eastAsia="en-US"/>
    </w:rPr>
  </w:style>
  <w:style w:type="paragraph" w:customStyle="1" w:styleId="Znak">
    <w:name w:val="Znak"/>
    <w:basedOn w:val="Normal"/>
    <w:rsid w:val="00A76EE9"/>
    <w:pPr>
      <w:spacing w:after="160" w:line="240" w:lineRule="exact"/>
      <w:jc w:val="left"/>
    </w:pPr>
    <w:rPr>
      <w:rFonts w:ascii="Tahoma" w:hAnsi="Tahoma"/>
      <w:sz w:val="20"/>
      <w:lang w:eastAsia="en-US"/>
    </w:rPr>
  </w:style>
  <w:style w:type="character" w:customStyle="1" w:styleId="Forte1">
    <w:name w:val="Forte1"/>
    <w:rsid w:val="00386FED"/>
    <w:rPr>
      <w:b/>
      <w:bCs/>
      <w:color w:val="000066"/>
      <w:sz w:val="20"/>
      <w:szCs w:val="20"/>
    </w:rPr>
  </w:style>
  <w:style w:type="character" w:customStyle="1" w:styleId="Hiperligao6">
    <w:name w:val="Hiperligação6"/>
    <w:rsid w:val="00386FED"/>
    <w:rPr>
      <w:color w:val="000066"/>
      <w:sz w:val="20"/>
      <w:szCs w:val="20"/>
      <w:u w:val="single"/>
    </w:rPr>
  </w:style>
  <w:style w:type="character" w:customStyle="1" w:styleId="Text1Car">
    <w:name w:val="Text 1 Car"/>
    <w:rsid w:val="00BD1BAB"/>
    <w:rPr>
      <w:smallCaps/>
      <w:sz w:val="24"/>
      <w:szCs w:val="24"/>
      <w:lang w:val="fr-FR" w:eastAsia="en-GB" w:bidi="ar-SA"/>
    </w:rPr>
  </w:style>
  <w:style w:type="character" w:customStyle="1" w:styleId="bodytext1">
    <w:name w:val="bodytext1"/>
    <w:rsid w:val="00B35BF4"/>
    <w:rPr>
      <w:rFonts w:ascii="Verdana" w:hAnsi="Verdana" w:hint="default"/>
      <w:b w:val="0"/>
      <w:bCs w:val="0"/>
      <w:i w:val="0"/>
      <w:iCs w:val="0"/>
      <w:sz w:val="17"/>
      <w:szCs w:val="17"/>
    </w:rPr>
  </w:style>
  <w:style w:type="paragraph" w:customStyle="1" w:styleId="listdash10">
    <w:name w:val="listdash1"/>
    <w:basedOn w:val="Normal"/>
    <w:rsid w:val="00FD3ECC"/>
    <w:pPr>
      <w:tabs>
        <w:tab w:val="num" w:pos="283"/>
      </w:tabs>
      <w:ind w:left="765" w:hanging="283"/>
    </w:pPr>
    <w:rPr>
      <w:rFonts w:ascii="Times New Roman" w:hAnsi="Times New Roman"/>
      <w:szCs w:val="24"/>
    </w:rPr>
  </w:style>
  <w:style w:type="character" w:customStyle="1" w:styleId="FooterChar">
    <w:name w:val="Footer Char"/>
    <w:link w:val="Footer"/>
    <w:rsid w:val="00634CB5"/>
    <w:rPr>
      <w:rFonts w:ascii="Arial" w:hAnsi="Arial"/>
      <w:sz w:val="16"/>
      <w:lang w:val="fr-FR" w:eastAsia="en-GB" w:bidi="ar-SA"/>
    </w:rPr>
  </w:style>
  <w:style w:type="paragraph" w:customStyle="1" w:styleId="Cover60">
    <w:name w:val="Cover60"/>
    <w:basedOn w:val="Normal"/>
    <w:rsid w:val="009A6382"/>
    <w:pPr>
      <w:widowControl w:val="0"/>
      <w:spacing w:after="1200"/>
      <w:ind w:left="1418"/>
      <w:jc w:val="left"/>
    </w:pPr>
    <w:rPr>
      <w:rFonts w:ascii="Times New Roman" w:hAnsi="Times New Roman"/>
    </w:rPr>
  </w:style>
  <w:style w:type="paragraph" w:customStyle="1" w:styleId="copy">
    <w:name w:val="copy"/>
    <w:basedOn w:val="Normal"/>
    <w:rsid w:val="009A6382"/>
    <w:pPr>
      <w:spacing w:before="100" w:beforeAutospacing="1" w:after="100" w:afterAutospacing="1" w:line="178" w:lineRule="atLeast"/>
      <w:jc w:val="left"/>
    </w:pPr>
    <w:rPr>
      <w:rFonts w:ascii="Verdana" w:hAnsi="Verdana"/>
      <w:color w:val="000000"/>
      <w:sz w:val="14"/>
      <w:szCs w:val="14"/>
      <w:lang w:eastAsia="en-US"/>
    </w:rPr>
  </w:style>
  <w:style w:type="character" w:customStyle="1" w:styleId="ListBulletChar">
    <w:name w:val="List Bullet Char"/>
    <w:rsid w:val="00B36749"/>
    <w:rPr>
      <w:sz w:val="24"/>
      <w:lang w:val="fr-FR" w:eastAsia="en-US" w:bidi="ar-SA"/>
    </w:rPr>
  </w:style>
  <w:style w:type="character" w:customStyle="1" w:styleId="Normal12HangingZnak">
    <w:name w:val="Normal12Hanging Znak"/>
    <w:rsid w:val="006474F2"/>
    <w:rPr>
      <w:sz w:val="24"/>
      <w:lang w:val="fr-FR" w:eastAsia="en-GB" w:bidi="ar-SA"/>
    </w:rPr>
  </w:style>
  <w:style w:type="character" w:customStyle="1" w:styleId="Text2Char1">
    <w:name w:val="Text 2 Char1"/>
    <w:link w:val="Text2"/>
    <w:rsid w:val="006474F2"/>
    <w:rPr>
      <w:rFonts w:ascii="Courier New" w:hAnsi="Courier New"/>
      <w:sz w:val="24"/>
      <w:lang w:val="fr-FR" w:eastAsia="en-GB" w:bidi="ar-SA"/>
    </w:rPr>
  </w:style>
  <w:style w:type="paragraph" w:customStyle="1" w:styleId="Cover24">
    <w:name w:val="Cover24"/>
    <w:basedOn w:val="Normal"/>
    <w:rsid w:val="00CF7345"/>
    <w:pPr>
      <w:widowControl w:val="0"/>
      <w:spacing w:after="480"/>
      <w:ind w:left="1418"/>
      <w:jc w:val="left"/>
    </w:pPr>
    <w:rPr>
      <w:rFonts w:ascii="Times New Roman" w:hAnsi="Times New Roman"/>
    </w:rPr>
  </w:style>
  <w:style w:type="character" w:customStyle="1" w:styleId="verdanaelflight">
    <w:name w:val="verdanaelflight"/>
    <w:basedOn w:val="DefaultParagraphFont"/>
    <w:rsid w:val="0059734D"/>
  </w:style>
  <w:style w:type="character" w:customStyle="1" w:styleId="titlemep">
    <w:name w:val="titlemep"/>
    <w:basedOn w:val="DefaultParagraphFont"/>
    <w:rsid w:val="000975A5"/>
  </w:style>
  <w:style w:type="character" w:customStyle="1" w:styleId="titlemep2">
    <w:name w:val="titlemep2"/>
    <w:basedOn w:val="DefaultParagraphFont"/>
    <w:rsid w:val="000975A5"/>
  </w:style>
  <w:style w:type="paragraph" w:customStyle="1" w:styleId="Normal6">
    <w:name w:val="Normal6"/>
    <w:basedOn w:val="Normal"/>
    <w:link w:val="Normal6Char"/>
    <w:rsid w:val="00A62579"/>
    <w:pPr>
      <w:widowControl w:val="0"/>
      <w:spacing w:after="120"/>
      <w:jc w:val="left"/>
    </w:pPr>
    <w:rPr>
      <w:rFonts w:ascii="Times New Roman" w:hAnsi="Times New Roman"/>
      <w:noProof/>
    </w:rPr>
  </w:style>
  <w:style w:type="character" w:customStyle="1" w:styleId="Normal6Char">
    <w:name w:val="Normal6 Char"/>
    <w:link w:val="Normal6"/>
    <w:rsid w:val="00A62579"/>
    <w:rPr>
      <w:noProof/>
      <w:sz w:val="24"/>
      <w:lang w:val="fr-FR" w:eastAsia="en-GB" w:bidi="ar-SA"/>
    </w:rPr>
  </w:style>
  <w:style w:type="character" w:customStyle="1" w:styleId="ListBulletCharCharChar">
    <w:name w:val="List Bullet Char Char Char"/>
    <w:rsid w:val="00536069"/>
    <w:rPr>
      <w:sz w:val="24"/>
      <w:lang w:val="fr-FR" w:eastAsia="en-US" w:bidi="ar-SA"/>
    </w:rPr>
  </w:style>
  <w:style w:type="paragraph" w:customStyle="1" w:styleId="texte-compact">
    <w:name w:val="texte-compact"/>
    <w:basedOn w:val="Normal"/>
    <w:rsid w:val="00F47793"/>
    <w:pPr>
      <w:spacing w:before="30"/>
      <w:jc w:val="left"/>
    </w:pPr>
    <w:rPr>
      <w:rFonts w:ascii="Times New Roman" w:hAnsi="Times New Roman"/>
      <w:szCs w:val="24"/>
    </w:rPr>
  </w:style>
  <w:style w:type="character" w:customStyle="1" w:styleId="NumPar1Char1">
    <w:name w:val="NumPar 1 Char1"/>
    <w:link w:val="NumPar1"/>
    <w:rsid w:val="00822F9D"/>
    <w:rPr>
      <w:rFonts w:ascii="Courier New" w:hAnsi="Courier New"/>
      <w:sz w:val="24"/>
    </w:rPr>
  </w:style>
  <w:style w:type="paragraph" w:customStyle="1" w:styleId="initial0">
    <w:name w:val="initial"/>
    <w:basedOn w:val="Normal"/>
    <w:rsid w:val="00E01174"/>
    <w:pPr>
      <w:spacing w:after="0"/>
    </w:pPr>
    <w:rPr>
      <w:rFonts w:ascii="Times New Roman" w:hAnsi="Times New Roman"/>
      <w:spacing w:val="-3"/>
      <w:szCs w:val="24"/>
    </w:rPr>
  </w:style>
  <w:style w:type="character" w:customStyle="1" w:styleId="Heading1Char">
    <w:name w:val="Heading 1 Char"/>
    <w:rsid w:val="000A1BDC"/>
    <w:rPr>
      <w:bCs/>
      <w:smallCaps/>
      <w:sz w:val="24"/>
      <w:lang w:val="fr-FR" w:eastAsia="ko-KR" w:bidi="ar-SA"/>
    </w:rPr>
  </w:style>
  <w:style w:type="paragraph" w:customStyle="1" w:styleId="Prliminairetype">
    <w:name w:val="Préliminaire type"/>
    <w:basedOn w:val="Normal"/>
    <w:next w:val="Normal"/>
    <w:rsid w:val="00495658"/>
    <w:pPr>
      <w:spacing w:before="360" w:after="0"/>
      <w:jc w:val="center"/>
    </w:pPr>
    <w:rPr>
      <w:rFonts w:ascii="Times New Roman" w:hAnsi="Times New Roman"/>
      <w:b/>
      <w:szCs w:val="24"/>
      <w:lang w:eastAsia="de-DE"/>
    </w:rPr>
  </w:style>
  <w:style w:type="character" w:customStyle="1" w:styleId="introtext">
    <w:name w:val="introtext"/>
    <w:basedOn w:val="DefaultParagraphFont"/>
    <w:rsid w:val="00FF30F1"/>
  </w:style>
  <w:style w:type="paragraph" w:styleId="ListParagraph">
    <w:name w:val="List Paragraph"/>
    <w:basedOn w:val="Normal"/>
    <w:uiPriority w:val="34"/>
    <w:qFormat/>
    <w:rsid w:val="001C680C"/>
    <w:pPr>
      <w:spacing w:after="200" w:line="276" w:lineRule="auto"/>
      <w:ind w:left="720"/>
      <w:contextualSpacing/>
      <w:jc w:val="left"/>
    </w:pPr>
    <w:rPr>
      <w:rFonts w:ascii="Calibri" w:eastAsia="Calibri" w:hAnsi="Calibri"/>
      <w:sz w:val="22"/>
      <w:szCs w:val="22"/>
      <w:lang w:eastAsia="en-US"/>
    </w:rPr>
  </w:style>
  <w:style w:type="paragraph" w:customStyle="1" w:styleId="ZDate">
    <w:name w:val="ZDate"/>
    <w:basedOn w:val="Normal"/>
    <w:rsid w:val="00A03CB8"/>
    <w:pPr>
      <w:widowControl w:val="0"/>
      <w:spacing w:after="1200"/>
      <w:jc w:val="left"/>
    </w:pPr>
    <w:rPr>
      <w:rFonts w:ascii="Times New Roman" w:hAnsi="Times New Roman"/>
    </w:rPr>
  </w:style>
  <w:style w:type="character" w:customStyle="1" w:styleId="Heading3Char">
    <w:name w:val="Heading 3 Char"/>
    <w:link w:val="Heading3"/>
    <w:rsid w:val="0067029D"/>
    <w:rPr>
      <w:rFonts w:ascii="Courier New" w:hAnsi="Courier New"/>
      <w:i/>
      <w:sz w:val="24"/>
    </w:rPr>
  </w:style>
  <w:style w:type="character" w:customStyle="1" w:styleId="5NormalChar">
    <w:name w:val="5 Normal Char"/>
    <w:link w:val="5Normal"/>
    <w:rsid w:val="00AB63A6"/>
    <w:rPr>
      <w:rFonts w:ascii="Arial" w:hAnsi="Arial"/>
      <w:spacing w:val="-2"/>
      <w:sz w:val="22"/>
      <w:lang w:val="fr-FR" w:eastAsia="en-GB" w:bidi="ar-SA"/>
    </w:rPr>
  </w:style>
  <w:style w:type="paragraph" w:customStyle="1" w:styleId="Prliminairetitre">
    <w:name w:val="Préliminaire titre"/>
    <w:basedOn w:val="Normal"/>
    <w:next w:val="Normal"/>
    <w:rsid w:val="00E85A91"/>
    <w:pPr>
      <w:spacing w:before="360" w:after="360"/>
      <w:jc w:val="center"/>
    </w:pPr>
    <w:rPr>
      <w:rFonts w:ascii="Times New Roman" w:hAnsi="Times New Roman"/>
      <w:b/>
      <w:szCs w:val="24"/>
      <w:lang w:eastAsia="de-DE"/>
    </w:rPr>
  </w:style>
  <w:style w:type="character" w:customStyle="1" w:styleId="docsubtitlelevel1bis">
    <w:name w:val="doc_subtitle_level1_bis"/>
    <w:basedOn w:val="DefaultParagraphFont"/>
    <w:rsid w:val="00871A9E"/>
  </w:style>
  <w:style w:type="paragraph" w:customStyle="1" w:styleId="a3520normalp5">
    <w:name w:val="a__35__20_normal_p5"/>
    <w:basedOn w:val="Normal"/>
    <w:rsid w:val="00BB7227"/>
    <w:pPr>
      <w:spacing w:after="120"/>
    </w:pPr>
    <w:rPr>
      <w:rFonts w:ascii="Times New Roman" w:hAnsi="Times New Roman"/>
      <w:szCs w:val="24"/>
      <w:lang w:eastAsia="en-US"/>
    </w:rPr>
  </w:style>
  <w:style w:type="paragraph" w:customStyle="1" w:styleId="Considrant">
    <w:name w:val="Considérant"/>
    <w:basedOn w:val="Normal"/>
    <w:rsid w:val="009D3B39"/>
    <w:pPr>
      <w:numPr>
        <w:numId w:val="19"/>
      </w:numPr>
      <w:spacing w:before="120" w:after="120"/>
    </w:pPr>
    <w:rPr>
      <w:rFonts w:ascii="Times New Roman" w:hAnsi="Times New Roman"/>
      <w:lang w:eastAsia="zh-CN"/>
    </w:rPr>
  </w:style>
  <w:style w:type="table" w:styleId="TableGrid1">
    <w:name w:val="Table Grid 1"/>
    <w:basedOn w:val="TableNormal"/>
    <w:rsid w:val="009D1A0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THeading2">
    <w:name w:val="AT Heading 2"/>
    <w:basedOn w:val="Normal"/>
    <w:next w:val="Normal"/>
    <w:link w:val="ATHeading2Char"/>
    <w:rsid w:val="004649AB"/>
    <w:pPr>
      <w:spacing w:before="120" w:after="120"/>
      <w:jc w:val="left"/>
      <w:outlineLvl w:val="1"/>
    </w:pPr>
    <w:rPr>
      <w:rFonts w:ascii="Times New Roman" w:hAnsi="Times New Roman"/>
      <w:b/>
      <w:noProof/>
      <w:sz w:val="28"/>
    </w:rPr>
  </w:style>
  <w:style w:type="character" w:customStyle="1" w:styleId="ATHeading2Char">
    <w:name w:val="AT Heading 2 Char"/>
    <w:link w:val="ATHeading2"/>
    <w:rsid w:val="004649AB"/>
    <w:rPr>
      <w:b/>
      <w:noProof/>
      <w:sz w:val="28"/>
      <w:lang w:val="fr-FR" w:eastAsia="en-GB" w:bidi="ar-SA"/>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rsid w:val="004649AB"/>
    <w:pPr>
      <w:spacing w:after="160" w:line="240" w:lineRule="exact"/>
      <w:jc w:val="left"/>
    </w:pPr>
    <w:rPr>
      <w:rFonts w:ascii="Times New Roman" w:hAnsi="Times New Roman"/>
      <w:sz w:val="20"/>
      <w:vertAlign w:val="superscript"/>
    </w:rPr>
  </w:style>
  <w:style w:type="character" w:customStyle="1" w:styleId="singlespaceChar">
    <w:name w:val="single space Char"/>
    <w:aliases w:val="footnote text Char1,Fußnote Char,FOOTNOTES Char, Char Char Char Char,Note de bas de page2 Char,Footnotes Char Char,footnote text Char Char,Footnotes Char1,Char Char Char Char"/>
    <w:locked/>
    <w:rsid w:val="004649AB"/>
    <w:rPr>
      <w:lang w:val="fr-FR" w:eastAsia="en-US" w:bidi="ar-SA"/>
    </w:rPr>
  </w:style>
  <w:style w:type="paragraph" w:customStyle="1" w:styleId="Listenabsatz">
    <w:name w:val="Listenabsatz"/>
    <w:basedOn w:val="Normal"/>
    <w:qFormat/>
    <w:rsid w:val="00316C69"/>
    <w:pPr>
      <w:spacing w:after="200" w:line="276" w:lineRule="auto"/>
      <w:ind w:left="720"/>
      <w:contextualSpacing/>
      <w:jc w:val="left"/>
    </w:pPr>
    <w:rPr>
      <w:rFonts w:ascii="Calibri" w:eastAsia="Calibri" w:hAnsi="Calibri"/>
      <w:sz w:val="22"/>
      <w:szCs w:val="22"/>
      <w:lang w:eastAsia="en-US"/>
    </w:rPr>
  </w:style>
  <w:style w:type="paragraph" w:customStyle="1" w:styleId="Point0">
    <w:name w:val="Point 0"/>
    <w:basedOn w:val="Normal"/>
    <w:rsid w:val="001912E2"/>
    <w:pPr>
      <w:spacing w:before="120" w:after="120"/>
      <w:ind w:left="850" w:hanging="850"/>
    </w:pPr>
    <w:rPr>
      <w:rFonts w:ascii="Times New Roman" w:hAnsi="Times New Roman"/>
      <w:szCs w:val="24"/>
      <w:lang w:eastAsia="de-DE"/>
    </w:rPr>
  </w:style>
  <w:style w:type="character" w:customStyle="1" w:styleId="5NormalCar">
    <w:name w:val="5 Normal Car"/>
    <w:rsid w:val="005951D7"/>
    <w:rPr>
      <w:rFonts w:ascii="Arial" w:hAnsi="Arial"/>
      <w:spacing w:val="-2"/>
      <w:sz w:val="22"/>
      <w:lang w:val="fr-FR" w:eastAsia="en-GB" w:bidi="ar-SA"/>
    </w:rPr>
  </w:style>
  <w:style w:type="paragraph" w:customStyle="1" w:styleId="Briefingspeakdef">
    <w:name w:val="Briefing speak/def"/>
    <w:basedOn w:val="Normal"/>
    <w:rsid w:val="005951D7"/>
    <w:pPr>
      <w:numPr>
        <w:numId w:val="20"/>
      </w:numPr>
      <w:tabs>
        <w:tab w:val="clear" w:pos="765"/>
        <w:tab w:val="num" w:pos="284"/>
      </w:tabs>
      <w:ind w:left="284" w:hanging="284"/>
    </w:pPr>
    <w:rPr>
      <w:rFonts w:ascii="Tahoma" w:hAnsi="Tahoma" w:cs="Tahoma"/>
      <w:sz w:val="40"/>
      <w:szCs w:val="22"/>
      <w:lang w:eastAsia="en-US"/>
    </w:rPr>
  </w:style>
  <w:style w:type="character" w:customStyle="1" w:styleId="NormalWebChar">
    <w:name w:val="Normal (Web) Char"/>
    <w:aliases w:val="webb Char"/>
    <w:rsid w:val="00AB650D"/>
    <w:rPr>
      <w:sz w:val="24"/>
      <w:szCs w:val="24"/>
      <w:lang w:val="fr-FR" w:eastAsia="en-GB" w:bidi="ar-SA"/>
    </w:rPr>
  </w:style>
  <w:style w:type="paragraph" w:customStyle="1" w:styleId="Briefinglist1">
    <w:name w:val="Briefing list 1"/>
    <w:basedOn w:val="Normal"/>
    <w:rsid w:val="007E4EE6"/>
    <w:pPr>
      <w:spacing w:after="0"/>
      <w:jc w:val="left"/>
    </w:pPr>
    <w:rPr>
      <w:rFonts w:ascii="Times New Roman" w:hAnsi="Times New Roman"/>
      <w:szCs w:val="24"/>
    </w:rPr>
  </w:style>
  <w:style w:type="paragraph" w:customStyle="1" w:styleId="Briefingtext">
    <w:name w:val="Briefing text"/>
    <w:basedOn w:val="Normal"/>
    <w:link w:val="BriefingtextChar"/>
    <w:rsid w:val="00217E48"/>
    <w:rPr>
      <w:rFonts w:ascii="Arial" w:hAnsi="Arial" w:cs="Arial"/>
      <w:sz w:val="22"/>
      <w:szCs w:val="24"/>
      <w:lang w:eastAsia="en-US"/>
    </w:rPr>
  </w:style>
  <w:style w:type="character" w:customStyle="1" w:styleId="BriefingtextChar">
    <w:name w:val="Briefing text Char"/>
    <w:link w:val="Briefingtext"/>
    <w:rsid w:val="00217E48"/>
    <w:rPr>
      <w:rFonts w:ascii="Arial" w:hAnsi="Arial" w:cs="Arial"/>
      <w:sz w:val="22"/>
      <w:szCs w:val="24"/>
      <w:lang w:val="fr-FR" w:eastAsia="en-US" w:bidi="ar-SA"/>
    </w:rPr>
  </w:style>
  <w:style w:type="numbering" w:styleId="111111">
    <w:name w:val="Outline List 2"/>
    <w:basedOn w:val="NoList"/>
    <w:rsid w:val="00BC35A6"/>
    <w:pPr>
      <w:numPr>
        <w:numId w:val="21"/>
      </w:numPr>
    </w:pPr>
  </w:style>
  <w:style w:type="character" w:customStyle="1" w:styleId="at11">
    <w:name w:val="a__t11"/>
    <w:rsid w:val="008B3A18"/>
    <w:rPr>
      <w:b/>
      <w:bCs/>
    </w:rPr>
  </w:style>
  <w:style w:type="paragraph" w:customStyle="1" w:styleId="a3520normal">
    <w:name w:val="a___35__20_normal"/>
    <w:basedOn w:val="Normal"/>
    <w:rsid w:val="0069026C"/>
    <w:pPr>
      <w:spacing w:before="30"/>
      <w:jc w:val="left"/>
    </w:pPr>
    <w:rPr>
      <w:rFonts w:ascii="Times New Roman" w:hAnsi="Times New Roman"/>
      <w:sz w:val="20"/>
    </w:rPr>
  </w:style>
  <w:style w:type="character" w:customStyle="1" w:styleId="at1">
    <w:name w:val="a__t1"/>
    <w:basedOn w:val="DefaultParagraphFont"/>
    <w:rsid w:val="00AE7C82"/>
  </w:style>
  <w:style w:type="character" w:customStyle="1" w:styleId="at51">
    <w:name w:val="a__t51"/>
    <w:rsid w:val="00AE7C82"/>
    <w:rPr>
      <w:i/>
      <w:iCs/>
    </w:rPr>
  </w:style>
  <w:style w:type="character" w:customStyle="1" w:styleId="at61">
    <w:name w:val="a__t61"/>
    <w:rsid w:val="00AE7C82"/>
    <w:rPr>
      <w:u w:val="single"/>
    </w:rPr>
  </w:style>
  <w:style w:type="character" w:customStyle="1" w:styleId="at111">
    <w:name w:val="a__t111"/>
    <w:rsid w:val="00AE7C82"/>
    <w:rPr>
      <w:color w:val="000000"/>
    </w:rPr>
  </w:style>
  <w:style w:type="paragraph" w:customStyle="1" w:styleId="Rapporteur">
    <w:name w:val="Rapporteur"/>
    <w:basedOn w:val="Normal"/>
    <w:rsid w:val="00E72F7C"/>
    <w:pPr>
      <w:tabs>
        <w:tab w:val="num" w:pos="540"/>
        <w:tab w:val="left" w:pos="2160"/>
      </w:tabs>
      <w:spacing w:after="120"/>
      <w:ind w:left="540"/>
    </w:pPr>
    <w:rPr>
      <w:rFonts w:ascii="Times New Roman" w:hAnsi="Times New Roman"/>
      <w:szCs w:val="24"/>
      <w:u w:val="single"/>
      <w:lang w:eastAsia="en-US"/>
    </w:rPr>
  </w:style>
  <w:style w:type="paragraph" w:customStyle="1" w:styleId="5normal0">
    <w:name w:val="5normal"/>
    <w:basedOn w:val="Normal"/>
    <w:rsid w:val="00C124C9"/>
    <w:pPr>
      <w:spacing w:before="100" w:beforeAutospacing="1" w:after="100" w:afterAutospacing="1"/>
      <w:jc w:val="left"/>
    </w:pPr>
    <w:rPr>
      <w:rFonts w:ascii="Arial" w:hAnsi="Arial" w:cs="Arial"/>
      <w:sz w:val="20"/>
    </w:rPr>
  </w:style>
  <w:style w:type="character" w:customStyle="1" w:styleId="hps">
    <w:name w:val="hps"/>
    <w:basedOn w:val="DefaultParagraphFont"/>
    <w:rsid w:val="002C30C5"/>
  </w:style>
  <w:style w:type="character" w:customStyle="1" w:styleId="FootnoteTextCharCharCharCharChar1">
    <w:name w:val="Footnote Text Char Char Char Char Char1"/>
    <w:aliases w:val="Footnote Text Char Char Char1,Footnote Text Char Char Char Char Char Char,Footnote Text Char Char Char Char Char Char Char Char Char,Footnote Text Char Char Char Char1,Schriftart: 9 pt Char1"/>
    <w:semiHidden/>
    <w:locked/>
    <w:rsid w:val="00EA0D59"/>
    <w:rPr>
      <w:lang w:val="fr-FR" w:eastAsia="en-GB" w:bidi="ar-SA"/>
    </w:rPr>
  </w:style>
  <w:style w:type="character" w:customStyle="1" w:styleId="InitialChar">
    <w:name w:val="Initial Char"/>
    <w:link w:val="Initial"/>
    <w:rsid w:val="00FD22F7"/>
    <w:rPr>
      <w:spacing w:val="-3"/>
      <w:sz w:val="24"/>
      <w:lang w:val="fr-FR" w:eastAsia="en-GB" w:bidi="ar-SA"/>
    </w:rPr>
  </w:style>
  <w:style w:type="paragraph" w:customStyle="1" w:styleId="Briefingspdef">
    <w:name w:val="Briefing sp/def"/>
    <w:basedOn w:val="Normal"/>
    <w:rsid w:val="00FD22F7"/>
    <w:pPr>
      <w:keepLines/>
      <w:numPr>
        <w:numId w:val="22"/>
      </w:numPr>
      <w:spacing w:after="480"/>
    </w:pPr>
    <w:rPr>
      <w:rFonts w:ascii="Arial" w:hAnsi="Arial" w:cs="Arial"/>
      <w:sz w:val="48"/>
      <w:szCs w:val="48"/>
    </w:rPr>
  </w:style>
  <w:style w:type="character" w:customStyle="1" w:styleId="titlemep1">
    <w:name w:val="titlemep1"/>
    <w:rsid w:val="00DC0AA5"/>
    <w:rPr>
      <w:rFonts w:ascii="Verdana" w:hAnsi="Verdana" w:hint="default"/>
      <w:b/>
      <w:bCs/>
      <w:color w:val="48452D"/>
      <w:sz w:val="16"/>
      <w:szCs w:val="16"/>
    </w:rPr>
  </w:style>
  <w:style w:type="character" w:customStyle="1" w:styleId="referencenotice">
    <w:name w:val="reference_notice"/>
    <w:basedOn w:val="DefaultParagraphFont"/>
    <w:rsid w:val="007D628A"/>
  </w:style>
  <w:style w:type="character" w:customStyle="1" w:styleId="ephidden1">
    <w:name w:val="ep_hidden1"/>
    <w:rsid w:val="00ED4495"/>
    <w:rPr>
      <w:vanish w:val="0"/>
      <w:webHidden w:val="0"/>
      <w:color w:val="000000"/>
      <w:shd w:val="clear" w:color="auto" w:fill="FFFFFF"/>
      <w:specVanish w:val="0"/>
    </w:rPr>
  </w:style>
  <w:style w:type="character" w:customStyle="1" w:styleId="playersrapportertext1">
    <w:name w:val="players_rapporter_text1"/>
    <w:basedOn w:val="DefaultParagraphFont"/>
    <w:rsid w:val="00151572"/>
  </w:style>
  <w:style w:type="character" w:customStyle="1" w:styleId="apple-converted-space">
    <w:name w:val="apple-converted-space"/>
    <w:basedOn w:val="DefaultParagraphFont"/>
    <w:rsid w:val="00151572"/>
  </w:style>
  <w:style w:type="character" w:customStyle="1" w:styleId="ringrefselectedheader1">
    <w:name w:val="ring_ref_selected_header1"/>
    <w:rsid w:val="00A12CB4"/>
    <w:rPr>
      <w:rFonts w:ascii="Arial" w:hAnsi="Arial" w:cs="Arial" w:hint="default"/>
      <w:b w:val="0"/>
      <w:bCs w:val="0"/>
      <w:strike w:val="0"/>
      <w:dstrike w:val="0"/>
      <w:color w:val="666666"/>
      <w:sz w:val="22"/>
      <w:szCs w:val="22"/>
      <w:u w:val="none"/>
      <w:effect w:val="none"/>
      <w:bdr w:val="single" w:sz="4" w:space="0" w:color="0077BE" w:frame="1"/>
      <w:shd w:val="clear" w:color="auto" w:fill="FFFFFF"/>
    </w:rPr>
  </w:style>
  <w:style w:type="paragraph" w:customStyle="1" w:styleId="briefingspdef0">
    <w:name w:val="briefingspdef"/>
    <w:basedOn w:val="Normal"/>
    <w:rsid w:val="00A12CB4"/>
    <w:pPr>
      <w:spacing w:before="100" w:beforeAutospacing="1" w:after="100" w:afterAutospacing="1"/>
      <w:jc w:val="left"/>
    </w:pPr>
    <w:rPr>
      <w:rFonts w:ascii="Times New Roman" w:hAnsi="Times New Roman"/>
      <w:szCs w:val="24"/>
    </w:rPr>
  </w:style>
  <w:style w:type="character" w:customStyle="1" w:styleId="contentssmallbis1">
    <w:name w:val="contents_small_bis1"/>
    <w:rsid w:val="00801E69"/>
    <w:rPr>
      <w:rFonts w:ascii="Arial" w:hAnsi="Arial" w:cs="Arial" w:hint="default"/>
      <w:b w:val="0"/>
      <w:bCs w:val="0"/>
      <w:color w:val="999999"/>
      <w:sz w:val="24"/>
      <w:szCs w:val="24"/>
    </w:rPr>
  </w:style>
  <w:style w:type="character" w:customStyle="1" w:styleId="auteur">
    <w:name w:val="auteur"/>
    <w:basedOn w:val="DefaultParagraphFont"/>
    <w:rsid w:val="00801E69"/>
  </w:style>
  <w:style w:type="character" w:customStyle="1" w:styleId="reference2">
    <w:name w:val="reference2"/>
    <w:rsid w:val="00402C69"/>
    <w:rPr>
      <w:b/>
      <w:bCs/>
    </w:rPr>
  </w:style>
  <w:style w:type="paragraph" w:customStyle="1" w:styleId="CoverBold">
    <w:name w:val="CoverBold"/>
    <w:basedOn w:val="Normal"/>
    <w:rsid w:val="00023C78"/>
    <w:pPr>
      <w:widowControl w:val="0"/>
      <w:spacing w:after="0"/>
      <w:ind w:left="1418"/>
      <w:jc w:val="left"/>
    </w:pPr>
    <w:rPr>
      <w:rFonts w:ascii="Times New Roman" w:hAnsi="Times New Roman"/>
      <w:b/>
    </w:rPr>
  </w:style>
  <w:style w:type="paragraph" w:customStyle="1" w:styleId="s16">
    <w:name w:val="s16"/>
    <w:basedOn w:val="Normal"/>
    <w:rsid w:val="0093481E"/>
    <w:pPr>
      <w:spacing w:before="100" w:beforeAutospacing="1" w:after="100" w:afterAutospacing="1"/>
      <w:jc w:val="left"/>
    </w:pPr>
    <w:rPr>
      <w:rFonts w:ascii="Times New Roman" w:hAnsi="Times New Roman"/>
      <w:szCs w:val="24"/>
    </w:rPr>
  </w:style>
  <w:style w:type="character" w:customStyle="1" w:styleId="bumpedfont15">
    <w:name w:val="bumpedfont15"/>
    <w:basedOn w:val="DefaultParagraphFont"/>
    <w:rsid w:val="0093481E"/>
  </w:style>
  <w:style w:type="paragraph" w:styleId="NoSpacing">
    <w:name w:val="No Spacing"/>
    <w:link w:val="NoSpacingChar"/>
    <w:uiPriority w:val="1"/>
    <w:qFormat/>
    <w:rsid w:val="005855E7"/>
    <w:rPr>
      <w:rFonts w:ascii="Arial" w:hAnsi="Arial"/>
      <w:sz w:val="22"/>
      <w:szCs w:val="22"/>
      <w:lang w:eastAsia="en-US"/>
    </w:rPr>
  </w:style>
  <w:style w:type="character" w:styleId="HTMLCite">
    <w:name w:val="HTML Cite"/>
    <w:rsid w:val="0050397D"/>
    <w:rPr>
      <w:i w:val="0"/>
      <w:iCs w:val="0"/>
      <w:color w:val="0E774A"/>
    </w:rPr>
  </w:style>
  <w:style w:type="character" w:customStyle="1" w:styleId="Hanging12Char">
    <w:name w:val="Hanging12 Char"/>
    <w:link w:val="Hanging12"/>
    <w:locked/>
    <w:rsid w:val="00E61FC7"/>
    <w:rPr>
      <w:sz w:val="24"/>
      <w:lang w:val="fr-FR" w:eastAsia="en-GB" w:bidi="ar-SA"/>
    </w:rPr>
  </w:style>
  <w:style w:type="paragraph" w:customStyle="1" w:styleId="ZnakZnak">
    <w:name w:val="Znak Znak"/>
    <w:basedOn w:val="Normal"/>
    <w:link w:val="NoList"/>
    <w:rsid w:val="00E61FC7"/>
    <w:pPr>
      <w:spacing w:after="0" w:line="360" w:lineRule="auto"/>
    </w:pPr>
    <w:rPr>
      <w:rFonts w:ascii="Verdana" w:hAnsi="Verdana"/>
      <w:sz w:val="20"/>
      <w:lang w:eastAsia="pl-PL"/>
    </w:rPr>
  </w:style>
  <w:style w:type="character" w:customStyle="1" w:styleId="st">
    <w:name w:val="st"/>
    <w:rsid w:val="00EC3A6B"/>
  </w:style>
  <w:style w:type="character" w:customStyle="1" w:styleId="CommentTextChar">
    <w:name w:val="Comment Text Char"/>
    <w:link w:val="CommentText"/>
    <w:rsid w:val="007726A9"/>
    <w:rPr>
      <w:rFonts w:ascii="Courier New" w:hAnsi="Courier New"/>
      <w:lang w:val="fr-FR" w:eastAsia="en-GB" w:bidi="ar-SA"/>
    </w:rPr>
  </w:style>
  <w:style w:type="character" w:customStyle="1" w:styleId="highlightedsearchterm">
    <w:name w:val="highlightedsearchterm"/>
    <w:rsid w:val="007726A9"/>
  </w:style>
  <w:style w:type="character" w:customStyle="1" w:styleId="iceouttxtcommissiondossiercontenttablecol3-title">
    <w:name w:val="iceouttxt commissiondossiercontenttablecol3-title"/>
    <w:rsid w:val="007726A9"/>
    <w:rPr>
      <w:sz w:val="24"/>
      <w:szCs w:val="24"/>
      <w:bdr w:val="none" w:sz="0" w:space="0" w:color="auto" w:frame="1"/>
      <w:vertAlign w:val="baseline"/>
    </w:rPr>
  </w:style>
  <w:style w:type="character" w:customStyle="1" w:styleId="FootnoteTextCharCarChar">
    <w:name w:val="Footnote Text Char Car Char"/>
    <w:aliases w:val="Fußnotentextf Char,Note de bas de page 1 Char,footnote Char,Voetnoottekst Char Char Char Char Char,Voetnoottekst1 Char,Sprotna opomba - besedilo Znak Znak Znak Char,Sprotna opomba - besedilo Znak Znak Char"/>
    <w:rsid w:val="00721020"/>
    <w:rPr>
      <w:lang w:val="fr-FR" w:eastAsia="en-GB" w:bidi="ar-SA"/>
    </w:rPr>
  </w:style>
  <w:style w:type="paragraph" w:customStyle="1" w:styleId="intropara">
    <w:name w:val="intropara"/>
    <w:basedOn w:val="Normal"/>
    <w:rsid w:val="009B7E72"/>
    <w:pPr>
      <w:spacing w:before="100" w:beforeAutospacing="1" w:after="100" w:afterAutospacing="1"/>
      <w:ind w:right="612"/>
      <w:jc w:val="left"/>
    </w:pPr>
    <w:rPr>
      <w:rFonts w:ascii="Times New Roman" w:hAnsi="Times New Roman"/>
      <w:b/>
      <w:bCs/>
      <w:szCs w:val="24"/>
    </w:rPr>
  </w:style>
  <w:style w:type="paragraph" w:customStyle="1" w:styleId="ZnakZnak0">
    <w:name w:val="Znak Znak"/>
    <w:basedOn w:val="Normal"/>
    <w:rsid w:val="002D2D7A"/>
    <w:pPr>
      <w:spacing w:after="0" w:line="360" w:lineRule="auto"/>
    </w:pPr>
    <w:rPr>
      <w:rFonts w:ascii="Verdana" w:hAnsi="Verdana"/>
      <w:sz w:val="20"/>
      <w:lang w:eastAsia="pl-PL"/>
    </w:rPr>
  </w:style>
  <w:style w:type="character" w:customStyle="1" w:styleId="NoSpacingChar">
    <w:name w:val="No Spacing Char"/>
    <w:link w:val="NoSpacing"/>
    <w:uiPriority w:val="1"/>
    <w:locked/>
    <w:rsid w:val="00513CF8"/>
    <w:rPr>
      <w:rFonts w:ascii="Arial" w:hAnsi="Arial"/>
      <w:sz w:val="22"/>
      <w:szCs w:val="22"/>
      <w:lang w:eastAsia="en-US"/>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uiPriority w:val="99"/>
    <w:rsid w:val="00CF192F"/>
    <w:pPr>
      <w:spacing w:after="160" w:line="240" w:lineRule="exact"/>
    </w:pPr>
    <w:rPr>
      <w:rFonts w:ascii="Times New Roman" w:hAnsi="Times New Roman"/>
      <w:sz w:val="20"/>
      <w:vertAlign w:val="superscript"/>
    </w:rPr>
  </w:style>
  <w:style w:type="character" w:customStyle="1" w:styleId="at7">
    <w:name w:val="a__t7"/>
    <w:rsid w:val="00B76067"/>
  </w:style>
  <w:style w:type="paragraph" w:customStyle="1" w:styleId="BVIfnrCarCar">
    <w:name w:val="BVI fnr Car Car"/>
    <w:aliases w:val="BVI fnr Car,BVI fnr Car Car Car Car,BVI fnr Char Char Char Char Char Char Char"/>
    <w:basedOn w:val="Normal"/>
    <w:uiPriority w:val="99"/>
    <w:rsid w:val="003C6D10"/>
    <w:pPr>
      <w:spacing w:before="120" w:after="160" w:line="240" w:lineRule="exact"/>
      <w:jc w:val="left"/>
    </w:pPr>
    <w:rPr>
      <w:rFonts w:ascii="Calibri" w:eastAsia="Calibri" w:hAnsi="Calibri"/>
      <w:sz w:val="22"/>
      <w:szCs w:val="22"/>
      <w:vertAlign w:val="superscript"/>
      <w:lang w:eastAsia="en-US"/>
    </w:rPr>
  </w:style>
  <w:style w:type="paragraph" w:customStyle="1" w:styleId="En-ttedetabledesmatires">
    <w:name w:val="En-tête de table des matières"/>
    <w:basedOn w:val="Normal"/>
    <w:next w:val="Normal"/>
    <w:qFormat/>
    <w:rsid w:val="007C5D8A"/>
    <w:pPr>
      <w:keepNext/>
      <w:spacing w:before="240"/>
      <w:jc w:val="center"/>
    </w:pPr>
    <w:rPr>
      <w:b/>
    </w:rPr>
  </w:style>
  <w:style w:type="paragraph" w:customStyle="1" w:styleId="ColorfulList-Accent11">
    <w:name w:val="Colorful List - Accent 11"/>
    <w:basedOn w:val="Normal"/>
    <w:qFormat/>
    <w:rsid w:val="007C5D8A"/>
    <w:pPr>
      <w:spacing w:after="200" w:line="276" w:lineRule="auto"/>
      <w:ind w:left="720"/>
      <w:contextualSpacing/>
      <w:jc w:val="left"/>
    </w:pPr>
    <w:rPr>
      <w:rFonts w:ascii="Calibri" w:eastAsia="Calibri" w:hAnsi="Calibri"/>
      <w:sz w:val="22"/>
      <w:szCs w:val="22"/>
      <w:lang w:eastAsia="en-US"/>
    </w:rPr>
  </w:style>
  <w:style w:type="paragraph" w:customStyle="1" w:styleId="MediumGrid21">
    <w:name w:val="Medium Grid 21"/>
    <w:link w:val="MediumGrid2Char"/>
    <w:uiPriority w:val="1"/>
    <w:qFormat/>
    <w:rsid w:val="007C5D8A"/>
    <w:rPr>
      <w:rFonts w:ascii="Arial" w:hAnsi="Arial"/>
      <w:sz w:val="22"/>
      <w:szCs w:val="22"/>
      <w:lang w:eastAsia="en-US"/>
    </w:rPr>
  </w:style>
  <w:style w:type="character" w:customStyle="1" w:styleId="MediumGrid2Char">
    <w:name w:val="Medium Grid 2 Char"/>
    <w:link w:val="MediumGrid21"/>
    <w:uiPriority w:val="1"/>
    <w:locked/>
    <w:rsid w:val="007C5D8A"/>
    <w:rPr>
      <w:rFonts w:ascii="Arial" w:hAnsi="Arial"/>
      <w:sz w:val="22"/>
      <w:szCs w:val="22"/>
      <w:lang w:eastAsia="en-US"/>
    </w:rPr>
  </w:style>
  <w:style w:type="character" w:customStyle="1" w:styleId="subcontenttext2">
    <w:name w:val="subcontenttext2"/>
    <w:rsid w:val="007C5D8A"/>
    <w:rPr>
      <w:color w:val="000000"/>
    </w:rPr>
  </w:style>
  <w:style w:type="paragraph" w:customStyle="1" w:styleId="astandard">
    <w:name w:val="a__standard"/>
    <w:basedOn w:val="Normal"/>
    <w:rsid w:val="007C5D8A"/>
    <w:pPr>
      <w:spacing w:after="120"/>
      <w:ind w:right="57"/>
    </w:pPr>
    <w:rPr>
      <w:rFonts w:ascii="Times New Roman" w:hAnsi="Times New Roman"/>
      <w:szCs w:val="24"/>
    </w:rPr>
  </w:style>
  <w:style w:type="paragraph" w:customStyle="1" w:styleId="astandard3520normal">
    <w:name w:val="a_standard__35__20_normal"/>
    <w:basedOn w:val="Normal"/>
    <w:rsid w:val="007C5D8A"/>
    <w:pPr>
      <w:spacing w:after="120"/>
      <w:ind w:right="57"/>
    </w:pPr>
    <w:rPr>
      <w:rFonts w:ascii="Times New Roman" w:hAnsi="Times New Roman"/>
      <w:szCs w:val="24"/>
    </w:rPr>
  </w:style>
  <w:style w:type="paragraph" w:customStyle="1" w:styleId="astandardp1">
    <w:name w:val="a_standard_p1"/>
    <w:basedOn w:val="Normal"/>
    <w:rsid w:val="007C5D8A"/>
    <w:pPr>
      <w:spacing w:after="120"/>
      <w:ind w:right="57"/>
    </w:pPr>
    <w:rPr>
      <w:rFonts w:ascii="Times New Roman" w:hAnsi="Times New Roman"/>
      <w:szCs w:val="24"/>
    </w:rPr>
  </w:style>
  <w:style w:type="paragraph" w:customStyle="1" w:styleId="a3520normalp10">
    <w:name w:val="a__35__20_normal_p10"/>
    <w:basedOn w:val="Normal"/>
    <w:rsid w:val="007C5D8A"/>
    <w:pPr>
      <w:spacing w:after="120"/>
      <w:ind w:right="57"/>
    </w:pPr>
    <w:rPr>
      <w:rFonts w:ascii="Times New Roman" w:hAnsi="Times New Roman"/>
      <w:szCs w:val="24"/>
    </w:rPr>
  </w:style>
  <w:style w:type="paragraph" w:customStyle="1" w:styleId="asous-titre201p11">
    <w:name w:val="a_sous-titre_20_1_p11"/>
    <w:basedOn w:val="Normal"/>
    <w:rsid w:val="007C5D8A"/>
    <w:pPr>
      <w:spacing w:after="120"/>
      <w:ind w:right="57"/>
    </w:pPr>
    <w:rPr>
      <w:rFonts w:ascii="Times New Roman" w:hAnsi="Times New Roman"/>
      <w:b/>
      <w:bCs/>
      <w:szCs w:val="24"/>
    </w:rPr>
  </w:style>
  <w:style w:type="character" w:customStyle="1" w:styleId="at3">
    <w:name w:val="a__t3"/>
    <w:rsid w:val="007C5D8A"/>
  </w:style>
  <w:style w:type="character" w:customStyle="1" w:styleId="at5">
    <w:name w:val="a__t5"/>
    <w:rsid w:val="007C5D8A"/>
  </w:style>
  <w:style w:type="paragraph" w:customStyle="1" w:styleId="CM1">
    <w:name w:val="CM1"/>
    <w:basedOn w:val="Default"/>
    <w:next w:val="Default"/>
    <w:uiPriority w:val="99"/>
    <w:rsid w:val="007C5D8A"/>
    <w:rPr>
      <w:rFonts w:ascii="EUAlbertina" w:hAnsi="EUAlbertina"/>
      <w:color w:val="auto"/>
      <w:lang w:eastAsia="en-GB"/>
    </w:rPr>
  </w:style>
  <w:style w:type="paragraph" w:customStyle="1" w:styleId="CM3">
    <w:name w:val="CM3"/>
    <w:basedOn w:val="Default"/>
    <w:next w:val="Default"/>
    <w:uiPriority w:val="99"/>
    <w:rsid w:val="007C5D8A"/>
    <w:rPr>
      <w:rFonts w:ascii="EUAlbertina" w:hAnsi="EUAlbertina"/>
      <w:color w:val="auto"/>
      <w:lang w:eastAsia="en-GB"/>
    </w:rPr>
  </w:style>
  <w:style w:type="paragraph" w:customStyle="1" w:styleId="CM4">
    <w:name w:val="CM4"/>
    <w:basedOn w:val="Default"/>
    <w:next w:val="Default"/>
    <w:uiPriority w:val="99"/>
    <w:rsid w:val="007C5D8A"/>
    <w:rPr>
      <w:rFonts w:ascii="EUAlbertina" w:hAnsi="EUAlbertina"/>
      <w:color w:val="auto"/>
      <w:lang w:eastAsia="en-GB"/>
    </w:rPr>
  </w:style>
  <w:style w:type="character" w:customStyle="1" w:styleId="st1">
    <w:name w:val="st1"/>
    <w:rsid w:val="007C5D8A"/>
  </w:style>
  <w:style w:type="character" w:customStyle="1" w:styleId="CharacterStyle1">
    <w:name w:val="Character Style 1"/>
    <w:uiPriority w:val="99"/>
    <w:rsid w:val="007C5D8A"/>
    <w:rPr>
      <w:rFonts w:ascii="Arial" w:hAnsi="Arial" w:cs="Arial" w:hint="default"/>
      <w:sz w:val="6"/>
    </w:rPr>
  </w:style>
  <w:style w:type="character" w:customStyle="1" w:styleId="subcontenttextbold2">
    <w:name w:val="subcontenttextbold2"/>
    <w:rsid w:val="007C5D8A"/>
    <w:rPr>
      <w:b/>
      <w:bCs/>
      <w:color w:val="000000"/>
    </w:rPr>
  </w:style>
  <w:style w:type="paragraph" w:styleId="Revision">
    <w:name w:val="Revision"/>
    <w:hidden/>
    <w:uiPriority w:val="99"/>
    <w:semiHidden/>
    <w:rsid w:val="007C5D8A"/>
    <w:rPr>
      <w:rFonts w:ascii="Courier New" w:hAnsi="Courier New"/>
      <w:sz w:val="24"/>
    </w:rPr>
  </w:style>
  <w:style w:type="paragraph" w:customStyle="1" w:styleId="normal2">
    <w:name w:val="normal2"/>
    <w:basedOn w:val="Normal"/>
    <w:rsid w:val="007C5D8A"/>
    <w:pPr>
      <w:spacing w:before="195" w:after="0"/>
    </w:pPr>
    <w:rPr>
      <w:rFonts w:ascii="Times New Roman" w:hAnsi="Times New Roman"/>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rsid w:val="00E95D68"/>
    <w:pPr>
      <w:spacing w:before="240" w:after="160" w:line="240" w:lineRule="exact"/>
      <w:jc w:val="left"/>
    </w:pPr>
    <w:rPr>
      <w:rFonts w:ascii="Times New Roman" w:hAnsi="Times New Roman"/>
      <w:sz w:val="20"/>
      <w:vertAlign w:val="superscript"/>
    </w:rPr>
  </w:style>
  <w:style w:type="character" w:customStyle="1" w:styleId="PlainTextChar">
    <w:name w:val="Plain Text Char"/>
    <w:link w:val="PlainText"/>
    <w:uiPriority w:val="99"/>
    <w:rsid w:val="00866EEF"/>
    <w:rPr>
      <w:rFonts w:ascii="Courier New" w:hAnsi="Courier New"/>
    </w:rPr>
  </w:style>
  <w:style w:type="character" w:customStyle="1" w:styleId="A5">
    <w:name w:val="A5"/>
    <w:uiPriority w:val="99"/>
    <w:rsid w:val="007F48ED"/>
    <w:rPr>
      <w:rFonts w:cs="EC Square Sans Cond Pro"/>
      <w:color w:val="000000"/>
      <w:sz w:val="22"/>
      <w:szCs w:val="22"/>
    </w:rPr>
  </w:style>
  <w:style w:type="paragraph" w:customStyle="1" w:styleId="Appelnotedebasdep">
    <w:name w:val="Appel note de bas de p"/>
    <w:aliases w:val="Nota,Ref, Char1,(NECG) Footnote Reference,fr,Style 6,Signature Ch"/>
    <w:basedOn w:val="Normal"/>
    <w:next w:val="Normal"/>
    <w:uiPriority w:val="99"/>
    <w:rsid w:val="008C79B9"/>
    <w:pPr>
      <w:spacing w:after="160" w:line="240" w:lineRule="exact"/>
      <w:jc w:val="left"/>
    </w:pPr>
    <w:rPr>
      <w:rFonts w:ascii="Times New Roman" w:hAnsi="Times New Roman"/>
      <w:sz w:val="20"/>
      <w:vertAlign w:val="superscript"/>
    </w:rPr>
  </w:style>
  <w:style w:type="character" w:customStyle="1" w:styleId="Corpsdutexte5">
    <w:name w:val="Corps du texte (5)_"/>
    <w:link w:val="Corpsdutexte50"/>
    <w:rsid w:val="00096700"/>
    <w:rPr>
      <w:sz w:val="22"/>
      <w:szCs w:val="22"/>
      <w:shd w:val="clear" w:color="auto" w:fill="FFFFFF"/>
    </w:rPr>
  </w:style>
  <w:style w:type="paragraph" w:customStyle="1" w:styleId="Corpsdutexte50">
    <w:name w:val="Corps du texte (5)"/>
    <w:basedOn w:val="Normal"/>
    <w:link w:val="Corpsdutexte5"/>
    <w:rsid w:val="00096700"/>
    <w:pPr>
      <w:widowControl w:val="0"/>
      <w:shd w:val="clear" w:color="auto" w:fill="FFFFFF"/>
      <w:spacing w:before="300" w:after="60" w:line="0" w:lineRule="atLeast"/>
      <w:ind w:hanging="360"/>
      <w:jc w:val="left"/>
    </w:pPr>
    <w:rPr>
      <w:rFonts w:ascii="Times New Roman" w:hAnsi="Times New Roman"/>
      <w:sz w:val="22"/>
      <w:szCs w:val="22"/>
    </w:rPr>
  </w:style>
  <w:style w:type="paragraph" w:customStyle="1" w:styleId="-FNCharCharChar">
    <w:name w:val="Знак сноски-FN Char Char Char"/>
    <w:aliases w:val="сноска Char Char Char,Footnote Reference 2 Char Char Char Char Char,16 Point Char Char Char Char Char,Superscript 6 Point Char Char Char Char Char,BVI fnr Char Char Char Char Char"/>
    <w:basedOn w:val="Normal"/>
    <w:uiPriority w:val="99"/>
    <w:rsid w:val="00D8297C"/>
    <w:pPr>
      <w:spacing w:after="160" w:line="240" w:lineRule="exact"/>
      <w:jc w:val="left"/>
    </w:pPr>
    <w:rPr>
      <w:rFonts w:ascii="Times New Roman" w:hAnsi="Times New Roman"/>
      <w:sz w:val="20"/>
      <w:vertAlign w:val="superscript"/>
    </w:rPr>
  </w:style>
  <w:style w:type="character" w:styleId="EndnoteReference">
    <w:name w:val="endnote reference"/>
    <w:rsid w:val="000B70BC"/>
    <w:rPr>
      <w:vertAlign w:val="superscript"/>
    </w:rPr>
  </w:style>
  <w:style w:type="character" w:customStyle="1" w:styleId="Bodytext29pt">
    <w:name w:val="Body text (2) + 9 pt"/>
    <w:rsid w:val="000B70BC"/>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fr-FR" w:eastAsia="en-US" w:bidi="en-US"/>
    </w:rPr>
  </w:style>
  <w:style w:type="character" w:customStyle="1" w:styleId="EndnoteTextChar">
    <w:name w:val="Endnote Text Char"/>
    <w:link w:val="EndnoteText"/>
    <w:uiPriority w:val="99"/>
    <w:semiHidden/>
    <w:rsid w:val="000B70BC"/>
    <w:rPr>
      <w:rFonts w:ascii="Courier New" w:hAnsi="Courier New"/>
    </w:rPr>
  </w:style>
  <w:style w:type="paragraph" w:customStyle="1" w:styleId="briefingtext0">
    <w:name w:val="briefingtext"/>
    <w:basedOn w:val="Normal"/>
    <w:rsid w:val="00441AFE"/>
    <w:rPr>
      <w:rFonts w:ascii="Arial" w:eastAsia="Calibri" w:hAnsi="Arial" w:cs="Arial"/>
      <w:sz w:val="22"/>
      <w:szCs w:val="22"/>
    </w:rPr>
  </w:style>
  <w:style w:type="character" w:customStyle="1" w:styleId="tgc">
    <w:name w:val="_tgc"/>
    <w:rsid w:val="003B7B24"/>
  </w:style>
  <w:style w:type="character" w:customStyle="1" w:styleId="reference">
    <w:name w:val="reference"/>
    <w:rsid w:val="00E46D65"/>
  </w:style>
  <w:style w:type="character" w:customStyle="1" w:styleId="playerscommitteetext">
    <w:name w:val="players_committee_text"/>
    <w:rsid w:val="00CF0D39"/>
  </w:style>
  <w:style w:type="character" w:customStyle="1" w:styleId="ScenesetterText">
    <w:name w:val="Scene setter Text"/>
    <w:uiPriority w:val="12"/>
    <w:qFormat/>
    <w:rsid w:val="00F34622"/>
    <w:rPr>
      <w:rFonts w:ascii="Times New Roman Bold" w:hAnsi="Times New Roman Bold"/>
      <w:b/>
      <w:bCs/>
      <w:i w:val="0"/>
      <w:color w:val="auto"/>
      <w:sz w:val="24"/>
    </w:rPr>
  </w:style>
  <w:style w:type="paragraph" w:customStyle="1" w:styleId="Body">
    <w:name w:val="Body"/>
    <w:rsid w:val="0008040A"/>
    <w:pPr>
      <w:pBdr>
        <w:top w:val="none" w:sz="96" w:space="31" w:color="FFFFFF" w:frame="1"/>
        <w:left w:val="none" w:sz="96" w:space="31" w:color="FFFFFF" w:frame="1"/>
        <w:bottom w:val="none" w:sz="96" w:space="31" w:color="FFFFFF" w:frame="1"/>
        <w:right w:val="none" w:sz="96" w:space="31" w:color="FFFFFF" w:frame="1"/>
      </w:pBdr>
      <w:spacing w:after="240"/>
      <w:jc w:val="both"/>
    </w:pPr>
    <w:rPr>
      <w:color w:val="000000"/>
      <w:sz w:val="24"/>
      <w:szCs w:val="24"/>
      <w:u w:color="000000"/>
    </w:rPr>
  </w:style>
  <w:style w:type="paragraph" w:customStyle="1" w:styleId="BodyA">
    <w:name w:val="Body A"/>
    <w:rsid w:val="000A7C9B"/>
    <w:pPr>
      <w:pBdr>
        <w:top w:val="nil"/>
        <w:left w:val="nil"/>
        <w:bottom w:val="nil"/>
        <w:right w:val="nil"/>
        <w:between w:val="nil"/>
        <w:bar w:val="nil"/>
      </w:pBdr>
      <w:spacing w:after="240"/>
      <w:jc w:val="both"/>
    </w:pPr>
    <w:rPr>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4426">
      <w:bodyDiv w:val="1"/>
      <w:marLeft w:val="0"/>
      <w:marRight w:val="0"/>
      <w:marTop w:val="0"/>
      <w:marBottom w:val="0"/>
      <w:divBdr>
        <w:top w:val="none" w:sz="0" w:space="0" w:color="auto"/>
        <w:left w:val="none" w:sz="0" w:space="0" w:color="auto"/>
        <w:bottom w:val="none" w:sz="0" w:space="0" w:color="auto"/>
        <w:right w:val="none" w:sz="0" w:space="0" w:color="auto"/>
      </w:divBdr>
    </w:div>
    <w:div w:id="297146991">
      <w:bodyDiv w:val="1"/>
      <w:marLeft w:val="0"/>
      <w:marRight w:val="0"/>
      <w:marTop w:val="0"/>
      <w:marBottom w:val="0"/>
      <w:divBdr>
        <w:top w:val="none" w:sz="0" w:space="0" w:color="auto"/>
        <w:left w:val="none" w:sz="0" w:space="0" w:color="auto"/>
        <w:bottom w:val="none" w:sz="0" w:space="0" w:color="auto"/>
        <w:right w:val="none" w:sz="0" w:space="0" w:color="auto"/>
      </w:divBdr>
    </w:div>
    <w:div w:id="526482427">
      <w:bodyDiv w:val="1"/>
      <w:marLeft w:val="0"/>
      <w:marRight w:val="0"/>
      <w:marTop w:val="0"/>
      <w:marBottom w:val="0"/>
      <w:divBdr>
        <w:top w:val="none" w:sz="0" w:space="0" w:color="auto"/>
        <w:left w:val="none" w:sz="0" w:space="0" w:color="auto"/>
        <w:bottom w:val="none" w:sz="0" w:space="0" w:color="auto"/>
        <w:right w:val="none" w:sz="0" w:space="0" w:color="auto"/>
      </w:divBdr>
    </w:div>
    <w:div w:id="712774819">
      <w:bodyDiv w:val="1"/>
      <w:marLeft w:val="0"/>
      <w:marRight w:val="0"/>
      <w:marTop w:val="0"/>
      <w:marBottom w:val="0"/>
      <w:divBdr>
        <w:top w:val="none" w:sz="0" w:space="0" w:color="auto"/>
        <w:left w:val="none" w:sz="0" w:space="0" w:color="auto"/>
        <w:bottom w:val="none" w:sz="0" w:space="0" w:color="auto"/>
        <w:right w:val="none" w:sz="0" w:space="0" w:color="auto"/>
      </w:divBdr>
      <w:divsChild>
        <w:div w:id="636838249">
          <w:marLeft w:val="0"/>
          <w:marRight w:val="0"/>
          <w:marTop w:val="0"/>
          <w:marBottom w:val="0"/>
          <w:divBdr>
            <w:top w:val="none" w:sz="0" w:space="0" w:color="auto"/>
            <w:left w:val="none" w:sz="0" w:space="0" w:color="auto"/>
            <w:bottom w:val="none" w:sz="0" w:space="0" w:color="auto"/>
            <w:right w:val="none" w:sz="0" w:space="0" w:color="auto"/>
          </w:divBdr>
          <w:divsChild>
            <w:div w:id="1495563544">
              <w:marLeft w:val="0"/>
              <w:marRight w:val="0"/>
              <w:marTop w:val="0"/>
              <w:marBottom w:val="0"/>
              <w:divBdr>
                <w:top w:val="none" w:sz="0" w:space="0" w:color="auto"/>
                <w:left w:val="none" w:sz="0" w:space="0" w:color="auto"/>
                <w:bottom w:val="none" w:sz="0" w:space="0" w:color="auto"/>
                <w:right w:val="none" w:sz="0" w:space="0" w:color="auto"/>
              </w:divBdr>
              <w:divsChild>
                <w:div w:id="180316470">
                  <w:marLeft w:val="0"/>
                  <w:marRight w:val="0"/>
                  <w:marTop w:val="0"/>
                  <w:marBottom w:val="0"/>
                  <w:divBdr>
                    <w:top w:val="none" w:sz="0" w:space="0" w:color="auto"/>
                    <w:left w:val="none" w:sz="0" w:space="0" w:color="auto"/>
                    <w:bottom w:val="none" w:sz="0" w:space="0" w:color="auto"/>
                    <w:right w:val="none" w:sz="0" w:space="0" w:color="auto"/>
                  </w:divBdr>
                  <w:divsChild>
                    <w:div w:id="1523977103">
                      <w:marLeft w:val="0"/>
                      <w:marRight w:val="0"/>
                      <w:marTop w:val="0"/>
                      <w:marBottom w:val="0"/>
                      <w:divBdr>
                        <w:top w:val="none" w:sz="0" w:space="0" w:color="auto"/>
                        <w:left w:val="none" w:sz="0" w:space="0" w:color="auto"/>
                        <w:bottom w:val="none" w:sz="0" w:space="0" w:color="auto"/>
                        <w:right w:val="none" w:sz="0" w:space="0" w:color="auto"/>
                      </w:divBdr>
                      <w:divsChild>
                        <w:div w:id="1789811040">
                          <w:marLeft w:val="0"/>
                          <w:marRight w:val="0"/>
                          <w:marTop w:val="0"/>
                          <w:marBottom w:val="0"/>
                          <w:divBdr>
                            <w:top w:val="none" w:sz="0" w:space="0" w:color="auto"/>
                            <w:left w:val="none" w:sz="0" w:space="0" w:color="auto"/>
                            <w:bottom w:val="none" w:sz="0" w:space="0" w:color="auto"/>
                            <w:right w:val="none" w:sz="0" w:space="0" w:color="auto"/>
                          </w:divBdr>
                          <w:divsChild>
                            <w:div w:id="1524780250">
                              <w:marLeft w:val="0"/>
                              <w:marRight w:val="0"/>
                              <w:marTop w:val="0"/>
                              <w:marBottom w:val="0"/>
                              <w:divBdr>
                                <w:top w:val="none" w:sz="0" w:space="0" w:color="auto"/>
                                <w:left w:val="none" w:sz="0" w:space="0" w:color="auto"/>
                                <w:bottom w:val="none" w:sz="0" w:space="0" w:color="auto"/>
                                <w:right w:val="none" w:sz="0" w:space="0" w:color="auto"/>
                              </w:divBdr>
                              <w:divsChild>
                                <w:div w:id="464547126">
                                  <w:marLeft w:val="0"/>
                                  <w:marRight w:val="0"/>
                                  <w:marTop w:val="0"/>
                                  <w:marBottom w:val="0"/>
                                  <w:divBdr>
                                    <w:top w:val="none" w:sz="0" w:space="0" w:color="auto"/>
                                    <w:left w:val="none" w:sz="0" w:space="0" w:color="auto"/>
                                    <w:bottom w:val="none" w:sz="0" w:space="0" w:color="auto"/>
                                    <w:right w:val="none" w:sz="0" w:space="0" w:color="auto"/>
                                  </w:divBdr>
                                  <w:divsChild>
                                    <w:div w:id="9531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862196">
                          <w:marLeft w:val="0"/>
                          <w:marRight w:val="0"/>
                          <w:marTop w:val="0"/>
                          <w:marBottom w:val="0"/>
                          <w:divBdr>
                            <w:top w:val="none" w:sz="0" w:space="0" w:color="auto"/>
                            <w:left w:val="none" w:sz="0" w:space="0" w:color="auto"/>
                            <w:bottom w:val="none" w:sz="0" w:space="0" w:color="auto"/>
                            <w:right w:val="none" w:sz="0" w:space="0" w:color="auto"/>
                          </w:divBdr>
                          <w:divsChild>
                            <w:div w:id="1345785805">
                              <w:marLeft w:val="0"/>
                              <w:marRight w:val="0"/>
                              <w:marTop w:val="0"/>
                              <w:marBottom w:val="0"/>
                              <w:divBdr>
                                <w:top w:val="none" w:sz="0" w:space="0" w:color="auto"/>
                                <w:left w:val="none" w:sz="0" w:space="0" w:color="auto"/>
                                <w:bottom w:val="none" w:sz="0" w:space="0" w:color="auto"/>
                                <w:right w:val="none" w:sz="0" w:space="0" w:color="auto"/>
                              </w:divBdr>
                              <w:divsChild>
                                <w:div w:id="13682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9106">
      <w:bodyDiv w:val="1"/>
      <w:marLeft w:val="0"/>
      <w:marRight w:val="0"/>
      <w:marTop w:val="0"/>
      <w:marBottom w:val="0"/>
      <w:divBdr>
        <w:top w:val="none" w:sz="0" w:space="0" w:color="auto"/>
        <w:left w:val="none" w:sz="0" w:space="0" w:color="auto"/>
        <w:bottom w:val="none" w:sz="0" w:space="0" w:color="auto"/>
        <w:right w:val="none" w:sz="0" w:space="0" w:color="auto"/>
      </w:divBdr>
    </w:div>
    <w:div w:id="933168331">
      <w:bodyDiv w:val="1"/>
      <w:marLeft w:val="0"/>
      <w:marRight w:val="0"/>
      <w:marTop w:val="0"/>
      <w:marBottom w:val="0"/>
      <w:divBdr>
        <w:top w:val="none" w:sz="0" w:space="0" w:color="auto"/>
        <w:left w:val="none" w:sz="0" w:space="0" w:color="auto"/>
        <w:bottom w:val="none" w:sz="0" w:space="0" w:color="auto"/>
        <w:right w:val="none" w:sz="0" w:space="0" w:color="auto"/>
      </w:divBdr>
    </w:div>
    <w:div w:id="962734903">
      <w:bodyDiv w:val="1"/>
      <w:marLeft w:val="0"/>
      <w:marRight w:val="0"/>
      <w:marTop w:val="0"/>
      <w:marBottom w:val="0"/>
      <w:divBdr>
        <w:top w:val="none" w:sz="0" w:space="0" w:color="auto"/>
        <w:left w:val="none" w:sz="0" w:space="0" w:color="auto"/>
        <w:bottom w:val="none" w:sz="0" w:space="0" w:color="auto"/>
        <w:right w:val="none" w:sz="0" w:space="0" w:color="auto"/>
      </w:divBdr>
    </w:div>
    <w:div w:id="1005085450">
      <w:bodyDiv w:val="1"/>
      <w:marLeft w:val="0"/>
      <w:marRight w:val="0"/>
      <w:marTop w:val="0"/>
      <w:marBottom w:val="0"/>
      <w:divBdr>
        <w:top w:val="none" w:sz="0" w:space="0" w:color="auto"/>
        <w:left w:val="none" w:sz="0" w:space="0" w:color="auto"/>
        <w:bottom w:val="none" w:sz="0" w:space="0" w:color="auto"/>
        <w:right w:val="none" w:sz="0" w:space="0" w:color="auto"/>
      </w:divBdr>
      <w:divsChild>
        <w:div w:id="1864051303">
          <w:marLeft w:val="0"/>
          <w:marRight w:val="0"/>
          <w:marTop w:val="0"/>
          <w:marBottom w:val="0"/>
          <w:divBdr>
            <w:top w:val="none" w:sz="0" w:space="0" w:color="auto"/>
            <w:left w:val="none" w:sz="0" w:space="0" w:color="auto"/>
            <w:bottom w:val="none" w:sz="0" w:space="0" w:color="auto"/>
            <w:right w:val="none" w:sz="0" w:space="0" w:color="auto"/>
          </w:divBdr>
          <w:divsChild>
            <w:div w:id="1984700681">
              <w:marLeft w:val="0"/>
              <w:marRight w:val="0"/>
              <w:marTop w:val="0"/>
              <w:marBottom w:val="0"/>
              <w:divBdr>
                <w:top w:val="none" w:sz="0" w:space="0" w:color="auto"/>
                <w:left w:val="none" w:sz="0" w:space="0" w:color="auto"/>
                <w:bottom w:val="none" w:sz="0" w:space="0" w:color="auto"/>
                <w:right w:val="none" w:sz="0" w:space="0" w:color="auto"/>
              </w:divBdr>
              <w:divsChild>
                <w:div w:id="1643657410">
                  <w:marLeft w:val="0"/>
                  <w:marRight w:val="0"/>
                  <w:marTop w:val="0"/>
                  <w:marBottom w:val="0"/>
                  <w:divBdr>
                    <w:top w:val="none" w:sz="0" w:space="0" w:color="auto"/>
                    <w:left w:val="none" w:sz="0" w:space="0" w:color="auto"/>
                    <w:bottom w:val="none" w:sz="0" w:space="0" w:color="auto"/>
                    <w:right w:val="none" w:sz="0" w:space="0" w:color="auto"/>
                  </w:divBdr>
                  <w:divsChild>
                    <w:div w:id="183446367">
                      <w:marLeft w:val="0"/>
                      <w:marRight w:val="0"/>
                      <w:marTop w:val="0"/>
                      <w:marBottom w:val="0"/>
                      <w:divBdr>
                        <w:top w:val="none" w:sz="0" w:space="0" w:color="auto"/>
                        <w:left w:val="none" w:sz="0" w:space="0" w:color="auto"/>
                        <w:bottom w:val="none" w:sz="0" w:space="0" w:color="auto"/>
                        <w:right w:val="none" w:sz="0" w:space="0" w:color="auto"/>
                      </w:divBdr>
                      <w:divsChild>
                        <w:div w:id="1852716413">
                          <w:marLeft w:val="0"/>
                          <w:marRight w:val="0"/>
                          <w:marTop w:val="0"/>
                          <w:marBottom w:val="0"/>
                          <w:divBdr>
                            <w:top w:val="none" w:sz="0" w:space="0" w:color="auto"/>
                            <w:left w:val="none" w:sz="0" w:space="0" w:color="auto"/>
                            <w:bottom w:val="none" w:sz="0" w:space="0" w:color="auto"/>
                            <w:right w:val="none" w:sz="0" w:space="0" w:color="auto"/>
                          </w:divBdr>
                          <w:divsChild>
                            <w:div w:id="780608841">
                              <w:marLeft w:val="0"/>
                              <w:marRight w:val="0"/>
                              <w:marTop w:val="0"/>
                              <w:marBottom w:val="0"/>
                              <w:divBdr>
                                <w:top w:val="none" w:sz="0" w:space="0" w:color="auto"/>
                                <w:left w:val="none" w:sz="0" w:space="0" w:color="auto"/>
                                <w:bottom w:val="none" w:sz="0" w:space="0" w:color="auto"/>
                                <w:right w:val="none" w:sz="0" w:space="0" w:color="auto"/>
                              </w:divBdr>
                              <w:divsChild>
                                <w:div w:id="1421029144">
                                  <w:marLeft w:val="0"/>
                                  <w:marRight w:val="0"/>
                                  <w:marTop w:val="0"/>
                                  <w:marBottom w:val="0"/>
                                  <w:divBdr>
                                    <w:top w:val="none" w:sz="0" w:space="0" w:color="auto"/>
                                    <w:left w:val="none" w:sz="0" w:space="0" w:color="auto"/>
                                    <w:bottom w:val="none" w:sz="0" w:space="0" w:color="auto"/>
                                    <w:right w:val="none" w:sz="0" w:space="0" w:color="auto"/>
                                  </w:divBdr>
                                  <w:divsChild>
                                    <w:div w:id="25493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6034">
                          <w:marLeft w:val="0"/>
                          <w:marRight w:val="0"/>
                          <w:marTop w:val="0"/>
                          <w:marBottom w:val="0"/>
                          <w:divBdr>
                            <w:top w:val="none" w:sz="0" w:space="0" w:color="auto"/>
                            <w:left w:val="none" w:sz="0" w:space="0" w:color="auto"/>
                            <w:bottom w:val="none" w:sz="0" w:space="0" w:color="auto"/>
                            <w:right w:val="none" w:sz="0" w:space="0" w:color="auto"/>
                          </w:divBdr>
                          <w:divsChild>
                            <w:div w:id="1181896546">
                              <w:marLeft w:val="0"/>
                              <w:marRight w:val="0"/>
                              <w:marTop w:val="0"/>
                              <w:marBottom w:val="0"/>
                              <w:divBdr>
                                <w:top w:val="none" w:sz="0" w:space="0" w:color="auto"/>
                                <w:left w:val="none" w:sz="0" w:space="0" w:color="auto"/>
                                <w:bottom w:val="none" w:sz="0" w:space="0" w:color="auto"/>
                                <w:right w:val="none" w:sz="0" w:space="0" w:color="auto"/>
                              </w:divBdr>
                              <w:divsChild>
                                <w:div w:id="56723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488255">
      <w:bodyDiv w:val="1"/>
      <w:marLeft w:val="0"/>
      <w:marRight w:val="0"/>
      <w:marTop w:val="0"/>
      <w:marBottom w:val="0"/>
      <w:divBdr>
        <w:top w:val="none" w:sz="0" w:space="0" w:color="auto"/>
        <w:left w:val="none" w:sz="0" w:space="0" w:color="auto"/>
        <w:bottom w:val="none" w:sz="0" w:space="0" w:color="auto"/>
        <w:right w:val="none" w:sz="0" w:space="0" w:color="auto"/>
      </w:divBdr>
    </w:div>
    <w:div w:id="1398240499">
      <w:bodyDiv w:val="1"/>
      <w:marLeft w:val="0"/>
      <w:marRight w:val="0"/>
      <w:marTop w:val="0"/>
      <w:marBottom w:val="0"/>
      <w:divBdr>
        <w:top w:val="none" w:sz="0" w:space="0" w:color="auto"/>
        <w:left w:val="none" w:sz="0" w:space="0" w:color="auto"/>
        <w:bottom w:val="none" w:sz="0" w:space="0" w:color="auto"/>
        <w:right w:val="none" w:sz="0" w:space="0" w:color="auto"/>
      </w:divBdr>
    </w:div>
    <w:div w:id="1853645682">
      <w:bodyDiv w:val="1"/>
      <w:marLeft w:val="0"/>
      <w:marRight w:val="0"/>
      <w:marTop w:val="0"/>
      <w:marBottom w:val="0"/>
      <w:divBdr>
        <w:top w:val="none" w:sz="0" w:space="0" w:color="auto"/>
        <w:left w:val="none" w:sz="0" w:space="0" w:color="auto"/>
        <w:bottom w:val="none" w:sz="0" w:space="0" w:color="auto"/>
        <w:right w:val="none" w:sz="0" w:space="0" w:color="auto"/>
      </w:divBdr>
    </w:div>
    <w:div w:id="209423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FR/TXT/?uri=CELEX:32024R12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1e5321-5d6d-40f3-a89c-b5482dd566c1">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af9dd6c6-cf8f-4aa4-be49-f1cc0da589a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1BB73A879EDE41AFDC9232B9EB1EA9" ma:contentTypeVersion="11" ma:contentTypeDescription="Create a new document." ma:contentTypeScope="" ma:versionID="c21b1d541c17f3bc4c86668cc636a10b">
  <xsd:schema xmlns:xsd="http://www.w3.org/2001/XMLSchema" xmlns:xs="http://www.w3.org/2001/XMLSchema" xmlns:p="http://schemas.microsoft.com/office/2006/metadata/properties" xmlns:ns2="1b1e5321-5d6d-40f3-a89c-b5482dd566c1" xmlns:ns3="af9dd6c6-cf8f-4aa4-be49-f1cc0da589a4" targetNamespace="http://schemas.microsoft.com/office/2006/metadata/properties" ma:root="true" ma:fieldsID="86b69f0d68f2b57a93cdbf9e487fa5c9" ns2:_="" ns3:_="">
    <xsd:import namespace="1b1e5321-5d6d-40f3-a89c-b5482dd566c1"/>
    <xsd:import namespace="af9dd6c6-cf8f-4aa4-be49-f1cc0da589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e5321-5d6d-40f3-a89c-b5482dd566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9dd6c6-cf8f-4aa4-be49-f1cc0da589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b41ac9-4820-4518-ac5d-dd4cad854ba6}" ma:internalName="TaxCatchAll" ma:showField="CatchAllData" ma:web="af9dd6c6-cf8f-4aa4-be49-f1cc0da5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524E2F-53A1-428E-A0C9-C070322F376B}">
  <ds:schemaRefs>
    <ds:schemaRef ds:uri="http://schemas.microsoft.com/office/2006/metadata/properties"/>
    <ds:schemaRef ds:uri="http://schemas.microsoft.com/office/infopath/2007/PartnerControls"/>
    <ds:schemaRef ds:uri="1b1e5321-5d6d-40f3-a89c-b5482dd566c1"/>
    <ds:schemaRef ds:uri="af9dd6c6-cf8f-4aa4-be49-f1cc0da589a4"/>
  </ds:schemaRefs>
</ds:datastoreItem>
</file>

<file path=customXml/itemProps2.xml><?xml version="1.0" encoding="utf-8"?>
<ds:datastoreItem xmlns:ds="http://schemas.openxmlformats.org/officeDocument/2006/customXml" ds:itemID="{8700459C-FDC6-4A45-B856-F1FCD291A0BE}">
  <ds:schemaRefs>
    <ds:schemaRef ds:uri="http://schemas.openxmlformats.org/officeDocument/2006/bibliography"/>
  </ds:schemaRefs>
</ds:datastoreItem>
</file>

<file path=customXml/itemProps3.xml><?xml version="1.0" encoding="utf-8"?>
<ds:datastoreItem xmlns:ds="http://schemas.openxmlformats.org/officeDocument/2006/customXml" ds:itemID="{5154A498-43A8-4475-86B8-2F7CF5F8AAB3}">
  <ds:schemaRefs>
    <ds:schemaRef ds:uri="http://schemas.microsoft.com/sharepoint/v3/contenttype/forms"/>
  </ds:schemaRefs>
</ds:datastoreItem>
</file>

<file path=customXml/itemProps4.xml><?xml version="1.0" encoding="utf-8"?>
<ds:datastoreItem xmlns:ds="http://schemas.openxmlformats.org/officeDocument/2006/customXml" ds:itemID="{E953B256-390B-4D3F-B3D7-D89E89173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e5321-5d6d-40f3-a89c-b5482dd566c1"/>
    <ds:schemaRef ds:uri="af9dd6c6-cf8f-4aa4-be49-f1cc0da589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TEL.DOTM</Template>
  <TotalTime>1</TotalTime>
  <Pages>8</Pages>
  <Words>4031</Words>
  <Characters>23061</Characters>
  <Application>Microsoft Office Word</Application>
  <DocSecurity>0</DocSecurity>
  <PresentationFormat>Microsoft Word 8.0b</PresentationFormat>
  <Lines>371</Lines>
  <Paragraphs>51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27041</CharactersWithSpaces>
  <SharedDoc>false</SharedDoc>
  <HLinks>
    <vt:vector size="24" baseType="variant">
      <vt:variant>
        <vt:i4>6225951</vt:i4>
      </vt:variant>
      <vt:variant>
        <vt:i4>9</vt:i4>
      </vt:variant>
      <vt:variant>
        <vt:i4>0</vt:i4>
      </vt:variant>
      <vt:variant>
        <vt:i4>5</vt:i4>
      </vt:variant>
      <vt:variant>
        <vt:lpwstr>https://www.europarl.europa.eu/plenary/en/texts-adopted.html</vt:lpwstr>
      </vt:variant>
      <vt:variant>
        <vt:lpwstr/>
      </vt:variant>
      <vt:variant>
        <vt:i4>851996</vt:i4>
      </vt:variant>
      <vt:variant>
        <vt:i4>6</vt:i4>
      </vt:variant>
      <vt:variant>
        <vt:i4>0</vt:i4>
      </vt:variant>
      <vt:variant>
        <vt:i4>5</vt:i4>
      </vt:variant>
      <vt:variant>
        <vt:lpwstr>http://www.europarl.europa.eu/sides/getDoc.do?type=REPORT&amp;mode=XML&amp;reference=A8-2016-0345&amp;language=EN</vt:lpwstr>
      </vt:variant>
      <vt:variant>
        <vt:lpwstr/>
      </vt:variant>
      <vt:variant>
        <vt:i4>4587526</vt:i4>
      </vt:variant>
      <vt:variant>
        <vt:i4>2</vt:i4>
      </vt:variant>
      <vt:variant>
        <vt:i4>0</vt:i4>
      </vt:variant>
      <vt:variant>
        <vt:i4>5</vt:i4>
      </vt:variant>
      <vt:variant>
        <vt:lpwstr>http://www.europarl.europa.eu/oeil/popups/ficheprocedure.do?lang=en&amp;reference=2016/2891(RSP)</vt:lpwstr>
      </vt:variant>
      <vt:variant>
        <vt:lpwstr/>
      </vt:variant>
      <vt:variant>
        <vt:i4>4587526</vt:i4>
      </vt:variant>
      <vt:variant>
        <vt:i4>0</vt:i4>
      </vt:variant>
      <vt:variant>
        <vt:i4>0</vt:i4>
      </vt:variant>
      <vt:variant>
        <vt:i4>5</vt:i4>
      </vt:variant>
      <vt:variant>
        <vt:lpwstr>http://www.europarl.europa.eu/oeil/popups/ficheprocedure.do?lang=en&amp;reference=2016/2891(RSP)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WERKER</dc:creator>
  <cp:keywords>EL4</cp:keywords>
  <cp:lastModifiedBy>DELBAER Gerda (SG)</cp:lastModifiedBy>
  <cp:revision>3</cp:revision>
  <cp:lastPrinted>2017-11-23T17:27:00Z</cp:lastPrinted>
  <dcterms:created xsi:type="dcterms:W3CDTF">2025-06-30T08:12:00Z</dcterms:created>
  <dcterms:modified xsi:type="dcterms:W3CDTF">2025-07-01T10:36:00Z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4.1.3.4</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[20010706]</vt:lpwstr>
  </property>
  <property fmtid="{D5CDD505-2E9C-101B-9397-08002B2CF9AE}" pid="6" name="Last edited using">
    <vt:lpwstr>EL 4.6 Build 50000</vt:lpwstr>
  </property>
  <property fmtid="{D5CDD505-2E9C-101B-9397-08002B2CF9AE}" pid="7" name="EL_Author">
    <vt:lpwstr>M. WERKER</vt:lpwstr>
  </property>
  <property fmtid="{D5CDD505-2E9C-101B-9397-08002B2CF9AE}" pid="8" name="Type">
    <vt:lpwstr>Eurolook Telex</vt:lpwstr>
  </property>
  <property fmtid="{D5CDD505-2E9C-101B-9397-08002B2CF9AE}" pid="9" name="Language">
    <vt:lpwstr>FR</vt:lpwstr>
  </property>
  <property fmtid="{D5CDD505-2E9C-101B-9397-08002B2CF9AE}" pid="10" name="EL_Language">
    <vt:lpwstr>FR</vt:lpwstr>
  </property>
  <property fmtid="{D5CDD505-2E9C-101B-9397-08002B2CF9AE}" pid="11" name="Formatting">
    <vt:lpwstr>4.1</vt:lpwstr>
  </property>
  <property fmtid="{D5CDD505-2E9C-101B-9397-08002B2CF9AE}" pid="12" name="ELDocType">
    <vt:lpwstr>tel.dot</vt:lpwstr>
  </property>
  <property fmtid="{D5CDD505-2E9C-101B-9397-08002B2CF9AE}" pid="13" name="MSIP_Label_6bd9ddd1-4d20-43f6-abfa-fc3c07406f94_Enabled">
    <vt:lpwstr>true</vt:lpwstr>
  </property>
  <property fmtid="{D5CDD505-2E9C-101B-9397-08002B2CF9AE}" pid="14" name="MSIP_Label_6bd9ddd1-4d20-43f6-abfa-fc3c07406f94_SetDate">
    <vt:lpwstr>2023-03-06T16:57:17Z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fed4ca29-9366-4f08-a0f8-47b4b7a2a3a2</vt:lpwstr>
  </property>
  <property fmtid="{D5CDD505-2E9C-101B-9397-08002B2CF9AE}" pid="19" name="MSIP_Label_6bd9ddd1-4d20-43f6-abfa-fc3c07406f94_ContentBits">
    <vt:lpwstr>0</vt:lpwstr>
  </property>
  <property fmtid="{D5CDD505-2E9C-101B-9397-08002B2CF9AE}" pid="20" name="ContentTypeId">
    <vt:lpwstr>0x010100271BB73A879EDE41AFDC9232B9EB1EA9</vt:lpwstr>
  </property>
  <property fmtid="{D5CDD505-2E9C-101B-9397-08002B2CF9AE}" pid="21" name="MediaServiceImageTags">
    <vt:lpwstr/>
  </property>
  <property fmtid="{D5CDD505-2E9C-101B-9397-08002B2CF9AE}" pid="22" name="APP0">
    <vt:lpwstr>28</vt:lpwstr>
  </property>
</Properties>
</file>