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58723" w14:textId="6762D9D0" w:rsidR="00963420" w:rsidRPr="00C33439" w:rsidRDefault="00963420" w:rsidP="0084310E">
      <w:pPr>
        <w:spacing w:after="720"/>
        <w:jc w:val="center"/>
        <w:rPr>
          <w:rFonts w:ascii="Times New Roman" w:hAnsi="Times New Roman"/>
          <w:b/>
          <w:bCs/>
          <w:szCs w:val="24"/>
        </w:rPr>
      </w:pPr>
      <w:r w:rsidRPr="00C33439">
        <w:rPr>
          <w:rFonts w:ascii="Times New Roman" w:hAnsi="Times New Roman"/>
          <w:b/>
          <w:szCs w:val="24"/>
        </w:rPr>
        <w:t xml:space="preserve">Follow-up to the European Parliament non-legislative resolution </w:t>
      </w:r>
      <w:r w:rsidRPr="00C33439">
        <w:rPr>
          <w:rFonts w:ascii="Times New Roman" w:hAnsi="Times New Roman"/>
          <w:b/>
          <w:bCs/>
          <w:szCs w:val="24"/>
        </w:rPr>
        <w:t xml:space="preserve">on </w:t>
      </w:r>
      <w:r w:rsidR="00FB391B" w:rsidRPr="00FB391B">
        <w:rPr>
          <w:rFonts w:ascii="Times New Roman" w:hAnsi="Times New Roman"/>
          <w:b/>
          <w:bCs/>
          <w:szCs w:val="24"/>
        </w:rPr>
        <w:t>2023 and 2024 Commission reports on Kosovo</w:t>
      </w:r>
      <w:r w:rsidR="00F5397A" w:rsidRPr="00F5397A">
        <w:rPr>
          <w:rStyle w:val="FootnoteReference"/>
          <w:rFonts w:ascii="Times New Roman" w:hAnsi="Times New Roman"/>
          <w:b/>
          <w:bCs/>
          <w:szCs w:val="24"/>
        </w:rPr>
        <w:footnoteReference w:customMarkFollows="1" w:id="1"/>
        <w:sym w:font="Symbol" w:char="F02A"/>
      </w:r>
    </w:p>
    <w:p w14:paraId="137E03CA" w14:textId="7BC46491" w:rsidR="00963420" w:rsidRPr="0084310E" w:rsidRDefault="00963420" w:rsidP="0084310E">
      <w:pPr>
        <w:numPr>
          <w:ilvl w:val="0"/>
          <w:numId w:val="34"/>
        </w:numPr>
        <w:ind w:left="567" w:hanging="567"/>
        <w:rPr>
          <w:rFonts w:ascii="Times New Roman" w:hAnsi="Times New Roman"/>
          <w:i/>
          <w:szCs w:val="24"/>
          <w:lang w:val="fr-BE"/>
        </w:rPr>
      </w:pPr>
      <w:r w:rsidRPr="0084310E">
        <w:rPr>
          <w:rFonts w:ascii="Times New Roman" w:hAnsi="Times New Roman"/>
          <w:b/>
          <w:szCs w:val="24"/>
          <w:lang w:val="fr-BE"/>
        </w:rPr>
        <w:t>Rapporteur:</w:t>
      </w:r>
      <w:r w:rsidRPr="0084310E">
        <w:rPr>
          <w:rFonts w:ascii="Times New Roman" w:hAnsi="Times New Roman"/>
          <w:szCs w:val="24"/>
          <w:lang w:val="fr-BE"/>
        </w:rPr>
        <w:t xml:space="preserve"> </w:t>
      </w:r>
      <w:r w:rsidR="00955699" w:rsidRPr="00D816D4">
        <w:rPr>
          <w:rFonts w:ascii="Times New Roman" w:hAnsi="Times New Roman"/>
          <w:iCs/>
          <w:szCs w:val="24"/>
          <w:lang w:val="fr-BE"/>
        </w:rPr>
        <w:t>Riho</w:t>
      </w:r>
      <w:r w:rsidRPr="00D816D4">
        <w:rPr>
          <w:rFonts w:ascii="Times New Roman" w:hAnsi="Times New Roman"/>
          <w:iCs/>
          <w:szCs w:val="24"/>
          <w:lang w:val="fr-BE"/>
        </w:rPr>
        <w:t xml:space="preserve"> </w:t>
      </w:r>
      <w:r w:rsidR="00955699" w:rsidRPr="00D816D4">
        <w:rPr>
          <w:rFonts w:ascii="Times New Roman" w:hAnsi="Times New Roman"/>
          <w:iCs/>
          <w:szCs w:val="24"/>
          <w:lang w:val="fr-BE"/>
        </w:rPr>
        <w:t>TERRAS</w:t>
      </w:r>
      <w:r w:rsidRPr="00D816D4">
        <w:rPr>
          <w:rFonts w:ascii="Times New Roman" w:hAnsi="Times New Roman"/>
          <w:iCs/>
          <w:szCs w:val="24"/>
          <w:lang w:val="fr-BE"/>
        </w:rPr>
        <w:t xml:space="preserve"> (EPP</w:t>
      </w:r>
      <w:r w:rsidR="00F12E19" w:rsidRPr="00D816D4">
        <w:rPr>
          <w:rFonts w:ascii="Times New Roman" w:hAnsi="Times New Roman"/>
          <w:iCs/>
          <w:szCs w:val="24"/>
          <w:lang w:val="fr-BE"/>
        </w:rPr>
        <w:t xml:space="preserve"> </w:t>
      </w:r>
      <w:r w:rsidRPr="00D816D4">
        <w:rPr>
          <w:rFonts w:ascii="Times New Roman" w:hAnsi="Times New Roman"/>
          <w:b/>
          <w:iCs/>
          <w:szCs w:val="24"/>
          <w:lang w:val="fr-BE"/>
        </w:rPr>
        <w:t>/</w:t>
      </w:r>
      <w:r w:rsidR="00F12E19" w:rsidRPr="00D816D4">
        <w:rPr>
          <w:rFonts w:ascii="Times New Roman" w:hAnsi="Times New Roman"/>
          <w:b/>
          <w:iCs/>
          <w:szCs w:val="24"/>
          <w:lang w:val="fr-BE"/>
        </w:rPr>
        <w:t xml:space="preserve"> </w:t>
      </w:r>
      <w:r w:rsidR="00955699" w:rsidRPr="00D816D4">
        <w:rPr>
          <w:rFonts w:ascii="Times New Roman" w:hAnsi="Times New Roman"/>
          <w:iCs/>
          <w:szCs w:val="24"/>
          <w:lang w:val="fr-BE"/>
        </w:rPr>
        <w:t>ET</w:t>
      </w:r>
      <w:r w:rsidRPr="00D816D4">
        <w:rPr>
          <w:rFonts w:ascii="Times New Roman" w:hAnsi="Times New Roman"/>
          <w:iCs/>
          <w:szCs w:val="24"/>
          <w:lang w:val="fr-BE"/>
        </w:rPr>
        <w:t>)</w:t>
      </w:r>
    </w:p>
    <w:p w14:paraId="64640717" w14:textId="7C239DF7" w:rsidR="00963420" w:rsidRPr="00020005" w:rsidRDefault="00063DCE" w:rsidP="0084310E">
      <w:pPr>
        <w:pStyle w:val="Default"/>
        <w:numPr>
          <w:ilvl w:val="0"/>
          <w:numId w:val="34"/>
        </w:numPr>
        <w:spacing w:after="240"/>
        <w:ind w:left="567" w:hanging="567"/>
        <w:jc w:val="both"/>
        <w:rPr>
          <w:color w:val="auto"/>
          <w:lang w:val="en-US"/>
        </w:rPr>
      </w:pPr>
      <w:r>
        <w:rPr>
          <w:b/>
          <w:color w:val="auto"/>
          <w:lang w:val="en-GB"/>
        </w:rPr>
        <w:t>R</w:t>
      </w:r>
      <w:r w:rsidR="00963420" w:rsidRPr="001F0B89">
        <w:rPr>
          <w:b/>
          <w:color w:val="auto"/>
          <w:lang w:val="en-GB"/>
        </w:rPr>
        <w:t>eference</w:t>
      </w:r>
      <w:r w:rsidR="0080065E">
        <w:rPr>
          <w:b/>
          <w:color w:val="auto"/>
          <w:lang w:val="en-GB"/>
        </w:rPr>
        <w:t>s</w:t>
      </w:r>
      <w:r w:rsidR="00963420" w:rsidRPr="001F0B89">
        <w:rPr>
          <w:b/>
          <w:color w:val="auto"/>
          <w:lang w:val="en-GB"/>
        </w:rPr>
        <w:t xml:space="preserve">: </w:t>
      </w:r>
      <w:r w:rsidR="00974EC7" w:rsidRPr="00D816D4">
        <w:rPr>
          <w:bCs/>
          <w:color w:val="auto"/>
          <w:lang w:val="en-GB"/>
        </w:rPr>
        <w:t>2025/2019(INI)</w:t>
      </w:r>
      <w:r w:rsidR="00CF6EB0" w:rsidRPr="00D816D4">
        <w:rPr>
          <w:bCs/>
          <w:color w:val="auto"/>
          <w:lang w:val="en-GB"/>
        </w:rPr>
        <w:t xml:space="preserve"> </w:t>
      </w:r>
      <w:r w:rsidRPr="00D816D4">
        <w:rPr>
          <w:rFonts w:eastAsia="Calibri"/>
          <w:bCs/>
          <w:lang w:val="en-GB" w:eastAsia="en-US"/>
        </w:rPr>
        <w:t>/</w:t>
      </w:r>
      <w:r w:rsidR="001F0B89" w:rsidRPr="00D816D4">
        <w:rPr>
          <w:color w:val="auto"/>
          <w:lang w:val="en-GB"/>
        </w:rPr>
        <w:t xml:space="preserve"> </w:t>
      </w:r>
      <w:r w:rsidR="00A858D0" w:rsidRPr="00D816D4">
        <w:rPr>
          <w:color w:val="auto"/>
          <w:lang w:val="en-GB"/>
        </w:rPr>
        <w:t>A10-0075/2025</w:t>
      </w:r>
      <w:r w:rsidR="00963420" w:rsidRPr="00D816D4">
        <w:rPr>
          <w:color w:val="auto"/>
          <w:lang w:val="en-US"/>
        </w:rPr>
        <w:t xml:space="preserve"> /</w:t>
      </w:r>
      <w:r w:rsidR="0018617B" w:rsidRPr="00020005">
        <w:rPr>
          <w:lang w:val="en-IE"/>
        </w:rPr>
        <w:t xml:space="preserve"> </w:t>
      </w:r>
      <w:r w:rsidR="0018617B" w:rsidRPr="00D816D4">
        <w:rPr>
          <w:color w:val="auto"/>
          <w:lang w:val="en-US"/>
        </w:rPr>
        <w:t>P10_TA(2025)0094</w:t>
      </w:r>
    </w:p>
    <w:p w14:paraId="6C70EBB9" w14:textId="7D700181" w:rsidR="001F0B89" w:rsidRPr="00020005" w:rsidRDefault="00963420" w:rsidP="0084310E">
      <w:pPr>
        <w:numPr>
          <w:ilvl w:val="0"/>
          <w:numId w:val="34"/>
        </w:numPr>
        <w:ind w:left="567" w:hanging="567"/>
        <w:rPr>
          <w:rFonts w:ascii="Times New Roman" w:hAnsi="Times New Roman"/>
          <w:iCs/>
          <w:szCs w:val="24"/>
        </w:rPr>
      </w:pPr>
      <w:r w:rsidRPr="001F0B89">
        <w:rPr>
          <w:rFonts w:ascii="Times New Roman" w:hAnsi="Times New Roman"/>
          <w:b/>
          <w:szCs w:val="24"/>
        </w:rPr>
        <w:t>Date of adoption of the resolution:</w:t>
      </w:r>
      <w:r w:rsidRPr="001F0B89">
        <w:rPr>
          <w:rFonts w:ascii="Times New Roman" w:hAnsi="Times New Roman"/>
          <w:szCs w:val="24"/>
        </w:rPr>
        <w:t xml:space="preserve"> </w:t>
      </w:r>
      <w:r w:rsidR="00955699" w:rsidRPr="00D816D4">
        <w:rPr>
          <w:rFonts w:ascii="Times New Roman" w:hAnsi="Times New Roman"/>
          <w:iCs/>
          <w:szCs w:val="24"/>
        </w:rPr>
        <w:t>07</w:t>
      </w:r>
      <w:r w:rsidR="00CF6EB0" w:rsidRPr="00D816D4">
        <w:rPr>
          <w:rFonts w:ascii="Times New Roman" w:hAnsi="Times New Roman"/>
          <w:iCs/>
          <w:szCs w:val="24"/>
        </w:rPr>
        <w:t xml:space="preserve"> May</w:t>
      </w:r>
      <w:r w:rsidR="00020005" w:rsidRPr="00D816D4">
        <w:rPr>
          <w:rFonts w:ascii="Times New Roman" w:hAnsi="Times New Roman"/>
          <w:iCs/>
          <w:szCs w:val="24"/>
        </w:rPr>
        <w:t xml:space="preserve"> </w:t>
      </w:r>
      <w:r w:rsidR="00955699" w:rsidRPr="00D816D4">
        <w:rPr>
          <w:rFonts w:ascii="Times New Roman" w:hAnsi="Times New Roman"/>
          <w:iCs/>
          <w:szCs w:val="24"/>
        </w:rPr>
        <w:t>2025</w:t>
      </w:r>
    </w:p>
    <w:p w14:paraId="43100767" w14:textId="46C38099" w:rsidR="00963420" w:rsidRPr="00A0010B" w:rsidRDefault="00963420" w:rsidP="0084310E">
      <w:pPr>
        <w:numPr>
          <w:ilvl w:val="0"/>
          <w:numId w:val="34"/>
        </w:numPr>
        <w:ind w:left="567" w:hanging="567"/>
        <w:rPr>
          <w:rFonts w:ascii="Times New Roman" w:hAnsi="Times New Roman"/>
          <w:i/>
          <w:szCs w:val="24"/>
        </w:rPr>
      </w:pPr>
      <w:r w:rsidRPr="001F0B89">
        <w:rPr>
          <w:rFonts w:ascii="Times New Roman" w:hAnsi="Times New Roman"/>
          <w:b/>
          <w:szCs w:val="24"/>
        </w:rPr>
        <w:t>Competent Parliamentary Committee:</w:t>
      </w:r>
      <w:r w:rsidRPr="00A0010B">
        <w:rPr>
          <w:rFonts w:ascii="Times New Roman" w:hAnsi="Times New Roman"/>
          <w:b/>
          <w:szCs w:val="24"/>
        </w:rPr>
        <w:t xml:space="preserve"> </w:t>
      </w:r>
      <w:r w:rsidR="00EA2741" w:rsidRPr="00D816D4">
        <w:rPr>
          <w:rFonts w:ascii="Times New Roman" w:hAnsi="Times New Roman"/>
          <w:szCs w:val="24"/>
        </w:rPr>
        <w:t>Committee on</w:t>
      </w:r>
      <w:r w:rsidR="00955699" w:rsidRPr="00D816D4">
        <w:rPr>
          <w:rFonts w:ascii="Times New Roman" w:hAnsi="Times New Roman"/>
          <w:szCs w:val="24"/>
        </w:rPr>
        <w:t xml:space="preserve"> Foreign Affairs</w:t>
      </w:r>
      <w:r w:rsidR="00020005" w:rsidRPr="00D816D4">
        <w:rPr>
          <w:rFonts w:ascii="Times New Roman" w:hAnsi="Times New Roman"/>
          <w:szCs w:val="24"/>
        </w:rPr>
        <w:t xml:space="preserve"> (AFET)</w:t>
      </w:r>
    </w:p>
    <w:p w14:paraId="58F8C32C" w14:textId="5284FACC" w:rsidR="00963420" w:rsidRPr="00FD309A" w:rsidRDefault="00963420" w:rsidP="0084310E">
      <w:pPr>
        <w:widowControl w:val="0"/>
        <w:numPr>
          <w:ilvl w:val="0"/>
          <w:numId w:val="34"/>
        </w:numPr>
        <w:ind w:left="567" w:hanging="567"/>
        <w:rPr>
          <w:rFonts w:ascii="Times New Roman" w:hAnsi="Times New Roman"/>
          <w:b/>
          <w:szCs w:val="24"/>
        </w:rPr>
      </w:pPr>
      <w:r w:rsidRPr="00C33439">
        <w:rPr>
          <w:rFonts w:ascii="Times New Roman" w:hAnsi="Times New Roman"/>
          <w:b/>
          <w:szCs w:val="24"/>
        </w:rPr>
        <w:t>Brief analysis/</w:t>
      </w:r>
      <w:r w:rsidR="00AB3960" w:rsidRPr="00C33439">
        <w:rPr>
          <w:rFonts w:ascii="Times New Roman" w:hAnsi="Times New Roman"/>
          <w:b/>
          <w:szCs w:val="24"/>
        </w:rPr>
        <w:t xml:space="preserve"> </w:t>
      </w:r>
      <w:r w:rsidRPr="00C33439">
        <w:rPr>
          <w:rFonts w:ascii="Times New Roman" w:hAnsi="Times New Roman"/>
          <w:b/>
          <w:szCs w:val="24"/>
        </w:rPr>
        <w:t>assessment of the resolution and requests made in it:</w:t>
      </w:r>
      <w:r w:rsidR="00146971">
        <w:rPr>
          <w:rFonts w:ascii="Times New Roman" w:hAnsi="Times New Roman"/>
          <w:b/>
          <w:szCs w:val="24"/>
        </w:rPr>
        <w:t xml:space="preserve"> </w:t>
      </w:r>
    </w:p>
    <w:p w14:paraId="231E993A" w14:textId="428C97DE" w:rsidR="00FD309A" w:rsidRDefault="00FD309A" w:rsidP="00FD309A">
      <w:pPr>
        <w:widowControl w:val="0"/>
        <w:rPr>
          <w:rFonts w:ascii="Times New Roman" w:hAnsi="Times New Roman"/>
          <w:bCs/>
          <w:szCs w:val="24"/>
        </w:rPr>
      </w:pPr>
      <w:r w:rsidRPr="00FD309A">
        <w:rPr>
          <w:rFonts w:ascii="Times New Roman" w:hAnsi="Times New Roman"/>
          <w:bCs/>
          <w:szCs w:val="24"/>
        </w:rPr>
        <w:t>The resolution acknowledges Kosovo’s continued alignment with the EU’s foreign and security policy, commending its progress on reforms, particularly in public administration, rule of law, and anti-corruption efforts. It welcomes the entry into force of the visa liberalisation regime and Kosovo’s application for EU membership, encouraging further steps toward fulfilling the Copenhagen criteria.</w:t>
      </w:r>
      <w:r>
        <w:rPr>
          <w:rFonts w:ascii="Times New Roman" w:hAnsi="Times New Roman"/>
          <w:bCs/>
          <w:szCs w:val="24"/>
        </w:rPr>
        <w:t xml:space="preserve"> </w:t>
      </w:r>
      <w:r w:rsidRPr="00FD309A">
        <w:rPr>
          <w:rFonts w:ascii="Times New Roman" w:hAnsi="Times New Roman"/>
          <w:bCs/>
          <w:szCs w:val="24"/>
        </w:rPr>
        <w:t>However, the resolution expresses concern about political polarization, attacks on journalists, and the underrepresentation of minorities. It urges Kosovo to strengthen judicial independence, media freedom, and the protection of minorities and displaced persons.</w:t>
      </w:r>
    </w:p>
    <w:p w14:paraId="6815AD7C" w14:textId="1311497D" w:rsidR="00FD309A" w:rsidRPr="00FD309A" w:rsidRDefault="1419E009" w:rsidP="3BA476F5">
      <w:pPr>
        <w:widowControl w:val="0"/>
        <w:rPr>
          <w:rFonts w:ascii="Times New Roman" w:hAnsi="Times New Roman"/>
        </w:rPr>
      </w:pPr>
      <w:r w:rsidRPr="3BA476F5">
        <w:rPr>
          <w:rFonts w:ascii="Times New Roman" w:hAnsi="Times New Roman"/>
        </w:rPr>
        <w:t>T</w:t>
      </w:r>
      <w:r w:rsidR="00FD309A" w:rsidRPr="3BA476F5">
        <w:rPr>
          <w:rFonts w:ascii="Times New Roman" w:hAnsi="Times New Roman"/>
        </w:rPr>
        <w:t>he European Parliament calls on Kosovo to fully implement the EU-facilitated Dialogue with Serbia, especially the Association of Serb-majority Municipalities, and to constructively engage in regional cooperation. It also requests enhanced efforts to fight disinformation and Russian malign influence, and for Kosovo to further align with the EU on sanction regimes. Moreover, the European Parliament strongly supports Kosovo’s EU path but reiterates that progress depends on comprehensive reforms and normalization of relations with Serbia.</w:t>
      </w:r>
    </w:p>
    <w:p w14:paraId="5A645722" w14:textId="585D1146" w:rsidR="00963420" w:rsidRPr="00D10B61" w:rsidRDefault="00963420" w:rsidP="0084310E">
      <w:pPr>
        <w:widowControl w:val="0"/>
        <w:numPr>
          <w:ilvl w:val="0"/>
          <w:numId w:val="34"/>
        </w:numPr>
        <w:ind w:left="567" w:hanging="567"/>
        <w:rPr>
          <w:rFonts w:ascii="Times New Roman" w:hAnsi="Times New Roman"/>
          <w:b/>
          <w:szCs w:val="24"/>
        </w:rPr>
      </w:pPr>
      <w:r w:rsidRPr="00C33439">
        <w:rPr>
          <w:rFonts w:ascii="Times New Roman" w:hAnsi="Times New Roman"/>
          <w:b/>
          <w:szCs w:val="24"/>
        </w:rPr>
        <w:t>Response to requests and overview of action taken, or intended to be taken, by the Commission:</w:t>
      </w:r>
      <w:r w:rsidR="00146971">
        <w:rPr>
          <w:rFonts w:ascii="Times New Roman" w:hAnsi="Times New Roman"/>
          <w:b/>
          <w:szCs w:val="24"/>
        </w:rPr>
        <w:t xml:space="preserve"> </w:t>
      </w:r>
    </w:p>
    <w:p w14:paraId="41E7892D" w14:textId="63148622" w:rsidR="00D10B61" w:rsidRDefault="00D10B61" w:rsidP="3BA476F5">
      <w:pPr>
        <w:widowControl w:val="0"/>
        <w:rPr>
          <w:rFonts w:ascii="Times New Roman" w:hAnsi="Times New Roman"/>
        </w:rPr>
      </w:pPr>
      <w:r w:rsidRPr="3BA476F5">
        <w:rPr>
          <w:rFonts w:ascii="Times New Roman" w:hAnsi="Times New Roman"/>
        </w:rPr>
        <w:t xml:space="preserve">On </w:t>
      </w:r>
      <w:r w:rsidRPr="3BA476F5">
        <w:rPr>
          <w:rFonts w:ascii="Times New Roman" w:hAnsi="Times New Roman"/>
          <w:b/>
          <w:bCs/>
        </w:rPr>
        <w:t xml:space="preserve">paragraph 9 on lifting of the EU measures against Kosovo, </w:t>
      </w:r>
      <w:r w:rsidR="009733E0" w:rsidRPr="3BA476F5">
        <w:rPr>
          <w:rFonts w:ascii="Times New Roman" w:hAnsi="Times New Roman"/>
        </w:rPr>
        <w:t xml:space="preserve">the Commission </w:t>
      </w:r>
      <w:r w:rsidR="33B7288F" w:rsidRPr="3BA476F5">
        <w:rPr>
          <w:rFonts w:ascii="Times New Roman" w:hAnsi="Times New Roman"/>
        </w:rPr>
        <w:t xml:space="preserve">recalls that </w:t>
      </w:r>
      <w:r w:rsidR="769FF010" w:rsidRPr="3BA476F5">
        <w:rPr>
          <w:rFonts w:ascii="Times New Roman" w:hAnsi="Times New Roman"/>
        </w:rPr>
        <w:t>f</w:t>
      </w:r>
      <w:r w:rsidR="33B7288F" w:rsidRPr="3BA476F5">
        <w:rPr>
          <w:rFonts w:ascii="Times New Roman" w:hAnsi="Times New Roman"/>
        </w:rPr>
        <w:t>ollowing increasing tensions in the north of Kosovo in 2023, the EU has been implementing measures vis-à-vis Kosovo.  The measures remain temporary and reversible.</w:t>
      </w:r>
    </w:p>
    <w:p w14:paraId="30996B8A" w14:textId="22A15BE1" w:rsidR="00D10B61" w:rsidRDefault="33B7288F" w:rsidP="3BA476F5">
      <w:pPr>
        <w:widowControl w:val="0"/>
      </w:pPr>
      <w:r w:rsidRPr="3BA476F5">
        <w:rPr>
          <w:rFonts w:ascii="Times New Roman" w:hAnsi="Times New Roman"/>
        </w:rPr>
        <w:t xml:space="preserve">In December 2024, the Council, in its conclusions on enlargement, stated that the EU will gradually lift the measures in parallel with further steps by Kosovo to de-escalate the tensions in the north. </w:t>
      </w:r>
      <w:r w:rsidR="00264200" w:rsidRPr="002D4354">
        <w:rPr>
          <w:rFonts w:ascii="Times New Roman" w:hAnsi="Times New Roman"/>
        </w:rPr>
        <w:t>In that regard, the Commission has taken first steps for the lifting of some measures. The next steps depend on the progress on the ground regarding our expectations and are conditional to sustained de-escalation in the north.</w:t>
      </w:r>
    </w:p>
    <w:p w14:paraId="257E40A8" w14:textId="45AD2AEC" w:rsidR="00BB12A9" w:rsidRDefault="00D60045" w:rsidP="3BA476F5">
      <w:pPr>
        <w:widowControl w:val="0"/>
        <w:rPr>
          <w:rFonts w:ascii="Times New Roman" w:hAnsi="Times New Roman"/>
        </w:rPr>
      </w:pPr>
      <w:r w:rsidRPr="3BA476F5">
        <w:rPr>
          <w:rFonts w:ascii="Times New Roman" w:hAnsi="Times New Roman"/>
          <w:b/>
          <w:bCs/>
        </w:rPr>
        <w:t>On paragraph 10</w:t>
      </w:r>
      <w:r w:rsidRPr="3BA476F5">
        <w:rPr>
          <w:rFonts w:ascii="Times New Roman" w:hAnsi="Times New Roman"/>
        </w:rPr>
        <w:t xml:space="preserve"> </w:t>
      </w:r>
      <w:r w:rsidRPr="3BA476F5">
        <w:rPr>
          <w:rFonts w:ascii="Times New Roman" w:hAnsi="Times New Roman"/>
          <w:b/>
          <w:bCs/>
        </w:rPr>
        <w:t>on improving visibility of the EU-Kosovo partnership</w:t>
      </w:r>
      <w:r w:rsidR="00BB12A9" w:rsidRPr="3BA476F5">
        <w:rPr>
          <w:rFonts w:ascii="Times New Roman" w:hAnsi="Times New Roman"/>
          <w:b/>
          <w:bCs/>
        </w:rPr>
        <w:t xml:space="preserve">, </w:t>
      </w:r>
      <w:r w:rsidR="00BB12A9" w:rsidRPr="3BA476F5">
        <w:rPr>
          <w:rFonts w:ascii="Times New Roman" w:hAnsi="Times New Roman"/>
        </w:rPr>
        <w:t xml:space="preserve">the Commission recalls that the EU Office in Kosovo plays a central role in implementing the EU agenda, promoting European </w:t>
      </w:r>
      <w:r w:rsidR="6356AF65" w:rsidRPr="3BA476F5">
        <w:rPr>
          <w:rFonts w:ascii="Times New Roman" w:hAnsi="Times New Roman"/>
        </w:rPr>
        <w:t>standards</w:t>
      </w:r>
      <w:r w:rsidR="00BB12A9" w:rsidRPr="3BA476F5">
        <w:rPr>
          <w:rFonts w:ascii="Times New Roman" w:hAnsi="Times New Roman"/>
        </w:rPr>
        <w:t>, and ensuring ongoing political and technical dialogue between Kosovo and EU institutions.</w:t>
      </w:r>
    </w:p>
    <w:p w14:paraId="38643A1C" w14:textId="03B5E18C" w:rsidR="00D60045" w:rsidRDefault="00BB12A9" w:rsidP="3BA476F5">
      <w:pPr>
        <w:widowControl w:val="0"/>
        <w:rPr>
          <w:rFonts w:ascii="Times New Roman" w:hAnsi="Times New Roman"/>
        </w:rPr>
      </w:pPr>
      <w:r w:rsidRPr="3BA476F5">
        <w:rPr>
          <w:rFonts w:ascii="Times New Roman" w:hAnsi="Times New Roman"/>
        </w:rPr>
        <w:lastRenderedPageBreak/>
        <w:t>Moreover,</w:t>
      </w:r>
      <w:r w:rsidRPr="3BA476F5">
        <w:rPr>
          <w:rFonts w:ascii="Times New Roman" w:hAnsi="Times New Roman"/>
          <w:b/>
          <w:bCs/>
        </w:rPr>
        <w:t xml:space="preserve"> </w:t>
      </w:r>
      <w:r w:rsidRPr="3BA476F5">
        <w:rPr>
          <w:rFonts w:ascii="Times New Roman" w:hAnsi="Times New Roman"/>
        </w:rPr>
        <w:t>t</w:t>
      </w:r>
      <w:r w:rsidR="00E37C32" w:rsidRPr="3BA476F5">
        <w:rPr>
          <w:rFonts w:ascii="Times New Roman" w:hAnsi="Times New Roman"/>
        </w:rPr>
        <w:t>he Growth Plan for the Western Balkans provides concrete benefits, incentivi</w:t>
      </w:r>
      <w:r w:rsidR="00AD739F">
        <w:rPr>
          <w:rFonts w:ascii="Times New Roman" w:hAnsi="Times New Roman"/>
        </w:rPr>
        <w:t>s</w:t>
      </w:r>
      <w:r w:rsidR="00E37C32" w:rsidRPr="3BA476F5">
        <w:rPr>
          <w:rFonts w:ascii="Times New Roman" w:hAnsi="Times New Roman"/>
        </w:rPr>
        <w:t>es reforms, and creates visible progress markers that underscore the EU’s commitment to Kosovo’s European path.</w:t>
      </w:r>
      <w:r w:rsidR="007064AD">
        <w:t xml:space="preserve"> </w:t>
      </w:r>
      <w:r w:rsidR="007064AD" w:rsidRPr="3BA476F5">
        <w:rPr>
          <w:rFonts w:ascii="Times New Roman" w:hAnsi="Times New Roman"/>
        </w:rPr>
        <w:t xml:space="preserve">As part of this Growth Plan, Kosovo was invited to prepare a Reform Agenda focusing on reforms to unlock national and regional growth potential and related to the fundamentals of the enlargement process, including the rule of law, democracy, the respect of human rights and fundamental freedoms. The Commission approved the Reform Agenda of Kosovo in October 2024. </w:t>
      </w:r>
      <w:r w:rsidR="00F830DD">
        <w:rPr>
          <w:rFonts w:ascii="Times New Roman" w:hAnsi="Times New Roman"/>
        </w:rPr>
        <w:t xml:space="preserve">EUR </w:t>
      </w:r>
      <w:r w:rsidR="007064AD" w:rsidRPr="3BA476F5">
        <w:rPr>
          <w:rFonts w:ascii="Times New Roman" w:hAnsi="Times New Roman"/>
        </w:rPr>
        <w:t xml:space="preserve">882 million in non-repayable </w:t>
      </w:r>
      <w:r w:rsidR="003779D7">
        <w:rPr>
          <w:rFonts w:ascii="Times New Roman" w:hAnsi="Times New Roman"/>
        </w:rPr>
        <w:t>support</w:t>
      </w:r>
      <w:r w:rsidR="007064AD" w:rsidRPr="3BA476F5">
        <w:rPr>
          <w:rFonts w:ascii="Times New Roman" w:hAnsi="Times New Roman"/>
        </w:rPr>
        <w:t xml:space="preserve"> and favourable loans will be available to Kosovo when it meets the conditions it has committed to in its Reform Agenda. A specific pre-condition </w:t>
      </w:r>
      <w:r w:rsidR="003779D7">
        <w:rPr>
          <w:rFonts w:ascii="Times New Roman" w:hAnsi="Times New Roman"/>
        </w:rPr>
        <w:t xml:space="preserve">linked to all financing </w:t>
      </w:r>
      <w:r w:rsidR="007064AD" w:rsidRPr="3BA476F5">
        <w:rPr>
          <w:rFonts w:ascii="Times New Roman" w:hAnsi="Times New Roman"/>
        </w:rPr>
        <w:t>applies to Kosovo and Serbia who must engage constructively in the normalisation of their relations.</w:t>
      </w:r>
    </w:p>
    <w:p w14:paraId="71833FAA" w14:textId="4CF6A255" w:rsidR="00BB12A9" w:rsidRDefault="00A763FA" w:rsidP="3BA476F5">
      <w:pPr>
        <w:widowControl w:val="0"/>
        <w:rPr>
          <w:rFonts w:ascii="Times New Roman" w:hAnsi="Times New Roman"/>
        </w:rPr>
      </w:pPr>
      <w:r>
        <w:rPr>
          <w:rFonts w:ascii="Times New Roman" w:hAnsi="Times New Roman"/>
        </w:rPr>
        <w:t>T</w:t>
      </w:r>
      <w:r w:rsidR="00BB12A9" w:rsidRPr="3BA476F5">
        <w:rPr>
          <w:rFonts w:ascii="Times New Roman" w:hAnsi="Times New Roman"/>
        </w:rPr>
        <w:t xml:space="preserve">he EU is the largest provider of financial assistance to Kosovo. It offers a variety of programmes and instruments to support Kosovo’s development and alignment with EU acquis and </w:t>
      </w:r>
      <w:r w:rsidR="4A3712C4" w:rsidRPr="3BA476F5">
        <w:rPr>
          <w:rFonts w:ascii="Times New Roman" w:hAnsi="Times New Roman"/>
        </w:rPr>
        <w:t>standards</w:t>
      </w:r>
      <w:r w:rsidR="00BB12A9" w:rsidRPr="3BA476F5">
        <w:rPr>
          <w:rFonts w:ascii="Times New Roman" w:hAnsi="Times New Roman"/>
        </w:rPr>
        <w:t>.</w:t>
      </w:r>
      <w:r w:rsidR="007064AD">
        <w:t xml:space="preserve"> </w:t>
      </w:r>
      <w:r w:rsidR="007064AD" w:rsidRPr="3BA476F5">
        <w:rPr>
          <w:rFonts w:ascii="Times New Roman" w:hAnsi="Times New Roman"/>
        </w:rPr>
        <w:t>Between 2021-202</w:t>
      </w:r>
      <w:r w:rsidR="456BAFDF" w:rsidRPr="3BA476F5">
        <w:rPr>
          <w:rFonts w:ascii="Times New Roman" w:hAnsi="Times New Roman"/>
        </w:rPr>
        <w:t>5</w:t>
      </w:r>
      <w:r w:rsidR="007064AD" w:rsidRPr="3BA476F5">
        <w:rPr>
          <w:rFonts w:ascii="Times New Roman" w:hAnsi="Times New Roman"/>
        </w:rPr>
        <w:t xml:space="preserve"> the EU has allocated over </w:t>
      </w:r>
      <w:r w:rsidR="00F830DD">
        <w:rPr>
          <w:rFonts w:ascii="Times New Roman" w:hAnsi="Times New Roman"/>
        </w:rPr>
        <w:t xml:space="preserve">EUR </w:t>
      </w:r>
      <w:r w:rsidR="007064AD" w:rsidRPr="3BA476F5">
        <w:rPr>
          <w:rFonts w:ascii="Times New Roman" w:hAnsi="Times New Roman"/>
        </w:rPr>
        <w:t>2</w:t>
      </w:r>
      <w:r w:rsidR="50E5C4B3" w:rsidRPr="3BA476F5">
        <w:rPr>
          <w:rFonts w:ascii="Times New Roman" w:hAnsi="Times New Roman"/>
        </w:rPr>
        <w:t>38.3</w:t>
      </w:r>
      <w:r w:rsidR="007064AD" w:rsidRPr="3BA476F5">
        <w:rPr>
          <w:rFonts w:ascii="Times New Roman" w:hAnsi="Times New Roman"/>
        </w:rPr>
        <w:t xml:space="preserve"> million in non-repayable </w:t>
      </w:r>
      <w:r w:rsidR="003779D7">
        <w:rPr>
          <w:rFonts w:ascii="Times New Roman" w:hAnsi="Times New Roman"/>
        </w:rPr>
        <w:t>support</w:t>
      </w:r>
      <w:r w:rsidR="007064AD" w:rsidRPr="3BA476F5">
        <w:rPr>
          <w:rFonts w:ascii="Times New Roman" w:hAnsi="Times New Roman"/>
        </w:rPr>
        <w:t xml:space="preserve"> to Kosovo under </w:t>
      </w:r>
      <w:r w:rsidR="00901A21">
        <w:rPr>
          <w:rFonts w:ascii="Times New Roman" w:hAnsi="Times New Roman"/>
        </w:rPr>
        <w:t xml:space="preserve">the Instrument for Pre-accession </w:t>
      </w:r>
      <w:r w:rsidR="00580257">
        <w:rPr>
          <w:rFonts w:ascii="Times New Roman" w:hAnsi="Times New Roman"/>
        </w:rPr>
        <w:t>Assistance III (</w:t>
      </w:r>
      <w:r w:rsidR="007064AD" w:rsidRPr="3BA476F5">
        <w:rPr>
          <w:rFonts w:ascii="Times New Roman" w:hAnsi="Times New Roman"/>
        </w:rPr>
        <w:t>IPA III</w:t>
      </w:r>
      <w:r w:rsidR="00580257">
        <w:rPr>
          <w:rFonts w:ascii="Times New Roman" w:hAnsi="Times New Roman"/>
        </w:rPr>
        <w:t>)</w:t>
      </w:r>
      <w:r w:rsidR="007064AD" w:rsidRPr="3BA476F5">
        <w:rPr>
          <w:rFonts w:ascii="Times New Roman" w:hAnsi="Times New Roman"/>
        </w:rPr>
        <w:t>. These funds support fundamental reforms</w:t>
      </w:r>
      <w:r w:rsidR="003779D7">
        <w:rPr>
          <w:rFonts w:ascii="Times New Roman" w:hAnsi="Times New Roman"/>
        </w:rPr>
        <w:t>,</w:t>
      </w:r>
      <w:r w:rsidR="007064AD" w:rsidRPr="3BA476F5">
        <w:rPr>
          <w:rFonts w:ascii="Times New Roman" w:hAnsi="Times New Roman"/>
        </w:rPr>
        <w:t xml:space="preserve"> socio-economic development</w:t>
      </w:r>
      <w:r w:rsidR="4F33BC74" w:rsidRPr="3BA476F5">
        <w:rPr>
          <w:rFonts w:ascii="Times New Roman" w:hAnsi="Times New Roman"/>
        </w:rPr>
        <w:t xml:space="preserve"> and EU acquis approximation</w:t>
      </w:r>
      <w:r w:rsidR="007064AD" w:rsidRPr="3BA476F5">
        <w:rPr>
          <w:rFonts w:ascii="Times New Roman" w:hAnsi="Times New Roman"/>
        </w:rPr>
        <w:t xml:space="preserve">. </w:t>
      </w:r>
    </w:p>
    <w:p w14:paraId="6BD99DC1" w14:textId="0E85F506" w:rsidR="007064AD" w:rsidRPr="007064AD" w:rsidRDefault="007064AD" w:rsidP="3BA476F5">
      <w:pPr>
        <w:widowControl w:val="0"/>
        <w:rPr>
          <w:rFonts w:ascii="Times New Roman" w:hAnsi="Times New Roman"/>
        </w:rPr>
      </w:pPr>
      <w:r w:rsidRPr="3BA476F5">
        <w:rPr>
          <w:rFonts w:ascii="Times New Roman" w:hAnsi="Times New Roman"/>
        </w:rPr>
        <w:t xml:space="preserve">The EU’s </w:t>
      </w:r>
      <w:r w:rsidR="00E67E16">
        <w:rPr>
          <w:rFonts w:ascii="Times New Roman" w:hAnsi="Times New Roman"/>
        </w:rPr>
        <w:t>Economic and Investment Plan (</w:t>
      </w:r>
      <w:r w:rsidRPr="3BA476F5">
        <w:rPr>
          <w:rFonts w:ascii="Times New Roman" w:hAnsi="Times New Roman"/>
        </w:rPr>
        <w:t>EIP</w:t>
      </w:r>
      <w:r w:rsidR="00E67E16">
        <w:rPr>
          <w:rFonts w:ascii="Times New Roman" w:hAnsi="Times New Roman"/>
        </w:rPr>
        <w:t>)</w:t>
      </w:r>
      <w:r w:rsidRPr="3BA476F5">
        <w:rPr>
          <w:rFonts w:ascii="Times New Roman" w:hAnsi="Times New Roman"/>
        </w:rPr>
        <w:t xml:space="preserve"> for the Western Balkans identifies 10 flagship investment priorities for the region to spur long-term growth, accelerate green &amp; digital transitions, and foster regional cooperation. For projects in Kosovo, since 2020, the EU has already mobilised </w:t>
      </w:r>
      <w:r w:rsidR="00F830DD">
        <w:rPr>
          <w:rFonts w:ascii="Times New Roman" w:hAnsi="Times New Roman"/>
        </w:rPr>
        <w:t xml:space="preserve">EUR </w:t>
      </w:r>
      <w:r w:rsidRPr="3BA476F5">
        <w:rPr>
          <w:rFonts w:ascii="Times New Roman" w:hAnsi="Times New Roman"/>
        </w:rPr>
        <w:t>893 million in investments thanks to</w:t>
      </w:r>
      <w:r w:rsidR="0541D55E" w:rsidRPr="3BA476F5">
        <w:rPr>
          <w:rFonts w:ascii="Times New Roman" w:hAnsi="Times New Roman"/>
        </w:rPr>
        <w:t xml:space="preserve"> </w:t>
      </w:r>
      <w:r w:rsidR="00F830DD">
        <w:rPr>
          <w:rFonts w:ascii="Times New Roman" w:hAnsi="Times New Roman"/>
        </w:rPr>
        <w:t xml:space="preserve">EUR </w:t>
      </w:r>
      <w:r w:rsidRPr="3BA476F5">
        <w:rPr>
          <w:rFonts w:ascii="Times New Roman" w:hAnsi="Times New Roman"/>
        </w:rPr>
        <w:t xml:space="preserve">303 million in EU </w:t>
      </w:r>
      <w:r w:rsidR="003779D7">
        <w:rPr>
          <w:rFonts w:ascii="Times New Roman" w:hAnsi="Times New Roman"/>
        </w:rPr>
        <w:t>support</w:t>
      </w:r>
      <w:r w:rsidRPr="3BA476F5">
        <w:rPr>
          <w:rFonts w:ascii="Times New Roman" w:hAnsi="Times New Roman"/>
        </w:rPr>
        <w:t>. Funds are raised through tools such as the Western Balkans Investment Framework (WBIF).</w:t>
      </w:r>
    </w:p>
    <w:p w14:paraId="553CA3A1" w14:textId="5BCB9D3E" w:rsidR="00D60045" w:rsidRPr="0016328D" w:rsidRDefault="00D60045" w:rsidP="3BA476F5">
      <w:pPr>
        <w:widowControl w:val="0"/>
        <w:rPr>
          <w:rFonts w:ascii="Times New Roman" w:hAnsi="Times New Roman"/>
        </w:rPr>
      </w:pPr>
      <w:r w:rsidRPr="3BA476F5">
        <w:rPr>
          <w:rFonts w:ascii="Times New Roman" w:hAnsi="Times New Roman"/>
          <w:b/>
          <w:bCs/>
        </w:rPr>
        <w:t xml:space="preserve">As regards paragraph </w:t>
      </w:r>
      <w:r w:rsidR="004D6080" w:rsidRPr="3BA476F5">
        <w:rPr>
          <w:rFonts w:ascii="Times New Roman" w:hAnsi="Times New Roman"/>
          <w:b/>
          <w:bCs/>
        </w:rPr>
        <w:t xml:space="preserve">45, </w:t>
      </w:r>
      <w:r w:rsidR="004D6080" w:rsidRPr="3BA476F5">
        <w:rPr>
          <w:rFonts w:ascii="Times New Roman" w:hAnsi="Times New Roman"/>
        </w:rPr>
        <w:t>the</w:t>
      </w:r>
      <w:r w:rsidR="00AD739F">
        <w:rPr>
          <w:rFonts w:ascii="Times New Roman" w:hAnsi="Times New Roman"/>
        </w:rPr>
        <w:t xml:space="preserve"> H</w:t>
      </w:r>
      <w:r w:rsidR="00117429">
        <w:rPr>
          <w:rFonts w:ascii="Times New Roman" w:hAnsi="Times New Roman"/>
        </w:rPr>
        <w:t>igh Representative/Vice -</w:t>
      </w:r>
      <w:r w:rsidR="002737F6">
        <w:rPr>
          <w:rFonts w:ascii="Times New Roman" w:hAnsi="Times New Roman"/>
        </w:rPr>
        <w:t xml:space="preserve">President </w:t>
      </w:r>
      <w:r w:rsidR="00AD739F">
        <w:rPr>
          <w:rFonts w:ascii="Times New Roman" w:hAnsi="Times New Roman"/>
        </w:rPr>
        <w:t>Kallas</w:t>
      </w:r>
      <w:r w:rsidR="7ABDEE1C" w:rsidRPr="3BA476F5">
        <w:rPr>
          <w:rFonts w:ascii="Times New Roman" w:hAnsi="Times New Roman"/>
        </w:rPr>
        <w:t xml:space="preserve">, as the facilitator of the Dialogue, with the support of the EU Special Representative for the Dialogue (EUSR), Peter Sørensen, is working to achieve a comprehensive, legally binding normalisation agreement between Kosovo and Serbia, addressing all outstanding issues. Such an agreement is essential for both Parties to advance on their respective European paths, improve the lives of their citizens and contribute to the security, stability and prosperity of the entire region. </w:t>
      </w:r>
      <w:r w:rsidR="002737F6">
        <w:rPr>
          <w:rFonts w:ascii="Times New Roman" w:hAnsi="Times New Roman"/>
        </w:rPr>
        <w:t xml:space="preserve">High Representative/Vice -President </w:t>
      </w:r>
      <w:r w:rsidR="7ABDEE1C" w:rsidRPr="3BA476F5">
        <w:rPr>
          <w:rFonts w:ascii="Times New Roman" w:hAnsi="Times New Roman"/>
        </w:rPr>
        <w:t>Kallas met as recently as 21-23 May with the Parties in respectively Serbia and Kosovo to drive the process forward. The Commission also remains fully engaged in supporting this process, with all actionable tools at its disposal. The continued work of the EU-Kosovo parliamentary committee under the S</w:t>
      </w:r>
      <w:r w:rsidR="00AD739F">
        <w:rPr>
          <w:rFonts w:ascii="Times New Roman" w:hAnsi="Times New Roman"/>
        </w:rPr>
        <w:t xml:space="preserve">tabilisation and Association </w:t>
      </w:r>
      <w:r w:rsidR="7ABDEE1C" w:rsidRPr="3BA476F5">
        <w:rPr>
          <w:rFonts w:ascii="Times New Roman" w:hAnsi="Times New Roman"/>
        </w:rPr>
        <w:t>A</w:t>
      </w:r>
      <w:r w:rsidR="00AD739F">
        <w:rPr>
          <w:rFonts w:ascii="Times New Roman" w:hAnsi="Times New Roman"/>
        </w:rPr>
        <w:t>greement</w:t>
      </w:r>
      <w:r w:rsidR="7ABDEE1C" w:rsidRPr="3BA476F5">
        <w:rPr>
          <w:rFonts w:ascii="Times New Roman" w:hAnsi="Times New Roman"/>
        </w:rPr>
        <w:t xml:space="preserve"> is welcomed as it plays an important role in our relations with Kosovo. The </w:t>
      </w:r>
      <w:r w:rsidR="002737F6">
        <w:rPr>
          <w:rFonts w:ascii="Times New Roman" w:hAnsi="Times New Roman"/>
        </w:rPr>
        <w:t>High Representative/Vice -President</w:t>
      </w:r>
      <w:r w:rsidR="00F830DD">
        <w:rPr>
          <w:rFonts w:ascii="Times New Roman" w:hAnsi="Times New Roman"/>
        </w:rPr>
        <w:t>, like the</w:t>
      </w:r>
      <w:r w:rsidR="7ABDEE1C" w:rsidRPr="3BA476F5">
        <w:rPr>
          <w:rFonts w:ascii="Times New Roman" w:hAnsi="Times New Roman"/>
        </w:rPr>
        <w:t xml:space="preserve"> EUSR</w:t>
      </w:r>
      <w:r w:rsidR="00F830DD">
        <w:rPr>
          <w:rFonts w:ascii="Times New Roman" w:hAnsi="Times New Roman"/>
        </w:rPr>
        <w:t>,</w:t>
      </w:r>
      <w:r w:rsidR="7ABDEE1C" w:rsidRPr="3BA476F5">
        <w:rPr>
          <w:rFonts w:ascii="Times New Roman" w:hAnsi="Times New Roman"/>
        </w:rPr>
        <w:t xml:space="preserve"> remains committed to regularly informing the European Parliament on progress in the Dialogue.</w:t>
      </w:r>
    </w:p>
    <w:p w14:paraId="22518FB6" w14:textId="24DF315B" w:rsidR="009910A1" w:rsidRPr="00D60045" w:rsidRDefault="009910A1" w:rsidP="3BA476F5">
      <w:pPr>
        <w:widowControl w:val="0"/>
        <w:rPr>
          <w:rFonts w:ascii="Times New Roman" w:hAnsi="Times New Roman"/>
        </w:rPr>
      </w:pPr>
      <w:r w:rsidRPr="3BA476F5">
        <w:rPr>
          <w:rFonts w:ascii="Times New Roman" w:hAnsi="Times New Roman"/>
          <w:b/>
          <w:bCs/>
        </w:rPr>
        <w:t>On paragraph 5</w:t>
      </w:r>
      <w:r w:rsidR="1C79B2BE" w:rsidRPr="3BA476F5">
        <w:rPr>
          <w:rFonts w:ascii="Times New Roman" w:hAnsi="Times New Roman"/>
          <w:b/>
          <w:bCs/>
        </w:rPr>
        <w:t>2</w:t>
      </w:r>
      <w:r w:rsidRPr="3BA476F5">
        <w:rPr>
          <w:rFonts w:ascii="Times New Roman" w:hAnsi="Times New Roman"/>
          <w:b/>
          <w:bCs/>
        </w:rPr>
        <w:t xml:space="preserve"> on persistent youth unemployment and brain drain,</w:t>
      </w:r>
      <w:r w:rsidR="069530DF" w:rsidRPr="3BA476F5">
        <w:rPr>
          <w:rFonts w:ascii="Times New Roman" w:hAnsi="Times New Roman"/>
          <w:b/>
          <w:bCs/>
        </w:rPr>
        <w:t xml:space="preserve"> </w:t>
      </w:r>
      <w:r w:rsidR="3690B349" w:rsidRPr="3BA476F5">
        <w:rPr>
          <w:rFonts w:ascii="Times New Roman" w:hAnsi="Times New Roman"/>
        </w:rPr>
        <w:t xml:space="preserve">the </w:t>
      </w:r>
      <w:r w:rsidR="40A62B11" w:rsidRPr="3BA476F5">
        <w:rPr>
          <w:rFonts w:ascii="Times New Roman" w:hAnsi="Times New Roman"/>
        </w:rPr>
        <w:t xml:space="preserve">Commission recalls that the </w:t>
      </w:r>
      <w:r w:rsidR="3690B349" w:rsidRPr="3BA476F5">
        <w:rPr>
          <w:rFonts w:ascii="Times New Roman" w:hAnsi="Times New Roman"/>
        </w:rPr>
        <w:t>EU launched the Youth Guarantee in the Western Balkans in 2021, following the milestone endorsement of the ‘Western Balkans Declaration on ensuring sustainable labour market integration of young people’</w:t>
      </w:r>
      <w:r w:rsidR="63E954F8" w:rsidRPr="3BA476F5">
        <w:rPr>
          <w:rFonts w:ascii="Times New Roman" w:hAnsi="Times New Roman"/>
        </w:rPr>
        <w:t xml:space="preserve">. In Kosovo, this led to the piloting of the Youth Guarantee Implementation Plan, which was launched in two municipalities in May 2024. </w:t>
      </w:r>
      <w:r w:rsidR="4F887E42" w:rsidRPr="3BA476F5">
        <w:rPr>
          <w:rFonts w:ascii="Times New Roman" w:hAnsi="Times New Roman"/>
        </w:rPr>
        <w:t xml:space="preserve">The Youth Guarantee is a commitment to give all young people under the age of 30 a good quality offer of employment, continued education, an apprenticeship, or a traineeship, thus aiming to ensure </w:t>
      </w:r>
      <w:r w:rsidR="5CC14841" w:rsidRPr="3BA476F5">
        <w:rPr>
          <w:rFonts w:ascii="Times New Roman" w:hAnsi="Times New Roman"/>
        </w:rPr>
        <w:t xml:space="preserve">better linkages between education and employment. </w:t>
      </w:r>
      <w:r w:rsidR="00B45B47">
        <w:rPr>
          <w:rFonts w:ascii="Times New Roman" w:hAnsi="Times New Roman"/>
        </w:rPr>
        <w:t>Furthermore, financial support under IPA, the Growth Plan for the Western Balkans and WBIF contributes to investment</w:t>
      </w:r>
      <w:r w:rsidR="003779D7">
        <w:rPr>
          <w:rFonts w:ascii="Times New Roman" w:hAnsi="Times New Roman"/>
        </w:rPr>
        <w:t>, convergence</w:t>
      </w:r>
      <w:r w:rsidR="00B45B47">
        <w:rPr>
          <w:rFonts w:ascii="Times New Roman" w:hAnsi="Times New Roman"/>
        </w:rPr>
        <w:t xml:space="preserve"> and economic growth in Kosovo and the region as a whole, creating better employment opportunities and living standards locally. </w:t>
      </w:r>
    </w:p>
    <w:sectPr w:rsidR="009910A1" w:rsidRPr="00D60045" w:rsidSect="00812321">
      <w:footerReference w:type="even" r:id="rId11"/>
      <w:footerReference w:type="default" r:id="rId12"/>
      <w:footerReference w:type="first" r:id="rId1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1050" w14:textId="77777777" w:rsidR="00D84DF9" w:rsidRDefault="00D84DF9">
      <w:r>
        <w:separator/>
      </w:r>
    </w:p>
  </w:endnote>
  <w:endnote w:type="continuationSeparator" w:id="0">
    <w:p w14:paraId="5F003B00" w14:textId="77777777" w:rsidR="00D84DF9" w:rsidRDefault="00D8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F21A"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301C7CEE"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7CEA"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7DAF19FC"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910D"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470C">
      <w:rPr>
        <w:rStyle w:val="PageNumber"/>
        <w:noProof/>
      </w:rPr>
      <w:t>1</w:t>
    </w:r>
    <w:r>
      <w:rPr>
        <w:rStyle w:val="PageNumber"/>
      </w:rPr>
      <w:fldChar w:fldCharType="end"/>
    </w:r>
  </w:p>
  <w:p w14:paraId="271E64CF"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0E67" w14:textId="77777777" w:rsidR="00D84DF9" w:rsidRDefault="00D84DF9">
      <w:r>
        <w:separator/>
      </w:r>
    </w:p>
  </w:footnote>
  <w:footnote w:type="continuationSeparator" w:id="0">
    <w:p w14:paraId="06E7864E" w14:textId="77777777" w:rsidR="00D84DF9" w:rsidRDefault="00D84DF9">
      <w:r>
        <w:continuationSeparator/>
      </w:r>
    </w:p>
  </w:footnote>
  <w:footnote w:id="1">
    <w:p w14:paraId="564AEFFB" w14:textId="79776745" w:rsidR="00F5397A" w:rsidRPr="00F5397A" w:rsidRDefault="00F5397A">
      <w:pPr>
        <w:pStyle w:val="FootnoteText"/>
        <w:rPr>
          <w:lang w:val="en-IE"/>
        </w:rPr>
      </w:pPr>
      <w:r w:rsidRPr="00F5397A">
        <w:rPr>
          <w:rStyle w:val="FootnoteReference"/>
        </w:rPr>
        <w:sym w:font="Symbol" w:char="F02A"/>
      </w:r>
      <w:r>
        <w:t xml:space="preserve"> </w:t>
      </w:r>
      <w:r w:rsidRPr="00F5397A">
        <w:rPr>
          <w:rFonts w:ascii="Times New Roman" w:hAnsi="Times New Roman"/>
        </w:rPr>
        <w:t xml:space="preserve">This designation is without prejudice to positions on </w:t>
      </w:r>
      <w:r w:rsidR="00F8790C" w:rsidRPr="00F5397A">
        <w:rPr>
          <w:rFonts w:ascii="Times New Roman" w:hAnsi="Times New Roman"/>
        </w:rPr>
        <w:t>status and</w:t>
      </w:r>
      <w:r w:rsidRPr="00F5397A">
        <w:rPr>
          <w:rFonts w:ascii="Times New Roman" w:hAnsi="Times New Roman"/>
        </w:rPr>
        <w:t xml:space="preserve"> is in line with UNSCR 1244/1999 and the ICJ Opinion on the Kosovo declaration of independence.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9"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4"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9"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3"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806896858">
    <w:abstractNumId w:val="7"/>
  </w:num>
  <w:num w:numId="2" w16cid:durableId="235936882">
    <w:abstractNumId w:val="1"/>
  </w:num>
  <w:num w:numId="3" w16cid:durableId="1922136180">
    <w:abstractNumId w:val="32"/>
  </w:num>
  <w:num w:numId="4" w16cid:durableId="452138241">
    <w:abstractNumId w:val="13"/>
  </w:num>
  <w:num w:numId="5" w16cid:durableId="54746568">
    <w:abstractNumId w:val="28"/>
  </w:num>
  <w:num w:numId="6" w16cid:durableId="624699786">
    <w:abstractNumId w:val="10"/>
  </w:num>
  <w:num w:numId="7" w16cid:durableId="706492476">
    <w:abstractNumId w:val="6"/>
  </w:num>
  <w:num w:numId="8" w16cid:durableId="209925714">
    <w:abstractNumId w:val="15"/>
  </w:num>
  <w:num w:numId="9" w16cid:durableId="381751632">
    <w:abstractNumId w:val="31"/>
  </w:num>
  <w:num w:numId="10" w16cid:durableId="1115757550">
    <w:abstractNumId w:val="23"/>
  </w:num>
  <w:num w:numId="11" w16cid:durableId="1934898453">
    <w:abstractNumId w:val="25"/>
  </w:num>
  <w:num w:numId="12" w16cid:durableId="1462189747">
    <w:abstractNumId w:val="12"/>
  </w:num>
  <w:num w:numId="13" w16cid:durableId="1274090217">
    <w:abstractNumId w:val="16"/>
  </w:num>
  <w:num w:numId="14" w16cid:durableId="1019090324">
    <w:abstractNumId w:val="29"/>
  </w:num>
  <w:num w:numId="15" w16cid:durableId="1805808514">
    <w:abstractNumId w:val="14"/>
  </w:num>
  <w:num w:numId="16" w16cid:durableId="1143542097">
    <w:abstractNumId w:val="35"/>
  </w:num>
  <w:num w:numId="17" w16cid:durableId="1940411948">
    <w:abstractNumId w:val="30"/>
  </w:num>
  <w:num w:numId="18" w16cid:durableId="1573930417">
    <w:abstractNumId w:val="21"/>
  </w:num>
  <w:num w:numId="19" w16cid:durableId="1556820322">
    <w:abstractNumId w:val="22"/>
  </w:num>
  <w:num w:numId="20" w16cid:durableId="1769152204">
    <w:abstractNumId w:val="27"/>
  </w:num>
  <w:num w:numId="21" w16cid:durableId="1365789552">
    <w:abstractNumId w:val="3"/>
  </w:num>
  <w:num w:numId="22" w16cid:durableId="1171601896">
    <w:abstractNumId w:val="4"/>
  </w:num>
  <w:num w:numId="23" w16cid:durableId="833034843">
    <w:abstractNumId w:val="5"/>
  </w:num>
  <w:num w:numId="24" w16cid:durableId="21038428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4144531">
    <w:abstractNumId w:val="33"/>
  </w:num>
  <w:num w:numId="26" w16cid:durableId="10256224">
    <w:abstractNumId w:val="24"/>
  </w:num>
  <w:num w:numId="27" w16cid:durableId="1812557739">
    <w:abstractNumId w:val="17"/>
  </w:num>
  <w:num w:numId="28" w16cid:durableId="1236361229">
    <w:abstractNumId w:val="34"/>
  </w:num>
  <w:num w:numId="29" w16cid:durableId="132798178">
    <w:abstractNumId w:val="2"/>
  </w:num>
  <w:num w:numId="30" w16cid:durableId="1483539305">
    <w:abstractNumId w:val="20"/>
  </w:num>
  <w:num w:numId="31" w16cid:durableId="1858422062">
    <w:abstractNumId w:val="19"/>
  </w:num>
  <w:num w:numId="32" w16cid:durableId="1423454228">
    <w:abstractNumId w:val="9"/>
  </w:num>
  <w:num w:numId="33" w16cid:durableId="1018773744">
    <w:abstractNumId w:val="11"/>
  </w:num>
  <w:num w:numId="34" w16cid:durableId="1673800101">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BE"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005"/>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6D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895"/>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B10"/>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4D0"/>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70C"/>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429"/>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EC4"/>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28D"/>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17B"/>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84D"/>
    <w:rsid w:val="00194A0F"/>
    <w:rsid w:val="00195512"/>
    <w:rsid w:val="00196088"/>
    <w:rsid w:val="001962D1"/>
    <w:rsid w:val="00196902"/>
    <w:rsid w:val="00196B1B"/>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D77"/>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373"/>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6E"/>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200"/>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7F6"/>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09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DF6"/>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0D08"/>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1E1"/>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9C2"/>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9CB"/>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9D7"/>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BE7"/>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080"/>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2B3"/>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10"/>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257"/>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C14"/>
    <w:rsid w:val="005E0D0D"/>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3F40"/>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BF1"/>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4AD"/>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8A"/>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6AE"/>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5CAA"/>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EA5"/>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65E"/>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5A8"/>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44F"/>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C6A"/>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1B2F"/>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A21"/>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1D4C"/>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699"/>
    <w:rsid w:val="0095582B"/>
    <w:rsid w:val="009559B6"/>
    <w:rsid w:val="00955DDE"/>
    <w:rsid w:val="009561EF"/>
    <w:rsid w:val="00956793"/>
    <w:rsid w:val="00956827"/>
    <w:rsid w:val="009568F4"/>
    <w:rsid w:val="00956C96"/>
    <w:rsid w:val="00956CFA"/>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3E0"/>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4EC7"/>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96B"/>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4CE"/>
    <w:rsid w:val="009875AA"/>
    <w:rsid w:val="009877AD"/>
    <w:rsid w:val="009877BF"/>
    <w:rsid w:val="00990461"/>
    <w:rsid w:val="00990698"/>
    <w:rsid w:val="00990790"/>
    <w:rsid w:val="0099095D"/>
    <w:rsid w:val="00990A5D"/>
    <w:rsid w:val="00990BE4"/>
    <w:rsid w:val="00990C54"/>
    <w:rsid w:val="009910A1"/>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7B9"/>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9DE"/>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BC3"/>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E51"/>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DC0"/>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6ED4"/>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3F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8D0"/>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3930"/>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39F"/>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5A0"/>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21B"/>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47"/>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160"/>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2A9"/>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6DF"/>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95"/>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498"/>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3C0"/>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58B"/>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EB0"/>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B61"/>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4CA"/>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045"/>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6D4"/>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DF9"/>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25D"/>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C32"/>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67E16"/>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97A"/>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7"/>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0DD"/>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90C"/>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91B"/>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439"/>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09A"/>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 w:val="013119CD"/>
    <w:rsid w:val="03245504"/>
    <w:rsid w:val="036CCF0D"/>
    <w:rsid w:val="04FF7F74"/>
    <w:rsid w:val="0541D55E"/>
    <w:rsid w:val="069530DF"/>
    <w:rsid w:val="06C7BCB2"/>
    <w:rsid w:val="098FC50E"/>
    <w:rsid w:val="0CB30B7A"/>
    <w:rsid w:val="0DE91DA9"/>
    <w:rsid w:val="0F7EF5DD"/>
    <w:rsid w:val="1419E009"/>
    <w:rsid w:val="147AD8C5"/>
    <w:rsid w:val="1B52694B"/>
    <w:rsid w:val="1C79B2BE"/>
    <w:rsid w:val="1FFE219D"/>
    <w:rsid w:val="2395F4F9"/>
    <w:rsid w:val="28FCA8B3"/>
    <w:rsid w:val="2BDF6AA7"/>
    <w:rsid w:val="2CECE470"/>
    <w:rsid w:val="3198DBC6"/>
    <w:rsid w:val="33B7288F"/>
    <w:rsid w:val="33FEFCAE"/>
    <w:rsid w:val="3690B349"/>
    <w:rsid w:val="3BA476F5"/>
    <w:rsid w:val="40A62B11"/>
    <w:rsid w:val="4240D756"/>
    <w:rsid w:val="4324FA98"/>
    <w:rsid w:val="4359148E"/>
    <w:rsid w:val="445C7064"/>
    <w:rsid w:val="456BAFDF"/>
    <w:rsid w:val="46C104A8"/>
    <w:rsid w:val="480AD349"/>
    <w:rsid w:val="4A3712C4"/>
    <w:rsid w:val="4B818D5E"/>
    <w:rsid w:val="4C0CF338"/>
    <w:rsid w:val="4C52DFAB"/>
    <w:rsid w:val="4D38BE83"/>
    <w:rsid w:val="4E1B66F9"/>
    <w:rsid w:val="4F33BC74"/>
    <w:rsid w:val="4F887E42"/>
    <w:rsid w:val="4FACB53C"/>
    <w:rsid w:val="50E5C4B3"/>
    <w:rsid w:val="5CA7CA08"/>
    <w:rsid w:val="5CC14841"/>
    <w:rsid w:val="5DF7C271"/>
    <w:rsid w:val="60E9D480"/>
    <w:rsid w:val="6356AF65"/>
    <w:rsid w:val="63E954F8"/>
    <w:rsid w:val="642BFFB2"/>
    <w:rsid w:val="643205F9"/>
    <w:rsid w:val="64BD68E8"/>
    <w:rsid w:val="6A9F8257"/>
    <w:rsid w:val="6DD27DF6"/>
    <w:rsid w:val="6DFD24B8"/>
    <w:rsid w:val="6F2EB1E9"/>
    <w:rsid w:val="6F443EBC"/>
    <w:rsid w:val="7224CAE6"/>
    <w:rsid w:val="72754A56"/>
    <w:rsid w:val="73876BD5"/>
    <w:rsid w:val="7415392C"/>
    <w:rsid w:val="769FF010"/>
    <w:rsid w:val="7ABDE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1DA3C"/>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val="en-GB"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180924316">
      <w:bodyDiv w:val="1"/>
      <w:marLeft w:val="0"/>
      <w:marRight w:val="0"/>
      <w:marTop w:val="0"/>
      <w:marBottom w:val="0"/>
      <w:divBdr>
        <w:top w:val="none" w:sz="0" w:space="0" w:color="auto"/>
        <w:left w:val="none" w:sz="0" w:space="0" w:color="auto"/>
        <w:bottom w:val="none" w:sz="0" w:space="0" w:color="auto"/>
        <w:right w:val="none" w:sz="0" w:space="0" w:color="auto"/>
      </w:divBdr>
    </w:div>
    <w:div w:id="159273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documenttasks/documenttasks1.xml><?xml version="1.0" encoding="utf-8"?>
<t:Tasks xmlns:t="http://schemas.microsoft.com/office/tasks/2019/documenttasks" xmlns:oel="http://schemas.microsoft.com/office/2019/extlst">
  <t:Task id="{84D70351-2E0F-4C9E-B33F-9C5FAB4B37B4}">
    <t:Anchor>
      <t:Comment id="491083369"/>
    </t:Anchor>
    <t:History>
      <t:Event id="{F6B38453-A392-48BF-85EE-DFE3020E86DD}" time="2025-05-19T16:07:58.088Z">
        <t:Attribution userId="S::vivien.savoye@ec.europa.eu::d3b85f76-66d8-4ac2-bd9e-a2696a8f5e8d" userProvider="AD" userName="SAVOYE Vivien (ENEST)"/>
        <t:Anchor>
          <t:Comment id="491083369"/>
        </t:Anchor>
        <t:Create/>
      </t:Event>
      <t:Event id="{BCBE57B9-4980-4662-A89F-6E7F3F44A201}" time="2025-05-19T16:07:58.088Z">
        <t:Attribution userId="S::vivien.savoye@ec.europa.eu::d3b85f76-66d8-4ac2-bd9e-a2696a8f5e8d" userProvider="AD" userName="SAVOYE Vivien (ENEST)"/>
        <t:Anchor>
          <t:Comment id="491083369"/>
        </t:Anchor>
        <t:Assign userId="S::Donka.PRODANOVA@ec.europa.eu::188abb49-5f15-40c9-8a78-1f74b409a461" userProvider="AD" userName="PRODANOVA Donka (ENEST)"/>
      </t:Event>
      <t:Event id="{AC815B68-AB69-42D3-A4FF-CCDB6A749097}" time="2025-05-19T16:07:58.088Z">
        <t:Attribution userId="S::vivien.savoye@ec.europa.eu::d3b85f76-66d8-4ac2-bd9e-a2696a8f5e8d" userProvider="AD" userName="SAVOYE Vivien (ENEST)"/>
        <t:Anchor>
          <t:Comment id="491083369"/>
        </t:Anchor>
        <t:SetTitle title="@PRODANOVA Donka (ENEST) @DAUTZENBERG Tom (ENEST)"/>
      </t:Event>
    </t:History>
  </t:Task>
  <t:Task id="{345E03F1-422F-438D-B9BD-9DC168EC8B0B}">
    <t:Anchor>
      <t:Comment id="931130702"/>
    </t:Anchor>
    <t:History>
      <t:Event id="{BFD7A368-B62A-43E1-BA6F-9A695BCC4CB3}" time="2025-05-19T16:08:13.884Z">
        <t:Attribution userId="S::vivien.savoye@ec.europa.eu::d3b85f76-66d8-4ac2-bd9e-a2696a8f5e8d" userProvider="AD" userName="SAVOYE Vivien (ENEST)"/>
        <t:Anchor>
          <t:Comment id="931130702"/>
        </t:Anchor>
        <t:Create/>
      </t:Event>
      <t:Event id="{9957D322-ACDF-4200-B10B-43C8E4358410}" time="2025-05-19T16:08:13.884Z">
        <t:Attribution userId="S::vivien.savoye@ec.europa.eu::d3b85f76-66d8-4ac2-bd9e-a2696a8f5e8d" userProvider="AD" userName="SAVOYE Vivien (ENEST)"/>
        <t:Anchor>
          <t:Comment id="931130702"/>
        </t:Anchor>
        <t:Assign userId="S::Alexander.FRICKE@ec.europa.eu::b6bcabd9-9ad7-43fe-8954-003bfb318f16" userProvider="AD" userName="FRICKE Alexander (ENEST)"/>
      </t:Event>
      <t:Event id="{C5B02289-D90D-411D-AE47-281F62F7A644}" time="2025-05-19T16:08:13.884Z">
        <t:Attribution userId="S::vivien.savoye@ec.europa.eu::d3b85f76-66d8-4ac2-bd9e-a2696a8f5e8d" userProvider="AD" userName="SAVOYE Vivien (ENEST)"/>
        <t:Anchor>
          <t:Comment id="931130702"/>
        </t:Anchor>
        <t:SetTitle title="@FRICKE Alexander (ENEST)"/>
      </t:Event>
    </t:History>
  </t:Task>
  <t:Task id="{B5988566-A3F8-47F3-A303-B8CCC1404BC0}">
    <t:Anchor>
      <t:Comment id="619925610"/>
    </t:Anchor>
    <t:History>
      <t:Event id="{0E2BA82A-352B-4EE6-8444-149BCC446D3D}" time="2025-05-19T16:08:27.614Z">
        <t:Attribution userId="S::vivien.savoye@ec.europa.eu::d3b85f76-66d8-4ac2-bd9e-a2696a8f5e8d" userProvider="AD" userName="SAVOYE Vivien (ENEST)"/>
        <t:Anchor>
          <t:Comment id="619925610"/>
        </t:Anchor>
        <t:Create/>
      </t:Event>
      <t:Event id="{482A8199-69CB-455E-81FF-048EFD189DDF}" time="2025-05-19T16:08:27.614Z">
        <t:Attribution userId="S::vivien.savoye@ec.europa.eu::d3b85f76-66d8-4ac2-bd9e-a2696a8f5e8d" userProvider="AD" userName="SAVOYE Vivien (ENEST)"/>
        <t:Anchor>
          <t:Comment id="619925610"/>
        </t:Anchor>
        <t:Assign userId="S::Tom.DAUTZENBERG@ec.europa.eu::059d80d1-b40c-42e4-bcb8-987dcb36cde8" userProvider="AD" userName="DAUTZENBERG Tom (ENEST)"/>
      </t:Event>
      <t:Event id="{9B32EAAC-EDEE-40DA-8989-1994F35A5227}" time="2025-05-19T16:08:27.614Z">
        <t:Attribution userId="S::vivien.savoye@ec.europa.eu::d3b85f76-66d8-4ac2-bd9e-a2696a8f5e8d" userProvider="AD" userName="SAVOYE Vivien (ENEST)"/>
        <t:Anchor>
          <t:Comment id="619925610"/>
        </t:Anchor>
        <t:SetTitle title="@DAUTZENBERG Tom (ENEST) for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06F77-759B-4AFD-9404-D2D19808DB8E}">
  <ds:schemaRefs>
    <ds:schemaRef ds:uri="http://schemas.microsoft.com/sharepoint/v3/contenttype/forms"/>
  </ds:schemaRefs>
</ds:datastoreItem>
</file>

<file path=customXml/itemProps2.xml><?xml version="1.0" encoding="utf-8"?>
<ds:datastoreItem xmlns:ds="http://schemas.openxmlformats.org/officeDocument/2006/customXml" ds:itemID="{87EB8BB8-8AFD-49B9-A1D1-BB31B30CCB7E}">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B481B0D3-8A7F-457F-97C9-F60F0B9214C3}">
  <ds:schemaRefs>
    <ds:schemaRef ds:uri="http://schemas.openxmlformats.org/officeDocument/2006/bibliography"/>
  </ds:schemaRefs>
</ds:datastoreItem>
</file>

<file path=customXml/itemProps4.xml><?xml version="1.0" encoding="utf-8"?>
<ds:datastoreItem xmlns:ds="http://schemas.openxmlformats.org/officeDocument/2006/customXml" ds:itemID="{D934E91A-A9CC-4713-850A-16B2B8018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0</TotalTime>
  <Pages>2</Pages>
  <Words>965</Words>
  <Characters>5578</Characters>
  <Application>Microsoft Office Word</Application>
  <DocSecurity>0</DocSecurity>
  <PresentationFormat>Microsoft Word 8.0b</PresentationFormat>
  <Lines>84</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WERKER</dc:creator>
  <cp:keywords>EL4</cp:keywords>
  <cp:lastModifiedBy>DELBAER Gerda (SG)</cp:lastModifiedBy>
  <cp:revision>3</cp:revision>
  <cp:lastPrinted>2017-11-23T08:27:00Z</cp:lastPrinted>
  <dcterms:created xsi:type="dcterms:W3CDTF">2025-07-14T08:48:00Z</dcterms:created>
  <dcterms:modified xsi:type="dcterms:W3CDTF">2025-07-14T08:48:00Z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2025-05-12T15:19:10Z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e862b685-6fe6-4ebb-b3a0-7c3e0c4e05d2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ies>
</file>