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1C55112D" w:rsidR="00963420" w:rsidRPr="0019588C" w:rsidRDefault="00963420" w:rsidP="4B440287">
      <w:pPr>
        <w:spacing w:after="720"/>
        <w:jc w:val="center"/>
        <w:rPr>
          <w:rFonts w:ascii="Times New Roman" w:hAnsi="Times New Roman"/>
          <w:b/>
          <w:bCs/>
        </w:rPr>
      </w:pPr>
      <w:r w:rsidRPr="00100511">
        <w:rPr>
          <w:rFonts w:ascii="Times New Roman" w:hAnsi="Times New Roman"/>
          <w:b/>
          <w:bCs/>
        </w:rPr>
        <w:t xml:space="preserve">Follow-up to the European Parliament non-legislative resolution on </w:t>
      </w:r>
      <w:r w:rsidR="00CB748A" w:rsidRPr="00100511">
        <w:rPr>
          <w:rFonts w:ascii="Times New Roman" w:hAnsi="Times New Roman"/>
          <w:b/>
          <w:bCs/>
        </w:rPr>
        <w:t>Control of the financial activities of the European Investment Bank – annual report 2023</w:t>
      </w:r>
    </w:p>
    <w:p w14:paraId="222E65B7" w14:textId="0A6C4E35" w:rsidR="00963420" w:rsidRPr="007A7878" w:rsidRDefault="00963420" w:rsidP="0084310E">
      <w:pPr>
        <w:numPr>
          <w:ilvl w:val="0"/>
          <w:numId w:val="34"/>
        </w:numPr>
        <w:ind w:left="567" w:hanging="567"/>
        <w:rPr>
          <w:rFonts w:ascii="Times New Roman" w:hAnsi="Times New Roman"/>
          <w:i/>
          <w:szCs w:val="24"/>
          <w:lang w:val="sv-SE"/>
        </w:rPr>
      </w:pPr>
      <w:proofErr w:type="spellStart"/>
      <w:r w:rsidRPr="007A7878">
        <w:rPr>
          <w:rFonts w:ascii="Times New Roman" w:hAnsi="Times New Roman"/>
          <w:b/>
          <w:szCs w:val="24"/>
          <w:lang w:val="sv-SE"/>
        </w:rPr>
        <w:t>Rapporteur</w:t>
      </w:r>
      <w:proofErr w:type="spellEnd"/>
      <w:r w:rsidRPr="007A7878">
        <w:rPr>
          <w:rFonts w:ascii="Times New Roman" w:hAnsi="Times New Roman"/>
          <w:b/>
          <w:szCs w:val="24"/>
          <w:lang w:val="sv-SE"/>
        </w:rPr>
        <w:t>:</w:t>
      </w:r>
      <w:r w:rsidRPr="007A7878">
        <w:rPr>
          <w:rFonts w:ascii="Times New Roman" w:hAnsi="Times New Roman"/>
          <w:szCs w:val="24"/>
          <w:lang w:val="sv-SE"/>
        </w:rPr>
        <w:t xml:space="preserve"> </w:t>
      </w:r>
      <w:r w:rsidR="00CB748A" w:rsidRPr="007A7878">
        <w:rPr>
          <w:rFonts w:ascii="Times New Roman" w:hAnsi="Times New Roman"/>
          <w:bCs/>
          <w:lang w:val="sv-SE"/>
        </w:rPr>
        <w:t xml:space="preserve">KNOTEK </w:t>
      </w:r>
      <w:proofErr w:type="spellStart"/>
      <w:r w:rsidR="00CB748A" w:rsidRPr="007A7878">
        <w:rPr>
          <w:rFonts w:ascii="Times New Roman" w:hAnsi="Times New Roman"/>
          <w:bCs/>
          <w:lang w:val="sv-SE"/>
        </w:rPr>
        <w:t>Ondřej</w:t>
      </w:r>
      <w:proofErr w:type="spellEnd"/>
      <w:r w:rsidR="00CB748A" w:rsidRPr="007A7878">
        <w:rPr>
          <w:rFonts w:ascii="Times New Roman" w:hAnsi="Times New Roman"/>
          <w:bCs/>
          <w:lang w:val="sv-SE"/>
        </w:rPr>
        <w:t xml:space="preserve"> (</w:t>
      </w:r>
      <w:proofErr w:type="spellStart"/>
      <w:r w:rsidR="00CB748A" w:rsidRPr="007A7878">
        <w:rPr>
          <w:rFonts w:ascii="Times New Roman" w:hAnsi="Times New Roman"/>
          <w:bCs/>
          <w:lang w:val="sv-SE"/>
        </w:rPr>
        <w:t>PfE</w:t>
      </w:r>
      <w:proofErr w:type="spellEnd"/>
      <w:r w:rsidR="00CB748A" w:rsidRPr="007A7878">
        <w:rPr>
          <w:rFonts w:ascii="Times New Roman" w:hAnsi="Times New Roman"/>
          <w:bCs/>
          <w:lang w:val="sv-SE"/>
        </w:rPr>
        <w:t xml:space="preserve">/CZ) </w:t>
      </w:r>
    </w:p>
    <w:p w14:paraId="3021C497" w14:textId="14C2D947" w:rsidR="00563F16" w:rsidRPr="00100511" w:rsidRDefault="00063DCE" w:rsidP="00630F9E">
      <w:pPr>
        <w:pStyle w:val="Default"/>
        <w:numPr>
          <w:ilvl w:val="0"/>
          <w:numId w:val="34"/>
        </w:numPr>
        <w:spacing w:after="240"/>
        <w:ind w:left="567" w:hanging="567"/>
        <w:rPr>
          <w:color w:val="auto"/>
          <w:lang w:val="en-GB"/>
        </w:rPr>
      </w:pPr>
      <w:r w:rsidRPr="00100511">
        <w:rPr>
          <w:b/>
          <w:color w:val="auto"/>
          <w:lang w:val="en-GB"/>
        </w:rPr>
        <w:t>R</w:t>
      </w:r>
      <w:r w:rsidR="00963420" w:rsidRPr="00100511">
        <w:rPr>
          <w:b/>
          <w:color w:val="auto"/>
          <w:lang w:val="en-GB"/>
        </w:rPr>
        <w:t>eference</w:t>
      </w:r>
      <w:r w:rsidR="00CA777E" w:rsidRPr="00100511">
        <w:rPr>
          <w:b/>
          <w:color w:val="auto"/>
          <w:lang w:val="en-GB"/>
        </w:rPr>
        <w:t>s</w:t>
      </w:r>
      <w:r w:rsidR="00963420" w:rsidRPr="00100511">
        <w:rPr>
          <w:b/>
          <w:color w:val="auto"/>
          <w:lang w:val="en-GB"/>
        </w:rPr>
        <w:t xml:space="preserve">: </w:t>
      </w:r>
      <w:r w:rsidR="00CB748A" w:rsidRPr="00100511">
        <w:rPr>
          <w:bCs/>
          <w:color w:val="auto"/>
          <w:lang w:val="en-GB"/>
        </w:rPr>
        <w:t>2024/2052 (INI) / A10-0068/2025</w:t>
      </w:r>
      <w:r w:rsidR="006A039A">
        <w:rPr>
          <w:bCs/>
          <w:color w:val="auto"/>
          <w:lang w:val="en-GB"/>
        </w:rPr>
        <w:t xml:space="preserve"> </w:t>
      </w:r>
      <w:r w:rsidR="00CB748A" w:rsidRPr="00100511">
        <w:rPr>
          <w:bCs/>
          <w:color w:val="auto"/>
          <w:lang w:val="en-GB"/>
        </w:rPr>
        <w:t xml:space="preserve">/ </w:t>
      </w:r>
      <w:r w:rsidR="002216DF" w:rsidRPr="002216DF">
        <w:rPr>
          <w:bCs/>
          <w:color w:val="auto"/>
          <w:lang w:val="en-GB"/>
        </w:rPr>
        <w:t>P10_</w:t>
      </w:r>
      <w:proofErr w:type="gramStart"/>
      <w:r w:rsidR="002216DF" w:rsidRPr="002216DF">
        <w:rPr>
          <w:bCs/>
          <w:color w:val="auto"/>
          <w:lang w:val="en-GB"/>
        </w:rPr>
        <w:t>TA(</w:t>
      </w:r>
      <w:proofErr w:type="gramEnd"/>
      <w:r w:rsidR="002216DF" w:rsidRPr="002216DF">
        <w:rPr>
          <w:bCs/>
          <w:color w:val="auto"/>
          <w:lang w:val="en-GB"/>
        </w:rPr>
        <w:t>2025)</w:t>
      </w:r>
      <w:r w:rsidR="00541F81">
        <w:rPr>
          <w:bCs/>
          <w:color w:val="auto"/>
          <w:lang w:val="en-GB"/>
        </w:rPr>
        <w:t>00</w:t>
      </w:r>
      <w:r w:rsidR="002216DF" w:rsidRPr="002216DF">
        <w:rPr>
          <w:bCs/>
          <w:color w:val="auto"/>
          <w:lang w:val="en-GB"/>
        </w:rPr>
        <w:t>76</w:t>
      </w:r>
    </w:p>
    <w:p w14:paraId="61D85C18" w14:textId="5BE9CFA6" w:rsidR="001F0B89" w:rsidRPr="00100511" w:rsidRDefault="00963420" w:rsidP="0084310E">
      <w:pPr>
        <w:numPr>
          <w:ilvl w:val="0"/>
          <w:numId w:val="34"/>
        </w:numPr>
        <w:ind w:left="567" w:hanging="567"/>
        <w:rPr>
          <w:rFonts w:ascii="Times New Roman" w:hAnsi="Times New Roman"/>
          <w:szCs w:val="24"/>
        </w:rPr>
      </w:pPr>
      <w:r w:rsidRPr="00100511">
        <w:rPr>
          <w:rFonts w:ascii="Times New Roman" w:hAnsi="Times New Roman"/>
          <w:b/>
          <w:szCs w:val="24"/>
        </w:rPr>
        <w:t>Date of adoption of the resolution:</w:t>
      </w:r>
      <w:r w:rsidRPr="00100511">
        <w:rPr>
          <w:rFonts w:ascii="Times New Roman" w:hAnsi="Times New Roman"/>
          <w:szCs w:val="24"/>
        </w:rPr>
        <w:t xml:space="preserve"> </w:t>
      </w:r>
      <w:r w:rsidR="00CB748A" w:rsidRPr="00100511">
        <w:rPr>
          <w:rFonts w:ascii="Times New Roman" w:hAnsi="Times New Roman"/>
          <w:iCs/>
          <w:szCs w:val="24"/>
        </w:rPr>
        <w:t>06/05/2025</w:t>
      </w:r>
    </w:p>
    <w:p w14:paraId="7F6CC3DA" w14:textId="77777777" w:rsidR="00CB748A" w:rsidRPr="00100511" w:rsidRDefault="00963420" w:rsidP="00CB748A">
      <w:pPr>
        <w:numPr>
          <w:ilvl w:val="0"/>
          <w:numId w:val="34"/>
        </w:numPr>
        <w:ind w:left="567" w:hanging="567"/>
        <w:rPr>
          <w:rFonts w:ascii="Times New Roman" w:hAnsi="Times New Roman"/>
          <w:szCs w:val="24"/>
        </w:rPr>
      </w:pPr>
      <w:r w:rsidRPr="00100511">
        <w:rPr>
          <w:rFonts w:ascii="Times New Roman" w:hAnsi="Times New Roman"/>
          <w:b/>
          <w:szCs w:val="24"/>
        </w:rPr>
        <w:t>Competent Parliamentary Committee:</w:t>
      </w:r>
      <w:r w:rsidR="00CB748A" w:rsidRPr="00100511">
        <w:rPr>
          <w:rFonts w:ascii="Times New Roman" w:hAnsi="Times New Roman"/>
          <w:b/>
          <w:szCs w:val="24"/>
        </w:rPr>
        <w:t xml:space="preserve"> </w:t>
      </w:r>
      <w:r w:rsidR="00CB748A" w:rsidRPr="00100511">
        <w:rPr>
          <w:rFonts w:ascii="Times New Roman" w:hAnsi="Times New Roman"/>
          <w:szCs w:val="24"/>
        </w:rPr>
        <w:t>Committee on Budgetary Control (CONT)</w:t>
      </w:r>
    </w:p>
    <w:p w14:paraId="3282659C" w14:textId="02C73D68" w:rsidR="00CB748A" w:rsidRPr="00100511" w:rsidRDefault="00963420" w:rsidP="00CB748A">
      <w:pPr>
        <w:numPr>
          <w:ilvl w:val="0"/>
          <w:numId w:val="34"/>
        </w:numPr>
        <w:ind w:left="567" w:hanging="567"/>
        <w:rPr>
          <w:rFonts w:ascii="Times New Roman" w:hAnsi="Times New Roman"/>
          <w:szCs w:val="24"/>
        </w:rPr>
      </w:pPr>
      <w:r w:rsidRPr="00100511">
        <w:rPr>
          <w:rFonts w:ascii="Times New Roman" w:hAnsi="Times New Roman"/>
          <w:b/>
          <w:szCs w:val="24"/>
        </w:rPr>
        <w:t>Brief analysis/</w:t>
      </w:r>
      <w:r w:rsidR="00AB3960" w:rsidRPr="00100511">
        <w:rPr>
          <w:rFonts w:ascii="Times New Roman" w:hAnsi="Times New Roman"/>
          <w:b/>
          <w:szCs w:val="24"/>
        </w:rPr>
        <w:t xml:space="preserve"> </w:t>
      </w:r>
      <w:r w:rsidRPr="00100511">
        <w:rPr>
          <w:rFonts w:ascii="Times New Roman" w:hAnsi="Times New Roman"/>
          <w:b/>
          <w:szCs w:val="24"/>
        </w:rPr>
        <w:t>assessment of the resolution and requests made in it:</w:t>
      </w:r>
      <w:r w:rsidR="00146971" w:rsidRPr="00100511">
        <w:rPr>
          <w:rFonts w:ascii="Times New Roman" w:hAnsi="Times New Roman"/>
          <w:b/>
          <w:szCs w:val="24"/>
        </w:rPr>
        <w:t xml:space="preserve"> </w:t>
      </w:r>
    </w:p>
    <w:p w14:paraId="546FD0E6" w14:textId="3CA798A8" w:rsidR="00E30FDC" w:rsidRPr="0019588C" w:rsidRDefault="00BA3600" w:rsidP="00E30FDC">
      <w:pPr>
        <w:ind w:left="567"/>
        <w:rPr>
          <w:rFonts w:ascii="Times New Roman" w:hAnsi="Times New Roman"/>
          <w:lang w:eastAsia="ja-JP"/>
        </w:rPr>
      </w:pPr>
      <w:r w:rsidRPr="00100511">
        <w:rPr>
          <w:rFonts w:ascii="Times New Roman" w:hAnsi="Times New Roman"/>
        </w:rPr>
        <w:t xml:space="preserve">The resolution highlights the fundamental role of the </w:t>
      </w:r>
      <w:r w:rsidRPr="00100511">
        <w:rPr>
          <w:rFonts w:ascii="Times New Roman" w:eastAsia="Calibri" w:hAnsi="Times New Roman"/>
          <w:color w:val="000000"/>
          <w:lang w:eastAsia="en-US"/>
        </w:rPr>
        <w:t>European Investment Bank</w:t>
      </w:r>
      <w:r w:rsidRPr="00100511">
        <w:rPr>
          <w:rFonts w:ascii="Times New Roman" w:hAnsi="Times New Roman"/>
        </w:rPr>
        <w:t xml:space="preserve"> </w:t>
      </w:r>
      <w:r w:rsidRPr="00100511">
        <w:rPr>
          <w:rFonts w:ascii="Times New Roman" w:hAnsi="Times New Roman"/>
          <w:lang w:eastAsia="ja-JP"/>
        </w:rPr>
        <w:t xml:space="preserve">Group </w:t>
      </w:r>
      <w:r w:rsidRPr="00100511">
        <w:rPr>
          <w:rFonts w:ascii="Times New Roman" w:hAnsi="Times New Roman"/>
        </w:rPr>
        <w:t>(EIB</w:t>
      </w:r>
      <w:r w:rsidRPr="00100511">
        <w:rPr>
          <w:rFonts w:ascii="Times New Roman" w:hAnsi="Times New Roman"/>
          <w:lang w:eastAsia="ja-JP"/>
        </w:rPr>
        <w:t>G</w:t>
      </w:r>
      <w:r w:rsidRPr="00100511">
        <w:rPr>
          <w:rFonts w:ascii="Times New Roman" w:hAnsi="Times New Roman"/>
        </w:rPr>
        <w:t xml:space="preserve">) in </w:t>
      </w:r>
      <w:r w:rsidRPr="0019588C">
        <w:rPr>
          <w:rFonts w:ascii="Times New Roman" w:hAnsi="Times New Roman"/>
        </w:rPr>
        <w:t xml:space="preserve">providing </w:t>
      </w:r>
      <w:r w:rsidR="00952E6D" w:rsidRPr="0019588C">
        <w:rPr>
          <w:rFonts w:ascii="Times New Roman" w:hAnsi="Times New Roman"/>
          <w:lang w:eastAsia="ja-JP"/>
        </w:rPr>
        <w:t>increasing</w:t>
      </w:r>
      <w:r w:rsidRPr="0019588C">
        <w:rPr>
          <w:rFonts w:ascii="Times New Roman" w:hAnsi="Times New Roman"/>
        </w:rPr>
        <w:t xml:space="preserve"> support to ensure implementation of the EU priorities </w:t>
      </w:r>
      <w:r w:rsidRPr="0019588C">
        <w:rPr>
          <w:rFonts w:ascii="Times New Roman" w:hAnsi="Times New Roman"/>
          <w:lang w:eastAsia="ja-JP"/>
        </w:rPr>
        <w:t xml:space="preserve">in areas such as </w:t>
      </w:r>
      <w:r w:rsidR="00C90124" w:rsidRPr="0019588C">
        <w:rPr>
          <w:rFonts w:ascii="Times New Roman" w:hAnsi="Times New Roman"/>
          <w:lang w:eastAsia="ja-JP"/>
        </w:rPr>
        <w:t xml:space="preserve">sustainable </w:t>
      </w:r>
      <w:r w:rsidRPr="0019588C">
        <w:rPr>
          <w:rFonts w:ascii="Times New Roman" w:hAnsi="Times New Roman"/>
          <w:lang w:eastAsia="ja-JP"/>
        </w:rPr>
        <w:t>energy</w:t>
      </w:r>
      <w:r w:rsidR="00C90124" w:rsidRPr="0019588C">
        <w:rPr>
          <w:rFonts w:ascii="Times New Roman" w:hAnsi="Times New Roman"/>
          <w:lang w:eastAsia="ja-JP"/>
        </w:rPr>
        <w:t xml:space="preserve"> and natural resources</w:t>
      </w:r>
      <w:r w:rsidRPr="0019588C">
        <w:rPr>
          <w:rFonts w:ascii="Times New Roman" w:hAnsi="Times New Roman"/>
          <w:lang w:eastAsia="ja-JP"/>
        </w:rPr>
        <w:t xml:space="preserve">, </w:t>
      </w:r>
      <w:r w:rsidR="00C90124" w:rsidRPr="0019588C">
        <w:rPr>
          <w:rFonts w:ascii="Times New Roman" w:hAnsi="Times New Roman"/>
          <w:lang w:eastAsia="ja-JP"/>
        </w:rPr>
        <w:t xml:space="preserve">innovation, digital and human capital, SME and mid-cap finance, as well as sustainable cities and regions </w:t>
      </w:r>
      <w:r w:rsidRPr="0019588C">
        <w:rPr>
          <w:rFonts w:ascii="Times New Roman" w:hAnsi="Times New Roman"/>
          <w:lang w:eastAsia="ja-JP"/>
        </w:rPr>
        <w:t xml:space="preserve">social </w:t>
      </w:r>
      <w:r w:rsidR="005B107C" w:rsidRPr="0019588C">
        <w:rPr>
          <w:rFonts w:ascii="Times New Roman" w:hAnsi="Times New Roman"/>
          <w:lang w:eastAsia="ja-JP"/>
        </w:rPr>
        <w:t>infrastructure.</w:t>
      </w:r>
      <w:r w:rsidRPr="0019588C">
        <w:rPr>
          <w:rFonts w:ascii="Times New Roman" w:hAnsi="Times New Roman"/>
          <w:lang w:eastAsia="ja-JP"/>
        </w:rPr>
        <w:t xml:space="preserve"> </w:t>
      </w:r>
      <w:r w:rsidR="00E30FDC" w:rsidRPr="0019588C">
        <w:rPr>
          <w:rFonts w:ascii="Times New Roman" w:hAnsi="Times New Roman"/>
          <w:lang w:eastAsia="ja-JP"/>
        </w:rPr>
        <w:t xml:space="preserve">The Parliament focused on the main financial activities of the EIBG, paying special attention to the evolution of its role as the EU Climate Bank, </w:t>
      </w:r>
      <w:r w:rsidR="00A477CC" w:rsidRPr="0019588C">
        <w:rPr>
          <w:rFonts w:ascii="Times New Roman" w:hAnsi="Times New Roman"/>
          <w:lang w:eastAsia="ja-JP"/>
        </w:rPr>
        <w:t xml:space="preserve">activities of EIB Global, </w:t>
      </w:r>
      <w:proofErr w:type="gramStart"/>
      <w:r w:rsidR="00A477CC" w:rsidRPr="0019588C">
        <w:rPr>
          <w:rFonts w:ascii="Times New Roman" w:hAnsi="Times New Roman"/>
          <w:lang w:eastAsia="ja-JP"/>
        </w:rPr>
        <w:t xml:space="preserve">in particular </w:t>
      </w:r>
      <w:r w:rsidR="00E30FDC" w:rsidRPr="0019588C">
        <w:rPr>
          <w:rFonts w:ascii="Times New Roman" w:hAnsi="Times New Roman"/>
          <w:lang w:eastAsia="ja-JP"/>
        </w:rPr>
        <w:t>the</w:t>
      </w:r>
      <w:proofErr w:type="gramEnd"/>
      <w:r w:rsidR="00E30FDC" w:rsidRPr="0019588C">
        <w:rPr>
          <w:rFonts w:ascii="Times New Roman" w:hAnsi="Times New Roman"/>
          <w:lang w:eastAsia="ja-JP"/>
        </w:rPr>
        <w:t xml:space="preserve"> EIB’s response to the war in Ukraine, and the delivery of key policies. The resolution also addresses the EIBG’s governance, transparency and accountability, and examines issues related to conflicts of interest and the Ombudsman</w:t>
      </w:r>
      <w:r w:rsidR="00CE73FD" w:rsidRPr="00100511">
        <w:rPr>
          <w:rFonts w:ascii="Times New Roman" w:hAnsi="Times New Roman"/>
          <w:lang w:eastAsia="ja-JP"/>
        </w:rPr>
        <w:t xml:space="preserve">’s recommendations issued following its inquiries into EIB disclosure policy and related requests for access to documents. </w:t>
      </w:r>
    </w:p>
    <w:p w14:paraId="6F4F4F4C" w14:textId="77777777" w:rsidR="006E519A" w:rsidRPr="00100511" w:rsidRDefault="00963420" w:rsidP="006E519A">
      <w:pPr>
        <w:numPr>
          <w:ilvl w:val="0"/>
          <w:numId w:val="34"/>
        </w:numPr>
        <w:ind w:left="567" w:hanging="567"/>
        <w:rPr>
          <w:rFonts w:ascii="Times New Roman" w:hAnsi="Times New Roman"/>
          <w:b/>
          <w:szCs w:val="24"/>
        </w:rPr>
      </w:pPr>
      <w:r w:rsidRPr="00100511">
        <w:rPr>
          <w:rFonts w:ascii="Times New Roman" w:hAnsi="Times New Roman"/>
          <w:b/>
          <w:szCs w:val="24"/>
        </w:rPr>
        <w:t>Response to requests and overview of action</w:t>
      </w:r>
      <w:r w:rsidR="001946EE" w:rsidRPr="00100511">
        <w:rPr>
          <w:rFonts w:ascii="Times New Roman" w:hAnsi="Times New Roman"/>
          <w:b/>
          <w:szCs w:val="24"/>
        </w:rPr>
        <w:t>s</w:t>
      </w:r>
      <w:r w:rsidRPr="00100511">
        <w:rPr>
          <w:rFonts w:ascii="Times New Roman" w:hAnsi="Times New Roman"/>
          <w:b/>
          <w:szCs w:val="24"/>
        </w:rPr>
        <w:t xml:space="preserve"> taken, or intended to be taken, by the Commission:</w:t>
      </w:r>
      <w:r w:rsidR="00146971" w:rsidRPr="00100511">
        <w:rPr>
          <w:rFonts w:ascii="Times New Roman" w:hAnsi="Times New Roman"/>
          <w:b/>
          <w:szCs w:val="24"/>
        </w:rPr>
        <w:t xml:space="preserve"> </w:t>
      </w:r>
    </w:p>
    <w:p w14:paraId="791C2CCD" w14:textId="50A206ED" w:rsidR="008A143A" w:rsidRPr="00100511" w:rsidRDefault="008A143A" w:rsidP="006E519A">
      <w:pPr>
        <w:keepNext/>
        <w:keepLines/>
        <w:spacing w:after="120"/>
        <w:ind w:left="567"/>
        <w:rPr>
          <w:rFonts w:ascii="Times New Roman" w:hAnsi="Times New Roman"/>
          <w:szCs w:val="24"/>
        </w:rPr>
      </w:pPr>
      <w:r w:rsidRPr="00100511">
        <w:rPr>
          <w:rFonts w:ascii="Times New Roman" w:hAnsi="Times New Roman"/>
          <w:szCs w:val="24"/>
        </w:rPr>
        <w:t>On the specific calls to the Commission mentioned in the resolution:</w:t>
      </w:r>
    </w:p>
    <w:p w14:paraId="358637EC" w14:textId="3A550F22" w:rsidR="008A143A" w:rsidRPr="00100511" w:rsidRDefault="008A143A" w:rsidP="008F14BA">
      <w:pPr>
        <w:ind w:left="567"/>
        <w:rPr>
          <w:rFonts w:ascii="Times New Roman" w:hAnsi="Times New Roman"/>
          <w:b/>
          <w:szCs w:val="24"/>
          <w:lang w:eastAsia="ja-JP"/>
        </w:rPr>
      </w:pPr>
      <w:bookmarkStart w:id="0" w:name="_Hlk198910924"/>
      <w:proofErr w:type="spellStart"/>
      <w:r w:rsidRPr="00100511">
        <w:rPr>
          <w:rFonts w:ascii="Times New Roman" w:hAnsi="Times New Roman"/>
          <w:b/>
          <w:szCs w:val="24"/>
          <w:lang w:eastAsia="ja-JP"/>
        </w:rPr>
        <w:t>InvestEU</w:t>
      </w:r>
      <w:proofErr w:type="spellEnd"/>
      <w:r w:rsidRPr="00100511">
        <w:rPr>
          <w:rFonts w:ascii="Times New Roman" w:hAnsi="Times New Roman"/>
          <w:b/>
          <w:szCs w:val="24"/>
          <w:lang w:eastAsia="ja-JP"/>
        </w:rPr>
        <w:t>, the simplification of the multiannual financial framework, and the Recovery and Resilience Facility</w:t>
      </w:r>
    </w:p>
    <w:p w14:paraId="65D8D288" w14:textId="57AE1451" w:rsidR="00A54F90" w:rsidRPr="00100511" w:rsidRDefault="00A54F90" w:rsidP="008F14BA">
      <w:pPr>
        <w:ind w:left="567"/>
        <w:rPr>
          <w:rFonts w:ascii="Times New Roman" w:hAnsi="Times New Roman"/>
          <w:bCs/>
          <w:i/>
          <w:iCs/>
          <w:szCs w:val="24"/>
          <w:lang w:eastAsia="ja-JP"/>
        </w:rPr>
      </w:pPr>
      <w:r w:rsidRPr="00100511">
        <w:rPr>
          <w:rFonts w:ascii="Times New Roman" w:hAnsi="Times New Roman"/>
          <w:bCs/>
          <w:szCs w:val="24"/>
          <w:lang w:eastAsia="ja-JP"/>
        </w:rPr>
        <w:t>Paragraph 15</w:t>
      </w:r>
      <w:r w:rsidR="008A143A" w:rsidRPr="00100511">
        <w:rPr>
          <w:rFonts w:ascii="Times New Roman" w:hAnsi="Times New Roman"/>
          <w:b/>
          <w:szCs w:val="24"/>
          <w:lang w:eastAsia="ja-JP"/>
        </w:rPr>
        <w:t>.</w:t>
      </w:r>
      <w:r w:rsidRPr="00100511">
        <w:rPr>
          <w:rFonts w:ascii="Times New Roman" w:hAnsi="Times New Roman"/>
          <w:b/>
          <w:szCs w:val="24"/>
          <w:lang w:eastAsia="ja-JP"/>
        </w:rPr>
        <w:t xml:space="preserve"> </w:t>
      </w:r>
      <w:r w:rsidR="008A143A" w:rsidRPr="00100511">
        <w:rPr>
          <w:rFonts w:ascii="Times New Roman" w:hAnsi="Times New Roman"/>
          <w:bCs/>
          <w:i/>
          <w:iCs/>
          <w:szCs w:val="24"/>
          <w:lang w:eastAsia="ja-JP"/>
        </w:rPr>
        <w:t>U</w:t>
      </w:r>
      <w:r w:rsidRPr="00100511">
        <w:rPr>
          <w:rFonts w:ascii="Times New Roman" w:hAnsi="Times New Roman"/>
          <w:bCs/>
          <w:i/>
          <w:iCs/>
          <w:szCs w:val="24"/>
          <w:lang w:eastAsia="ja-JP"/>
        </w:rPr>
        <w:t>rges the Commission and the EIB, in its advisory role, to refrain from proposing new financing mechanisms based on the RRF model without taking corrective measures, including in the upcoming post-2027 multiannual financial framework</w:t>
      </w:r>
    </w:p>
    <w:bookmarkEnd w:id="0"/>
    <w:p w14:paraId="08CAC2E0" w14:textId="726DBD32" w:rsidR="00567AD4" w:rsidRPr="00100511" w:rsidRDefault="008A143A" w:rsidP="00567AD4">
      <w:pPr>
        <w:ind w:left="567"/>
        <w:rPr>
          <w:rFonts w:ascii="Times New Roman" w:hAnsi="Times New Roman"/>
          <w:bCs/>
          <w:szCs w:val="24"/>
          <w:lang w:eastAsia="ja-JP"/>
        </w:rPr>
      </w:pPr>
      <w:r w:rsidRPr="00100511">
        <w:rPr>
          <w:rFonts w:ascii="Times New Roman" w:hAnsi="Times New Roman"/>
          <w:b/>
          <w:szCs w:val="24"/>
          <w:lang w:eastAsia="ja-JP"/>
        </w:rPr>
        <w:t>Commission reply</w:t>
      </w:r>
      <w:r w:rsidR="007C4AF6" w:rsidRPr="00100511">
        <w:rPr>
          <w:rFonts w:ascii="Times New Roman" w:hAnsi="Times New Roman"/>
          <w:bCs/>
          <w:szCs w:val="24"/>
          <w:lang w:eastAsia="ja-JP"/>
        </w:rPr>
        <w:t xml:space="preserve">: </w:t>
      </w:r>
      <w:r w:rsidR="00567AD4" w:rsidRPr="00100511">
        <w:rPr>
          <w:rFonts w:ascii="Times New Roman" w:hAnsi="Times New Roman"/>
          <w:bCs/>
          <w:szCs w:val="24"/>
          <w:lang w:eastAsia="ja-JP"/>
        </w:rPr>
        <w:t xml:space="preserve">The Commission takes note of the Parliament’s view and the specific issues of concern. The Commission does not share the view that the use of financing not linked to costs “inherently raises the risk of errors and double funding”. As extensively laid out in the </w:t>
      </w:r>
      <w:r w:rsidR="000534C4" w:rsidRPr="0019588C">
        <w:rPr>
          <w:rFonts w:ascii="Times New Roman" w:hAnsi="Times New Roman"/>
          <w:bCs/>
          <w:szCs w:val="24"/>
          <w:lang w:eastAsia="ja-JP"/>
        </w:rPr>
        <w:t>Recovery and Resilience Facility</w:t>
      </w:r>
      <w:r w:rsidR="000534C4" w:rsidRPr="00100511">
        <w:rPr>
          <w:rFonts w:ascii="Times New Roman" w:hAnsi="Times New Roman"/>
          <w:bCs/>
          <w:szCs w:val="24"/>
          <w:lang w:eastAsia="ja-JP"/>
        </w:rPr>
        <w:t xml:space="preserve"> (</w:t>
      </w:r>
      <w:r w:rsidR="00567AD4" w:rsidRPr="00100511">
        <w:rPr>
          <w:rFonts w:ascii="Times New Roman" w:hAnsi="Times New Roman"/>
          <w:bCs/>
          <w:szCs w:val="24"/>
          <w:lang w:eastAsia="ja-JP"/>
        </w:rPr>
        <w:t>RRF</w:t>
      </w:r>
      <w:r w:rsidR="000534C4" w:rsidRPr="00100511">
        <w:rPr>
          <w:rFonts w:ascii="Times New Roman" w:hAnsi="Times New Roman"/>
          <w:bCs/>
          <w:szCs w:val="24"/>
          <w:lang w:eastAsia="ja-JP"/>
        </w:rPr>
        <w:t>)</w:t>
      </w:r>
      <w:r w:rsidR="00567AD4" w:rsidRPr="00100511">
        <w:rPr>
          <w:rFonts w:ascii="Times New Roman" w:hAnsi="Times New Roman"/>
          <w:bCs/>
          <w:szCs w:val="24"/>
          <w:lang w:eastAsia="ja-JP"/>
        </w:rPr>
        <w:t xml:space="preserve"> Annual Reports, the RRF is implemented with sound control systems in place. </w:t>
      </w:r>
      <w:bookmarkStart w:id="1" w:name="_Hlk199958342"/>
      <w:r w:rsidR="00567AD4" w:rsidRPr="00100511">
        <w:rPr>
          <w:rFonts w:ascii="Times New Roman" w:hAnsi="Times New Roman"/>
          <w:bCs/>
          <w:szCs w:val="24"/>
          <w:lang w:eastAsia="ja-JP"/>
        </w:rPr>
        <w:t xml:space="preserve">While the </w:t>
      </w:r>
      <w:r w:rsidR="000534C4" w:rsidRPr="00100511">
        <w:rPr>
          <w:rFonts w:ascii="Times New Roman" w:hAnsi="Times New Roman"/>
          <w:bCs/>
          <w:szCs w:val="24"/>
          <w:lang w:eastAsia="ja-JP"/>
        </w:rPr>
        <w:t>European Court of Auditors (</w:t>
      </w:r>
      <w:r w:rsidR="00567AD4" w:rsidRPr="00100511">
        <w:rPr>
          <w:rFonts w:ascii="Times New Roman" w:hAnsi="Times New Roman"/>
          <w:bCs/>
          <w:szCs w:val="24"/>
          <w:lang w:eastAsia="ja-JP"/>
        </w:rPr>
        <w:t>ECA</w:t>
      </w:r>
      <w:r w:rsidR="000534C4" w:rsidRPr="00100511">
        <w:rPr>
          <w:rFonts w:ascii="Times New Roman" w:hAnsi="Times New Roman"/>
          <w:bCs/>
          <w:szCs w:val="24"/>
          <w:lang w:eastAsia="ja-JP"/>
        </w:rPr>
        <w:t>)</w:t>
      </w:r>
      <w:r w:rsidR="00567AD4" w:rsidRPr="00100511">
        <w:rPr>
          <w:rFonts w:ascii="Times New Roman" w:hAnsi="Times New Roman"/>
          <w:bCs/>
          <w:szCs w:val="24"/>
          <w:lang w:eastAsia="ja-JP"/>
        </w:rPr>
        <w:t xml:space="preserve"> does not publish an error rate on the RRF, the Commission recalls that the estimated financial impact of findings on the RRF is close to the materiality rate</w:t>
      </w:r>
      <w:bookmarkEnd w:id="1"/>
      <w:r w:rsidR="00567AD4" w:rsidRPr="00100511">
        <w:rPr>
          <w:rFonts w:ascii="Times New Roman" w:hAnsi="Times New Roman"/>
          <w:bCs/>
          <w:szCs w:val="24"/>
          <w:lang w:eastAsia="ja-JP"/>
        </w:rPr>
        <w:t xml:space="preserve">. The Commission refers to chapter 11 of the ECA’s Annual Report on the 2023 expenditure and notably the detailed explanations in the Commission’s reply to that report as regards the RRF. </w:t>
      </w:r>
      <w:r w:rsidR="00106E6D">
        <w:rPr>
          <w:rFonts w:ascii="Times New Roman" w:hAnsi="Times New Roman"/>
          <w:bCs/>
          <w:szCs w:val="24"/>
          <w:lang w:val="en-IE" w:eastAsia="ja-JP"/>
        </w:rPr>
        <w:t>For</w:t>
      </w:r>
      <w:r w:rsidR="00235F77" w:rsidRPr="00F222A0">
        <w:rPr>
          <w:rFonts w:ascii="Times New Roman" w:hAnsi="Times New Roman" w:hint="eastAsia"/>
          <w:bCs/>
          <w:szCs w:val="24"/>
          <w:lang w:val="en-IE" w:eastAsia="ja-JP"/>
        </w:rPr>
        <w:t xml:space="preserve"> the next MFF 2028-</w:t>
      </w:r>
      <w:proofErr w:type="gramStart"/>
      <w:r w:rsidR="00235F77" w:rsidRPr="00F222A0">
        <w:rPr>
          <w:rFonts w:ascii="Times New Roman" w:hAnsi="Times New Roman" w:hint="eastAsia"/>
          <w:bCs/>
          <w:szCs w:val="24"/>
          <w:lang w:val="en-IE" w:eastAsia="ja-JP"/>
        </w:rPr>
        <w:t>2034</w:t>
      </w:r>
      <w:r w:rsidR="00235F77">
        <w:rPr>
          <w:rFonts w:ascii="Times New Roman" w:hAnsi="Times New Roman" w:hint="eastAsia"/>
          <w:bCs/>
          <w:szCs w:val="24"/>
          <w:lang w:val="en-IE" w:eastAsia="ja-JP"/>
        </w:rPr>
        <w:t>,</w:t>
      </w:r>
      <w:r w:rsidR="005952A2" w:rsidRPr="00100511">
        <w:rPr>
          <w:rFonts w:ascii="Times New Roman" w:hAnsi="Times New Roman"/>
          <w:bCs/>
          <w:szCs w:val="24"/>
          <w:lang w:eastAsia="ja-JP"/>
        </w:rPr>
        <w:t>T</w:t>
      </w:r>
      <w:r w:rsidR="00567AD4" w:rsidRPr="00100511">
        <w:rPr>
          <w:rFonts w:ascii="Times New Roman" w:hAnsi="Times New Roman"/>
          <w:bCs/>
          <w:szCs w:val="24"/>
          <w:lang w:eastAsia="ja-JP"/>
        </w:rPr>
        <w:t>he</w:t>
      </w:r>
      <w:proofErr w:type="gramEnd"/>
      <w:r w:rsidR="00567AD4" w:rsidRPr="00100511">
        <w:rPr>
          <w:rFonts w:ascii="Times New Roman" w:hAnsi="Times New Roman"/>
          <w:bCs/>
          <w:szCs w:val="24"/>
          <w:lang w:eastAsia="ja-JP"/>
        </w:rPr>
        <w:t xml:space="preserve"> Commission </w:t>
      </w:r>
      <w:r w:rsidR="00F222A0">
        <w:rPr>
          <w:rFonts w:ascii="Times New Roman" w:hAnsi="Times New Roman" w:hint="eastAsia"/>
          <w:bCs/>
          <w:szCs w:val="24"/>
          <w:lang w:eastAsia="ja-JP"/>
        </w:rPr>
        <w:t>has proposed</w:t>
      </w:r>
      <w:r w:rsidR="00235F77">
        <w:rPr>
          <w:rFonts w:ascii="Times New Roman" w:hAnsi="Times New Roman" w:hint="eastAsia"/>
          <w:bCs/>
          <w:szCs w:val="24"/>
          <w:lang w:eastAsia="ja-JP"/>
        </w:rPr>
        <w:t xml:space="preserve"> </w:t>
      </w:r>
      <w:r w:rsidR="00235F77">
        <w:rPr>
          <w:rStyle w:val="FootnoteReference"/>
          <w:rFonts w:ascii="Times New Roman" w:hAnsi="Times New Roman"/>
          <w:bCs/>
          <w:szCs w:val="24"/>
          <w:lang w:val="en-IE" w:eastAsia="ja-JP"/>
        </w:rPr>
        <w:footnoteReference w:id="2"/>
      </w:r>
      <w:r w:rsidR="00235F77">
        <w:rPr>
          <w:rFonts w:ascii="Times New Roman" w:hAnsi="Times New Roman" w:hint="eastAsia"/>
          <w:bCs/>
          <w:szCs w:val="24"/>
          <w:lang w:eastAsia="ja-JP"/>
        </w:rPr>
        <w:t xml:space="preserve"> </w:t>
      </w:r>
      <w:r w:rsidR="00567AD4" w:rsidRPr="00100511">
        <w:rPr>
          <w:rFonts w:ascii="Times New Roman" w:hAnsi="Times New Roman"/>
          <w:bCs/>
          <w:szCs w:val="24"/>
          <w:lang w:eastAsia="ja-JP"/>
        </w:rPr>
        <w:t xml:space="preserve">a system of payments </w:t>
      </w:r>
      <w:r w:rsidR="00106E6D">
        <w:rPr>
          <w:rFonts w:ascii="Times New Roman" w:hAnsi="Times New Roman"/>
          <w:bCs/>
          <w:szCs w:val="24"/>
          <w:lang w:eastAsia="ja-JP"/>
        </w:rPr>
        <w:t>under the national envelopes</w:t>
      </w:r>
      <w:r w:rsidR="00F37BA9">
        <w:rPr>
          <w:rFonts w:ascii="Times New Roman" w:hAnsi="Times New Roman" w:hint="eastAsia"/>
          <w:bCs/>
          <w:szCs w:val="24"/>
          <w:lang w:eastAsia="ja-JP"/>
        </w:rPr>
        <w:t xml:space="preserve"> </w:t>
      </w:r>
      <w:r w:rsidR="00235F77">
        <w:rPr>
          <w:rFonts w:ascii="Times New Roman" w:hAnsi="Times New Roman" w:hint="eastAsia"/>
          <w:bCs/>
          <w:szCs w:val="24"/>
          <w:lang w:eastAsia="ja-JP"/>
        </w:rPr>
        <w:t xml:space="preserve">conditional </w:t>
      </w:r>
      <w:r w:rsidR="007530EF">
        <w:rPr>
          <w:rFonts w:ascii="Times New Roman" w:hAnsi="Times New Roman"/>
          <w:bCs/>
          <w:szCs w:val="24"/>
          <w:lang w:eastAsia="ja-JP"/>
        </w:rPr>
        <w:t>to</w:t>
      </w:r>
      <w:r w:rsidR="00567AD4" w:rsidRPr="00100511">
        <w:rPr>
          <w:rFonts w:ascii="Times New Roman" w:hAnsi="Times New Roman"/>
          <w:bCs/>
          <w:szCs w:val="24"/>
          <w:lang w:eastAsia="ja-JP"/>
        </w:rPr>
        <w:t xml:space="preserve"> </w:t>
      </w:r>
      <w:r w:rsidR="00235F77">
        <w:rPr>
          <w:rFonts w:ascii="Times New Roman" w:hAnsi="Times New Roman" w:hint="eastAsia"/>
          <w:bCs/>
          <w:szCs w:val="24"/>
          <w:lang w:eastAsia="ja-JP"/>
        </w:rPr>
        <w:t xml:space="preserve">the </w:t>
      </w:r>
      <w:r w:rsidR="00235F77">
        <w:rPr>
          <w:rFonts w:ascii="Times New Roman" w:hAnsi="Times New Roman"/>
          <w:bCs/>
          <w:szCs w:val="24"/>
          <w:lang w:eastAsia="ja-JP"/>
        </w:rPr>
        <w:t>fulfilment</w:t>
      </w:r>
      <w:r w:rsidR="00235F77">
        <w:rPr>
          <w:rFonts w:ascii="Times New Roman" w:hAnsi="Times New Roman" w:hint="eastAsia"/>
          <w:bCs/>
          <w:szCs w:val="24"/>
          <w:lang w:eastAsia="ja-JP"/>
        </w:rPr>
        <w:t xml:space="preserve"> of investment and reform </w:t>
      </w:r>
      <w:r w:rsidR="00567AD4" w:rsidRPr="00100511">
        <w:rPr>
          <w:rFonts w:ascii="Times New Roman" w:hAnsi="Times New Roman"/>
          <w:bCs/>
          <w:szCs w:val="24"/>
          <w:lang w:eastAsia="ja-JP"/>
        </w:rPr>
        <w:t xml:space="preserve">milestones and targets </w:t>
      </w:r>
      <w:r w:rsidR="00235F77">
        <w:rPr>
          <w:rFonts w:ascii="Times New Roman" w:hAnsi="Times New Roman" w:hint="eastAsia"/>
          <w:bCs/>
          <w:szCs w:val="24"/>
          <w:lang w:eastAsia="ja-JP"/>
        </w:rPr>
        <w:t xml:space="preserve">linked to agreed priorities, </w:t>
      </w:r>
      <w:r w:rsidR="00567AD4" w:rsidRPr="00100511">
        <w:rPr>
          <w:rFonts w:ascii="Times New Roman" w:hAnsi="Times New Roman"/>
          <w:bCs/>
          <w:szCs w:val="24"/>
          <w:lang w:eastAsia="ja-JP"/>
        </w:rPr>
        <w:t xml:space="preserve">building on a </w:t>
      </w:r>
      <w:r w:rsidR="00567AD4" w:rsidRPr="00100511">
        <w:rPr>
          <w:rFonts w:ascii="Times New Roman" w:hAnsi="Times New Roman"/>
          <w:bCs/>
          <w:szCs w:val="24"/>
          <w:lang w:eastAsia="ja-JP"/>
        </w:rPr>
        <w:lastRenderedPageBreak/>
        <w:t xml:space="preserve">multi-level governance structure that </w:t>
      </w:r>
      <w:r w:rsidR="00235F77">
        <w:rPr>
          <w:rFonts w:ascii="Times New Roman" w:hAnsi="Times New Roman" w:hint="eastAsia"/>
          <w:bCs/>
          <w:szCs w:val="24"/>
          <w:lang w:eastAsia="ja-JP"/>
        </w:rPr>
        <w:t>is expected to</w:t>
      </w:r>
      <w:r w:rsidR="00235F77" w:rsidRPr="00100511">
        <w:rPr>
          <w:rFonts w:ascii="Times New Roman" w:hAnsi="Times New Roman"/>
          <w:bCs/>
          <w:szCs w:val="24"/>
          <w:lang w:eastAsia="ja-JP"/>
        </w:rPr>
        <w:t xml:space="preserve"> </w:t>
      </w:r>
      <w:r w:rsidR="00567AD4" w:rsidRPr="00100511">
        <w:rPr>
          <w:rFonts w:ascii="Times New Roman" w:hAnsi="Times New Roman"/>
          <w:bCs/>
          <w:szCs w:val="24"/>
          <w:lang w:eastAsia="ja-JP"/>
        </w:rPr>
        <w:t xml:space="preserve">provide for the highest standards of oversight and accountability. </w:t>
      </w:r>
    </w:p>
    <w:p w14:paraId="1F56D753" w14:textId="77777777" w:rsidR="001555DD" w:rsidRPr="00100511" w:rsidRDefault="001555DD" w:rsidP="008F14BA">
      <w:pPr>
        <w:ind w:left="567"/>
        <w:rPr>
          <w:rFonts w:ascii="Times New Roman" w:hAnsi="Times New Roman"/>
          <w:b/>
          <w:szCs w:val="24"/>
          <w:lang w:eastAsia="ja-JP"/>
        </w:rPr>
      </w:pPr>
      <w:bookmarkStart w:id="2" w:name="_Hlk198908835"/>
    </w:p>
    <w:p w14:paraId="6EF34349" w14:textId="4094964D" w:rsidR="008A143A" w:rsidRPr="00100511" w:rsidRDefault="008A143A" w:rsidP="008F14BA">
      <w:pPr>
        <w:ind w:left="567"/>
        <w:rPr>
          <w:rFonts w:ascii="Times New Roman" w:hAnsi="Times New Roman"/>
          <w:b/>
          <w:szCs w:val="24"/>
          <w:lang w:eastAsia="ja-JP"/>
        </w:rPr>
      </w:pPr>
      <w:r w:rsidRPr="00100511">
        <w:rPr>
          <w:rFonts w:ascii="Times New Roman" w:hAnsi="Times New Roman"/>
          <w:b/>
          <w:szCs w:val="24"/>
          <w:lang w:eastAsia="ja-JP"/>
        </w:rPr>
        <w:t>The EIB’s activities outside the EU</w:t>
      </w:r>
    </w:p>
    <w:p w14:paraId="4AF022BA" w14:textId="31DEA57F" w:rsidR="00DE228A" w:rsidRPr="00100511" w:rsidRDefault="00DE228A" w:rsidP="008F14BA">
      <w:pPr>
        <w:ind w:left="567"/>
        <w:rPr>
          <w:rFonts w:ascii="Times New Roman" w:hAnsi="Times New Roman"/>
          <w:bCs/>
          <w:i/>
          <w:iCs/>
          <w:szCs w:val="24"/>
          <w:lang w:eastAsia="ja-JP"/>
        </w:rPr>
      </w:pPr>
      <w:r w:rsidRPr="00100511">
        <w:rPr>
          <w:rFonts w:ascii="Times New Roman" w:hAnsi="Times New Roman"/>
          <w:bCs/>
          <w:szCs w:val="24"/>
          <w:lang w:eastAsia="ja-JP"/>
        </w:rPr>
        <w:t>Paragraph 63</w:t>
      </w:r>
      <w:r w:rsidR="008A143A" w:rsidRPr="00100511">
        <w:rPr>
          <w:rFonts w:ascii="Times New Roman" w:hAnsi="Times New Roman"/>
          <w:bCs/>
          <w:szCs w:val="24"/>
          <w:lang w:eastAsia="ja-JP"/>
        </w:rPr>
        <w:t>.</w:t>
      </w:r>
      <w:r w:rsidRPr="00100511">
        <w:rPr>
          <w:rFonts w:ascii="Times New Roman" w:hAnsi="Times New Roman"/>
          <w:bCs/>
          <w:szCs w:val="24"/>
          <w:lang w:eastAsia="ja-JP"/>
        </w:rPr>
        <w:t xml:space="preserve"> </w:t>
      </w:r>
      <w:r w:rsidR="008A143A" w:rsidRPr="00100511">
        <w:rPr>
          <w:rFonts w:ascii="Times New Roman" w:hAnsi="Times New Roman"/>
          <w:bCs/>
          <w:i/>
          <w:iCs/>
          <w:szCs w:val="24"/>
          <w:lang w:eastAsia="ja-JP"/>
        </w:rPr>
        <w:t>C</w:t>
      </w:r>
      <w:r w:rsidRPr="00100511">
        <w:rPr>
          <w:rFonts w:ascii="Times New Roman" w:hAnsi="Times New Roman"/>
          <w:bCs/>
          <w:i/>
          <w:iCs/>
          <w:szCs w:val="24"/>
          <w:lang w:eastAsia="ja-JP"/>
        </w:rPr>
        <w:t>alls on the EIB and the Commission to invest in internal audit and independent control functions to guarantee the integrity and soundness of all operations</w:t>
      </w:r>
    </w:p>
    <w:bookmarkEnd w:id="2"/>
    <w:p w14:paraId="4FE81F5E" w14:textId="37602600" w:rsidR="008A143A" w:rsidRPr="00100511" w:rsidRDefault="00F04F7A" w:rsidP="008F14BA">
      <w:pPr>
        <w:ind w:left="567"/>
        <w:rPr>
          <w:rFonts w:ascii="Times New Roman" w:hAnsi="Times New Roman"/>
          <w:b/>
          <w:szCs w:val="24"/>
          <w:lang w:eastAsia="ja-JP"/>
        </w:rPr>
      </w:pPr>
      <w:r w:rsidRPr="00100511">
        <w:rPr>
          <w:rFonts w:ascii="Times New Roman" w:hAnsi="Times New Roman"/>
          <w:b/>
          <w:szCs w:val="24"/>
          <w:lang w:eastAsia="ja-JP"/>
        </w:rPr>
        <w:t>Commission’s reply</w:t>
      </w:r>
    </w:p>
    <w:p w14:paraId="35B04C72" w14:textId="320F251F" w:rsidR="00C3332D" w:rsidRPr="00100511" w:rsidRDefault="00D51F20" w:rsidP="7ABA21F8">
      <w:pPr>
        <w:ind w:left="567"/>
        <w:rPr>
          <w:rFonts w:ascii="Times New Roman" w:hAnsi="Times New Roman"/>
          <w:lang w:eastAsia="ja-JP"/>
        </w:rPr>
      </w:pPr>
      <w:r w:rsidRPr="00100511">
        <w:rPr>
          <w:rFonts w:ascii="Times New Roman" w:hAnsi="Times New Roman"/>
          <w:lang w:eastAsia="ja-JP"/>
        </w:rPr>
        <w:t>The evaluation of the European Union's External Financing Instruments (</w:t>
      </w:r>
      <w:r w:rsidR="002E302C" w:rsidRPr="00100511">
        <w:rPr>
          <w:rFonts w:ascii="Times New Roman" w:hAnsi="Times New Roman"/>
          <w:lang w:eastAsia="ja-JP"/>
        </w:rPr>
        <w:t>COM (</w:t>
      </w:r>
      <w:r w:rsidRPr="00100511">
        <w:rPr>
          <w:rFonts w:ascii="Times New Roman" w:hAnsi="Times New Roman"/>
          <w:lang w:eastAsia="ja-JP"/>
        </w:rPr>
        <w:t xml:space="preserve">2024)208 final of 15.05.2024) highlighted the catalytic effect of the European Fund for Sustainable Development Plus (EFSD+) in mobilising additional finance and its alignment with the Global Gateway strategy. The </w:t>
      </w:r>
      <w:r w:rsidR="45E48D02" w:rsidRPr="00100511">
        <w:rPr>
          <w:rFonts w:ascii="Times New Roman" w:hAnsi="Times New Roman"/>
          <w:lang w:eastAsia="ja-JP"/>
        </w:rPr>
        <w:t xml:space="preserve">mid-term </w:t>
      </w:r>
      <w:r w:rsidRPr="00100511">
        <w:rPr>
          <w:rFonts w:ascii="Times New Roman" w:hAnsi="Times New Roman"/>
          <w:lang w:eastAsia="ja-JP"/>
        </w:rPr>
        <w:t xml:space="preserve">evaluation also confirmed that the programme has overall shown to be fit for purpose. The EFSD+ guarantee is implemented </w:t>
      </w:r>
      <w:r w:rsidR="00047D22" w:rsidRPr="00100511">
        <w:rPr>
          <w:rFonts w:ascii="Times New Roman" w:hAnsi="Times New Roman"/>
          <w:lang w:eastAsia="ja-JP"/>
        </w:rPr>
        <w:t>in</w:t>
      </w:r>
      <w:r w:rsidRPr="00100511">
        <w:rPr>
          <w:rFonts w:ascii="Times New Roman" w:hAnsi="Times New Roman"/>
          <w:lang w:eastAsia="ja-JP"/>
        </w:rPr>
        <w:t xml:space="preserve"> indirect management</w:t>
      </w:r>
      <w:r w:rsidR="00047D22" w:rsidRPr="00100511">
        <w:rPr>
          <w:rFonts w:ascii="Times New Roman" w:hAnsi="Times New Roman"/>
          <w:lang w:eastAsia="ja-JP"/>
        </w:rPr>
        <w:t xml:space="preserve"> through implementing partners, which, as a rule, also contribute to the support to be provided to final recipients</w:t>
      </w:r>
      <w:r w:rsidRPr="00100511">
        <w:rPr>
          <w:rFonts w:ascii="Times New Roman" w:hAnsi="Times New Roman"/>
          <w:lang w:eastAsia="ja-JP"/>
        </w:rPr>
        <w:t>.</w:t>
      </w:r>
      <w:r w:rsidR="00047D22" w:rsidRPr="00100511">
        <w:rPr>
          <w:rFonts w:ascii="Times New Roman" w:hAnsi="Times New Roman"/>
          <w:lang w:eastAsia="ja-JP"/>
        </w:rPr>
        <w:t xml:space="preserve"> They are required to report to the Commission in line with the NDICI-Global Europe Regulation and the Financial Regulation on a regular basis. For monitoring, they are required to apply their own rules and procedures, which have been assessed in accordance with Article 157 of the Financial Regulation (‘pillar assessment’) to meet the requirements laid down therein.</w:t>
      </w:r>
      <w:r w:rsidR="00047D22" w:rsidRPr="00100511">
        <w:t xml:space="preserve"> </w:t>
      </w:r>
      <w:r w:rsidR="00047D22" w:rsidRPr="00100511">
        <w:rPr>
          <w:rFonts w:ascii="Times New Roman" w:hAnsi="Times New Roman"/>
          <w:lang w:eastAsia="ja-JP"/>
        </w:rPr>
        <w:t xml:space="preserve">The financing and investment operations in the context </w:t>
      </w:r>
      <w:r w:rsidR="00672E8F" w:rsidRPr="00100511">
        <w:rPr>
          <w:rFonts w:ascii="Times New Roman" w:hAnsi="Times New Roman"/>
          <w:lang w:eastAsia="ja-JP"/>
        </w:rPr>
        <w:t xml:space="preserve">of </w:t>
      </w:r>
      <w:r w:rsidR="00047D22" w:rsidRPr="00100511">
        <w:rPr>
          <w:rFonts w:ascii="Times New Roman" w:hAnsi="Times New Roman"/>
          <w:lang w:eastAsia="ja-JP"/>
        </w:rPr>
        <w:t>EFSD+ are carried out according to the implementing partners’ standard rules of procedure and sound banking practice.</w:t>
      </w:r>
      <w:r w:rsidR="00672E8F" w:rsidRPr="00100511">
        <w:rPr>
          <w:rFonts w:ascii="Times New Roman" w:hAnsi="Times New Roman"/>
          <w:lang w:eastAsia="ja-JP"/>
        </w:rPr>
        <w:t xml:space="preserve"> The Commission receives annual audited financial statements </w:t>
      </w:r>
      <w:r w:rsidR="17F82B50" w:rsidRPr="00100511">
        <w:rPr>
          <w:rFonts w:ascii="Times New Roman" w:hAnsi="Times New Roman"/>
          <w:lang w:eastAsia="ja-JP"/>
        </w:rPr>
        <w:t xml:space="preserve">and activity reports </w:t>
      </w:r>
      <w:r w:rsidR="00672E8F" w:rsidRPr="00100511">
        <w:rPr>
          <w:rFonts w:ascii="Times New Roman" w:hAnsi="Times New Roman"/>
          <w:lang w:eastAsia="ja-JP"/>
        </w:rPr>
        <w:t>covering the operations from the implementing partners</w:t>
      </w:r>
      <w:r w:rsidR="000D00AC" w:rsidRPr="00100511">
        <w:rPr>
          <w:rFonts w:ascii="Times New Roman" w:hAnsi="Times New Roman"/>
          <w:lang w:eastAsia="ja-JP"/>
        </w:rPr>
        <w:t xml:space="preserve">. </w:t>
      </w:r>
    </w:p>
    <w:p w14:paraId="7F00716E" w14:textId="5B6F70FD" w:rsidR="00DE228A" w:rsidRPr="00100511" w:rsidRDefault="00DE228A" w:rsidP="008F14BA">
      <w:pPr>
        <w:ind w:left="567"/>
        <w:rPr>
          <w:rFonts w:ascii="Times New Roman" w:hAnsi="Times New Roman"/>
          <w:bCs/>
          <w:i/>
          <w:iCs/>
          <w:szCs w:val="24"/>
          <w:lang w:eastAsia="ja-JP"/>
        </w:rPr>
      </w:pPr>
      <w:r w:rsidRPr="00100511">
        <w:rPr>
          <w:rFonts w:ascii="Times New Roman" w:hAnsi="Times New Roman"/>
          <w:bCs/>
          <w:szCs w:val="24"/>
          <w:lang w:eastAsia="ja-JP"/>
        </w:rPr>
        <w:t>Paragraph</w:t>
      </w:r>
      <w:r w:rsidRPr="00100511">
        <w:rPr>
          <w:rFonts w:ascii="Times New Roman" w:hAnsi="Times New Roman"/>
          <w:b/>
          <w:szCs w:val="24"/>
          <w:lang w:eastAsia="ja-JP"/>
        </w:rPr>
        <w:t xml:space="preserve"> </w:t>
      </w:r>
      <w:r w:rsidRPr="00100511">
        <w:rPr>
          <w:rFonts w:ascii="Times New Roman" w:hAnsi="Times New Roman"/>
          <w:bCs/>
          <w:szCs w:val="24"/>
          <w:lang w:eastAsia="ja-JP"/>
        </w:rPr>
        <w:t>68</w:t>
      </w:r>
      <w:r w:rsidR="00F04F7A" w:rsidRPr="00100511">
        <w:rPr>
          <w:rFonts w:ascii="Times New Roman" w:hAnsi="Times New Roman"/>
          <w:bCs/>
          <w:szCs w:val="24"/>
          <w:lang w:eastAsia="ja-JP"/>
        </w:rPr>
        <w:t>.</w:t>
      </w:r>
      <w:r w:rsidRPr="00100511">
        <w:rPr>
          <w:rFonts w:ascii="Times New Roman" w:hAnsi="Times New Roman"/>
          <w:bCs/>
          <w:szCs w:val="24"/>
          <w:lang w:eastAsia="ja-JP"/>
        </w:rPr>
        <w:t xml:space="preserve"> </w:t>
      </w:r>
      <w:r w:rsidR="00F04F7A" w:rsidRPr="00100511">
        <w:rPr>
          <w:rFonts w:ascii="Times New Roman" w:hAnsi="Times New Roman"/>
          <w:bCs/>
          <w:i/>
          <w:iCs/>
          <w:szCs w:val="24"/>
          <w:lang w:eastAsia="ja-JP"/>
        </w:rPr>
        <w:t>E</w:t>
      </w:r>
      <w:r w:rsidRPr="00100511">
        <w:rPr>
          <w:rFonts w:ascii="Times New Roman" w:hAnsi="Times New Roman"/>
          <w:bCs/>
          <w:i/>
          <w:iCs/>
          <w:szCs w:val="24"/>
          <w:lang w:eastAsia="ja-JP"/>
        </w:rPr>
        <w:t>ncourages the Commission to maximise cooperation with the EIB to leverage the EU’s strategic autonomy, particularly on energy and raw materials</w:t>
      </w:r>
    </w:p>
    <w:p w14:paraId="0B3C14BF" w14:textId="77777777" w:rsidR="00F04F7A" w:rsidRPr="00100511" w:rsidRDefault="00F04F7A" w:rsidP="00F04F7A">
      <w:pPr>
        <w:ind w:left="567"/>
        <w:rPr>
          <w:rFonts w:ascii="Times New Roman" w:hAnsi="Times New Roman"/>
          <w:b/>
          <w:szCs w:val="24"/>
          <w:lang w:eastAsia="ja-JP"/>
        </w:rPr>
      </w:pPr>
      <w:r w:rsidRPr="00100511">
        <w:rPr>
          <w:rFonts w:ascii="Times New Roman" w:hAnsi="Times New Roman"/>
          <w:b/>
          <w:szCs w:val="24"/>
          <w:lang w:eastAsia="ja-JP"/>
        </w:rPr>
        <w:t>Commission’s reply</w:t>
      </w:r>
    </w:p>
    <w:p w14:paraId="2B35F2D1" w14:textId="7A6A08AC" w:rsidR="008644F0" w:rsidRPr="00100511" w:rsidRDefault="008644F0" w:rsidP="008644F0">
      <w:pPr>
        <w:ind w:left="567"/>
        <w:rPr>
          <w:rFonts w:ascii="Times New Roman" w:hAnsi="Times New Roman"/>
          <w:bCs/>
          <w:szCs w:val="24"/>
          <w:lang w:eastAsia="ja-JP"/>
        </w:rPr>
      </w:pPr>
      <w:r w:rsidRPr="00100511">
        <w:rPr>
          <w:rFonts w:ascii="Times New Roman" w:hAnsi="Times New Roman"/>
          <w:bCs/>
          <w:szCs w:val="24"/>
          <w:lang w:eastAsia="ja-JP"/>
        </w:rPr>
        <w:t>The Commission is convinced that the cooperation with the EIB is crucial for ensuring the EU's economic security and resilience, reducing dependency on third countries, diversifying EU’s supply sources, securing the green and digital transition, and supporting the development of resilient and innovative European industrial ecosystems.</w:t>
      </w:r>
    </w:p>
    <w:p w14:paraId="554CAC84" w14:textId="35A02C4B" w:rsidR="008644F0" w:rsidRPr="00100511" w:rsidRDefault="008644F0" w:rsidP="00F53A0C">
      <w:pPr>
        <w:ind w:left="567"/>
        <w:rPr>
          <w:rFonts w:ascii="Times New Roman" w:hAnsi="Times New Roman"/>
          <w:lang w:eastAsia="ja-JP"/>
        </w:rPr>
      </w:pPr>
      <w:r w:rsidRPr="00100511">
        <w:rPr>
          <w:rFonts w:ascii="Times New Roman" w:hAnsi="Times New Roman"/>
          <w:lang w:eastAsia="ja-JP"/>
        </w:rPr>
        <w:t xml:space="preserve">The </w:t>
      </w:r>
      <w:r w:rsidR="00337490" w:rsidRPr="00100511">
        <w:rPr>
          <w:rFonts w:ascii="Times New Roman" w:hAnsi="Times New Roman"/>
          <w:lang w:eastAsia="ja-JP"/>
        </w:rPr>
        <w:t xml:space="preserve">Commission </w:t>
      </w:r>
      <w:r w:rsidRPr="00100511">
        <w:rPr>
          <w:rFonts w:ascii="Times New Roman" w:hAnsi="Times New Roman"/>
          <w:lang w:eastAsia="ja-JP"/>
        </w:rPr>
        <w:t>and the EIB already collaborate to strengthen strategic autonomy in energy and</w:t>
      </w:r>
      <w:r w:rsidR="00D45F79" w:rsidRPr="00100511">
        <w:rPr>
          <w:rFonts w:ascii="Times New Roman" w:hAnsi="Times New Roman"/>
          <w:lang w:eastAsia="ja-JP"/>
        </w:rPr>
        <w:t xml:space="preserve"> critical raw materials</w:t>
      </w:r>
      <w:r w:rsidRPr="00100511">
        <w:rPr>
          <w:rFonts w:ascii="Times New Roman" w:hAnsi="Times New Roman"/>
          <w:lang w:eastAsia="ja-JP"/>
        </w:rPr>
        <w:t xml:space="preserve"> </w:t>
      </w:r>
      <w:r w:rsidR="00D45F79" w:rsidRPr="00100511">
        <w:rPr>
          <w:rFonts w:ascii="Times New Roman" w:hAnsi="Times New Roman"/>
          <w:lang w:eastAsia="ja-JP"/>
        </w:rPr>
        <w:t>(</w:t>
      </w:r>
      <w:r w:rsidRPr="00100511">
        <w:rPr>
          <w:rFonts w:ascii="Times New Roman" w:hAnsi="Times New Roman"/>
          <w:lang w:eastAsia="ja-JP"/>
        </w:rPr>
        <w:t>CRM</w:t>
      </w:r>
      <w:r w:rsidR="00D45F79" w:rsidRPr="00100511">
        <w:rPr>
          <w:rFonts w:ascii="Times New Roman" w:hAnsi="Times New Roman"/>
          <w:lang w:eastAsia="ja-JP"/>
        </w:rPr>
        <w:t>)</w:t>
      </w:r>
      <w:r w:rsidRPr="00100511">
        <w:rPr>
          <w:rFonts w:ascii="Times New Roman" w:hAnsi="Times New Roman"/>
          <w:lang w:eastAsia="ja-JP"/>
        </w:rPr>
        <w:t xml:space="preserve"> sectors. The use of </w:t>
      </w:r>
      <w:r w:rsidR="00BD00A4" w:rsidRPr="00100511">
        <w:rPr>
          <w:rFonts w:ascii="Times New Roman" w:hAnsi="Times New Roman"/>
          <w:bCs/>
          <w:szCs w:val="24"/>
          <w:lang w:eastAsia="ja-JP"/>
        </w:rPr>
        <w:t xml:space="preserve">the </w:t>
      </w:r>
      <w:proofErr w:type="spellStart"/>
      <w:r w:rsidR="00BD00A4" w:rsidRPr="00100511">
        <w:rPr>
          <w:rFonts w:ascii="Times New Roman" w:hAnsi="Times New Roman"/>
          <w:bCs/>
          <w:szCs w:val="24"/>
          <w:lang w:eastAsia="ja-JP"/>
        </w:rPr>
        <w:t>InvestEU</w:t>
      </w:r>
      <w:proofErr w:type="spellEnd"/>
      <w:r w:rsidR="00BD00A4" w:rsidRPr="00100511">
        <w:rPr>
          <w:rFonts w:ascii="Times New Roman" w:hAnsi="Times New Roman"/>
          <w:bCs/>
          <w:szCs w:val="24"/>
          <w:lang w:eastAsia="ja-JP"/>
        </w:rPr>
        <w:t xml:space="preserve"> guarantee allows the EIB to support critical raw materials projects in the EU and it has used it in the past. In the past years the EIB has strengthened their involvement in critical raw materials and in March 2025 adopted a new critical raw materials strategic initiative, which includes an expected </w:t>
      </w:r>
      <w:r w:rsidR="006E6FA7" w:rsidRPr="00100511">
        <w:rPr>
          <w:rFonts w:ascii="Times New Roman" w:hAnsi="Times New Roman"/>
          <w:bCs/>
          <w:szCs w:val="24"/>
          <w:lang w:eastAsia="ja-JP"/>
        </w:rPr>
        <w:t>EUR</w:t>
      </w:r>
      <w:r w:rsidR="002F692A" w:rsidRPr="00100511">
        <w:rPr>
          <w:rFonts w:ascii="Times New Roman" w:hAnsi="Times New Roman"/>
          <w:bCs/>
          <w:szCs w:val="24"/>
          <w:lang w:eastAsia="ja-JP"/>
        </w:rPr>
        <w:t xml:space="preserve"> </w:t>
      </w:r>
      <w:r w:rsidR="00BD00A4" w:rsidRPr="00100511">
        <w:rPr>
          <w:rFonts w:ascii="Times New Roman" w:hAnsi="Times New Roman"/>
          <w:bCs/>
          <w:szCs w:val="24"/>
          <w:lang w:eastAsia="ja-JP"/>
        </w:rPr>
        <w:t>2</w:t>
      </w:r>
      <w:r w:rsidR="005B107C" w:rsidRPr="00100511">
        <w:rPr>
          <w:rFonts w:ascii="Times New Roman" w:hAnsi="Times New Roman"/>
          <w:bCs/>
          <w:szCs w:val="24"/>
          <w:lang w:eastAsia="ja-JP"/>
        </w:rPr>
        <w:t xml:space="preserve"> </w:t>
      </w:r>
      <w:r w:rsidR="00BD00A4" w:rsidRPr="00100511">
        <w:rPr>
          <w:rFonts w:ascii="Times New Roman" w:hAnsi="Times New Roman"/>
          <w:bCs/>
          <w:szCs w:val="24"/>
          <w:lang w:eastAsia="ja-JP"/>
        </w:rPr>
        <w:t>billion financing for critical raw material investment per year, a new CRM Task Force and a dedicated one-stop shop to build and manage a pipeline of CRM operations and advisory activities and increased technical expertise and partnerships. The Commission very much welcomes this new initiative. The use o</w:t>
      </w:r>
      <w:r w:rsidR="006E6FA7" w:rsidRPr="00100511">
        <w:rPr>
          <w:rFonts w:ascii="Times New Roman" w:hAnsi="Times New Roman"/>
          <w:bCs/>
          <w:szCs w:val="24"/>
          <w:lang w:eastAsia="ja-JP"/>
        </w:rPr>
        <w:t>f</w:t>
      </w:r>
      <w:r w:rsidR="00F53A0C" w:rsidRPr="00100511">
        <w:rPr>
          <w:rFonts w:ascii="Times New Roman" w:hAnsi="Times New Roman"/>
          <w:bCs/>
          <w:szCs w:val="24"/>
          <w:lang w:eastAsia="ja-JP"/>
        </w:rPr>
        <w:t xml:space="preserve"> </w:t>
      </w:r>
      <w:r w:rsidRPr="00100511">
        <w:rPr>
          <w:rFonts w:ascii="Times New Roman" w:hAnsi="Times New Roman"/>
          <w:lang w:eastAsia="ja-JP"/>
        </w:rPr>
        <w:t>EU external action instruments, such as NDICI–Global Europe and EFSD+ guarantees, enables both the Commission and the EIB to jointly support the energy transition</w:t>
      </w:r>
      <w:r w:rsidR="005928C1" w:rsidRPr="00100511">
        <w:rPr>
          <w:rFonts w:ascii="Times New Roman" w:hAnsi="Times New Roman"/>
          <w:lang w:eastAsia="ja-JP"/>
        </w:rPr>
        <w:t>, to identify specific projects</w:t>
      </w:r>
      <w:r w:rsidRPr="00100511">
        <w:rPr>
          <w:rFonts w:ascii="Times New Roman" w:hAnsi="Times New Roman"/>
          <w:lang w:eastAsia="ja-JP"/>
        </w:rPr>
        <w:t xml:space="preserve"> and</w:t>
      </w:r>
      <w:r w:rsidR="005928C1" w:rsidRPr="00100511">
        <w:rPr>
          <w:rFonts w:ascii="Times New Roman" w:hAnsi="Times New Roman"/>
          <w:lang w:eastAsia="ja-JP"/>
        </w:rPr>
        <w:t xml:space="preserve"> develop</w:t>
      </w:r>
      <w:r w:rsidRPr="00100511">
        <w:rPr>
          <w:rFonts w:ascii="Times New Roman" w:hAnsi="Times New Roman"/>
          <w:lang w:eastAsia="ja-JP"/>
        </w:rPr>
        <w:t xml:space="preserve"> CRM value chain projects in third countries, diversifying EU supply sources and strengthening partnerships with like-minded countries.</w:t>
      </w:r>
    </w:p>
    <w:p w14:paraId="36C73EA9" w14:textId="22A80195" w:rsidR="008644F0" w:rsidRPr="00100511" w:rsidRDefault="008644F0" w:rsidP="008644F0">
      <w:pPr>
        <w:ind w:left="567"/>
        <w:rPr>
          <w:rFonts w:ascii="Times New Roman" w:hAnsi="Times New Roman"/>
          <w:bCs/>
          <w:szCs w:val="24"/>
          <w:lang w:eastAsia="ja-JP"/>
        </w:rPr>
      </w:pPr>
      <w:r w:rsidRPr="00100511">
        <w:rPr>
          <w:rFonts w:ascii="Times New Roman" w:hAnsi="Times New Roman"/>
          <w:bCs/>
          <w:szCs w:val="24"/>
          <w:lang w:eastAsia="ja-JP"/>
        </w:rPr>
        <w:lastRenderedPageBreak/>
        <w:t xml:space="preserve">The Critical Raw Materials Act includes a strong investment dimension, </w:t>
      </w:r>
      <w:r w:rsidR="00BD00A4" w:rsidRPr="00100511">
        <w:rPr>
          <w:rFonts w:ascii="Times New Roman" w:hAnsi="Times New Roman"/>
          <w:bCs/>
          <w:szCs w:val="24"/>
          <w:lang w:eastAsia="ja-JP"/>
        </w:rPr>
        <w:t>with the EIB</w:t>
      </w:r>
      <w:r w:rsidR="00140CA4" w:rsidRPr="00100511">
        <w:rPr>
          <w:rFonts w:ascii="Times New Roman" w:hAnsi="Times New Roman"/>
          <w:bCs/>
          <w:szCs w:val="24"/>
          <w:lang w:eastAsia="ja-JP"/>
        </w:rPr>
        <w:t xml:space="preserve"> Group</w:t>
      </w:r>
      <w:r w:rsidR="00BD00A4" w:rsidRPr="00100511">
        <w:rPr>
          <w:rFonts w:ascii="Times New Roman" w:hAnsi="Times New Roman"/>
          <w:bCs/>
          <w:szCs w:val="24"/>
          <w:lang w:eastAsia="ja-JP"/>
        </w:rPr>
        <w:t xml:space="preserve"> </w:t>
      </w:r>
      <w:r w:rsidR="005928C1" w:rsidRPr="00100511">
        <w:rPr>
          <w:rFonts w:ascii="Times New Roman" w:hAnsi="Times New Roman"/>
          <w:bCs/>
          <w:szCs w:val="24"/>
          <w:lang w:eastAsia="ja-JP"/>
        </w:rPr>
        <w:t xml:space="preserve">as </w:t>
      </w:r>
      <w:r w:rsidR="00BD00A4" w:rsidRPr="00100511">
        <w:rPr>
          <w:rFonts w:ascii="Times New Roman" w:hAnsi="Times New Roman"/>
          <w:bCs/>
          <w:szCs w:val="24"/>
          <w:lang w:eastAsia="ja-JP"/>
        </w:rPr>
        <w:t>a core partner in the sub</w:t>
      </w:r>
      <w:r w:rsidR="00140CA4" w:rsidRPr="00100511">
        <w:rPr>
          <w:rFonts w:ascii="Times New Roman" w:hAnsi="Times New Roman"/>
          <w:bCs/>
          <w:szCs w:val="24"/>
          <w:lang w:eastAsia="ja-JP"/>
        </w:rPr>
        <w:t>-</w:t>
      </w:r>
      <w:r w:rsidR="00F53A0C" w:rsidRPr="00100511">
        <w:rPr>
          <w:rFonts w:ascii="Times New Roman" w:hAnsi="Times New Roman"/>
          <w:bCs/>
          <w:szCs w:val="24"/>
          <w:lang w:eastAsia="ja-JP"/>
        </w:rPr>
        <w:t>g</w:t>
      </w:r>
      <w:r w:rsidR="00BD00A4" w:rsidRPr="00100511">
        <w:rPr>
          <w:rFonts w:ascii="Times New Roman" w:hAnsi="Times New Roman"/>
          <w:bCs/>
          <w:szCs w:val="24"/>
          <w:lang w:eastAsia="ja-JP"/>
        </w:rPr>
        <w:t xml:space="preserve">roup on financing </w:t>
      </w:r>
      <w:r w:rsidR="00140CA4" w:rsidRPr="00100511">
        <w:rPr>
          <w:rFonts w:ascii="Times New Roman" w:hAnsi="Times New Roman"/>
          <w:bCs/>
          <w:szCs w:val="24"/>
          <w:lang w:eastAsia="ja-JP"/>
        </w:rPr>
        <w:t>coordination in the European Critical Raw Materials Board,</w:t>
      </w:r>
      <w:r w:rsidR="00BD00A4" w:rsidRPr="00100511">
        <w:rPr>
          <w:rFonts w:ascii="Times New Roman" w:hAnsi="Times New Roman"/>
          <w:bCs/>
          <w:szCs w:val="24"/>
          <w:lang w:eastAsia="ja-JP"/>
        </w:rPr>
        <w:t xml:space="preserve"> encouraging </w:t>
      </w:r>
      <w:r w:rsidRPr="00100511">
        <w:rPr>
          <w:rFonts w:ascii="Times New Roman" w:hAnsi="Times New Roman"/>
          <w:bCs/>
          <w:szCs w:val="24"/>
          <w:lang w:eastAsia="ja-JP"/>
        </w:rPr>
        <w:t xml:space="preserve">the EIB to provide long-term financing for CRM </w:t>
      </w:r>
      <w:r w:rsidR="00BD00A4" w:rsidRPr="00100511">
        <w:rPr>
          <w:rFonts w:ascii="Times New Roman" w:hAnsi="Times New Roman"/>
          <w:bCs/>
          <w:szCs w:val="24"/>
          <w:lang w:eastAsia="ja-JP"/>
        </w:rPr>
        <w:t>projects along the entire value chain</w:t>
      </w:r>
      <w:r w:rsidRPr="00100511">
        <w:rPr>
          <w:rFonts w:ascii="Times New Roman" w:hAnsi="Times New Roman"/>
          <w:bCs/>
          <w:szCs w:val="24"/>
          <w:lang w:eastAsia="ja-JP"/>
        </w:rPr>
        <w:t>. The EIB has already supported several CRM projects, strengthening strategic industrial capacity.</w:t>
      </w:r>
    </w:p>
    <w:p w14:paraId="7D3CF478" w14:textId="56CBBC43" w:rsidR="008644F0" w:rsidRPr="00100511" w:rsidRDefault="008644F0" w:rsidP="008644F0">
      <w:pPr>
        <w:ind w:left="567"/>
        <w:rPr>
          <w:rFonts w:ascii="Times New Roman" w:hAnsi="Times New Roman"/>
          <w:bCs/>
          <w:szCs w:val="24"/>
          <w:lang w:eastAsia="ja-JP"/>
        </w:rPr>
      </w:pPr>
      <w:r w:rsidRPr="00100511">
        <w:rPr>
          <w:rFonts w:ascii="Times New Roman" w:hAnsi="Times New Roman"/>
          <w:bCs/>
          <w:szCs w:val="24"/>
          <w:lang w:eastAsia="ja-JP"/>
        </w:rPr>
        <w:t>The Commission is enhancing its strategic planning for example by (</w:t>
      </w:r>
      <w:proofErr w:type="spellStart"/>
      <w:r w:rsidRPr="00100511">
        <w:rPr>
          <w:rFonts w:ascii="Times New Roman" w:hAnsi="Times New Roman"/>
          <w:bCs/>
          <w:szCs w:val="24"/>
          <w:lang w:eastAsia="ja-JP"/>
        </w:rPr>
        <w:t>i</w:t>
      </w:r>
      <w:proofErr w:type="spellEnd"/>
      <w:r w:rsidRPr="00100511">
        <w:rPr>
          <w:rFonts w:ascii="Times New Roman" w:hAnsi="Times New Roman"/>
          <w:bCs/>
          <w:szCs w:val="24"/>
          <w:lang w:eastAsia="ja-JP"/>
        </w:rPr>
        <w:t>) establishing dedicated coordination platforms for strategic autonomy sectors, involving Commission services and the EIB; (ii) expanding the use of tailored EU budget guarantees (under EFSD+) to de-risk high-impact investments in strategic sectors; (iii) reinforcing the Global Gateway impact, by prioritising funding for strategic partnerships with resource-rich countries and co-financing projects with EIB Global that ensure diversified and sustainable access to CRMs and renewable energy; (iv) leveraging the EIB technical assistance more systematically, to help project promoters -</w:t>
      </w:r>
      <w:r w:rsidR="00D45F79" w:rsidRPr="00100511">
        <w:rPr>
          <w:rFonts w:ascii="Times New Roman" w:hAnsi="Times New Roman"/>
          <w:bCs/>
          <w:szCs w:val="24"/>
          <w:lang w:eastAsia="ja-JP"/>
        </w:rPr>
        <w:t xml:space="preserve"> </w:t>
      </w:r>
      <w:r w:rsidRPr="00100511">
        <w:rPr>
          <w:rFonts w:ascii="Times New Roman" w:hAnsi="Times New Roman"/>
          <w:bCs/>
          <w:szCs w:val="24"/>
          <w:lang w:eastAsia="ja-JP"/>
        </w:rPr>
        <w:t>especially in non-EU partner countries with lower institutional capacity - develop bankable projects in energy and CRM value chains. This remains a key enabler of the EU’s strategic autonomy.</w:t>
      </w:r>
    </w:p>
    <w:p w14:paraId="1AF4A69A" w14:textId="4070E4FF" w:rsidR="00F04F7A" w:rsidRPr="00100511" w:rsidRDefault="00F04F7A" w:rsidP="00F04F7A">
      <w:pPr>
        <w:ind w:left="567"/>
        <w:rPr>
          <w:rFonts w:ascii="Times New Roman" w:hAnsi="Times New Roman"/>
          <w:b/>
          <w:szCs w:val="24"/>
          <w:lang w:eastAsia="ja-JP"/>
        </w:rPr>
      </w:pPr>
      <w:bookmarkStart w:id="3" w:name="_Hlk198908317"/>
      <w:r w:rsidRPr="00100511">
        <w:rPr>
          <w:rFonts w:ascii="Times New Roman" w:hAnsi="Times New Roman"/>
          <w:b/>
          <w:szCs w:val="24"/>
          <w:lang w:eastAsia="ja-JP"/>
        </w:rPr>
        <w:t>The EIB accountability architecture</w:t>
      </w:r>
    </w:p>
    <w:p w14:paraId="5D49B76A" w14:textId="4B8C8BB3" w:rsidR="00DE228A" w:rsidRPr="00100511" w:rsidRDefault="00DE228A" w:rsidP="008F14BA">
      <w:pPr>
        <w:ind w:left="567"/>
        <w:rPr>
          <w:rFonts w:ascii="Times New Roman" w:hAnsi="Times New Roman"/>
          <w:bCs/>
          <w:szCs w:val="24"/>
          <w:lang w:eastAsia="ja-JP"/>
        </w:rPr>
      </w:pPr>
      <w:r w:rsidRPr="00100511">
        <w:rPr>
          <w:rFonts w:ascii="Times New Roman" w:hAnsi="Times New Roman"/>
          <w:bCs/>
          <w:szCs w:val="24"/>
          <w:lang w:eastAsia="ja-JP"/>
        </w:rPr>
        <w:t>Paragraph 82</w:t>
      </w:r>
      <w:r w:rsidR="00F04F7A" w:rsidRPr="00100511">
        <w:rPr>
          <w:rFonts w:ascii="Times New Roman" w:hAnsi="Times New Roman"/>
          <w:bCs/>
          <w:szCs w:val="24"/>
          <w:lang w:eastAsia="ja-JP"/>
        </w:rPr>
        <w:t>.</w:t>
      </w:r>
      <w:r w:rsidRPr="00100511">
        <w:rPr>
          <w:rFonts w:ascii="Times New Roman" w:hAnsi="Times New Roman"/>
          <w:bCs/>
          <w:szCs w:val="24"/>
          <w:lang w:eastAsia="ja-JP"/>
        </w:rPr>
        <w:t xml:space="preserve"> </w:t>
      </w:r>
      <w:r w:rsidR="00F04F7A" w:rsidRPr="00100511">
        <w:rPr>
          <w:rFonts w:ascii="Times New Roman" w:hAnsi="Times New Roman"/>
          <w:bCs/>
          <w:i/>
          <w:iCs/>
          <w:szCs w:val="24"/>
          <w:lang w:eastAsia="ja-JP"/>
        </w:rPr>
        <w:t>N</w:t>
      </w:r>
      <w:r w:rsidRPr="00100511">
        <w:rPr>
          <w:rFonts w:ascii="Times New Roman" w:hAnsi="Times New Roman"/>
          <w:bCs/>
          <w:i/>
          <w:iCs/>
          <w:szCs w:val="24"/>
          <w:lang w:eastAsia="ja-JP"/>
        </w:rPr>
        <w:t>otes that the EIB Exclusion Policy provides for an autonomous exclusion process that is not fully equivalent to the Commission’s Early Detection and Exclusion System in terms of decision-making standards, results and remedies; reiterates its call on the EIB Group and the Commission to cooperate in identifying the potential gaps and proposing remedies, including an expedited procedure to enforce EIB exclusion decisions via the Early Detection and Exclusion System</w:t>
      </w:r>
      <w:r w:rsidR="00337490" w:rsidRPr="00100511">
        <w:rPr>
          <w:rFonts w:ascii="Times New Roman" w:hAnsi="Times New Roman"/>
          <w:bCs/>
          <w:i/>
          <w:iCs/>
          <w:szCs w:val="24"/>
          <w:lang w:eastAsia="ja-JP"/>
        </w:rPr>
        <w:t>.</w:t>
      </w:r>
    </w:p>
    <w:bookmarkEnd w:id="3"/>
    <w:p w14:paraId="5896FAEF" w14:textId="77777777" w:rsidR="00F04F7A" w:rsidRPr="00100511" w:rsidRDefault="00F04F7A" w:rsidP="00F04F7A">
      <w:pPr>
        <w:ind w:left="567"/>
        <w:rPr>
          <w:rFonts w:ascii="Times New Roman" w:hAnsi="Times New Roman"/>
          <w:b/>
          <w:szCs w:val="24"/>
          <w:lang w:eastAsia="ja-JP"/>
        </w:rPr>
      </w:pPr>
      <w:r w:rsidRPr="00100511">
        <w:rPr>
          <w:rFonts w:ascii="Times New Roman" w:hAnsi="Times New Roman"/>
          <w:b/>
          <w:szCs w:val="24"/>
          <w:lang w:eastAsia="ja-JP"/>
        </w:rPr>
        <w:t>Commission’s reply</w:t>
      </w:r>
    </w:p>
    <w:p w14:paraId="2C920AA9" w14:textId="1E568BA3" w:rsidR="001C7161" w:rsidRPr="00100511" w:rsidRDefault="001C7161" w:rsidP="4B440287">
      <w:pPr>
        <w:ind w:left="567"/>
        <w:rPr>
          <w:rFonts w:ascii="Times New Roman" w:hAnsi="Times New Roman"/>
          <w:lang w:eastAsia="ja-JP"/>
        </w:rPr>
      </w:pPr>
      <w:r w:rsidRPr="00100511">
        <w:rPr>
          <w:rFonts w:ascii="Times New Roman" w:hAnsi="Times New Roman"/>
          <w:lang w:eastAsia="ja-JP"/>
        </w:rPr>
        <w:t xml:space="preserve">The Commission notes that it is not bound by exclusion decisions which the entrusted entities adopt pursuant to their own internal rules. Therefore, the Commission is not obliged to enforce EIB exclusions as such, but those might be used as relevant facts and findings for </w:t>
      </w:r>
      <w:r w:rsidR="00A72C94" w:rsidRPr="0019588C">
        <w:rPr>
          <w:rFonts w:ascii="Times New Roman" w:hAnsi="Times New Roman"/>
          <w:bCs/>
          <w:szCs w:val="24"/>
          <w:lang w:eastAsia="ja-JP"/>
        </w:rPr>
        <w:t>Early Detection and Exclusion System</w:t>
      </w:r>
      <w:r w:rsidR="00A72C94" w:rsidRPr="00100511">
        <w:rPr>
          <w:rFonts w:ascii="Times New Roman" w:hAnsi="Times New Roman"/>
          <w:lang w:eastAsia="ja-JP"/>
        </w:rPr>
        <w:t xml:space="preserve"> (</w:t>
      </w:r>
      <w:r w:rsidRPr="00100511">
        <w:rPr>
          <w:rFonts w:ascii="Times New Roman" w:hAnsi="Times New Roman"/>
          <w:lang w:eastAsia="ja-JP"/>
        </w:rPr>
        <w:t>EDES</w:t>
      </w:r>
      <w:r w:rsidR="00A72C94" w:rsidRPr="00100511">
        <w:rPr>
          <w:rFonts w:ascii="Times New Roman" w:hAnsi="Times New Roman"/>
          <w:lang w:eastAsia="ja-JP"/>
        </w:rPr>
        <w:t>)</w:t>
      </w:r>
      <w:r w:rsidRPr="00100511">
        <w:rPr>
          <w:rFonts w:ascii="Times New Roman" w:hAnsi="Times New Roman"/>
          <w:lang w:eastAsia="ja-JP"/>
        </w:rPr>
        <w:t xml:space="preserve">, if the entity has a link to the EU budget. In this case, the Financial Regulation </w:t>
      </w:r>
      <w:r w:rsidR="00BF7AC8" w:rsidRPr="00100511">
        <w:rPr>
          <w:rFonts w:ascii="Times New Roman" w:hAnsi="Times New Roman"/>
          <w:lang w:eastAsia="ja-JP"/>
        </w:rPr>
        <w:t xml:space="preserve">adopted in 2024 </w:t>
      </w:r>
      <w:r w:rsidRPr="00100511">
        <w:rPr>
          <w:rFonts w:ascii="Times New Roman" w:hAnsi="Times New Roman"/>
          <w:lang w:eastAsia="ja-JP"/>
        </w:rPr>
        <w:t xml:space="preserve">(Article 138(8) and recital 122) establishes the possibility for the EDES Panel to issue its recommendations by means of an </w:t>
      </w:r>
      <w:r w:rsidRPr="00100511">
        <w:rPr>
          <w:rFonts w:ascii="Times New Roman" w:hAnsi="Times New Roman"/>
          <w:b/>
          <w:bCs/>
          <w:lang w:eastAsia="ja-JP"/>
        </w:rPr>
        <w:t>expedited procedure</w:t>
      </w:r>
      <w:r w:rsidRPr="00100511">
        <w:rPr>
          <w:rFonts w:ascii="Times New Roman" w:hAnsi="Times New Roman"/>
          <w:lang w:eastAsia="ja-JP"/>
        </w:rPr>
        <w:t xml:space="preserve"> (Art. 138(8)</w:t>
      </w:r>
      <w:r w:rsidR="00D45F79" w:rsidRPr="00100511">
        <w:rPr>
          <w:rFonts w:ascii="Times New Roman" w:hAnsi="Times New Roman"/>
          <w:lang w:eastAsia="ja-JP"/>
        </w:rPr>
        <w:t xml:space="preserve"> </w:t>
      </w:r>
      <w:r w:rsidRPr="00100511">
        <w:rPr>
          <w:rFonts w:ascii="Times New Roman" w:hAnsi="Times New Roman"/>
          <w:lang w:eastAsia="ja-JP"/>
        </w:rPr>
        <w:t xml:space="preserve">FR) if the circumstances or the nature of the case requires. This may include situations where </w:t>
      </w:r>
      <w:r w:rsidRPr="00100511">
        <w:rPr>
          <w:rFonts w:ascii="Times New Roman" w:hAnsi="Times New Roman"/>
          <w:i/>
          <w:iCs/>
          <w:lang w:eastAsia="ja-JP"/>
        </w:rPr>
        <w:t>a sanction equivalent to an exclusion has been already imposed on the person or entity by virtue of a decision of international organisations</w:t>
      </w:r>
      <w:r w:rsidR="59C1FAEE" w:rsidRPr="00100511">
        <w:rPr>
          <w:rFonts w:ascii="Times New Roman" w:hAnsi="Times New Roman"/>
          <w:lang w:eastAsia="ja-JP"/>
        </w:rPr>
        <w:t xml:space="preserve"> or organizations that </w:t>
      </w:r>
      <w:r w:rsidR="59C1FAEE" w:rsidRPr="00100511">
        <w:rPr>
          <w:rFonts w:ascii="Times New Roman" w:eastAsia="Times New Roman" w:hAnsi="Times New Roman"/>
          <w:szCs w:val="24"/>
        </w:rPr>
        <w:t xml:space="preserve">have been considered to apply </w:t>
      </w:r>
      <w:r w:rsidR="6FF3062C" w:rsidRPr="00100511">
        <w:rPr>
          <w:rFonts w:ascii="Times New Roman" w:eastAsia="Times New Roman" w:hAnsi="Times New Roman"/>
          <w:szCs w:val="24"/>
        </w:rPr>
        <w:t xml:space="preserve">an </w:t>
      </w:r>
      <w:r w:rsidR="00E941BF" w:rsidRPr="00100511">
        <w:rPr>
          <w:rFonts w:ascii="Times New Roman" w:eastAsia="Times New Roman" w:hAnsi="Times New Roman"/>
          <w:szCs w:val="24"/>
        </w:rPr>
        <w:t>equivalent sanction procedure</w:t>
      </w:r>
      <w:r w:rsidR="59C1FAEE" w:rsidRPr="00100511">
        <w:rPr>
          <w:rFonts w:ascii="Times New Roman" w:eastAsia="Times New Roman" w:hAnsi="Times New Roman"/>
          <w:szCs w:val="24"/>
        </w:rPr>
        <w:t xml:space="preserve"> under Article 15</w:t>
      </w:r>
      <w:r w:rsidR="43884DB8" w:rsidRPr="00100511">
        <w:rPr>
          <w:rFonts w:ascii="Times New Roman" w:eastAsia="Times New Roman" w:hAnsi="Times New Roman"/>
          <w:szCs w:val="24"/>
        </w:rPr>
        <w:t>7</w:t>
      </w:r>
      <w:r w:rsidR="59C1FAEE" w:rsidRPr="00100511">
        <w:rPr>
          <w:rFonts w:ascii="Times New Roman" w:eastAsia="Times New Roman" w:hAnsi="Times New Roman"/>
          <w:szCs w:val="24"/>
        </w:rPr>
        <w:t xml:space="preserve"> </w:t>
      </w:r>
      <w:r w:rsidR="7673CC9B" w:rsidRPr="00100511">
        <w:rPr>
          <w:rFonts w:ascii="Times New Roman" w:eastAsia="Times New Roman" w:hAnsi="Times New Roman"/>
          <w:szCs w:val="24"/>
        </w:rPr>
        <w:t xml:space="preserve">of the </w:t>
      </w:r>
      <w:r w:rsidR="59C1FAEE" w:rsidRPr="00100511">
        <w:rPr>
          <w:rFonts w:ascii="Times New Roman" w:eastAsia="Times New Roman" w:hAnsi="Times New Roman"/>
          <w:szCs w:val="24"/>
        </w:rPr>
        <w:t>F</w:t>
      </w:r>
      <w:r w:rsidR="70CB6BD0" w:rsidRPr="00100511">
        <w:rPr>
          <w:rFonts w:ascii="Times New Roman" w:eastAsia="Times New Roman" w:hAnsi="Times New Roman"/>
          <w:szCs w:val="24"/>
        </w:rPr>
        <w:t xml:space="preserve">inancial </w:t>
      </w:r>
      <w:r w:rsidR="00F53A0C" w:rsidRPr="00100511">
        <w:rPr>
          <w:rFonts w:ascii="Times New Roman" w:eastAsia="Times New Roman" w:hAnsi="Times New Roman"/>
          <w:szCs w:val="24"/>
        </w:rPr>
        <w:t>Regulation</w:t>
      </w:r>
      <w:r w:rsidR="00F53A0C" w:rsidRPr="00100511">
        <w:rPr>
          <w:rFonts w:ascii="Times New Roman" w:hAnsi="Times New Roman"/>
          <w:lang w:eastAsia="ja-JP"/>
        </w:rPr>
        <w:t xml:space="preserve"> such</w:t>
      </w:r>
      <w:r w:rsidRPr="00100511">
        <w:rPr>
          <w:rFonts w:ascii="Times New Roman" w:hAnsi="Times New Roman"/>
          <w:lang w:eastAsia="ja-JP"/>
        </w:rPr>
        <w:t xml:space="preserve"> as the EIB. The observation regarding the numbers of exclusions </w:t>
      </w:r>
      <w:hyperlink r:id="rId11">
        <w:r w:rsidRPr="00100511">
          <w:rPr>
            <w:rStyle w:val="Hyperlink"/>
            <w:rFonts w:ascii="Times New Roman" w:hAnsi="Times New Roman"/>
            <w:lang w:eastAsia="ja-JP"/>
          </w:rPr>
          <w:t>published by EIB,</w:t>
        </w:r>
      </w:hyperlink>
      <w:r w:rsidRPr="00100511">
        <w:rPr>
          <w:rFonts w:ascii="Times New Roman" w:hAnsi="Times New Roman"/>
          <w:lang w:eastAsia="ja-JP"/>
        </w:rPr>
        <w:t xml:space="preserve"> refers to the EIB’s autonomous exclusion list that may not necessarily be reflected in the EDES database, given that not all the entities necessarily have a link to the EU budget. </w:t>
      </w:r>
    </w:p>
    <w:p w14:paraId="68E7D0B1" w14:textId="65D31030" w:rsidR="006A6849" w:rsidRPr="00100511" w:rsidRDefault="006A6849" w:rsidP="008F14BA">
      <w:pPr>
        <w:ind w:left="567"/>
        <w:rPr>
          <w:rFonts w:ascii="Times New Roman" w:hAnsi="Times New Roman"/>
          <w:bCs/>
          <w:i/>
          <w:iCs/>
          <w:szCs w:val="24"/>
          <w:lang w:eastAsia="ja-JP"/>
        </w:rPr>
      </w:pPr>
      <w:bookmarkStart w:id="4" w:name="_Hlk198907612"/>
      <w:r w:rsidRPr="00100511">
        <w:rPr>
          <w:rFonts w:ascii="Times New Roman" w:hAnsi="Times New Roman"/>
          <w:bCs/>
          <w:szCs w:val="24"/>
          <w:lang w:eastAsia="ja-JP"/>
        </w:rPr>
        <w:t>Paragraph 92</w:t>
      </w:r>
      <w:r w:rsidRPr="00100511">
        <w:rPr>
          <w:rFonts w:ascii="Times New Roman" w:hAnsi="Times New Roman"/>
          <w:b/>
          <w:szCs w:val="24"/>
          <w:lang w:eastAsia="ja-JP"/>
        </w:rPr>
        <w:t xml:space="preserve"> </w:t>
      </w:r>
      <w:r w:rsidR="00F04F7A" w:rsidRPr="00100511">
        <w:rPr>
          <w:rFonts w:ascii="Times New Roman" w:hAnsi="Times New Roman"/>
          <w:bCs/>
          <w:szCs w:val="24"/>
          <w:lang w:eastAsia="ja-JP"/>
        </w:rPr>
        <w:t>[</w:t>
      </w:r>
      <w:r w:rsidRPr="00100511">
        <w:rPr>
          <w:rFonts w:ascii="Times New Roman" w:hAnsi="Times New Roman"/>
          <w:bCs/>
          <w:szCs w:val="24"/>
          <w:lang w:eastAsia="ja-JP"/>
        </w:rPr>
        <w:t xml:space="preserve">as regards </w:t>
      </w:r>
      <w:proofErr w:type="spellStart"/>
      <w:r w:rsidRPr="00100511">
        <w:rPr>
          <w:rFonts w:ascii="Times New Roman" w:hAnsi="Times New Roman"/>
          <w:bCs/>
          <w:szCs w:val="24"/>
          <w:lang w:eastAsia="ja-JP"/>
        </w:rPr>
        <w:t>Northvolt</w:t>
      </w:r>
      <w:proofErr w:type="spellEnd"/>
      <w:r w:rsidRPr="00100511">
        <w:rPr>
          <w:rFonts w:ascii="Times New Roman" w:hAnsi="Times New Roman"/>
          <w:bCs/>
          <w:szCs w:val="24"/>
          <w:lang w:eastAsia="ja-JP"/>
        </w:rPr>
        <w:t xml:space="preserve"> </w:t>
      </w:r>
      <w:r w:rsidR="00F04F7A" w:rsidRPr="00100511">
        <w:rPr>
          <w:rFonts w:ascii="Times New Roman" w:hAnsi="Times New Roman"/>
          <w:bCs/>
          <w:szCs w:val="24"/>
          <w:lang w:eastAsia="ja-JP"/>
        </w:rPr>
        <w:t xml:space="preserve">AB financial situation] </w:t>
      </w:r>
      <w:r w:rsidR="00F04F7A" w:rsidRPr="00100511">
        <w:rPr>
          <w:rFonts w:ascii="Times New Roman" w:hAnsi="Times New Roman"/>
          <w:bCs/>
          <w:i/>
          <w:iCs/>
          <w:szCs w:val="24"/>
          <w:lang w:eastAsia="ja-JP"/>
        </w:rPr>
        <w:t>c</w:t>
      </w:r>
      <w:r w:rsidRPr="00100511">
        <w:rPr>
          <w:rFonts w:ascii="Times New Roman" w:hAnsi="Times New Roman"/>
          <w:bCs/>
          <w:i/>
          <w:iCs/>
          <w:szCs w:val="24"/>
          <w:lang w:eastAsia="ja-JP"/>
        </w:rPr>
        <w:t>alls on the Commission and the EIB Board of Directors to launch an in-depth internal review without undue delay to verify the financial damage, the reasons for and the background to the failure of this flagship project and to learn from this experience in order to prevent the recurrence of a similar situation or enable the early detection thereof</w:t>
      </w:r>
      <w:r w:rsidR="000313D5" w:rsidRPr="00100511">
        <w:rPr>
          <w:rFonts w:ascii="Times New Roman" w:hAnsi="Times New Roman"/>
          <w:bCs/>
          <w:i/>
          <w:iCs/>
          <w:szCs w:val="24"/>
          <w:lang w:eastAsia="ja-JP"/>
        </w:rPr>
        <w:t>.</w:t>
      </w:r>
    </w:p>
    <w:bookmarkEnd w:id="4"/>
    <w:p w14:paraId="5F81294D" w14:textId="77777777" w:rsidR="00F04F7A" w:rsidRPr="00100511" w:rsidRDefault="00F04F7A" w:rsidP="00F04F7A">
      <w:pPr>
        <w:ind w:left="567"/>
        <w:rPr>
          <w:rFonts w:ascii="Times New Roman" w:hAnsi="Times New Roman"/>
          <w:b/>
          <w:szCs w:val="24"/>
          <w:lang w:eastAsia="ja-JP"/>
        </w:rPr>
      </w:pPr>
      <w:r w:rsidRPr="00100511">
        <w:rPr>
          <w:rFonts w:ascii="Times New Roman" w:hAnsi="Times New Roman"/>
          <w:b/>
          <w:szCs w:val="24"/>
          <w:lang w:eastAsia="ja-JP"/>
        </w:rPr>
        <w:t>Commission’s reply</w:t>
      </w:r>
    </w:p>
    <w:p w14:paraId="6B40DA84" w14:textId="4843743D" w:rsidR="00CF3B67" w:rsidRPr="00100511" w:rsidRDefault="00CF3B67" w:rsidP="008F14BA">
      <w:pPr>
        <w:ind w:left="567"/>
        <w:rPr>
          <w:rFonts w:ascii="Times New Roman" w:hAnsi="Times New Roman"/>
          <w:bCs/>
          <w:szCs w:val="24"/>
          <w:lang w:eastAsia="ja-JP"/>
        </w:rPr>
      </w:pPr>
      <w:bookmarkStart w:id="5" w:name="_Hlk198910228"/>
      <w:r w:rsidRPr="00100511">
        <w:rPr>
          <w:rFonts w:ascii="Times New Roman" w:hAnsi="Times New Roman"/>
          <w:bCs/>
          <w:szCs w:val="24"/>
          <w:lang w:eastAsia="ja-JP"/>
        </w:rPr>
        <w:t xml:space="preserve">The Commission is closely following </w:t>
      </w:r>
      <w:proofErr w:type="spellStart"/>
      <w:r w:rsidRPr="00100511">
        <w:rPr>
          <w:rFonts w:ascii="Times New Roman" w:hAnsi="Times New Roman"/>
          <w:bCs/>
          <w:szCs w:val="24"/>
          <w:lang w:eastAsia="ja-JP"/>
        </w:rPr>
        <w:t>Northvolt</w:t>
      </w:r>
      <w:proofErr w:type="spellEnd"/>
      <w:r w:rsidR="00BF7AC8" w:rsidRPr="00100511">
        <w:rPr>
          <w:rFonts w:ascii="Times New Roman" w:hAnsi="Times New Roman"/>
          <w:bCs/>
          <w:szCs w:val="24"/>
          <w:lang w:eastAsia="ja-JP"/>
        </w:rPr>
        <w:t xml:space="preserve"> AB</w:t>
      </w:r>
      <w:r w:rsidRPr="00100511">
        <w:rPr>
          <w:rFonts w:ascii="Times New Roman" w:hAnsi="Times New Roman"/>
          <w:bCs/>
          <w:szCs w:val="24"/>
          <w:lang w:eastAsia="ja-JP"/>
        </w:rPr>
        <w:t xml:space="preserve">’s situation. The Commission will pay attention to the future of specific assets that could still have a real added value for </w:t>
      </w:r>
      <w:r w:rsidRPr="00100511">
        <w:rPr>
          <w:rFonts w:ascii="Times New Roman" w:hAnsi="Times New Roman"/>
          <w:bCs/>
          <w:szCs w:val="24"/>
          <w:lang w:eastAsia="ja-JP"/>
        </w:rPr>
        <w:lastRenderedPageBreak/>
        <w:t xml:space="preserve">the European value chain. The case </w:t>
      </w:r>
      <w:r w:rsidR="00C01C5A" w:rsidRPr="00100511">
        <w:rPr>
          <w:rFonts w:ascii="Times New Roman" w:hAnsi="Times New Roman"/>
          <w:bCs/>
          <w:szCs w:val="24"/>
          <w:lang w:eastAsia="ja-JP"/>
        </w:rPr>
        <w:t>will</w:t>
      </w:r>
      <w:r w:rsidRPr="00100511">
        <w:rPr>
          <w:rFonts w:ascii="Times New Roman" w:hAnsi="Times New Roman"/>
          <w:bCs/>
          <w:szCs w:val="24"/>
          <w:lang w:eastAsia="ja-JP"/>
        </w:rPr>
        <w:t xml:space="preserve"> allow the Commission to draw lessons for a competitive and resilient battery industry in Europe. </w:t>
      </w:r>
    </w:p>
    <w:p w14:paraId="0F0A538E" w14:textId="4D129435" w:rsidR="00CF3B67" w:rsidRPr="00100511" w:rsidRDefault="7154402D" w:rsidP="7ABA21F8">
      <w:pPr>
        <w:ind w:left="567"/>
        <w:rPr>
          <w:rFonts w:ascii="Times New Roman" w:hAnsi="Times New Roman"/>
          <w:lang w:eastAsia="ja-JP"/>
        </w:rPr>
      </w:pPr>
      <w:r w:rsidRPr="00100511">
        <w:rPr>
          <w:rFonts w:ascii="Times New Roman" w:hAnsi="Times New Roman"/>
          <w:lang w:eastAsia="ja-JP"/>
        </w:rPr>
        <w:t>B</w:t>
      </w:r>
      <w:r w:rsidR="00CF3B67" w:rsidRPr="00100511">
        <w:rPr>
          <w:rFonts w:ascii="Times New Roman" w:hAnsi="Times New Roman"/>
          <w:lang w:eastAsia="ja-JP"/>
        </w:rPr>
        <w:t>udgetary guarantees are provisioned from the outset so that occasional losses</w:t>
      </w:r>
      <w:r w:rsidR="00E14BE2" w:rsidRPr="00100511">
        <w:rPr>
          <w:rFonts w:ascii="Times New Roman" w:hAnsi="Times New Roman"/>
          <w:lang w:eastAsia="ja-JP"/>
        </w:rPr>
        <w:t>,</w:t>
      </w:r>
      <w:r w:rsidR="00CF3B67" w:rsidRPr="00100511">
        <w:rPr>
          <w:rFonts w:ascii="Times New Roman" w:hAnsi="Times New Roman"/>
          <w:lang w:eastAsia="ja-JP"/>
        </w:rPr>
        <w:t xml:space="preserve"> </w:t>
      </w:r>
      <w:r w:rsidR="00BF7AC8" w:rsidRPr="00100511">
        <w:rPr>
          <w:rFonts w:ascii="Times New Roman" w:hAnsi="Times New Roman"/>
          <w:lang w:eastAsia="ja-JP"/>
        </w:rPr>
        <w:t>the occurrence of which is inherent to the nature of risk-sharing instruments</w:t>
      </w:r>
      <w:r w:rsidR="00A53FCE" w:rsidRPr="00100511">
        <w:rPr>
          <w:rFonts w:ascii="Times New Roman" w:hAnsi="Times New Roman"/>
          <w:lang w:eastAsia="ja-JP"/>
        </w:rPr>
        <w:t xml:space="preserve"> supporting high</w:t>
      </w:r>
      <w:r w:rsidR="00AD51DE" w:rsidRPr="00100511">
        <w:rPr>
          <w:rFonts w:ascii="Times New Roman" w:hAnsi="Times New Roman"/>
          <w:lang w:eastAsia="ja-JP"/>
        </w:rPr>
        <w:t>-</w:t>
      </w:r>
      <w:r w:rsidR="00A53FCE" w:rsidRPr="00100511">
        <w:rPr>
          <w:rFonts w:ascii="Times New Roman" w:hAnsi="Times New Roman"/>
          <w:lang w:eastAsia="ja-JP"/>
        </w:rPr>
        <w:t>risk investments</w:t>
      </w:r>
      <w:r w:rsidR="00BF7AC8" w:rsidRPr="00100511">
        <w:rPr>
          <w:rFonts w:ascii="Times New Roman" w:hAnsi="Times New Roman"/>
          <w:lang w:eastAsia="ja-JP"/>
        </w:rPr>
        <w:t xml:space="preserve"> </w:t>
      </w:r>
      <w:r w:rsidR="2604ADBC" w:rsidRPr="00100511">
        <w:rPr>
          <w:rFonts w:ascii="Times New Roman" w:hAnsi="Times New Roman"/>
          <w:lang w:eastAsia="ja-JP"/>
        </w:rPr>
        <w:t>in key policy areas</w:t>
      </w:r>
      <w:r w:rsidR="00E14BE2" w:rsidRPr="00100511">
        <w:rPr>
          <w:rFonts w:ascii="Times New Roman" w:hAnsi="Times New Roman"/>
          <w:lang w:eastAsia="ja-JP"/>
        </w:rPr>
        <w:t>,</w:t>
      </w:r>
      <w:r w:rsidR="2604ADBC" w:rsidRPr="00100511">
        <w:rPr>
          <w:rFonts w:ascii="Times New Roman" w:hAnsi="Times New Roman"/>
          <w:lang w:eastAsia="ja-JP"/>
        </w:rPr>
        <w:t xml:space="preserve"> </w:t>
      </w:r>
      <w:r w:rsidR="00CF3B67" w:rsidRPr="00100511">
        <w:rPr>
          <w:rFonts w:ascii="Times New Roman" w:hAnsi="Times New Roman"/>
          <w:lang w:eastAsia="ja-JP"/>
        </w:rPr>
        <w:t xml:space="preserve">do not impinge on the relevant programmes and their capacity to provide substantial leverage in supporting EU policy priorities. The Commission is in close contact with the EIB to ensure that the guarantee concerned is managed in accordance with established terms and risk management frameworks, as well as market practice. </w:t>
      </w:r>
      <w:r w:rsidR="00A53FCE" w:rsidRPr="00100511">
        <w:rPr>
          <w:rFonts w:ascii="Times New Roman" w:hAnsi="Times New Roman"/>
          <w:lang w:eastAsia="ja-JP"/>
        </w:rPr>
        <w:t>The</w:t>
      </w:r>
      <w:r w:rsidR="00CF3B67" w:rsidRPr="00100511">
        <w:rPr>
          <w:rFonts w:ascii="Times New Roman" w:hAnsi="Times New Roman"/>
          <w:lang w:eastAsia="ja-JP"/>
        </w:rPr>
        <w:t xml:space="preserve"> insolvency proceedings have not yet concluded.</w:t>
      </w:r>
    </w:p>
    <w:p w14:paraId="140F6ED1" w14:textId="1A343A91" w:rsidR="006A6849" w:rsidRPr="00100511" w:rsidRDefault="006A6849" w:rsidP="008F14BA">
      <w:pPr>
        <w:ind w:left="567"/>
        <w:rPr>
          <w:rFonts w:ascii="Times New Roman" w:hAnsi="Times New Roman"/>
          <w:bCs/>
          <w:i/>
          <w:iCs/>
          <w:szCs w:val="24"/>
          <w:lang w:eastAsia="ja-JP"/>
        </w:rPr>
      </w:pPr>
      <w:r w:rsidRPr="00100511">
        <w:rPr>
          <w:rFonts w:ascii="Times New Roman" w:hAnsi="Times New Roman"/>
          <w:bCs/>
          <w:szCs w:val="24"/>
          <w:lang w:eastAsia="ja-JP"/>
        </w:rPr>
        <w:t>Paragraph 93</w:t>
      </w:r>
      <w:r w:rsidR="00F04F7A" w:rsidRPr="00100511">
        <w:rPr>
          <w:rFonts w:ascii="Times New Roman" w:hAnsi="Times New Roman"/>
          <w:bCs/>
          <w:szCs w:val="24"/>
          <w:lang w:eastAsia="ja-JP"/>
        </w:rPr>
        <w:t>.</w:t>
      </w:r>
      <w:r w:rsidRPr="00100511">
        <w:rPr>
          <w:rFonts w:ascii="Times New Roman" w:hAnsi="Times New Roman"/>
          <w:b/>
          <w:szCs w:val="24"/>
          <w:lang w:eastAsia="ja-JP"/>
        </w:rPr>
        <w:t xml:space="preserve"> </w:t>
      </w:r>
      <w:r w:rsidR="007C2A98" w:rsidRPr="00100511">
        <w:rPr>
          <w:rFonts w:ascii="Times New Roman" w:hAnsi="Times New Roman"/>
          <w:bCs/>
          <w:i/>
          <w:iCs/>
          <w:szCs w:val="24"/>
          <w:lang w:eastAsia="ja-JP"/>
        </w:rPr>
        <w:t xml:space="preserve">Maintains that the greatest added value of EU support lies in fostering higher-risk investments in innovative projects, scaling up EU strategic goals and enabling long-term transition projects that cannot get funding from the private sector; believes that to effectively pursue its targets in innovation and competitiveness, the </w:t>
      </w:r>
      <w:proofErr w:type="spellStart"/>
      <w:r w:rsidR="007C2A98" w:rsidRPr="00100511">
        <w:rPr>
          <w:rFonts w:ascii="Times New Roman" w:hAnsi="Times New Roman"/>
          <w:bCs/>
          <w:i/>
          <w:iCs/>
          <w:szCs w:val="24"/>
          <w:lang w:eastAsia="ja-JP"/>
        </w:rPr>
        <w:t>InvestEU</w:t>
      </w:r>
      <w:proofErr w:type="spellEnd"/>
      <w:r w:rsidR="007C2A98" w:rsidRPr="00100511">
        <w:rPr>
          <w:rFonts w:ascii="Times New Roman" w:hAnsi="Times New Roman"/>
          <w:bCs/>
          <w:i/>
          <w:iCs/>
          <w:szCs w:val="24"/>
          <w:lang w:eastAsia="ja-JP"/>
        </w:rPr>
        <w:t xml:space="preserve"> programme should focus on financing higher-risk and more scale-up</w:t>
      </w:r>
      <w:r w:rsidR="007C2A98" w:rsidRPr="00100511">
        <w:rPr>
          <w:rFonts w:ascii="Times New Roman" w:hAnsi="Times New Roman"/>
          <w:bCs/>
          <w:i/>
          <w:iCs/>
          <w:szCs w:val="24"/>
          <w:highlight w:val="yellow"/>
          <w:lang w:eastAsia="ja-JP"/>
        </w:rPr>
        <w:t xml:space="preserve"> </w:t>
      </w:r>
      <w:r w:rsidR="007C2A98" w:rsidRPr="00100511">
        <w:rPr>
          <w:rFonts w:ascii="Times New Roman" w:hAnsi="Times New Roman"/>
          <w:bCs/>
          <w:i/>
          <w:iCs/>
          <w:szCs w:val="24"/>
          <w:lang w:eastAsia="ja-JP"/>
        </w:rPr>
        <w:t xml:space="preserve">investment and that the EIB Group should take on more and larger high-risk projects, which should involve primarily and preferentially European investors, combining a more risk-absorption-oriented deployment of </w:t>
      </w:r>
      <w:proofErr w:type="spellStart"/>
      <w:r w:rsidR="007C2A98" w:rsidRPr="00100511">
        <w:rPr>
          <w:rFonts w:ascii="Times New Roman" w:hAnsi="Times New Roman"/>
          <w:bCs/>
          <w:i/>
          <w:iCs/>
          <w:szCs w:val="24"/>
          <w:lang w:eastAsia="ja-JP"/>
        </w:rPr>
        <w:t>InvestEU</w:t>
      </w:r>
      <w:proofErr w:type="spellEnd"/>
      <w:r w:rsidR="007C2A98" w:rsidRPr="00100511">
        <w:rPr>
          <w:rFonts w:ascii="Times New Roman" w:hAnsi="Times New Roman"/>
          <w:bCs/>
          <w:i/>
          <w:iCs/>
          <w:szCs w:val="24"/>
          <w:lang w:eastAsia="ja-JP"/>
        </w:rPr>
        <w:t xml:space="preserve"> resources with an equivalent orientation in the use of the EIB Group’s own financial resources; urges the EIB to introduce stricter conditions to prevent EU public financing from being used to subsidise companies relocating production outside Europe, ensuring that all EIB-funded projects contribute to long-term European industrial resilience;</w:t>
      </w:r>
    </w:p>
    <w:bookmarkEnd w:id="5"/>
    <w:p w14:paraId="6693C728" w14:textId="77777777" w:rsidR="006E519A" w:rsidRPr="00100511" w:rsidRDefault="006E519A" w:rsidP="006E519A">
      <w:pPr>
        <w:ind w:left="567"/>
        <w:rPr>
          <w:rFonts w:ascii="Times New Roman" w:hAnsi="Times New Roman"/>
          <w:b/>
          <w:szCs w:val="24"/>
          <w:lang w:eastAsia="ja-JP"/>
        </w:rPr>
      </w:pPr>
      <w:r w:rsidRPr="00100511">
        <w:rPr>
          <w:rFonts w:ascii="Times New Roman" w:hAnsi="Times New Roman"/>
          <w:b/>
          <w:szCs w:val="24"/>
          <w:lang w:eastAsia="ja-JP"/>
        </w:rPr>
        <w:t>Commission’s reply</w:t>
      </w:r>
    </w:p>
    <w:p w14:paraId="0B13139C" w14:textId="64CD6EF0" w:rsidR="002C0B31" w:rsidRPr="0019588C" w:rsidRDefault="0093797A" w:rsidP="002C0B31">
      <w:pPr>
        <w:ind w:left="567"/>
        <w:rPr>
          <w:rFonts w:ascii="Times New Roman" w:hAnsi="Times New Roman"/>
          <w:bCs/>
          <w:szCs w:val="24"/>
          <w:lang w:eastAsia="ja-JP"/>
        </w:rPr>
      </w:pPr>
      <w:r w:rsidRPr="00100511">
        <w:rPr>
          <w:rFonts w:ascii="Times New Roman" w:hAnsi="Times New Roman"/>
          <w:bCs/>
          <w:szCs w:val="24"/>
          <w:lang w:eastAsia="ja-JP"/>
        </w:rPr>
        <w:t xml:space="preserve">The </w:t>
      </w:r>
      <w:proofErr w:type="spellStart"/>
      <w:r w:rsidRPr="00100511">
        <w:rPr>
          <w:rFonts w:ascii="Times New Roman" w:hAnsi="Times New Roman"/>
          <w:szCs w:val="24"/>
          <w:lang w:eastAsia="ja-JP"/>
        </w:rPr>
        <w:t>InvestEU</w:t>
      </w:r>
      <w:proofErr w:type="spellEnd"/>
      <w:r w:rsidRPr="00100511">
        <w:rPr>
          <w:rFonts w:ascii="Times New Roman" w:hAnsi="Times New Roman"/>
          <w:szCs w:val="24"/>
          <w:lang w:eastAsia="ja-JP"/>
        </w:rPr>
        <w:t xml:space="preserve"> interim evaluation</w:t>
      </w:r>
      <w:r w:rsidRPr="00100511">
        <w:rPr>
          <w:rFonts w:ascii="Times New Roman" w:hAnsi="Times New Roman"/>
          <w:bCs/>
          <w:szCs w:val="24"/>
          <w:lang w:eastAsia="ja-JP"/>
        </w:rPr>
        <w:t xml:space="preserve"> </w:t>
      </w:r>
      <w:r w:rsidR="00BE6B6D" w:rsidRPr="00100511">
        <w:rPr>
          <w:rFonts w:ascii="Times New Roman" w:hAnsi="Times New Roman"/>
          <w:bCs/>
          <w:szCs w:val="24"/>
          <w:lang w:eastAsia="ja-JP"/>
        </w:rPr>
        <w:t>showed that the Programme has provided</w:t>
      </w:r>
      <w:r w:rsidR="009D2627" w:rsidRPr="00100511">
        <w:rPr>
          <w:rFonts w:ascii="Times New Roman" w:hAnsi="Times New Roman"/>
          <w:bCs/>
          <w:szCs w:val="24"/>
          <w:lang w:eastAsia="ja-JP"/>
        </w:rPr>
        <w:t xml:space="preserve"> </w:t>
      </w:r>
      <w:r w:rsidR="00BE6B6D" w:rsidRPr="00100511">
        <w:rPr>
          <w:rFonts w:ascii="Times New Roman" w:hAnsi="Times New Roman"/>
          <w:b/>
          <w:bCs/>
          <w:szCs w:val="24"/>
          <w:lang w:eastAsia="ja-JP"/>
        </w:rPr>
        <w:t xml:space="preserve">clear added </w:t>
      </w:r>
      <w:r w:rsidR="005B107C" w:rsidRPr="00100511">
        <w:rPr>
          <w:rFonts w:ascii="Times New Roman" w:hAnsi="Times New Roman"/>
          <w:b/>
          <w:bCs/>
          <w:szCs w:val="24"/>
          <w:lang w:eastAsia="ja-JP"/>
        </w:rPr>
        <w:t>value,</w:t>
      </w:r>
      <w:r w:rsidR="009D2627" w:rsidRPr="00100511">
        <w:rPr>
          <w:rFonts w:ascii="Times New Roman" w:hAnsi="Times New Roman"/>
          <w:bCs/>
          <w:szCs w:val="24"/>
          <w:lang w:eastAsia="ja-JP"/>
        </w:rPr>
        <w:t xml:space="preserve"> </w:t>
      </w:r>
      <w:r w:rsidR="00BE6B6D" w:rsidRPr="00100511">
        <w:rPr>
          <w:rFonts w:ascii="Times New Roman" w:hAnsi="Times New Roman"/>
          <w:bCs/>
          <w:szCs w:val="24"/>
          <w:lang w:eastAsia="ja-JP"/>
        </w:rPr>
        <w:t xml:space="preserve">and the EU budget guarantee features high additionality. </w:t>
      </w:r>
      <w:proofErr w:type="spellStart"/>
      <w:r w:rsidR="00BE6B6D" w:rsidRPr="00100511">
        <w:rPr>
          <w:rFonts w:ascii="Times New Roman" w:hAnsi="Times New Roman"/>
          <w:bCs/>
          <w:szCs w:val="24"/>
          <w:lang w:eastAsia="ja-JP"/>
        </w:rPr>
        <w:t>InvestEU</w:t>
      </w:r>
      <w:proofErr w:type="spellEnd"/>
      <w:r w:rsidR="00BE6B6D" w:rsidRPr="00100511">
        <w:rPr>
          <w:rFonts w:ascii="Times New Roman" w:hAnsi="Times New Roman"/>
          <w:bCs/>
          <w:szCs w:val="24"/>
          <w:lang w:eastAsia="ja-JP"/>
        </w:rPr>
        <w:t xml:space="preserve"> Implementing Partners can engage with higher</w:t>
      </w:r>
      <w:r w:rsidR="00AD51DE" w:rsidRPr="00100511">
        <w:rPr>
          <w:rFonts w:ascii="Times New Roman" w:hAnsi="Times New Roman"/>
          <w:bCs/>
          <w:szCs w:val="24"/>
          <w:lang w:eastAsia="ja-JP"/>
        </w:rPr>
        <w:t>-</w:t>
      </w:r>
      <w:r w:rsidR="00BE6B6D" w:rsidRPr="00100511">
        <w:rPr>
          <w:rFonts w:ascii="Times New Roman" w:hAnsi="Times New Roman"/>
          <w:bCs/>
          <w:szCs w:val="24"/>
          <w:lang w:eastAsia="ja-JP"/>
        </w:rPr>
        <w:t xml:space="preserve">risk counterparts, deploy riskier financial products or conditions and finance activities with inherently higher risk, enabling investments that could not otherwise secure market financing on reasonable terms. </w:t>
      </w:r>
      <w:proofErr w:type="spellStart"/>
      <w:r w:rsidR="00DA369C" w:rsidRPr="0019588C">
        <w:rPr>
          <w:rFonts w:ascii="Times New Roman" w:hAnsi="Times New Roman"/>
          <w:bCs/>
          <w:szCs w:val="24"/>
          <w:lang w:eastAsia="ja-JP"/>
        </w:rPr>
        <w:t>InvestEU</w:t>
      </w:r>
      <w:proofErr w:type="spellEnd"/>
      <w:r w:rsidR="00DA369C" w:rsidRPr="0019588C">
        <w:rPr>
          <w:rFonts w:ascii="Times New Roman" w:hAnsi="Times New Roman"/>
          <w:bCs/>
          <w:szCs w:val="24"/>
          <w:lang w:eastAsia="ja-JP"/>
        </w:rPr>
        <w:t xml:space="preserve"> was instrumental in supporting high equity financing (venture capital, venture debt, private capital) across the EU, from early stages to growth and scale</w:t>
      </w:r>
      <w:r w:rsidR="00A53FCE" w:rsidRPr="0019588C">
        <w:rPr>
          <w:rFonts w:ascii="Times New Roman" w:hAnsi="Times New Roman"/>
          <w:bCs/>
          <w:szCs w:val="24"/>
          <w:lang w:eastAsia="ja-JP"/>
        </w:rPr>
        <w:t>-</w:t>
      </w:r>
      <w:r w:rsidR="00DA369C" w:rsidRPr="0019588C">
        <w:rPr>
          <w:rFonts w:ascii="Times New Roman" w:hAnsi="Times New Roman"/>
          <w:bCs/>
          <w:szCs w:val="24"/>
          <w:lang w:eastAsia="ja-JP"/>
        </w:rPr>
        <w:t xml:space="preserve">up.  </w:t>
      </w:r>
    </w:p>
    <w:p w14:paraId="27EDBDB6" w14:textId="41D1473D" w:rsidR="006E519A" w:rsidRPr="00100511" w:rsidRDefault="009A644F" w:rsidP="00A4406E">
      <w:pPr>
        <w:ind w:left="567"/>
        <w:rPr>
          <w:rFonts w:ascii="Times New Roman" w:hAnsi="Times New Roman"/>
          <w:bCs/>
          <w:i/>
          <w:iCs/>
          <w:szCs w:val="24"/>
          <w:lang w:eastAsia="ja-JP"/>
        </w:rPr>
      </w:pPr>
      <w:r w:rsidRPr="0019588C">
        <w:rPr>
          <w:rFonts w:ascii="Times New Roman" w:hAnsi="Times New Roman"/>
          <w:lang w:eastAsia="ja-JP"/>
        </w:rPr>
        <w:t xml:space="preserve">Demand for </w:t>
      </w:r>
      <w:proofErr w:type="spellStart"/>
      <w:r w:rsidRPr="0019588C">
        <w:rPr>
          <w:rFonts w:ascii="Times New Roman" w:hAnsi="Times New Roman"/>
          <w:lang w:eastAsia="ja-JP"/>
        </w:rPr>
        <w:t>InvestEU</w:t>
      </w:r>
      <w:proofErr w:type="spellEnd"/>
      <w:r w:rsidRPr="0019588C">
        <w:rPr>
          <w:rFonts w:ascii="Times New Roman" w:hAnsi="Times New Roman"/>
          <w:lang w:eastAsia="ja-JP"/>
        </w:rPr>
        <w:t xml:space="preserve"> products has significantly exceeded expectations, particularly in areas such as innovation, artificial intelligence, and digitalisation, all of which </w:t>
      </w:r>
      <w:r w:rsidR="00A53FCE" w:rsidRPr="0019588C">
        <w:rPr>
          <w:rFonts w:ascii="Times New Roman" w:hAnsi="Times New Roman"/>
          <w:lang w:eastAsia="ja-JP"/>
        </w:rPr>
        <w:t>are</w:t>
      </w:r>
      <w:r w:rsidRPr="0019588C">
        <w:rPr>
          <w:rFonts w:ascii="Times New Roman" w:hAnsi="Times New Roman"/>
          <w:lang w:eastAsia="ja-JP"/>
        </w:rPr>
        <w:t xml:space="preserve"> crucial for maintaining Europe’s competitiveness. </w:t>
      </w:r>
      <w:r w:rsidR="000D5907" w:rsidRPr="0019588C">
        <w:rPr>
          <w:rFonts w:ascii="Times New Roman" w:hAnsi="Times New Roman"/>
          <w:lang w:eastAsia="ja-JP"/>
        </w:rPr>
        <w:t xml:space="preserve">High-risk investments </w:t>
      </w:r>
      <w:r w:rsidRPr="0019588C">
        <w:rPr>
          <w:rFonts w:ascii="Times New Roman" w:hAnsi="Times New Roman"/>
          <w:lang w:eastAsia="ja-JP"/>
        </w:rPr>
        <w:t xml:space="preserve">supported by </w:t>
      </w:r>
      <w:proofErr w:type="spellStart"/>
      <w:r w:rsidRPr="0019588C">
        <w:rPr>
          <w:rFonts w:ascii="Times New Roman" w:hAnsi="Times New Roman"/>
          <w:lang w:eastAsia="ja-JP"/>
        </w:rPr>
        <w:t>InvestEU</w:t>
      </w:r>
      <w:proofErr w:type="spellEnd"/>
      <w:r w:rsidRPr="0019588C">
        <w:rPr>
          <w:rFonts w:ascii="Times New Roman" w:hAnsi="Times New Roman"/>
          <w:lang w:eastAsia="ja-JP"/>
        </w:rPr>
        <w:t xml:space="preserve"> </w:t>
      </w:r>
      <w:r w:rsidR="0093797A" w:rsidRPr="0019588C">
        <w:rPr>
          <w:rFonts w:ascii="Times New Roman" w:hAnsi="Times New Roman"/>
          <w:lang w:eastAsia="ja-JP"/>
        </w:rPr>
        <w:t xml:space="preserve">guarantee </w:t>
      </w:r>
      <w:r w:rsidR="000D5907" w:rsidRPr="0019588C">
        <w:rPr>
          <w:rFonts w:ascii="Times New Roman" w:hAnsi="Times New Roman"/>
          <w:lang w:eastAsia="ja-JP"/>
        </w:rPr>
        <w:t>c</w:t>
      </w:r>
      <w:r w:rsidR="00A53FCE" w:rsidRPr="0019588C">
        <w:rPr>
          <w:rFonts w:ascii="Times New Roman" w:hAnsi="Times New Roman"/>
          <w:lang w:eastAsia="ja-JP"/>
        </w:rPr>
        <w:t>an</w:t>
      </w:r>
      <w:r w:rsidR="000D5907" w:rsidRPr="0019588C">
        <w:rPr>
          <w:rFonts w:ascii="Times New Roman" w:hAnsi="Times New Roman"/>
          <w:lang w:eastAsia="ja-JP"/>
        </w:rPr>
        <w:t xml:space="preserve"> be carried out directly by Implementing Partners through venture debt and/or thematic products</w:t>
      </w:r>
      <w:r w:rsidR="00DA369C" w:rsidRPr="0019588C">
        <w:rPr>
          <w:rFonts w:ascii="Times New Roman" w:hAnsi="Times New Roman"/>
          <w:lang w:eastAsia="ja-JP"/>
        </w:rPr>
        <w:t xml:space="preserve">. The Implementing Partners of </w:t>
      </w:r>
      <w:proofErr w:type="spellStart"/>
      <w:r w:rsidR="00DA369C" w:rsidRPr="0019588C">
        <w:rPr>
          <w:rFonts w:ascii="Times New Roman" w:hAnsi="Times New Roman"/>
          <w:lang w:eastAsia="ja-JP"/>
        </w:rPr>
        <w:t>InvestEU</w:t>
      </w:r>
      <w:proofErr w:type="spellEnd"/>
      <w:r w:rsidR="00DA369C" w:rsidRPr="0019588C">
        <w:rPr>
          <w:rFonts w:ascii="Times New Roman" w:hAnsi="Times New Roman"/>
          <w:lang w:eastAsia="ja-JP"/>
        </w:rPr>
        <w:t xml:space="preserve"> (including the EIB Group) </w:t>
      </w:r>
      <w:r w:rsidR="00E56C08" w:rsidRPr="0019588C">
        <w:rPr>
          <w:rFonts w:ascii="Times New Roman" w:hAnsi="Times New Roman"/>
          <w:lang w:eastAsia="ja-JP"/>
        </w:rPr>
        <w:t>c</w:t>
      </w:r>
      <w:r w:rsidR="00A53FCE" w:rsidRPr="0019588C">
        <w:rPr>
          <w:rFonts w:ascii="Times New Roman" w:hAnsi="Times New Roman"/>
          <w:lang w:eastAsia="ja-JP"/>
        </w:rPr>
        <w:t>an</w:t>
      </w:r>
      <w:r w:rsidR="00DA369C" w:rsidRPr="0019588C">
        <w:rPr>
          <w:rFonts w:ascii="Times New Roman" w:hAnsi="Times New Roman"/>
          <w:lang w:eastAsia="ja-JP"/>
        </w:rPr>
        <w:t xml:space="preserve"> </w:t>
      </w:r>
      <w:r w:rsidR="0093797A" w:rsidRPr="0019588C">
        <w:rPr>
          <w:rFonts w:ascii="Times New Roman" w:hAnsi="Times New Roman"/>
          <w:lang w:eastAsia="ja-JP"/>
        </w:rPr>
        <w:t>provide</w:t>
      </w:r>
      <w:r w:rsidR="00DA369C" w:rsidRPr="0019588C">
        <w:rPr>
          <w:rFonts w:ascii="Times New Roman" w:hAnsi="Times New Roman"/>
          <w:lang w:eastAsia="ja-JP"/>
        </w:rPr>
        <w:t xml:space="preserve"> both indirect and direct equity</w:t>
      </w:r>
      <w:r w:rsidR="00A53FCE" w:rsidRPr="0019588C">
        <w:rPr>
          <w:rFonts w:ascii="Times New Roman" w:hAnsi="Times New Roman"/>
          <w:lang w:eastAsia="ja-JP"/>
        </w:rPr>
        <w:t>.</w:t>
      </w:r>
      <w:r w:rsidR="00DA369C" w:rsidRPr="0019588C">
        <w:rPr>
          <w:rFonts w:ascii="Times New Roman" w:hAnsi="Times New Roman"/>
          <w:lang w:eastAsia="ja-JP"/>
        </w:rPr>
        <w:t xml:space="preserve"> </w:t>
      </w:r>
      <w:r w:rsidR="00A53FCE" w:rsidRPr="0019588C">
        <w:rPr>
          <w:rFonts w:ascii="Times New Roman" w:hAnsi="Times New Roman"/>
          <w:lang w:eastAsia="ja-JP"/>
        </w:rPr>
        <w:t>F</w:t>
      </w:r>
      <w:r w:rsidR="000D5907" w:rsidRPr="0019588C">
        <w:rPr>
          <w:rFonts w:ascii="Times New Roman" w:hAnsi="Times New Roman"/>
          <w:lang w:eastAsia="ja-JP"/>
        </w:rPr>
        <w:t>or example</w:t>
      </w:r>
      <w:r w:rsidR="00A53FCE" w:rsidRPr="0019588C">
        <w:rPr>
          <w:rFonts w:ascii="Times New Roman" w:hAnsi="Times New Roman"/>
          <w:lang w:eastAsia="ja-JP"/>
        </w:rPr>
        <w:t>,</w:t>
      </w:r>
      <w:r w:rsidR="000D5907" w:rsidRPr="0019588C">
        <w:rPr>
          <w:rFonts w:ascii="Times New Roman" w:hAnsi="Times New Roman"/>
          <w:lang w:eastAsia="ja-JP"/>
        </w:rPr>
        <w:t xml:space="preserve"> </w:t>
      </w:r>
      <w:proofErr w:type="spellStart"/>
      <w:r w:rsidR="000D5907" w:rsidRPr="0019588C">
        <w:rPr>
          <w:rFonts w:ascii="Times New Roman" w:hAnsi="Times New Roman"/>
          <w:lang w:eastAsia="ja-JP"/>
        </w:rPr>
        <w:t>InvestNL</w:t>
      </w:r>
      <w:proofErr w:type="spellEnd"/>
      <w:r w:rsidR="000D5907" w:rsidRPr="0019588C">
        <w:rPr>
          <w:rFonts w:ascii="Times New Roman" w:hAnsi="Times New Roman"/>
          <w:lang w:eastAsia="ja-JP"/>
        </w:rPr>
        <w:t xml:space="preserve"> is the first Implementing Partner directly investing in equity for start-ups </w:t>
      </w:r>
      <w:proofErr w:type="gramStart"/>
      <w:r w:rsidR="000D5907" w:rsidRPr="0019588C">
        <w:rPr>
          <w:rFonts w:ascii="Times New Roman" w:hAnsi="Times New Roman"/>
          <w:lang w:eastAsia="ja-JP"/>
        </w:rPr>
        <w:t>in the area of</w:t>
      </w:r>
      <w:proofErr w:type="gramEnd"/>
      <w:r w:rsidR="000D5907" w:rsidRPr="0019588C">
        <w:rPr>
          <w:rFonts w:ascii="Times New Roman" w:hAnsi="Times New Roman"/>
          <w:lang w:eastAsia="ja-JP"/>
        </w:rPr>
        <w:t xml:space="preserve"> venture capital. </w:t>
      </w:r>
      <w:r w:rsidR="0093797A" w:rsidRPr="0019588C">
        <w:rPr>
          <w:rFonts w:ascii="Times New Roman" w:hAnsi="Times New Roman"/>
          <w:lang w:eastAsia="ja-JP"/>
        </w:rPr>
        <w:t xml:space="preserve">Overall, </w:t>
      </w:r>
      <w:proofErr w:type="spellStart"/>
      <w:r w:rsidR="0093797A" w:rsidRPr="0019588C">
        <w:rPr>
          <w:rFonts w:ascii="Times New Roman" w:hAnsi="Times New Roman"/>
          <w:lang w:eastAsia="ja-JP"/>
        </w:rPr>
        <w:t>InvestEU</w:t>
      </w:r>
      <w:proofErr w:type="spellEnd"/>
      <w:r w:rsidR="0093797A" w:rsidRPr="0019588C">
        <w:rPr>
          <w:rFonts w:ascii="Times New Roman" w:hAnsi="Times New Roman"/>
          <w:lang w:eastAsia="ja-JP"/>
        </w:rPr>
        <w:t xml:space="preserve"> resources have been used efficiently in a balanced mix of higher and lower risk products. </w:t>
      </w:r>
      <w:r w:rsidRPr="0019588C">
        <w:rPr>
          <w:rFonts w:ascii="Times New Roman" w:hAnsi="Times New Roman"/>
          <w:lang w:eastAsia="ja-JP"/>
        </w:rPr>
        <w:t xml:space="preserve">Products such as </w:t>
      </w:r>
      <w:proofErr w:type="spellStart"/>
      <w:r w:rsidRPr="0019588C">
        <w:rPr>
          <w:rFonts w:ascii="Times New Roman" w:hAnsi="Times New Roman"/>
          <w:lang w:eastAsia="ja-JP"/>
        </w:rPr>
        <w:t>InvestNL's</w:t>
      </w:r>
      <w:proofErr w:type="spellEnd"/>
      <w:r w:rsidRPr="0019588C">
        <w:rPr>
          <w:rFonts w:ascii="Times New Roman" w:hAnsi="Times New Roman"/>
          <w:lang w:eastAsia="ja-JP"/>
        </w:rPr>
        <w:t xml:space="preserve"> direct equity and the EIB's venture debt/quasi-equity </w:t>
      </w:r>
      <w:r w:rsidR="00100511" w:rsidRPr="00100511">
        <w:rPr>
          <w:rFonts w:ascii="Times New Roman" w:hAnsi="Times New Roman"/>
          <w:lang w:eastAsia="ja-JP"/>
        </w:rPr>
        <w:t>channelled</w:t>
      </w:r>
      <w:r w:rsidRPr="0019588C">
        <w:rPr>
          <w:rFonts w:ascii="Times New Roman" w:hAnsi="Times New Roman"/>
          <w:lang w:eastAsia="ja-JP"/>
        </w:rPr>
        <w:t xml:space="preserve"> capital flows into high-potential sectors, </w:t>
      </w:r>
      <w:r w:rsidR="00100511" w:rsidRPr="00100511">
        <w:rPr>
          <w:rFonts w:ascii="Times New Roman" w:hAnsi="Times New Roman"/>
          <w:lang w:eastAsia="ja-JP"/>
        </w:rPr>
        <w:t>catalysing</w:t>
      </w:r>
      <w:r w:rsidRPr="0019588C">
        <w:rPr>
          <w:rFonts w:ascii="Times New Roman" w:hAnsi="Times New Roman"/>
          <w:lang w:eastAsia="ja-JP"/>
        </w:rPr>
        <w:t xml:space="preserve"> their development and deployment. </w:t>
      </w:r>
      <w:proofErr w:type="spellStart"/>
      <w:r w:rsidR="00BE6B6D" w:rsidRPr="00100511">
        <w:rPr>
          <w:rFonts w:ascii="Times New Roman" w:hAnsi="Times New Roman"/>
          <w:lang w:eastAsia="ja-JP"/>
        </w:rPr>
        <w:t>InvestEU</w:t>
      </w:r>
      <w:proofErr w:type="spellEnd"/>
      <w:r w:rsidR="00BE6B6D" w:rsidRPr="00100511">
        <w:rPr>
          <w:rFonts w:ascii="Times New Roman" w:hAnsi="Times New Roman"/>
          <w:lang w:eastAsia="ja-JP"/>
        </w:rPr>
        <w:t xml:space="preserve"> is thus not only supporting immediate investment needs but</w:t>
      </w:r>
      <w:r w:rsidR="00AA3169" w:rsidRPr="00100511">
        <w:rPr>
          <w:rFonts w:ascii="Times New Roman" w:hAnsi="Times New Roman"/>
          <w:lang w:eastAsia="ja-JP"/>
        </w:rPr>
        <w:t xml:space="preserve"> </w:t>
      </w:r>
      <w:r w:rsidR="00BE6B6D" w:rsidRPr="00100511">
        <w:rPr>
          <w:rFonts w:ascii="Times New Roman" w:hAnsi="Times New Roman"/>
          <w:lang w:eastAsia="ja-JP"/>
        </w:rPr>
        <w:t xml:space="preserve">laying the ground for the EU's long-term competitiveness. </w:t>
      </w:r>
      <w:r w:rsidR="00BE6B6D" w:rsidRPr="0019588C">
        <w:rPr>
          <w:rFonts w:ascii="Times New Roman" w:hAnsi="Times New Roman"/>
          <w:lang w:eastAsia="ja-JP"/>
        </w:rPr>
        <w:t>Challenges remain, but continued collaboration between the Commission and the Implementing Partners</w:t>
      </w:r>
      <w:r w:rsidR="004E41D9" w:rsidRPr="0019588C">
        <w:rPr>
          <w:rFonts w:ascii="Times New Roman" w:hAnsi="Times New Roman"/>
          <w:lang w:eastAsia="ja-JP"/>
        </w:rPr>
        <w:t xml:space="preserve"> is expected to put</w:t>
      </w:r>
      <w:r w:rsidR="002D7AF3" w:rsidRPr="0019588C">
        <w:rPr>
          <w:rFonts w:ascii="Times New Roman" w:hAnsi="Times New Roman"/>
          <w:lang w:eastAsia="ja-JP"/>
        </w:rPr>
        <w:t xml:space="preserve"> </w:t>
      </w:r>
      <w:proofErr w:type="spellStart"/>
      <w:r w:rsidR="00BE6B6D" w:rsidRPr="0019588C">
        <w:rPr>
          <w:rFonts w:ascii="Times New Roman" w:hAnsi="Times New Roman"/>
          <w:lang w:eastAsia="ja-JP"/>
        </w:rPr>
        <w:t>InvestEU</w:t>
      </w:r>
      <w:proofErr w:type="spellEnd"/>
      <w:r w:rsidR="00BE6B6D" w:rsidRPr="0019588C">
        <w:rPr>
          <w:rFonts w:ascii="Times New Roman" w:hAnsi="Times New Roman"/>
          <w:lang w:eastAsia="ja-JP"/>
        </w:rPr>
        <w:t xml:space="preserve"> </w:t>
      </w:r>
      <w:r w:rsidR="004E41D9" w:rsidRPr="0019588C">
        <w:rPr>
          <w:rFonts w:ascii="Times New Roman" w:hAnsi="Times New Roman"/>
          <w:lang w:eastAsia="ja-JP"/>
        </w:rPr>
        <w:t xml:space="preserve">in a strong position </w:t>
      </w:r>
      <w:r w:rsidR="00BE6B6D" w:rsidRPr="0019588C">
        <w:rPr>
          <w:rFonts w:ascii="Times New Roman" w:hAnsi="Times New Roman"/>
          <w:lang w:eastAsia="ja-JP"/>
        </w:rPr>
        <w:t xml:space="preserve">to </w:t>
      </w:r>
      <w:r w:rsidR="004E41D9" w:rsidRPr="0019588C">
        <w:rPr>
          <w:rFonts w:ascii="Times New Roman" w:hAnsi="Times New Roman"/>
          <w:lang w:eastAsia="ja-JP"/>
        </w:rPr>
        <w:t xml:space="preserve">mobilise significant additional volumes of public and private investment, </w:t>
      </w:r>
      <w:r w:rsidR="00BE6B6D" w:rsidRPr="0019588C">
        <w:rPr>
          <w:rFonts w:ascii="Times New Roman" w:hAnsi="Times New Roman"/>
          <w:lang w:eastAsia="ja-JP"/>
        </w:rPr>
        <w:t>further support</w:t>
      </w:r>
      <w:r w:rsidR="004E41D9" w:rsidRPr="0019588C">
        <w:rPr>
          <w:rFonts w:ascii="Times New Roman" w:hAnsi="Times New Roman"/>
          <w:lang w:eastAsia="ja-JP"/>
        </w:rPr>
        <w:t>ing</w:t>
      </w:r>
      <w:r w:rsidR="00BE6B6D" w:rsidRPr="0019588C">
        <w:rPr>
          <w:rFonts w:ascii="Times New Roman" w:hAnsi="Times New Roman"/>
          <w:lang w:eastAsia="ja-JP"/>
        </w:rPr>
        <w:t xml:space="preserve"> economic development across Europe.</w:t>
      </w:r>
    </w:p>
    <w:sectPr w:rsidR="006E519A" w:rsidRPr="00100511" w:rsidSect="0081232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601C" w14:textId="77777777" w:rsidR="00D50C94" w:rsidRDefault="00D50C94">
      <w:r>
        <w:separator/>
      </w:r>
    </w:p>
  </w:endnote>
  <w:endnote w:type="continuationSeparator" w:id="0">
    <w:p w14:paraId="1F4D349B" w14:textId="77777777" w:rsidR="00D50C94" w:rsidRDefault="00D50C94">
      <w:r>
        <w:continuationSeparator/>
      </w:r>
    </w:p>
  </w:endnote>
  <w:endnote w:type="continuationNotice" w:id="1">
    <w:p w14:paraId="3086A2B8" w14:textId="77777777" w:rsidR="00D50C94" w:rsidRDefault="00D50C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D23F" w14:textId="77777777" w:rsidR="00D50C94" w:rsidRDefault="00D50C94">
      <w:r>
        <w:separator/>
      </w:r>
    </w:p>
  </w:footnote>
  <w:footnote w:type="continuationSeparator" w:id="0">
    <w:p w14:paraId="2307C1EB" w14:textId="77777777" w:rsidR="00D50C94" w:rsidRDefault="00D50C94">
      <w:r>
        <w:continuationSeparator/>
      </w:r>
    </w:p>
  </w:footnote>
  <w:footnote w:type="continuationNotice" w:id="1">
    <w:p w14:paraId="54DBBF5C" w14:textId="77777777" w:rsidR="00D50C94" w:rsidRDefault="00D50C94">
      <w:pPr>
        <w:spacing w:after="0"/>
      </w:pPr>
    </w:p>
  </w:footnote>
  <w:footnote w:id="2">
    <w:p w14:paraId="102B4789" w14:textId="4D005585" w:rsidR="00235F77" w:rsidRDefault="00235F77" w:rsidP="00235F77">
      <w:pPr>
        <w:pStyle w:val="FootnoteText"/>
        <w:rPr>
          <w:lang w:eastAsia="ja-JP"/>
        </w:rPr>
      </w:pPr>
      <w:r>
        <w:rPr>
          <w:rStyle w:val="FootnoteReference"/>
        </w:rPr>
        <w:footnoteRef/>
      </w:r>
      <w:r>
        <w:t xml:space="preserve"> </w:t>
      </w:r>
      <w:proofErr w:type="gramStart"/>
      <w:r w:rsidRPr="00B0677E">
        <w:rPr>
          <w:rFonts w:ascii="Arial" w:hAnsi="Arial" w:cs="Arial"/>
          <w:color w:val="1F497D"/>
          <w:lang w:val="en-IE" w:eastAsia="ja-JP"/>
        </w:rPr>
        <w:t>COM</w:t>
      </w:r>
      <w:r w:rsidRPr="00B0677E">
        <w:rPr>
          <w:rFonts w:ascii="Arial" w:hAnsi="Arial" w:cs="Arial" w:hint="eastAsia"/>
          <w:color w:val="1F497D"/>
          <w:lang w:val="en-IE" w:eastAsia="ja-JP"/>
        </w:rPr>
        <w:t>(</w:t>
      </w:r>
      <w:proofErr w:type="gramEnd"/>
      <w:r w:rsidRPr="00B0677E">
        <w:rPr>
          <w:rFonts w:ascii="Arial" w:hAnsi="Arial" w:cs="Arial"/>
          <w:color w:val="1F497D"/>
          <w:lang w:val="en-IE" w:eastAsia="ja-JP"/>
        </w:rPr>
        <w:t>2025</w:t>
      </w:r>
      <w:r w:rsidRPr="00B0677E">
        <w:rPr>
          <w:rFonts w:ascii="Arial" w:hAnsi="Arial" w:cs="Arial" w:hint="eastAsia"/>
          <w:color w:val="1F497D"/>
          <w:lang w:val="en-IE" w:eastAsia="ja-JP"/>
        </w:rPr>
        <w:t>)</w:t>
      </w:r>
      <w:r w:rsidRPr="00B0677E">
        <w:rPr>
          <w:rFonts w:ascii="Arial" w:hAnsi="Arial" w:cs="Arial"/>
          <w:color w:val="1F497D"/>
          <w:lang w:val="en-IE" w:eastAsia="ja-JP"/>
        </w:rPr>
        <w:t>57</w:t>
      </w:r>
      <w:r w:rsidR="00C92A8C">
        <w:rPr>
          <w:rFonts w:ascii="Arial" w:hAnsi="Arial" w:cs="Arial" w:hint="eastAsia"/>
          <w:color w:val="1F497D"/>
          <w:lang w:val="en-IE" w:eastAsia="ja-JP"/>
        </w:rPr>
        <w:t>0</w:t>
      </w:r>
      <w:r w:rsidRPr="00B0677E">
        <w:rPr>
          <w:rFonts w:ascii="Arial" w:hAnsi="Arial" w:cs="Arial" w:hint="eastAsia"/>
          <w:color w:val="1F497D"/>
          <w:lang w:val="en-IE" w:eastAsia="ja-JP"/>
        </w:rPr>
        <w:t xml:space="preserve"> final</w:t>
      </w:r>
      <w:r w:rsidR="00106E6D">
        <w:rPr>
          <w:rFonts w:ascii="Arial" w:hAnsi="Arial" w:cs="Arial"/>
          <w:color w:val="1F497D"/>
          <w:lang w:val="en-IE"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B8A39FD"/>
    <w:multiLevelType w:val="multilevel"/>
    <w:tmpl w:val="AE5A4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8929FB"/>
    <w:multiLevelType w:val="hybridMultilevel"/>
    <w:tmpl w:val="8A9E40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00468"/>
    <w:multiLevelType w:val="hybridMultilevel"/>
    <w:tmpl w:val="4B6CFDD2"/>
    <w:lvl w:ilvl="0" w:tplc="B322BD8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8F2A8A"/>
    <w:multiLevelType w:val="hybridMultilevel"/>
    <w:tmpl w:val="3360460C"/>
    <w:lvl w:ilvl="0" w:tplc="09CC19BC">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3906352"/>
    <w:multiLevelType w:val="hybridMultilevel"/>
    <w:tmpl w:val="BFFEF860"/>
    <w:lvl w:ilvl="0" w:tplc="8E305336">
      <w:start w:val="4"/>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81379FD"/>
    <w:multiLevelType w:val="hybridMultilevel"/>
    <w:tmpl w:val="4254E88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40"/>
  </w:num>
  <w:num w:numId="4" w16cid:durableId="580018736">
    <w:abstractNumId w:val="15"/>
  </w:num>
  <w:num w:numId="5" w16cid:durableId="221647625">
    <w:abstractNumId w:val="36"/>
  </w:num>
  <w:num w:numId="6" w16cid:durableId="298344620">
    <w:abstractNumId w:val="12"/>
  </w:num>
  <w:num w:numId="7" w16cid:durableId="58093387">
    <w:abstractNumId w:val="6"/>
  </w:num>
  <w:num w:numId="8" w16cid:durableId="1122530581">
    <w:abstractNumId w:val="17"/>
  </w:num>
  <w:num w:numId="9" w16cid:durableId="1479684095">
    <w:abstractNumId w:val="39"/>
  </w:num>
  <w:num w:numId="10" w16cid:durableId="340007303">
    <w:abstractNumId w:val="27"/>
  </w:num>
  <w:num w:numId="11" w16cid:durableId="346519941">
    <w:abstractNumId w:val="32"/>
  </w:num>
  <w:num w:numId="12" w16cid:durableId="691036718">
    <w:abstractNumId w:val="14"/>
  </w:num>
  <w:num w:numId="13" w16cid:durableId="1452093781">
    <w:abstractNumId w:val="18"/>
  </w:num>
  <w:num w:numId="14" w16cid:durableId="906961314">
    <w:abstractNumId w:val="37"/>
  </w:num>
  <w:num w:numId="15" w16cid:durableId="1388455259">
    <w:abstractNumId w:val="16"/>
  </w:num>
  <w:num w:numId="16" w16cid:durableId="1677533267">
    <w:abstractNumId w:val="43"/>
  </w:num>
  <w:num w:numId="17" w16cid:durableId="961619330">
    <w:abstractNumId w:val="38"/>
  </w:num>
  <w:num w:numId="18" w16cid:durableId="1095638383">
    <w:abstractNumId w:val="25"/>
  </w:num>
  <w:num w:numId="19" w16cid:durableId="357776219">
    <w:abstractNumId w:val="26"/>
  </w:num>
  <w:num w:numId="20" w16cid:durableId="1481578588">
    <w:abstractNumId w:val="35"/>
  </w:num>
  <w:num w:numId="21" w16cid:durableId="1812137613">
    <w:abstractNumId w:val="3"/>
  </w:num>
  <w:num w:numId="22" w16cid:durableId="370300677">
    <w:abstractNumId w:val="4"/>
  </w:num>
  <w:num w:numId="23" w16cid:durableId="1948660650">
    <w:abstractNumId w:val="5"/>
  </w:num>
  <w:num w:numId="24" w16cid:durableId="1221136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41"/>
  </w:num>
  <w:num w:numId="26" w16cid:durableId="1203983393">
    <w:abstractNumId w:val="28"/>
  </w:num>
  <w:num w:numId="27" w16cid:durableId="1149204463">
    <w:abstractNumId w:val="20"/>
  </w:num>
  <w:num w:numId="28" w16cid:durableId="614867515">
    <w:abstractNumId w:val="42"/>
  </w:num>
  <w:num w:numId="29" w16cid:durableId="1513490821">
    <w:abstractNumId w:val="2"/>
  </w:num>
  <w:num w:numId="30" w16cid:durableId="1269506392">
    <w:abstractNumId w:val="24"/>
  </w:num>
  <w:num w:numId="31" w16cid:durableId="160509948">
    <w:abstractNumId w:val="23"/>
  </w:num>
  <w:num w:numId="32" w16cid:durableId="146094414">
    <w:abstractNumId w:val="9"/>
  </w:num>
  <w:num w:numId="33" w16cid:durableId="2145806991">
    <w:abstractNumId w:val="13"/>
  </w:num>
  <w:num w:numId="34" w16cid:durableId="1322079617">
    <w:abstractNumId w:val="22"/>
  </w:num>
  <w:num w:numId="35" w16cid:durableId="1661734410">
    <w:abstractNumId w:val="21"/>
  </w:num>
  <w:num w:numId="36" w16cid:durableId="306253165">
    <w:abstractNumId w:val="10"/>
  </w:num>
  <w:num w:numId="37" w16cid:durableId="428160121">
    <w:abstractNumId w:val="31"/>
  </w:num>
  <w:num w:numId="38" w16cid:durableId="1784034507">
    <w:abstractNumId w:val="11"/>
  </w:num>
  <w:num w:numId="39" w16cid:durableId="444615465">
    <w:abstractNumId w:val="19"/>
  </w:num>
  <w:num w:numId="40" w16cid:durableId="217862498">
    <w:abstractNumId w:val="29"/>
  </w:num>
  <w:num w:numId="41" w16cid:durableId="2144080562">
    <w:abstractNumId w:val="30"/>
  </w:num>
  <w:num w:numId="42" w16cid:durableId="789931250">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240"/>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4B6"/>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3D5"/>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22"/>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4C4"/>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714"/>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6DBB"/>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025"/>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0A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07"/>
    <w:rsid w:val="000D5939"/>
    <w:rsid w:val="000D5BB3"/>
    <w:rsid w:val="000D5BD5"/>
    <w:rsid w:val="000D60AC"/>
    <w:rsid w:val="000D60E8"/>
    <w:rsid w:val="000D63FC"/>
    <w:rsid w:val="000D655C"/>
    <w:rsid w:val="000D6660"/>
    <w:rsid w:val="000D66D1"/>
    <w:rsid w:val="000D687A"/>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9FB"/>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500"/>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C6D"/>
    <w:rsid w:val="000F5F64"/>
    <w:rsid w:val="000F63D5"/>
    <w:rsid w:val="000F6650"/>
    <w:rsid w:val="000F6C35"/>
    <w:rsid w:val="000F6E53"/>
    <w:rsid w:val="000F7126"/>
    <w:rsid w:val="000F7275"/>
    <w:rsid w:val="000F77FE"/>
    <w:rsid w:val="000F7AFB"/>
    <w:rsid w:val="000F7BB0"/>
    <w:rsid w:val="000F7CDA"/>
    <w:rsid w:val="000F7D76"/>
    <w:rsid w:val="001002AB"/>
    <w:rsid w:val="00100511"/>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6E6D"/>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5EC"/>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010"/>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0CA4"/>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920"/>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5DD"/>
    <w:rsid w:val="001559B7"/>
    <w:rsid w:val="00155DAE"/>
    <w:rsid w:val="0015615D"/>
    <w:rsid w:val="001561D4"/>
    <w:rsid w:val="00156301"/>
    <w:rsid w:val="001565BD"/>
    <w:rsid w:val="00156775"/>
    <w:rsid w:val="00156BB9"/>
    <w:rsid w:val="00157383"/>
    <w:rsid w:val="0015754F"/>
    <w:rsid w:val="001575C4"/>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6BE"/>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588C"/>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11"/>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161"/>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0F7"/>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0D"/>
    <w:rsid w:val="001F72B2"/>
    <w:rsid w:val="001F7666"/>
    <w:rsid w:val="001F7668"/>
    <w:rsid w:val="001F7CC6"/>
    <w:rsid w:val="001F7DD5"/>
    <w:rsid w:val="00200026"/>
    <w:rsid w:val="0020021A"/>
    <w:rsid w:val="00200333"/>
    <w:rsid w:val="002003F9"/>
    <w:rsid w:val="0020057E"/>
    <w:rsid w:val="002008A5"/>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88"/>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6DF"/>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CDF"/>
    <w:rsid w:val="00233E26"/>
    <w:rsid w:val="00233E5C"/>
    <w:rsid w:val="00233ED8"/>
    <w:rsid w:val="00233FD6"/>
    <w:rsid w:val="002346D9"/>
    <w:rsid w:val="00234E56"/>
    <w:rsid w:val="00234EB2"/>
    <w:rsid w:val="0023552E"/>
    <w:rsid w:val="00235968"/>
    <w:rsid w:val="00235B35"/>
    <w:rsid w:val="00235BFB"/>
    <w:rsid w:val="00235D31"/>
    <w:rsid w:val="00235F77"/>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46AC"/>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AE0"/>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1DBB"/>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B31"/>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634"/>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AF3"/>
    <w:rsid w:val="002D7B18"/>
    <w:rsid w:val="002D7B49"/>
    <w:rsid w:val="002E090F"/>
    <w:rsid w:val="002E0967"/>
    <w:rsid w:val="002E0F16"/>
    <w:rsid w:val="002E0FA2"/>
    <w:rsid w:val="002E13A0"/>
    <w:rsid w:val="002E185A"/>
    <w:rsid w:val="002E1C42"/>
    <w:rsid w:val="002E1E26"/>
    <w:rsid w:val="002E2748"/>
    <w:rsid w:val="002E2A70"/>
    <w:rsid w:val="002E2B77"/>
    <w:rsid w:val="002E302C"/>
    <w:rsid w:val="002E3624"/>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805"/>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92A"/>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9F"/>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6FC8"/>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13F"/>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9F8"/>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490"/>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60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1B9"/>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BA7"/>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78C"/>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58"/>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1AE"/>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B7D"/>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18"/>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54E"/>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8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3C82"/>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22D"/>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1D9"/>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5C62"/>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AF6"/>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1F"/>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1F81"/>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AD4"/>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8C1"/>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2A2"/>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1F73"/>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72E"/>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7C"/>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1F7E"/>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28E"/>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DF9"/>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0C"/>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315"/>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B9B"/>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2E8F"/>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39A"/>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849"/>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70"/>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19A"/>
    <w:rsid w:val="006E5332"/>
    <w:rsid w:val="006E533F"/>
    <w:rsid w:val="006E53A3"/>
    <w:rsid w:val="006E5696"/>
    <w:rsid w:val="006E5BBA"/>
    <w:rsid w:val="006E6338"/>
    <w:rsid w:val="006E66A7"/>
    <w:rsid w:val="006E68C1"/>
    <w:rsid w:val="006E6EAF"/>
    <w:rsid w:val="006E6F14"/>
    <w:rsid w:val="006E6FA7"/>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8FF"/>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C6D"/>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0EF"/>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7FC"/>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951"/>
    <w:rsid w:val="00791AC8"/>
    <w:rsid w:val="00791F4F"/>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878"/>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98"/>
    <w:rsid w:val="007C2AEF"/>
    <w:rsid w:val="007C2DEB"/>
    <w:rsid w:val="007C34BA"/>
    <w:rsid w:val="007C3946"/>
    <w:rsid w:val="007C3A53"/>
    <w:rsid w:val="007C3A83"/>
    <w:rsid w:val="007C3C2C"/>
    <w:rsid w:val="007C4201"/>
    <w:rsid w:val="007C463C"/>
    <w:rsid w:val="007C46BA"/>
    <w:rsid w:val="007C4ABD"/>
    <w:rsid w:val="007C4AF6"/>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119"/>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AF8"/>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1"/>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48"/>
    <w:rsid w:val="00821C68"/>
    <w:rsid w:val="00821C76"/>
    <w:rsid w:val="00821C8D"/>
    <w:rsid w:val="00821CA8"/>
    <w:rsid w:val="00822050"/>
    <w:rsid w:val="0082225E"/>
    <w:rsid w:val="00822425"/>
    <w:rsid w:val="0082242E"/>
    <w:rsid w:val="00822787"/>
    <w:rsid w:val="00822798"/>
    <w:rsid w:val="00822A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108"/>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6E3"/>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58F"/>
    <w:rsid w:val="00862902"/>
    <w:rsid w:val="00862C4F"/>
    <w:rsid w:val="00862CD3"/>
    <w:rsid w:val="00862DAC"/>
    <w:rsid w:val="00863378"/>
    <w:rsid w:val="008637E9"/>
    <w:rsid w:val="00863958"/>
    <w:rsid w:val="00863D7C"/>
    <w:rsid w:val="00863DF7"/>
    <w:rsid w:val="00863E90"/>
    <w:rsid w:val="00863EF6"/>
    <w:rsid w:val="0086409B"/>
    <w:rsid w:val="008644F0"/>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9A7"/>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43A"/>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526"/>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7F8"/>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4BA"/>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2FB5"/>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031"/>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6AB"/>
    <w:rsid w:val="00936CCE"/>
    <w:rsid w:val="00936CF4"/>
    <w:rsid w:val="00936E80"/>
    <w:rsid w:val="009370A1"/>
    <w:rsid w:val="00937175"/>
    <w:rsid w:val="00937760"/>
    <w:rsid w:val="009377E4"/>
    <w:rsid w:val="0093797A"/>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87"/>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2E6D"/>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6FA"/>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725"/>
    <w:rsid w:val="009918EC"/>
    <w:rsid w:val="00991D3C"/>
    <w:rsid w:val="00991D93"/>
    <w:rsid w:val="0099234E"/>
    <w:rsid w:val="00992394"/>
    <w:rsid w:val="0099261C"/>
    <w:rsid w:val="0099264F"/>
    <w:rsid w:val="009928E9"/>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44F"/>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A86"/>
    <w:rsid w:val="009B3B3A"/>
    <w:rsid w:val="009B4268"/>
    <w:rsid w:val="009B433D"/>
    <w:rsid w:val="009B46AF"/>
    <w:rsid w:val="009B4797"/>
    <w:rsid w:val="009B47BE"/>
    <w:rsid w:val="009B4CFD"/>
    <w:rsid w:val="009B4D72"/>
    <w:rsid w:val="009B4E72"/>
    <w:rsid w:val="009B504B"/>
    <w:rsid w:val="009B50BB"/>
    <w:rsid w:val="009B53BD"/>
    <w:rsid w:val="009B57EC"/>
    <w:rsid w:val="009B5BA4"/>
    <w:rsid w:val="009B5E8D"/>
    <w:rsid w:val="009B5EB5"/>
    <w:rsid w:val="009B5F42"/>
    <w:rsid w:val="009B5FC2"/>
    <w:rsid w:val="009B61B8"/>
    <w:rsid w:val="009B6596"/>
    <w:rsid w:val="009B65AD"/>
    <w:rsid w:val="009B6B3D"/>
    <w:rsid w:val="009B6DA1"/>
    <w:rsid w:val="009B6F81"/>
    <w:rsid w:val="009B7003"/>
    <w:rsid w:val="009B782C"/>
    <w:rsid w:val="009B7E72"/>
    <w:rsid w:val="009B7EC9"/>
    <w:rsid w:val="009C04C4"/>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27"/>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D2D"/>
    <w:rsid w:val="00A05ED2"/>
    <w:rsid w:val="00A05F04"/>
    <w:rsid w:val="00A06019"/>
    <w:rsid w:val="00A06168"/>
    <w:rsid w:val="00A06186"/>
    <w:rsid w:val="00A06372"/>
    <w:rsid w:val="00A06D7F"/>
    <w:rsid w:val="00A073CF"/>
    <w:rsid w:val="00A0752A"/>
    <w:rsid w:val="00A078F4"/>
    <w:rsid w:val="00A07980"/>
    <w:rsid w:val="00A07C1E"/>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DD4"/>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06E"/>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7CC"/>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3FCE"/>
    <w:rsid w:val="00A54099"/>
    <w:rsid w:val="00A54184"/>
    <w:rsid w:val="00A5418D"/>
    <w:rsid w:val="00A54403"/>
    <w:rsid w:val="00A544E6"/>
    <w:rsid w:val="00A54925"/>
    <w:rsid w:val="00A54A3E"/>
    <w:rsid w:val="00A54C1D"/>
    <w:rsid w:val="00A54DE9"/>
    <w:rsid w:val="00A54E4D"/>
    <w:rsid w:val="00A54F90"/>
    <w:rsid w:val="00A54FC0"/>
    <w:rsid w:val="00A55157"/>
    <w:rsid w:val="00A554D2"/>
    <w:rsid w:val="00A55722"/>
    <w:rsid w:val="00A55779"/>
    <w:rsid w:val="00A55A7B"/>
    <w:rsid w:val="00A55ECB"/>
    <w:rsid w:val="00A55FD9"/>
    <w:rsid w:val="00A56293"/>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67F2D"/>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2C94"/>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16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4FCD"/>
    <w:rsid w:val="00AD500B"/>
    <w:rsid w:val="00AD51AB"/>
    <w:rsid w:val="00AD51DE"/>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AD6"/>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5C59"/>
    <w:rsid w:val="00AE6AAA"/>
    <w:rsid w:val="00AE6BE3"/>
    <w:rsid w:val="00AE6F13"/>
    <w:rsid w:val="00AE7068"/>
    <w:rsid w:val="00AE7321"/>
    <w:rsid w:val="00AE73D7"/>
    <w:rsid w:val="00AE75C1"/>
    <w:rsid w:val="00AE76FD"/>
    <w:rsid w:val="00AE7841"/>
    <w:rsid w:val="00AE7907"/>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F9E"/>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8AE"/>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3EB8"/>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6F2"/>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2F2"/>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600"/>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1E7"/>
    <w:rsid w:val="00BC555E"/>
    <w:rsid w:val="00BC575C"/>
    <w:rsid w:val="00BC5923"/>
    <w:rsid w:val="00BC5A95"/>
    <w:rsid w:val="00BC5AD6"/>
    <w:rsid w:val="00BC6149"/>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0A4"/>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B6D"/>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BF7AC8"/>
    <w:rsid w:val="00C000A3"/>
    <w:rsid w:val="00C0042E"/>
    <w:rsid w:val="00C006A0"/>
    <w:rsid w:val="00C008E5"/>
    <w:rsid w:val="00C00E0A"/>
    <w:rsid w:val="00C00EDF"/>
    <w:rsid w:val="00C01169"/>
    <w:rsid w:val="00C012AF"/>
    <w:rsid w:val="00C01844"/>
    <w:rsid w:val="00C01876"/>
    <w:rsid w:val="00C018AE"/>
    <w:rsid w:val="00C01998"/>
    <w:rsid w:val="00C01B16"/>
    <w:rsid w:val="00C01C5A"/>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A96"/>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974"/>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13F"/>
    <w:rsid w:val="00C323D1"/>
    <w:rsid w:val="00C32576"/>
    <w:rsid w:val="00C325F9"/>
    <w:rsid w:val="00C32AFA"/>
    <w:rsid w:val="00C32C12"/>
    <w:rsid w:val="00C32C39"/>
    <w:rsid w:val="00C32E32"/>
    <w:rsid w:val="00C3332D"/>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124"/>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A8C"/>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77D"/>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48A"/>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715"/>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3FD"/>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B67"/>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5CA"/>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5F79"/>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94"/>
    <w:rsid w:val="00D50CCE"/>
    <w:rsid w:val="00D50F49"/>
    <w:rsid w:val="00D50FEC"/>
    <w:rsid w:val="00D51AB2"/>
    <w:rsid w:val="00D51D3E"/>
    <w:rsid w:val="00D51D9F"/>
    <w:rsid w:val="00D51ED2"/>
    <w:rsid w:val="00D51F0A"/>
    <w:rsid w:val="00D51F20"/>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0A7"/>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B4"/>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8A6"/>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7D7"/>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69C"/>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41D"/>
    <w:rsid w:val="00DE0556"/>
    <w:rsid w:val="00DE074F"/>
    <w:rsid w:val="00DE0B91"/>
    <w:rsid w:val="00DE0CD8"/>
    <w:rsid w:val="00DE0EA8"/>
    <w:rsid w:val="00DE110E"/>
    <w:rsid w:val="00DE12F3"/>
    <w:rsid w:val="00DE1911"/>
    <w:rsid w:val="00DE1B4F"/>
    <w:rsid w:val="00DE1D2D"/>
    <w:rsid w:val="00DE1D7C"/>
    <w:rsid w:val="00DE2066"/>
    <w:rsid w:val="00DE228A"/>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5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1E94"/>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E6C"/>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BE2"/>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945"/>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0FDC"/>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34E"/>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BD4"/>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08"/>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0B1E"/>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1BF"/>
    <w:rsid w:val="00E946BB"/>
    <w:rsid w:val="00E94E7F"/>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B8A"/>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159"/>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6B4"/>
    <w:rsid w:val="00EF273C"/>
    <w:rsid w:val="00EF2AC5"/>
    <w:rsid w:val="00EF2AFF"/>
    <w:rsid w:val="00EF2E62"/>
    <w:rsid w:val="00EF3023"/>
    <w:rsid w:val="00EF3111"/>
    <w:rsid w:val="00EF3252"/>
    <w:rsid w:val="00EF34C5"/>
    <w:rsid w:val="00EF353B"/>
    <w:rsid w:val="00EF3562"/>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4F7A"/>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3DE"/>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2A0"/>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BA9"/>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A0C"/>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5D"/>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215"/>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29"/>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D47"/>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CC3"/>
    <w:rsid w:val="00FE4DE0"/>
    <w:rsid w:val="00FE4DF5"/>
    <w:rsid w:val="00FE4E3A"/>
    <w:rsid w:val="00FE5281"/>
    <w:rsid w:val="00FE52E1"/>
    <w:rsid w:val="00FE549E"/>
    <w:rsid w:val="00FE5668"/>
    <w:rsid w:val="00FE59E4"/>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85E"/>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274C55B"/>
    <w:rsid w:val="036D6D33"/>
    <w:rsid w:val="07427731"/>
    <w:rsid w:val="0BF5EC8D"/>
    <w:rsid w:val="0DD2FDB5"/>
    <w:rsid w:val="12352AAA"/>
    <w:rsid w:val="13428A56"/>
    <w:rsid w:val="17F82B50"/>
    <w:rsid w:val="1A7F5548"/>
    <w:rsid w:val="21D4E277"/>
    <w:rsid w:val="2604ADBC"/>
    <w:rsid w:val="27B5DAAB"/>
    <w:rsid w:val="28AAA0E1"/>
    <w:rsid w:val="346267DA"/>
    <w:rsid w:val="3A60FAD0"/>
    <w:rsid w:val="43884DB8"/>
    <w:rsid w:val="45E48D02"/>
    <w:rsid w:val="49489597"/>
    <w:rsid w:val="4B440287"/>
    <w:rsid w:val="52937CE2"/>
    <w:rsid w:val="58C3F8C2"/>
    <w:rsid w:val="59C1FAEE"/>
    <w:rsid w:val="6263CD1E"/>
    <w:rsid w:val="652320F8"/>
    <w:rsid w:val="6852DC02"/>
    <w:rsid w:val="6883AAF9"/>
    <w:rsid w:val="6FF3062C"/>
    <w:rsid w:val="70CB6BD0"/>
    <w:rsid w:val="7154402D"/>
    <w:rsid w:val="7673CC9B"/>
    <w:rsid w:val="76D48D0C"/>
    <w:rsid w:val="7ABA21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character" w:styleId="UnresolvedMention">
    <w:name w:val="Unresolved Mention"/>
    <w:uiPriority w:val="99"/>
    <w:semiHidden/>
    <w:unhideWhenUsed/>
    <w:rsid w:val="00CB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862">
      <w:bodyDiv w:val="1"/>
      <w:marLeft w:val="0"/>
      <w:marRight w:val="0"/>
      <w:marTop w:val="0"/>
      <w:marBottom w:val="0"/>
      <w:divBdr>
        <w:top w:val="none" w:sz="0" w:space="0" w:color="auto"/>
        <w:left w:val="none" w:sz="0" w:space="0" w:color="auto"/>
        <w:bottom w:val="none" w:sz="0" w:space="0" w:color="auto"/>
        <w:right w:val="none" w:sz="0" w:space="0" w:color="auto"/>
      </w:divBdr>
    </w:div>
    <w:div w:id="26297453">
      <w:bodyDiv w:val="1"/>
      <w:marLeft w:val="0"/>
      <w:marRight w:val="0"/>
      <w:marTop w:val="0"/>
      <w:marBottom w:val="0"/>
      <w:divBdr>
        <w:top w:val="none" w:sz="0" w:space="0" w:color="auto"/>
        <w:left w:val="none" w:sz="0" w:space="0" w:color="auto"/>
        <w:bottom w:val="none" w:sz="0" w:space="0" w:color="auto"/>
        <w:right w:val="none" w:sz="0" w:space="0" w:color="auto"/>
      </w:divBdr>
    </w:div>
    <w:div w:id="111438053">
      <w:bodyDiv w:val="1"/>
      <w:marLeft w:val="0"/>
      <w:marRight w:val="0"/>
      <w:marTop w:val="0"/>
      <w:marBottom w:val="0"/>
      <w:divBdr>
        <w:top w:val="none" w:sz="0" w:space="0" w:color="auto"/>
        <w:left w:val="none" w:sz="0" w:space="0" w:color="auto"/>
        <w:bottom w:val="none" w:sz="0" w:space="0" w:color="auto"/>
        <w:right w:val="none" w:sz="0" w:space="0" w:color="auto"/>
      </w:divBdr>
    </w:div>
    <w:div w:id="117572066">
      <w:bodyDiv w:val="1"/>
      <w:marLeft w:val="0"/>
      <w:marRight w:val="0"/>
      <w:marTop w:val="0"/>
      <w:marBottom w:val="0"/>
      <w:divBdr>
        <w:top w:val="none" w:sz="0" w:space="0" w:color="auto"/>
        <w:left w:val="none" w:sz="0" w:space="0" w:color="auto"/>
        <w:bottom w:val="none" w:sz="0" w:space="0" w:color="auto"/>
        <w:right w:val="none" w:sz="0" w:space="0" w:color="auto"/>
      </w:divBdr>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766772444">
      <w:bodyDiv w:val="1"/>
      <w:marLeft w:val="0"/>
      <w:marRight w:val="0"/>
      <w:marTop w:val="0"/>
      <w:marBottom w:val="0"/>
      <w:divBdr>
        <w:top w:val="none" w:sz="0" w:space="0" w:color="auto"/>
        <w:left w:val="none" w:sz="0" w:space="0" w:color="auto"/>
        <w:bottom w:val="none" w:sz="0" w:space="0" w:color="auto"/>
        <w:right w:val="none" w:sz="0" w:space="0" w:color="auto"/>
      </w:divBdr>
    </w:div>
    <w:div w:id="886379543">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57835897">
      <w:bodyDiv w:val="1"/>
      <w:marLeft w:val="0"/>
      <w:marRight w:val="0"/>
      <w:marTop w:val="0"/>
      <w:marBottom w:val="0"/>
      <w:divBdr>
        <w:top w:val="none" w:sz="0" w:space="0" w:color="auto"/>
        <w:left w:val="none" w:sz="0" w:space="0" w:color="auto"/>
        <w:bottom w:val="none" w:sz="0" w:space="0" w:color="auto"/>
        <w:right w:val="none" w:sz="0" w:space="0" w:color="auto"/>
      </w:divBdr>
    </w:div>
    <w:div w:id="1076707871">
      <w:bodyDiv w:val="1"/>
      <w:marLeft w:val="0"/>
      <w:marRight w:val="0"/>
      <w:marTop w:val="0"/>
      <w:marBottom w:val="0"/>
      <w:divBdr>
        <w:top w:val="none" w:sz="0" w:space="0" w:color="auto"/>
        <w:left w:val="none" w:sz="0" w:space="0" w:color="auto"/>
        <w:bottom w:val="none" w:sz="0" w:space="0" w:color="auto"/>
        <w:right w:val="none" w:sz="0" w:space="0" w:color="auto"/>
      </w:divBdr>
    </w:div>
    <w:div w:id="1269509815">
      <w:bodyDiv w:val="1"/>
      <w:marLeft w:val="0"/>
      <w:marRight w:val="0"/>
      <w:marTop w:val="0"/>
      <w:marBottom w:val="0"/>
      <w:divBdr>
        <w:top w:val="none" w:sz="0" w:space="0" w:color="auto"/>
        <w:left w:val="none" w:sz="0" w:space="0" w:color="auto"/>
        <w:bottom w:val="none" w:sz="0" w:space="0" w:color="auto"/>
        <w:right w:val="none" w:sz="0" w:space="0" w:color="auto"/>
      </w:divBdr>
    </w:div>
    <w:div w:id="1546678649">
      <w:bodyDiv w:val="1"/>
      <w:marLeft w:val="0"/>
      <w:marRight w:val="0"/>
      <w:marTop w:val="0"/>
      <w:marBottom w:val="0"/>
      <w:divBdr>
        <w:top w:val="none" w:sz="0" w:space="0" w:color="auto"/>
        <w:left w:val="none" w:sz="0" w:space="0" w:color="auto"/>
        <w:bottom w:val="none" w:sz="0" w:space="0" w:color="auto"/>
        <w:right w:val="none" w:sz="0" w:space="0" w:color="auto"/>
      </w:divBdr>
    </w:div>
    <w:div w:id="20305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b.org/en/about/accountability/anti-fraud/exclusion/inde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D7B16583-BDB4-4CAD-8FD5-6A3D983C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14</TotalTime>
  <Pages>4</Pages>
  <Words>1976</Words>
  <Characters>11422</Characters>
  <Application>Microsoft Office Word</Application>
  <DocSecurity>0</DocSecurity>
  <PresentationFormat>Microsoft Word 8.0b</PresentationFormat>
  <Lines>175</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1</cp:revision>
  <cp:lastPrinted>2017-11-23T17:27:00Z</cp:lastPrinted>
  <dcterms:created xsi:type="dcterms:W3CDTF">2025-07-23T12:16:00Z</dcterms:created>
  <dcterms:modified xsi:type="dcterms:W3CDTF">2025-08-12T08:22:00Z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