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F25E" w14:textId="05FD0ADC" w:rsidR="00331DB9" w:rsidRPr="006627CF" w:rsidRDefault="004A6C66" w:rsidP="00A824B4">
      <w:pPr>
        <w:spacing w:after="720"/>
        <w:jc w:val="center"/>
        <w:rPr>
          <w:rFonts w:ascii="Times New Roman" w:hAnsi="Times New Roman"/>
          <w:b/>
          <w:lang w:val="en-GB"/>
        </w:rPr>
      </w:pPr>
      <w:r w:rsidRPr="006627CF">
        <w:rPr>
          <w:rFonts w:ascii="Times New Roman" w:hAnsi="Times New Roman"/>
          <w:b/>
          <w:bCs/>
          <w:lang w:val="en-GB"/>
        </w:rPr>
        <w:t xml:space="preserve">Follow up to the </w:t>
      </w:r>
      <w:r w:rsidRPr="006627CF">
        <w:rPr>
          <w:rFonts w:ascii="Times New Roman" w:hAnsi="Times New Roman"/>
          <w:b/>
          <w:lang w:val="en-GB"/>
        </w:rPr>
        <w:t xml:space="preserve">European Parliament </w:t>
      </w:r>
      <w:r w:rsidR="00E30DFF" w:rsidRPr="006627CF">
        <w:rPr>
          <w:rFonts w:ascii="Times New Roman" w:hAnsi="Times New Roman"/>
          <w:b/>
          <w:szCs w:val="24"/>
          <w:lang w:val="en-GB"/>
        </w:rPr>
        <w:t xml:space="preserve">non-legislative </w:t>
      </w:r>
      <w:r w:rsidRPr="006627CF">
        <w:rPr>
          <w:rFonts w:ascii="Times New Roman" w:hAnsi="Times New Roman"/>
          <w:b/>
          <w:lang w:val="en-GB"/>
        </w:rPr>
        <w:t>resolution on</w:t>
      </w:r>
      <w:r w:rsidR="00E30DFF" w:rsidRPr="006627CF">
        <w:rPr>
          <w:rFonts w:ascii="Times New Roman" w:hAnsi="Times New Roman"/>
          <w:b/>
          <w:lang w:val="en-GB"/>
        </w:rPr>
        <w:t xml:space="preserve"> </w:t>
      </w:r>
      <w:r w:rsidR="006F753A">
        <w:rPr>
          <w:rFonts w:ascii="Times New Roman" w:hAnsi="Times New Roman"/>
          <w:b/>
          <w:lang w:val="en-GB"/>
        </w:rPr>
        <w:br/>
      </w:r>
      <w:r w:rsidR="00445C50" w:rsidRPr="006627CF">
        <w:rPr>
          <w:rFonts w:ascii="Times New Roman" w:hAnsi="Times New Roman"/>
          <w:b/>
          <w:lang w:val="en-GB"/>
        </w:rPr>
        <w:t>energy-intensive industries</w:t>
      </w:r>
    </w:p>
    <w:p w14:paraId="1F18CFE0" w14:textId="5D9802DA" w:rsidR="004A6C66" w:rsidRPr="006627CF" w:rsidRDefault="004A6C66" w:rsidP="00A824B4">
      <w:pPr>
        <w:numPr>
          <w:ilvl w:val="0"/>
          <w:numId w:val="27"/>
        </w:numPr>
        <w:ind w:left="567" w:hanging="567"/>
        <w:rPr>
          <w:rFonts w:ascii="Times New Roman" w:hAnsi="Times New Roman"/>
          <w:b/>
          <w:szCs w:val="24"/>
          <w:lang w:val="en-GB"/>
        </w:rPr>
      </w:pPr>
      <w:r w:rsidRPr="006627CF">
        <w:rPr>
          <w:rFonts w:ascii="Times New Roman" w:hAnsi="Times New Roman"/>
          <w:b/>
          <w:szCs w:val="24"/>
          <w:lang w:val="en-GB"/>
        </w:rPr>
        <w:t xml:space="preserve">Resolution tabled pursuant to Rule </w:t>
      </w:r>
      <w:r w:rsidR="00A437DA" w:rsidRPr="006627CF">
        <w:rPr>
          <w:rFonts w:ascii="Times New Roman" w:hAnsi="Times New Roman"/>
          <w:b/>
          <w:iCs/>
          <w:szCs w:val="24"/>
          <w:lang w:val="en-GB"/>
        </w:rPr>
        <w:t>1</w:t>
      </w:r>
      <w:r w:rsidR="004B34E5" w:rsidRPr="006627CF">
        <w:rPr>
          <w:rFonts w:ascii="Times New Roman" w:hAnsi="Times New Roman"/>
          <w:b/>
          <w:iCs/>
          <w:szCs w:val="24"/>
          <w:lang w:val="en-GB"/>
        </w:rPr>
        <w:t>36</w:t>
      </w:r>
      <w:r w:rsidR="00780D8A" w:rsidRPr="006627CF">
        <w:rPr>
          <w:rFonts w:ascii="Times New Roman" w:hAnsi="Times New Roman"/>
          <w:b/>
          <w:iCs/>
          <w:szCs w:val="24"/>
          <w:lang w:val="en-GB"/>
        </w:rPr>
        <w:t>(2)</w:t>
      </w:r>
      <w:r w:rsidR="00A437DA" w:rsidRPr="006627CF">
        <w:rPr>
          <w:rFonts w:ascii="Times New Roman" w:hAnsi="Times New Roman"/>
          <w:b/>
          <w:iCs/>
          <w:szCs w:val="24"/>
          <w:lang w:val="en-GB"/>
        </w:rPr>
        <w:t xml:space="preserve"> </w:t>
      </w:r>
      <w:r w:rsidRPr="006627CF">
        <w:rPr>
          <w:rFonts w:ascii="Times New Roman" w:hAnsi="Times New Roman"/>
          <w:b/>
          <w:szCs w:val="24"/>
          <w:lang w:val="en-GB"/>
        </w:rPr>
        <w:t xml:space="preserve">of the European Parliament's Rules of procedure </w:t>
      </w:r>
    </w:p>
    <w:p w14:paraId="15EB820B" w14:textId="3A246ABF" w:rsidR="004A6C66" w:rsidRPr="006627CF" w:rsidRDefault="00535D4D" w:rsidP="00A824B4">
      <w:pPr>
        <w:numPr>
          <w:ilvl w:val="0"/>
          <w:numId w:val="27"/>
        </w:numPr>
        <w:ind w:left="567" w:hanging="567"/>
        <w:rPr>
          <w:rFonts w:ascii="Times New Roman" w:hAnsi="Times New Roman"/>
          <w:i/>
          <w:szCs w:val="24"/>
          <w:lang w:val="en-GB"/>
        </w:rPr>
      </w:pPr>
      <w:r w:rsidRPr="006627CF">
        <w:rPr>
          <w:rFonts w:ascii="Times New Roman" w:hAnsi="Times New Roman"/>
          <w:b/>
          <w:szCs w:val="24"/>
          <w:lang w:val="en-GB"/>
        </w:rPr>
        <w:t>R</w:t>
      </w:r>
      <w:r w:rsidR="004A6C66" w:rsidRPr="006627CF">
        <w:rPr>
          <w:rFonts w:ascii="Times New Roman" w:hAnsi="Times New Roman"/>
          <w:b/>
          <w:szCs w:val="24"/>
          <w:lang w:val="en-GB"/>
        </w:rPr>
        <w:t>eference number</w:t>
      </w:r>
      <w:r w:rsidR="00F61502" w:rsidRPr="006627CF">
        <w:rPr>
          <w:rFonts w:ascii="Times New Roman" w:hAnsi="Times New Roman"/>
          <w:b/>
          <w:szCs w:val="24"/>
          <w:lang w:val="en-GB"/>
        </w:rPr>
        <w:t>s</w:t>
      </w:r>
      <w:r w:rsidR="004A6C66" w:rsidRPr="006627CF">
        <w:rPr>
          <w:rFonts w:ascii="Times New Roman" w:hAnsi="Times New Roman"/>
          <w:b/>
          <w:szCs w:val="24"/>
          <w:lang w:val="en-GB"/>
        </w:rPr>
        <w:t>:</w:t>
      </w:r>
      <w:bookmarkStart w:id="0" w:name="References"/>
      <w:r w:rsidR="00A437DA" w:rsidRPr="006627CF">
        <w:rPr>
          <w:rFonts w:ascii="Times New Roman" w:hAnsi="Times New Roman"/>
          <w:b/>
          <w:szCs w:val="24"/>
          <w:lang w:val="en-GB"/>
        </w:rPr>
        <w:t xml:space="preserve"> </w:t>
      </w:r>
      <w:r w:rsidR="00A437DA" w:rsidRPr="006627CF">
        <w:rPr>
          <w:rFonts w:ascii="Times New Roman" w:hAnsi="Times New Roman"/>
          <w:iCs/>
          <w:szCs w:val="24"/>
          <w:lang w:val="en-GB"/>
        </w:rPr>
        <w:t>2025/2536(RSP)</w:t>
      </w:r>
      <w:bookmarkEnd w:id="0"/>
      <w:r w:rsidR="00EE3646" w:rsidRPr="006627CF">
        <w:rPr>
          <w:rFonts w:ascii="Times New Roman" w:hAnsi="Times New Roman"/>
          <w:iCs/>
          <w:szCs w:val="24"/>
          <w:lang w:val="en-GB"/>
        </w:rPr>
        <w:t xml:space="preserve"> </w:t>
      </w:r>
      <w:r w:rsidRPr="006627CF">
        <w:rPr>
          <w:rFonts w:ascii="Times New Roman" w:eastAsia="Calibri" w:hAnsi="Times New Roman"/>
          <w:bCs/>
          <w:iCs/>
          <w:szCs w:val="24"/>
          <w:lang w:val="en-GB" w:eastAsia="en-US"/>
        </w:rPr>
        <w:t>/</w:t>
      </w:r>
      <w:r w:rsidR="00EE3646" w:rsidRPr="006627CF">
        <w:rPr>
          <w:rFonts w:ascii="Times New Roman" w:eastAsia="Calibri" w:hAnsi="Times New Roman"/>
          <w:bCs/>
          <w:iCs/>
          <w:szCs w:val="24"/>
          <w:lang w:val="en-GB" w:eastAsia="en-US"/>
        </w:rPr>
        <w:t xml:space="preserve"> </w:t>
      </w:r>
      <w:r w:rsidR="00EE3646" w:rsidRPr="006F753A">
        <w:rPr>
          <w:rFonts w:ascii="Times New Roman" w:eastAsia="Calibri" w:hAnsi="Times New Roman"/>
          <w:bCs/>
          <w:iCs/>
          <w:szCs w:val="24"/>
          <w:lang w:val="en-GB" w:eastAsia="en-US"/>
        </w:rPr>
        <w:t>B10-0209/2025</w:t>
      </w:r>
      <w:r w:rsidR="00EE3646" w:rsidRPr="006627CF">
        <w:rPr>
          <w:rFonts w:ascii="Times New Roman" w:eastAsia="Calibri" w:hAnsi="Times New Roman"/>
          <w:bCs/>
          <w:iCs/>
          <w:szCs w:val="24"/>
          <w:lang w:val="en-GB" w:eastAsia="en-US"/>
        </w:rPr>
        <w:t xml:space="preserve"> / P10</w:t>
      </w:r>
      <w:r w:rsidR="002426B0" w:rsidRPr="006627CF">
        <w:rPr>
          <w:rFonts w:ascii="Times New Roman" w:eastAsia="Calibri" w:hAnsi="Times New Roman"/>
          <w:bCs/>
          <w:iCs/>
          <w:szCs w:val="24"/>
          <w:lang w:val="en-GB" w:eastAsia="en-US"/>
        </w:rPr>
        <w:t>_</w:t>
      </w:r>
      <w:proofErr w:type="gramStart"/>
      <w:r w:rsidR="00A437DA" w:rsidRPr="006627CF">
        <w:rPr>
          <w:rFonts w:ascii="Times New Roman" w:eastAsia="Calibri" w:hAnsi="Times New Roman"/>
          <w:bCs/>
          <w:iCs/>
          <w:szCs w:val="24"/>
          <w:lang w:val="en-GB" w:eastAsia="en-US"/>
        </w:rPr>
        <w:t>TA(</w:t>
      </w:r>
      <w:proofErr w:type="gramEnd"/>
      <w:r w:rsidR="00A437DA" w:rsidRPr="006627CF">
        <w:rPr>
          <w:rFonts w:ascii="Times New Roman" w:eastAsia="Calibri" w:hAnsi="Times New Roman"/>
          <w:bCs/>
          <w:iCs/>
          <w:szCs w:val="24"/>
          <w:lang w:val="en-GB" w:eastAsia="en-US"/>
        </w:rPr>
        <w:t>2025)0065</w:t>
      </w:r>
    </w:p>
    <w:p w14:paraId="06E8A648" w14:textId="7C12D67B" w:rsidR="005A00C3" w:rsidRPr="006627CF" w:rsidRDefault="004A6C66" w:rsidP="00A824B4">
      <w:pPr>
        <w:numPr>
          <w:ilvl w:val="0"/>
          <w:numId w:val="27"/>
        </w:numPr>
        <w:ind w:left="567" w:hanging="567"/>
        <w:rPr>
          <w:rFonts w:ascii="Times New Roman" w:hAnsi="Times New Roman"/>
          <w:szCs w:val="24"/>
          <w:lang w:val="en-GB"/>
        </w:rPr>
      </w:pPr>
      <w:r w:rsidRPr="006627CF">
        <w:rPr>
          <w:rFonts w:ascii="Times New Roman" w:hAnsi="Times New Roman"/>
          <w:b/>
          <w:szCs w:val="24"/>
          <w:lang w:val="en-GB"/>
        </w:rPr>
        <w:t xml:space="preserve">Date of adoption of the resolution: </w:t>
      </w:r>
      <w:r w:rsidR="00A437DA" w:rsidRPr="006627CF">
        <w:rPr>
          <w:rFonts w:ascii="Times New Roman" w:hAnsi="Times New Roman"/>
          <w:iCs/>
          <w:lang w:val="en-GB"/>
        </w:rPr>
        <w:t>3 April 2025</w:t>
      </w:r>
    </w:p>
    <w:p w14:paraId="263FDA2C" w14:textId="4A6E3110" w:rsidR="00EC0A27" w:rsidRPr="006627CF" w:rsidRDefault="00EC0A27" w:rsidP="00A437DA">
      <w:pPr>
        <w:numPr>
          <w:ilvl w:val="0"/>
          <w:numId w:val="27"/>
        </w:numPr>
        <w:ind w:left="567" w:hanging="567"/>
        <w:rPr>
          <w:rFonts w:ascii="Times New Roman" w:hAnsi="Times New Roman"/>
          <w:lang w:val="en-GB"/>
        </w:rPr>
      </w:pPr>
      <w:r w:rsidRPr="006627CF">
        <w:rPr>
          <w:rFonts w:ascii="Times New Roman" w:hAnsi="Times New Roman"/>
          <w:b/>
          <w:bCs/>
          <w:lang w:val="en-GB"/>
        </w:rPr>
        <w:t>Competent Parliamentary Committee</w:t>
      </w:r>
      <w:r w:rsidR="00A437DA" w:rsidRPr="006627CF">
        <w:rPr>
          <w:rFonts w:ascii="Times New Roman" w:hAnsi="Times New Roman"/>
          <w:b/>
          <w:bCs/>
          <w:lang w:val="en-GB"/>
        </w:rPr>
        <w:t>:</w:t>
      </w:r>
      <w:r w:rsidR="002A7559" w:rsidRPr="006627CF">
        <w:rPr>
          <w:rFonts w:ascii="Times New Roman" w:hAnsi="Times New Roman"/>
          <w:b/>
          <w:bCs/>
          <w:lang w:val="en-GB"/>
        </w:rPr>
        <w:t xml:space="preserve"> </w:t>
      </w:r>
      <w:r w:rsidR="00660A91" w:rsidRPr="006627CF">
        <w:rPr>
          <w:rFonts w:ascii="Times New Roman" w:hAnsi="Times New Roman"/>
          <w:b/>
          <w:bCs/>
          <w:lang w:val="en-GB"/>
        </w:rPr>
        <w:t>Committee on Industry, Research and Energy (ITRE)</w:t>
      </w:r>
    </w:p>
    <w:p w14:paraId="7AA17E6E" w14:textId="3B741A61" w:rsidR="004A6C66" w:rsidRPr="006627CF" w:rsidRDefault="004A6C66" w:rsidP="00A824B4">
      <w:pPr>
        <w:widowControl w:val="0"/>
        <w:numPr>
          <w:ilvl w:val="0"/>
          <w:numId w:val="27"/>
        </w:numPr>
        <w:ind w:left="567" w:hanging="567"/>
        <w:rPr>
          <w:rFonts w:ascii="Times New Roman" w:hAnsi="Times New Roman"/>
          <w:szCs w:val="24"/>
          <w:lang w:val="en-GB"/>
        </w:rPr>
      </w:pPr>
      <w:r w:rsidRPr="006627CF">
        <w:rPr>
          <w:rFonts w:ascii="Times New Roman" w:hAnsi="Times New Roman"/>
          <w:b/>
          <w:szCs w:val="24"/>
          <w:lang w:val="en-GB"/>
        </w:rPr>
        <w:t>Brief analysis/ assessment of the resolution and requests made in it:</w:t>
      </w:r>
      <w:r w:rsidR="00BF260B" w:rsidRPr="006627CF">
        <w:rPr>
          <w:rFonts w:ascii="Times New Roman" w:hAnsi="Times New Roman"/>
          <w:szCs w:val="24"/>
          <w:lang w:val="en-GB"/>
        </w:rPr>
        <w:t xml:space="preserve"> </w:t>
      </w:r>
    </w:p>
    <w:p w14:paraId="2936A437" w14:textId="71927C0A" w:rsidR="005C2E77" w:rsidRPr="006627CF" w:rsidRDefault="005D4AAA" w:rsidP="56DFC792">
      <w:pPr>
        <w:widowControl w:val="0"/>
        <w:rPr>
          <w:rFonts w:ascii="Times New Roman" w:hAnsi="Times New Roman"/>
          <w:lang w:val="en-GB"/>
        </w:rPr>
      </w:pPr>
      <w:r w:rsidRPr="006627CF">
        <w:rPr>
          <w:rFonts w:ascii="Times New Roman" w:hAnsi="Times New Roman"/>
          <w:lang w:val="en-GB"/>
        </w:rPr>
        <w:t xml:space="preserve">The </w:t>
      </w:r>
      <w:r w:rsidR="00BC7C87">
        <w:rPr>
          <w:rFonts w:ascii="Times New Roman" w:hAnsi="Times New Roman"/>
          <w:lang w:val="en-GB"/>
        </w:rPr>
        <w:t>r</w:t>
      </w:r>
      <w:r w:rsidRPr="006627CF">
        <w:rPr>
          <w:rFonts w:ascii="Times New Roman" w:hAnsi="Times New Roman"/>
          <w:lang w:val="en-GB"/>
        </w:rPr>
        <w:t>esolution reaffirms the importance of energy-intensive industries (EIIs) for the EU’s competitiveness, strategic autonomy, and decarboni</w:t>
      </w:r>
      <w:r w:rsidR="009B03BE">
        <w:rPr>
          <w:rFonts w:ascii="Times New Roman" w:hAnsi="Times New Roman"/>
          <w:lang w:val="en-GB"/>
        </w:rPr>
        <w:t>s</w:t>
      </w:r>
      <w:r w:rsidRPr="006627CF">
        <w:rPr>
          <w:rFonts w:ascii="Times New Roman" w:hAnsi="Times New Roman"/>
          <w:lang w:val="en-GB"/>
        </w:rPr>
        <w:t xml:space="preserve">ation and calls for a balanced, technology-neutral approach and targeted support to ensure the cost-effective transition of EIIs towards climate neutrality by 2050. The </w:t>
      </w:r>
      <w:r w:rsidR="00BC7C87">
        <w:rPr>
          <w:rFonts w:ascii="Times New Roman" w:hAnsi="Times New Roman"/>
          <w:lang w:val="en-GB"/>
        </w:rPr>
        <w:t>r</w:t>
      </w:r>
      <w:r w:rsidRPr="006627CF">
        <w:rPr>
          <w:rFonts w:ascii="Times New Roman" w:hAnsi="Times New Roman"/>
          <w:lang w:val="en-GB"/>
        </w:rPr>
        <w:t xml:space="preserve">esolution </w:t>
      </w:r>
      <w:r w:rsidR="00BC7C87">
        <w:rPr>
          <w:rFonts w:ascii="Times New Roman" w:hAnsi="Times New Roman"/>
          <w:lang w:val="en-GB"/>
        </w:rPr>
        <w:t>Parliament’s</w:t>
      </w:r>
      <w:r w:rsidRPr="006627CF">
        <w:rPr>
          <w:rFonts w:ascii="Times New Roman" w:hAnsi="Times New Roman"/>
          <w:lang w:val="en-GB"/>
        </w:rPr>
        <w:t xml:space="preserve"> support for EU decarboni</w:t>
      </w:r>
      <w:r w:rsidR="15CE20E2" w:rsidRPr="006627CF">
        <w:rPr>
          <w:rFonts w:ascii="Times New Roman" w:hAnsi="Times New Roman"/>
          <w:lang w:val="en-GB"/>
        </w:rPr>
        <w:t>s</w:t>
      </w:r>
      <w:r w:rsidRPr="006627CF">
        <w:rPr>
          <w:rFonts w:ascii="Times New Roman" w:hAnsi="Times New Roman"/>
          <w:lang w:val="en-GB"/>
        </w:rPr>
        <w:t>ation goals and calls on Member States to speed up permitting and licensing for clean energy projects, with improved administrative capacity and grid connectivity. It urges the Commission to go beyond the “overriding public interest” concept and devise solutions to accelerate decarboni</w:t>
      </w:r>
      <w:r w:rsidR="008D7505">
        <w:rPr>
          <w:rFonts w:ascii="Times New Roman" w:hAnsi="Times New Roman"/>
          <w:lang w:val="en-GB"/>
        </w:rPr>
        <w:t>s</w:t>
      </w:r>
      <w:r w:rsidRPr="006627CF">
        <w:rPr>
          <w:rFonts w:ascii="Times New Roman" w:hAnsi="Times New Roman"/>
          <w:lang w:val="en-GB"/>
        </w:rPr>
        <w:t xml:space="preserve">ation initiatives. The </w:t>
      </w:r>
      <w:r w:rsidR="00BC7C87">
        <w:rPr>
          <w:rFonts w:ascii="Times New Roman" w:hAnsi="Times New Roman"/>
          <w:lang w:val="en-GB"/>
        </w:rPr>
        <w:t>r</w:t>
      </w:r>
      <w:r w:rsidR="00BC7C87" w:rsidRPr="006627CF">
        <w:rPr>
          <w:rFonts w:ascii="Times New Roman" w:hAnsi="Times New Roman"/>
          <w:lang w:val="en-GB"/>
        </w:rPr>
        <w:t xml:space="preserve">esolution </w:t>
      </w:r>
      <w:r w:rsidRPr="006627CF">
        <w:rPr>
          <w:rFonts w:ascii="Times New Roman" w:hAnsi="Times New Roman"/>
          <w:lang w:val="en-GB"/>
        </w:rPr>
        <w:t xml:space="preserve">stresses the need to fully implement the Electricity Market Design (EMD) rules, especially to promote long-term contracts like </w:t>
      </w:r>
      <w:r w:rsidR="00BC7C87">
        <w:rPr>
          <w:rFonts w:ascii="Times New Roman" w:hAnsi="Times New Roman"/>
          <w:lang w:val="en-GB"/>
        </w:rPr>
        <w:t>p</w:t>
      </w:r>
      <w:r w:rsidR="00BC7C87" w:rsidRPr="006627CF">
        <w:rPr>
          <w:rFonts w:ascii="Times New Roman" w:hAnsi="Times New Roman"/>
          <w:lang w:val="en-GB"/>
        </w:rPr>
        <w:t xml:space="preserve">ower </w:t>
      </w:r>
      <w:r w:rsidRPr="006627CF">
        <w:rPr>
          <w:rFonts w:ascii="Times New Roman" w:hAnsi="Times New Roman"/>
          <w:lang w:val="en-GB"/>
        </w:rPr>
        <w:t xml:space="preserve">purchase agreements (PPAs) and </w:t>
      </w:r>
      <w:r w:rsidR="00BC7C87">
        <w:rPr>
          <w:rFonts w:ascii="Times New Roman" w:hAnsi="Times New Roman"/>
          <w:lang w:val="en-GB"/>
        </w:rPr>
        <w:t>c</w:t>
      </w:r>
      <w:r w:rsidR="00BC7C87" w:rsidRPr="006627CF">
        <w:rPr>
          <w:rFonts w:ascii="Times New Roman" w:hAnsi="Times New Roman"/>
          <w:lang w:val="en-GB"/>
        </w:rPr>
        <w:t>ontract</w:t>
      </w:r>
      <w:r w:rsidR="00BC7C87">
        <w:rPr>
          <w:rFonts w:ascii="Times New Roman" w:hAnsi="Times New Roman"/>
          <w:lang w:val="en-GB"/>
        </w:rPr>
        <w:t>s</w:t>
      </w:r>
      <w:r w:rsidR="00BC7C87" w:rsidRPr="006627CF">
        <w:rPr>
          <w:rFonts w:ascii="Times New Roman" w:hAnsi="Times New Roman"/>
          <w:lang w:val="en-GB"/>
        </w:rPr>
        <w:t xml:space="preserve"> </w:t>
      </w:r>
      <w:r w:rsidRPr="006627CF">
        <w:rPr>
          <w:rFonts w:ascii="Times New Roman" w:hAnsi="Times New Roman"/>
          <w:lang w:val="en-GB"/>
        </w:rPr>
        <w:t xml:space="preserve">for </w:t>
      </w:r>
      <w:r w:rsidR="00BC7C87">
        <w:rPr>
          <w:rFonts w:ascii="Times New Roman" w:hAnsi="Times New Roman"/>
          <w:lang w:val="en-GB"/>
        </w:rPr>
        <w:t>d</w:t>
      </w:r>
      <w:r w:rsidR="00BC7C87" w:rsidRPr="006627CF">
        <w:rPr>
          <w:rFonts w:ascii="Times New Roman" w:hAnsi="Times New Roman"/>
          <w:lang w:val="en-GB"/>
        </w:rPr>
        <w:t xml:space="preserve">ifference </w:t>
      </w:r>
      <w:r w:rsidRPr="006627CF">
        <w:rPr>
          <w:rFonts w:ascii="Times New Roman" w:hAnsi="Times New Roman"/>
          <w:lang w:val="en-GB"/>
        </w:rPr>
        <w:t>(</w:t>
      </w:r>
      <w:proofErr w:type="spellStart"/>
      <w:r w:rsidRPr="006627CF">
        <w:rPr>
          <w:rFonts w:ascii="Times New Roman" w:hAnsi="Times New Roman"/>
          <w:lang w:val="en-GB"/>
        </w:rPr>
        <w:t>CfDs</w:t>
      </w:r>
      <w:proofErr w:type="spellEnd"/>
      <w:r w:rsidRPr="006627CF">
        <w:rPr>
          <w:rFonts w:ascii="Times New Roman" w:hAnsi="Times New Roman"/>
          <w:lang w:val="en-GB"/>
        </w:rPr>
        <w:t xml:space="preserve">). It calls on the Commission to urgently remove obstacles to signing such contracts—especially for SMEs—via risk reduction tools and public guarantees. It suggests exploring ways to decouple fossil fuel and electricity prices and bringing forward the analysis of short-term markets to 2025. The Commission is urged to scale up best practices and issue recommendations to reduce energy cost exposure for EIIs. This includes reducing taxes and levies, harmonizing network charges, and maintaining public investment in grids. The </w:t>
      </w:r>
      <w:r w:rsidR="00BC7C87">
        <w:rPr>
          <w:rFonts w:ascii="Times New Roman" w:hAnsi="Times New Roman"/>
          <w:lang w:val="en-GB"/>
        </w:rPr>
        <w:t>r</w:t>
      </w:r>
      <w:r w:rsidRPr="006627CF">
        <w:rPr>
          <w:rFonts w:ascii="Times New Roman" w:hAnsi="Times New Roman"/>
          <w:lang w:val="en-GB"/>
        </w:rPr>
        <w:t xml:space="preserve">esolution calls for enhanced energy system integration, especially cross-border, and more investment in flexibility solutions and it reaffirms energy efficiency as a key cost-saving tool. The </w:t>
      </w:r>
      <w:r w:rsidR="00BC7C87">
        <w:rPr>
          <w:rFonts w:ascii="Times New Roman" w:hAnsi="Times New Roman"/>
          <w:lang w:val="en-GB"/>
        </w:rPr>
        <w:t>r</w:t>
      </w:r>
      <w:r w:rsidR="00BC7C87" w:rsidRPr="006627CF">
        <w:rPr>
          <w:rFonts w:ascii="Times New Roman" w:hAnsi="Times New Roman"/>
          <w:lang w:val="en-GB"/>
        </w:rPr>
        <w:t xml:space="preserve">esolution </w:t>
      </w:r>
      <w:r w:rsidRPr="006627CF">
        <w:rPr>
          <w:rFonts w:ascii="Times New Roman" w:hAnsi="Times New Roman"/>
          <w:lang w:val="en-GB"/>
        </w:rPr>
        <w:t xml:space="preserve">underlines the need to phase out gas, while </w:t>
      </w:r>
      <w:r w:rsidR="00BC7C87" w:rsidRPr="006627CF">
        <w:rPr>
          <w:rFonts w:ascii="Times New Roman" w:hAnsi="Times New Roman"/>
          <w:lang w:val="en-GB"/>
        </w:rPr>
        <w:t>recogni</w:t>
      </w:r>
      <w:r w:rsidR="00BC7C87">
        <w:rPr>
          <w:rFonts w:ascii="Times New Roman" w:hAnsi="Times New Roman"/>
          <w:lang w:val="en-GB"/>
        </w:rPr>
        <w:t>s</w:t>
      </w:r>
      <w:r w:rsidR="00BC7C87" w:rsidRPr="006627CF">
        <w:rPr>
          <w:rFonts w:ascii="Times New Roman" w:hAnsi="Times New Roman"/>
          <w:lang w:val="en-GB"/>
        </w:rPr>
        <w:t xml:space="preserve">ing </w:t>
      </w:r>
      <w:r w:rsidRPr="006627CF">
        <w:rPr>
          <w:rFonts w:ascii="Times New Roman" w:hAnsi="Times New Roman"/>
          <w:lang w:val="en-GB"/>
        </w:rPr>
        <w:t xml:space="preserve">some sectors cannot electrify soon, calls on Member States to manage gas price spikes in limited cases and urges the Commission to develop tools for affordable gas supply, including demand aggregation and joint purchasing. It also demands a review of the gas-CO₂ price link and ETS market stability reserve (MSR) parameters. The Commission is called upon to support EIIs in adopting clean technologies—like Carbon Capture and Storage (CCS) and low-carbon hydrogen—by strengthening funding and ensuring effective use of ETS revenues. The </w:t>
      </w:r>
      <w:r w:rsidR="00BC7C87">
        <w:rPr>
          <w:rFonts w:ascii="Times New Roman" w:hAnsi="Times New Roman"/>
          <w:lang w:val="en-GB"/>
        </w:rPr>
        <w:t>r</w:t>
      </w:r>
      <w:r w:rsidR="00BC7C87" w:rsidRPr="006627CF">
        <w:rPr>
          <w:rFonts w:ascii="Times New Roman" w:hAnsi="Times New Roman"/>
          <w:lang w:val="en-GB"/>
        </w:rPr>
        <w:t xml:space="preserve">esolution </w:t>
      </w:r>
      <w:r w:rsidRPr="006627CF">
        <w:rPr>
          <w:rFonts w:ascii="Times New Roman" w:hAnsi="Times New Roman"/>
          <w:lang w:val="en-GB"/>
        </w:rPr>
        <w:t xml:space="preserve">calls for </w:t>
      </w:r>
      <w:proofErr w:type="spellStart"/>
      <w:r w:rsidRPr="006627CF">
        <w:rPr>
          <w:rFonts w:ascii="Times New Roman" w:hAnsi="Times New Roman"/>
          <w:lang w:val="en-GB"/>
        </w:rPr>
        <w:t>InvestEU</w:t>
      </w:r>
      <w:proofErr w:type="spellEnd"/>
      <w:r w:rsidRPr="006627CF">
        <w:rPr>
          <w:rFonts w:ascii="Times New Roman" w:hAnsi="Times New Roman"/>
          <w:lang w:val="en-GB"/>
        </w:rPr>
        <w:t xml:space="preserve"> to be expanded before the next MFF and for unused Recovery and Resilience Facility (RRF) loans to support EII </w:t>
      </w:r>
      <w:r w:rsidR="00BC7C87" w:rsidRPr="006627CF">
        <w:rPr>
          <w:rFonts w:ascii="Times New Roman" w:hAnsi="Times New Roman"/>
          <w:lang w:val="en-GB"/>
        </w:rPr>
        <w:t>decarboni</w:t>
      </w:r>
      <w:r w:rsidR="00BC7C87">
        <w:rPr>
          <w:rFonts w:ascii="Times New Roman" w:hAnsi="Times New Roman"/>
          <w:lang w:val="en-GB"/>
        </w:rPr>
        <w:t>s</w:t>
      </w:r>
      <w:r w:rsidR="00BC7C87" w:rsidRPr="006627CF">
        <w:rPr>
          <w:rFonts w:ascii="Times New Roman" w:hAnsi="Times New Roman"/>
          <w:lang w:val="en-GB"/>
        </w:rPr>
        <w:t>ation</w:t>
      </w:r>
      <w:r w:rsidRPr="006627CF">
        <w:rPr>
          <w:rFonts w:ascii="Times New Roman" w:hAnsi="Times New Roman"/>
          <w:lang w:val="en-GB"/>
        </w:rPr>
        <w:t xml:space="preserve">. It seeks scaled-up funding via the Innovation Fund and Hydrogen Bank and calls for streamlined permitting in the upcoming Industrial Decarbonization Accelerator Act. The </w:t>
      </w:r>
      <w:r w:rsidR="00BC7C87">
        <w:rPr>
          <w:rFonts w:ascii="Times New Roman" w:hAnsi="Times New Roman"/>
          <w:lang w:val="en-GB"/>
        </w:rPr>
        <w:t>r</w:t>
      </w:r>
      <w:r w:rsidR="00BC7C87" w:rsidRPr="006627CF">
        <w:rPr>
          <w:rFonts w:ascii="Times New Roman" w:hAnsi="Times New Roman"/>
          <w:lang w:val="en-GB"/>
        </w:rPr>
        <w:t xml:space="preserve">esolution </w:t>
      </w:r>
      <w:r w:rsidRPr="006627CF">
        <w:rPr>
          <w:rFonts w:ascii="Times New Roman" w:hAnsi="Times New Roman"/>
          <w:lang w:val="en-GB"/>
        </w:rPr>
        <w:t xml:space="preserve">calls on the Commission to make full and efficient use of trade </w:t>
      </w:r>
      <w:r w:rsidR="00BC7C87" w:rsidRPr="006627CF">
        <w:rPr>
          <w:rFonts w:ascii="Times New Roman" w:hAnsi="Times New Roman"/>
          <w:lang w:val="en-GB"/>
        </w:rPr>
        <w:t>defen</w:t>
      </w:r>
      <w:r w:rsidR="00BC7C87">
        <w:rPr>
          <w:rFonts w:ascii="Times New Roman" w:hAnsi="Times New Roman"/>
          <w:lang w:val="en-GB"/>
        </w:rPr>
        <w:t>c</w:t>
      </w:r>
      <w:r w:rsidR="00BC7C87" w:rsidRPr="006627CF">
        <w:rPr>
          <w:rFonts w:ascii="Times New Roman" w:hAnsi="Times New Roman"/>
          <w:lang w:val="en-GB"/>
        </w:rPr>
        <w:t xml:space="preserve">e </w:t>
      </w:r>
      <w:r w:rsidRPr="006627CF">
        <w:rPr>
          <w:rFonts w:ascii="Times New Roman" w:hAnsi="Times New Roman"/>
          <w:lang w:val="en-GB"/>
        </w:rPr>
        <w:t xml:space="preserve">tools and secure a long-term solution against unfair global competition and overcapacity. It urges engagement with the US to prevent tariff escalations. The </w:t>
      </w:r>
      <w:r w:rsidR="00BC7C87">
        <w:rPr>
          <w:rFonts w:ascii="Times New Roman" w:hAnsi="Times New Roman"/>
          <w:lang w:val="en-GB"/>
        </w:rPr>
        <w:t>r</w:t>
      </w:r>
      <w:r w:rsidR="00BC7C87" w:rsidRPr="006627CF">
        <w:rPr>
          <w:rFonts w:ascii="Times New Roman" w:hAnsi="Times New Roman"/>
          <w:lang w:val="en-GB"/>
        </w:rPr>
        <w:t xml:space="preserve">esolution </w:t>
      </w:r>
      <w:r w:rsidRPr="006627CF">
        <w:rPr>
          <w:rFonts w:ascii="Times New Roman" w:hAnsi="Times New Roman"/>
          <w:lang w:val="en-GB"/>
        </w:rPr>
        <w:t xml:space="preserve">stresses that effective CBAM implementation is vital to avoid carbon leakage and offset the phasing out of ETS free allowances. It urges the Commission to counter CBAM circumvention, propose solutions for exporters, and assess extending CBAM to downstream sectors. Finally, the Commission is called </w:t>
      </w:r>
      <w:r w:rsidR="00BC7C87">
        <w:rPr>
          <w:rFonts w:ascii="Times New Roman" w:hAnsi="Times New Roman"/>
          <w:lang w:val="en-GB"/>
        </w:rPr>
        <w:t xml:space="preserve">upon </w:t>
      </w:r>
      <w:r w:rsidRPr="006627CF">
        <w:rPr>
          <w:rFonts w:ascii="Times New Roman" w:hAnsi="Times New Roman"/>
          <w:lang w:val="en-GB"/>
        </w:rPr>
        <w:t xml:space="preserve">to create lead markets for clean, circular EU products via sustainable procurement, EU content requirements, and voluntary labels—especially for </w:t>
      </w:r>
      <w:r w:rsidRPr="006627CF">
        <w:rPr>
          <w:rFonts w:ascii="Times New Roman" w:hAnsi="Times New Roman"/>
          <w:lang w:val="en-GB"/>
        </w:rPr>
        <w:lastRenderedPageBreak/>
        <w:t>strategic sectors.</w:t>
      </w:r>
    </w:p>
    <w:p w14:paraId="207C47DC" w14:textId="48E0A59A" w:rsidR="004A6C66" w:rsidRPr="006627CF" w:rsidRDefault="004A6C66" w:rsidP="00A824B4">
      <w:pPr>
        <w:widowControl w:val="0"/>
        <w:numPr>
          <w:ilvl w:val="0"/>
          <w:numId w:val="27"/>
        </w:numPr>
        <w:ind w:left="567" w:hanging="567"/>
        <w:rPr>
          <w:rFonts w:ascii="Times New Roman" w:hAnsi="Times New Roman"/>
          <w:b/>
          <w:i/>
          <w:szCs w:val="24"/>
          <w:lang w:val="en-GB"/>
        </w:rPr>
      </w:pPr>
      <w:r w:rsidRPr="006627CF">
        <w:rPr>
          <w:rFonts w:ascii="Times New Roman" w:hAnsi="Times New Roman"/>
          <w:b/>
          <w:szCs w:val="24"/>
          <w:lang w:val="en-GB"/>
        </w:rPr>
        <w:t>Response to the requests and overview of the action taken, or intended to be taken, by the Commission</w:t>
      </w:r>
      <w:r w:rsidR="00BF260B" w:rsidRPr="006627CF">
        <w:rPr>
          <w:rFonts w:ascii="Times New Roman" w:hAnsi="Times New Roman"/>
          <w:b/>
          <w:szCs w:val="24"/>
          <w:lang w:val="en-GB"/>
        </w:rPr>
        <w:t>:</w:t>
      </w:r>
      <w:r w:rsidR="00BF260B" w:rsidRPr="006627CF">
        <w:rPr>
          <w:rFonts w:ascii="Times New Roman" w:hAnsi="Times New Roman"/>
          <w:szCs w:val="24"/>
          <w:lang w:val="en-GB"/>
        </w:rPr>
        <w:t xml:space="preserve"> </w:t>
      </w:r>
    </w:p>
    <w:p w14:paraId="5A4D67A3" w14:textId="1BAD914F" w:rsidR="00DE63C0" w:rsidRPr="006627CF" w:rsidRDefault="00CD3D7F" w:rsidP="76CEE539">
      <w:pPr>
        <w:widowControl w:val="0"/>
        <w:rPr>
          <w:rFonts w:ascii="Times New Roman" w:hAnsi="Times New Roman"/>
          <w:lang w:val="en-GB"/>
        </w:rPr>
      </w:pPr>
      <w:proofErr w:type="gramStart"/>
      <w:r w:rsidRPr="006627CF">
        <w:rPr>
          <w:rFonts w:ascii="Times New Roman" w:hAnsi="Times New Roman"/>
          <w:lang w:val="en-GB"/>
        </w:rPr>
        <w:t>With regard to</w:t>
      </w:r>
      <w:proofErr w:type="gramEnd"/>
      <w:r w:rsidRPr="006627CF">
        <w:rPr>
          <w:rFonts w:ascii="Times New Roman" w:hAnsi="Times New Roman"/>
          <w:lang w:val="en-GB"/>
        </w:rPr>
        <w:t xml:space="preserve"> the call to develop, beyond the concept of overriding public interest, solutions for speeding up decarbonisation projects</w:t>
      </w:r>
      <w:r w:rsidR="00DE63C0" w:rsidRPr="006627CF">
        <w:rPr>
          <w:rFonts w:ascii="Times New Roman" w:hAnsi="Times New Roman"/>
          <w:lang w:val="en-GB"/>
        </w:rPr>
        <w:t xml:space="preserve"> (</w:t>
      </w:r>
      <w:r w:rsidR="00DE63C0" w:rsidRPr="006627CF">
        <w:rPr>
          <w:rFonts w:ascii="Times New Roman" w:hAnsi="Times New Roman"/>
          <w:b/>
          <w:bCs/>
          <w:lang w:val="en-GB"/>
        </w:rPr>
        <w:t xml:space="preserve">paragraph </w:t>
      </w:r>
      <w:r w:rsidR="00293216">
        <w:rPr>
          <w:rFonts w:ascii="Times New Roman" w:hAnsi="Times New Roman"/>
          <w:b/>
          <w:bCs/>
          <w:lang w:val="en-GB"/>
        </w:rPr>
        <w:t>2</w:t>
      </w:r>
      <w:r w:rsidR="00DE63C0" w:rsidRPr="006627CF">
        <w:rPr>
          <w:rFonts w:ascii="Times New Roman" w:hAnsi="Times New Roman"/>
          <w:b/>
          <w:bCs/>
          <w:lang w:val="en-GB"/>
        </w:rPr>
        <w:t>)</w:t>
      </w:r>
      <w:r w:rsidRPr="006627CF">
        <w:rPr>
          <w:rFonts w:ascii="Times New Roman" w:hAnsi="Times New Roman"/>
          <w:lang w:val="en-GB"/>
        </w:rPr>
        <w:t xml:space="preserve">, the Commission, as announced in the Clean Industrial Deal and as part of the Industrial Decarbonisation Accelerator Act, will propose concrete measures to address permitting bottlenecks related to industrial decarbonisation. </w:t>
      </w:r>
      <w:r w:rsidR="00A437DA" w:rsidRPr="006627CF">
        <w:rPr>
          <w:rFonts w:ascii="Times New Roman" w:hAnsi="Times New Roman"/>
          <w:lang w:val="en-GB"/>
        </w:rPr>
        <w:t xml:space="preserve">The </w:t>
      </w:r>
      <w:r w:rsidR="2ED500AA" w:rsidRPr="006627CF">
        <w:rPr>
          <w:rFonts w:ascii="Times New Roman" w:hAnsi="Times New Roman"/>
          <w:lang w:val="en-GB"/>
        </w:rPr>
        <w:t>Commission will consider measures</w:t>
      </w:r>
      <w:r w:rsidR="551AADEE" w:rsidRPr="006627CF">
        <w:rPr>
          <w:rFonts w:ascii="Times New Roman" w:hAnsi="Times New Roman"/>
          <w:lang w:val="en-GB"/>
        </w:rPr>
        <w:t xml:space="preserve"> seeking</w:t>
      </w:r>
      <w:r w:rsidR="2ED500AA" w:rsidRPr="006627CF">
        <w:rPr>
          <w:rFonts w:ascii="Times New Roman" w:hAnsi="Times New Roman"/>
          <w:lang w:val="en-GB"/>
        </w:rPr>
        <w:t xml:space="preserve"> </w:t>
      </w:r>
      <w:r w:rsidR="00A04DF6" w:rsidRPr="006627CF">
        <w:rPr>
          <w:rFonts w:ascii="Times New Roman" w:hAnsi="Times New Roman"/>
          <w:lang w:val="en-GB"/>
        </w:rPr>
        <w:t>to accelerate</w:t>
      </w:r>
      <w:r w:rsidR="2ED500AA" w:rsidRPr="006627CF">
        <w:rPr>
          <w:rFonts w:ascii="Times New Roman" w:hAnsi="Times New Roman"/>
          <w:lang w:val="en-GB"/>
        </w:rPr>
        <w:t xml:space="preserve"> certain decisions in the permitting process</w:t>
      </w:r>
      <w:r w:rsidR="3265D81A" w:rsidRPr="006627CF">
        <w:rPr>
          <w:rFonts w:ascii="Times New Roman" w:hAnsi="Times New Roman"/>
          <w:lang w:val="en-GB"/>
        </w:rPr>
        <w:t xml:space="preserve"> </w:t>
      </w:r>
      <w:r w:rsidR="57A590DE" w:rsidRPr="006627CF">
        <w:rPr>
          <w:rFonts w:ascii="Times New Roman" w:hAnsi="Times New Roman"/>
          <w:lang w:val="en-GB"/>
        </w:rPr>
        <w:t>a</w:t>
      </w:r>
      <w:r w:rsidR="0F6DE6DA" w:rsidRPr="006627CF">
        <w:rPr>
          <w:rFonts w:ascii="Times New Roman" w:hAnsi="Times New Roman"/>
          <w:lang w:val="en-GB"/>
        </w:rPr>
        <w:t>nd ho</w:t>
      </w:r>
      <w:r w:rsidR="407D6179" w:rsidRPr="006627CF">
        <w:rPr>
          <w:rFonts w:ascii="Times New Roman" w:hAnsi="Times New Roman"/>
          <w:lang w:val="en-GB"/>
        </w:rPr>
        <w:t xml:space="preserve">w digitalisation can help in </w:t>
      </w:r>
      <w:r w:rsidR="2ED500AA" w:rsidRPr="006627CF">
        <w:rPr>
          <w:rFonts w:ascii="Times New Roman" w:hAnsi="Times New Roman"/>
          <w:lang w:val="en-GB"/>
        </w:rPr>
        <w:t>the permit</w:t>
      </w:r>
      <w:r w:rsidR="5A12D1B8" w:rsidRPr="006627CF">
        <w:rPr>
          <w:rFonts w:ascii="Times New Roman" w:hAnsi="Times New Roman"/>
          <w:lang w:val="en-GB"/>
        </w:rPr>
        <w:t>-</w:t>
      </w:r>
      <w:r w:rsidR="5D9A71DC" w:rsidRPr="006627CF">
        <w:rPr>
          <w:rFonts w:ascii="Times New Roman" w:hAnsi="Times New Roman"/>
          <w:lang w:val="en-GB"/>
        </w:rPr>
        <w:t>granting</w:t>
      </w:r>
      <w:r w:rsidR="2ED500AA" w:rsidRPr="006627CF">
        <w:rPr>
          <w:rFonts w:ascii="Times New Roman" w:hAnsi="Times New Roman"/>
          <w:lang w:val="en-GB"/>
        </w:rPr>
        <w:t xml:space="preserve"> process</w:t>
      </w:r>
      <w:r w:rsidR="5587412F" w:rsidRPr="006627CF">
        <w:rPr>
          <w:rFonts w:ascii="Times New Roman" w:hAnsi="Times New Roman"/>
          <w:lang w:val="en-GB"/>
        </w:rPr>
        <w:t>.</w:t>
      </w:r>
      <w:r w:rsidR="00DE63C0" w:rsidRPr="006627CF">
        <w:rPr>
          <w:rFonts w:ascii="Times New Roman" w:hAnsi="Times New Roman"/>
          <w:lang w:val="en-GB"/>
        </w:rPr>
        <w:t xml:space="preserve"> </w:t>
      </w:r>
    </w:p>
    <w:p w14:paraId="79481A4F" w14:textId="2F14FBD4" w:rsidR="00A437DA" w:rsidRPr="007676F6" w:rsidRDefault="51B53995" w:rsidP="76CEE539">
      <w:pPr>
        <w:widowControl w:val="0"/>
        <w:rPr>
          <w:rFonts w:ascii="Times New Roman" w:hAnsi="Times New Roman"/>
          <w:lang w:val="en-GB"/>
        </w:rPr>
      </w:pPr>
      <w:r w:rsidRPr="006627CF">
        <w:rPr>
          <w:rFonts w:ascii="Times New Roman" w:hAnsi="Times New Roman"/>
          <w:lang w:val="en-GB"/>
        </w:rPr>
        <w:t xml:space="preserve">Concerning </w:t>
      </w:r>
      <w:r w:rsidR="392E8A81" w:rsidRPr="006627CF">
        <w:rPr>
          <w:rFonts w:ascii="Times New Roman" w:hAnsi="Times New Roman"/>
          <w:lang w:val="en-GB"/>
        </w:rPr>
        <w:t xml:space="preserve">the call to propose urgent measures to address current barriers to the signing of long-term agreements, especially for </w:t>
      </w:r>
      <w:r w:rsidR="271A7272" w:rsidRPr="006627CF">
        <w:rPr>
          <w:rFonts w:ascii="Times New Roman" w:hAnsi="Times New Roman"/>
          <w:lang w:val="en-GB"/>
        </w:rPr>
        <w:t>Small and Medium-sized Enterprises (</w:t>
      </w:r>
      <w:r w:rsidR="392E8A81" w:rsidRPr="006627CF">
        <w:rPr>
          <w:rFonts w:ascii="Times New Roman" w:hAnsi="Times New Roman"/>
          <w:lang w:val="en-GB"/>
        </w:rPr>
        <w:t>SMEs</w:t>
      </w:r>
      <w:r w:rsidR="271A7272" w:rsidRPr="006627CF">
        <w:rPr>
          <w:rFonts w:ascii="Times New Roman" w:hAnsi="Times New Roman"/>
          <w:lang w:val="en-GB"/>
        </w:rPr>
        <w:t>)</w:t>
      </w:r>
      <w:r w:rsidR="392E8A81" w:rsidRPr="006627CF">
        <w:rPr>
          <w:rFonts w:ascii="Times New Roman" w:hAnsi="Times New Roman"/>
          <w:lang w:val="en-GB"/>
        </w:rPr>
        <w:t xml:space="preserve">, using risk reduction instruments and </w:t>
      </w:r>
      <w:r w:rsidR="3B35AB40" w:rsidRPr="006627CF">
        <w:rPr>
          <w:rFonts w:ascii="Times New Roman" w:hAnsi="Times New Roman"/>
          <w:lang w:val="en-GB"/>
        </w:rPr>
        <w:t xml:space="preserve">budgetary </w:t>
      </w:r>
      <w:r w:rsidR="392E8A81" w:rsidRPr="006627CF">
        <w:rPr>
          <w:rFonts w:ascii="Times New Roman" w:hAnsi="Times New Roman"/>
          <w:lang w:val="en-GB"/>
        </w:rPr>
        <w:t>guarantees, including public guarantee</w:t>
      </w:r>
      <w:r w:rsidR="0D97848B" w:rsidRPr="006627CF">
        <w:rPr>
          <w:rFonts w:ascii="Times New Roman" w:hAnsi="Times New Roman"/>
          <w:lang w:val="en-GB"/>
        </w:rPr>
        <w:t>s</w:t>
      </w:r>
      <w:r w:rsidR="392E8A81" w:rsidRPr="006627CF">
        <w:rPr>
          <w:rFonts w:ascii="Times New Roman" w:hAnsi="Times New Roman"/>
          <w:lang w:val="en-GB"/>
        </w:rPr>
        <w:t xml:space="preserve"> such as </w:t>
      </w:r>
      <w:r w:rsidR="0D97848B" w:rsidRPr="006627CF">
        <w:rPr>
          <w:rFonts w:ascii="Times New Roman" w:hAnsi="Times New Roman"/>
          <w:lang w:val="en-GB"/>
        </w:rPr>
        <w:t>the ones implemented</w:t>
      </w:r>
      <w:r w:rsidR="392E8A81" w:rsidRPr="006627CF">
        <w:rPr>
          <w:rFonts w:ascii="Times New Roman" w:hAnsi="Times New Roman"/>
          <w:lang w:val="en-GB"/>
        </w:rPr>
        <w:t xml:space="preserve"> by the European Investment Bank (EIB)</w:t>
      </w:r>
      <w:r w:rsidR="40396CD9" w:rsidRPr="006627CF">
        <w:rPr>
          <w:rFonts w:ascii="Times New Roman" w:hAnsi="Times New Roman"/>
          <w:lang w:val="en-GB"/>
        </w:rPr>
        <w:t xml:space="preserve"> Group</w:t>
      </w:r>
      <w:r w:rsidRPr="006627CF">
        <w:rPr>
          <w:rFonts w:ascii="Times New Roman" w:hAnsi="Times New Roman"/>
          <w:lang w:val="en-GB"/>
        </w:rPr>
        <w:t xml:space="preserve"> (</w:t>
      </w:r>
      <w:r w:rsidRPr="006627CF">
        <w:rPr>
          <w:rFonts w:ascii="Times New Roman" w:hAnsi="Times New Roman"/>
          <w:b/>
          <w:bCs/>
          <w:lang w:val="en-GB"/>
        </w:rPr>
        <w:t>paragraph 3</w:t>
      </w:r>
      <w:r w:rsidRPr="006627CF">
        <w:rPr>
          <w:rFonts w:ascii="Times New Roman" w:hAnsi="Times New Roman"/>
          <w:lang w:val="en-GB"/>
        </w:rPr>
        <w:t>)</w:t>
      </w:r>
      <w:r w:rsidR="392E8A81" w:rsidRPr="006627CF">
        <w:rPr>
          <w:rFonts w:ascii="Times New Roman" w:hAnsi="Times New Roman"/>
          <w:lang w:val="en-GB"/>
        </w:rPr>
        <w:t>, t</w:t>
      </w:r>
      <w:r w:rsidR="53722F7E" w:rsidRPr="006627CF">
        <w:rPr>
          <w:rFonts w:ascii="Times New Roman" w:hAnsi="Times New Roman"/>
          <w:lang w:val="en-GB"/>
        </w:rPr>
        <w:t>he Action Plan for Affordable Energy</w:t>
      </w:r>
      <w:r w:rsidR="271A7272" w:rsidRPr="006627CF">
        <w:rPr>
          <w:rFonts w:ascii="Times New Roman" w:hAnsi="Times New Roman"/>
          <w:lang w:val="en-GB"/>
        </w:rPr>
        <w:t xml:space="preserve"> </w:t>
      </w:r>
      <w:r w:rsidR="53722F7E" w:rsidRPr="006627CF">
        <w:rPr>
          <w:rFonts w:ascii="Times New Roman" w:hAnsi="Times New Roman"/>
          <w:lang w:val="en-GB"/>
        </w:rPr>
        <w:t xml:space="preserve">sets out measure to further support the development of these contracts. </w:t>
      </w:r>
      <w:proofErr w:type="gramStart"/>
      <w:r w:rsidR="00BC7C87">
        <w:rPr>
          <w:rFonts w:ascii="Times New Roman" w:hAnsi="Times New Roman"/>
          <w:lang w:val="en-GB"/>
        </w:rPr>
        <w:t>I</w:t>
      </w:r>
      <w:r w:rsidR="53722F7E" w:rsidRPr="006627CF">
        <w:rPr>
          <w:rFonts w:ascii="Times New Roman" w:hAnsi="Times New Roman"/>
          <w:lang w:val="en-GB"/>
        </w:rPr>
        <w:t>n order to</w:t>
      </w:r>
      <w:proofErr w:type="gramEnd"/>
      <w:r w:rsidR="53722F7E" w:rsidRPr="006627CF">
        <w:rPr>
          <w:rFonts w:ascii="Times New Roman" w:hAnsi="Times New Roman"/>
          <w:lang w:val="en-GB"/>
        </w:rPr>
        <w:t xml:space="preserve"> reduce barriers for new actors, in particular E</w:t>
      </w:r>
      <w:r w:rsidR="271A7272" w:rsidRPr="006627CF">
        <w:rPr>
          <w:rFonts w:ascii="Times New Roman" w:hAnsi="Times New Roman"/>
          <w:lang w:val="en-GB"/>
        </w:rPr>
        <w:t xml:space="preserve">nergy </w:t>
      </w:r>
      <w:r w:rsidR="53722F7E" w:rsidRPr="006627CF">
        <w:rPr>
          <w:rFonts w:ascii="Times New Roman" w:hAnsi="Times New Roman"/>
          <w:lang w:val="en-GB"/>
        </w:rPr>
        <w:t>I</w:t>
      </w:r>
      <w:r w:rsidR="271A7272" w:rsidRPr="006627CF">
        <w:rPr>
          <w:rFonts w:ascii="Times New Roman" w:hAnsi="Times New Roman"/>
          <w:lang w:val="en-GB"/>
        </w:rPr>
        <w:t xml:space="preserve">ntensive </w:t>
      </w:r>
      <w:r w:rsidR="53722F7E" w:rsidRPr="006627CF">
        <w:rPr>
          <w:rFonts w:ascii="Times New Roman" w:hAnsi="Times New Roman"/>
          <w:lang w:val="en-GB"/>
        </w:rPr>
        <w:t>I</w:t>
      </w:r>
      <w:r w:rsidR="271A7272" w:rsidRPr="006627CF">
        <w:rPr>
          <w:rFonts w:ascii="Times New Roman" w:hAnsi="Times New Roman"/>
          <w:lang w:val="en-GB"/>
        </w:rPr>
        <w:t>ndustrie</w:t>
      </w:r>
      <w:r w:rsidR="53722F7E" w:rsidRPr="006627CF">
        <w:rPr>
          <w:rFonts w:ascii="Times New Roman" w:hAnsi="Times New Roman"/>
          <w:lang w:val="en-GB"/>
        </w:rPr>
        <w:t>s</w:t>
      </w:r>
      <w:r w:rsidR="271A7272" w:rsidRPr="006627CF">
        <w:rPr>
          <w:rFonts w:ascii="Times New Roman" w:hAnsi="Times New Roman"/>
          <w:lang w:val="en-GB"/>
        </w:rPr>
        <w:t xml:space="preserve"> (EIIs)</w:t>
      </w:r>
      <w:r w:rsidR="53722F7E" w:rsidRPr="006627CF">
        <w:rPr>
          <w:rFonts w:ascii="Times New Roman" w:hAnsi="Times New Roman"/>
          <w:lang w:val="en-GB"/>
        </w:rPr>
        <w:t xml:space="preserve">, to conclude long-term contracts, the Commission </w:t>
      </w:r>
      <w:r w:rsidR="00424CF4" w:rsidRPr="006627CF">
        <w:rPr>
          <w:rFonts w:ascii="Times New Roman" w:hAnsi="Times New Roman"/>
          <w:lang w:val="en-GB"/>
        </w:rPr>
        <w:t xml:space="preserve">has </w:t>
      </w:r>
      <w:r w:rsidR="53722F7E" w:rsidRPr="006627CF">
        <w:rPr>
          <w:rFonts w:ascii="Times New Roman" w:hAnsi="Times New Roman"/>
          <w:lang w:val="en-GB"/>
        </w:rPr>
        <w:t>launch</w:t>
      </w:r>
      <w:r w:rsidR="00424CF4" w:rsidRPr="006627CF">
        <w:rPr>
          <w:rFonts w:ascii="Times New Roman" w:hAnsi="Times New Roman"/>
          <w:lang w:val="en-GB"/>
        </w:rPr>
        <w:t>ed</w:t>
      </w:r>
      <w:r w:rsidR="53722F7E" w:rsidRPr="006627CF">
        <w:rPr>
          <w:rFonts w:ascii="Times New Roman" w:hAnsi="Times New Roman"/>
          <w:lang w:val="en-GB"/>
        </w:rPr>
        <w:t xml:space="preserve">, with the European Investment Bank (EIB), a pilot program to provide guarantees for counter-party risk in the Power Purchase Agreements </w:t>
      </w:r>
      <w:r w:rsidR="6122919C" w:rsidRPr="006627CF">
        <w:rPr>
          <w:rFonts w:ascii="Times New Roman" w:hAnsi="Times New Roman"/>
          <w:lang w:val="en-GB"/>
        </w:rPr>
        <w:t xml:space="preserve">(PPAs) </w:t>
      </w:r>
      <w:r w:rsidR="53722F7E" w:rsidRPr="006627CF">
        <w:rPr>
          <w:rFonts w:ascii="Times New Roman" w:hAnsi="Times New Roman"/>
          <w:lang w:val="en-GB"/>
        </w:rPr>
        <w:t xml:space="preserve">undertaken by companies for the long-term purchase of electricity generation for an indicative amount of EUR 500 million. </w:t>
      </w:r>
      <w:r w:rsidR="00BC7C87">
        <w:rPr>
          <w:rFonts w:ascii="Times New Roman" w:hAnsi="Times New Roman"/>
          <w:lang w:val="en-GB"/>
        </w:rPr>
        <w:t>I</w:t>
      </w:r>
      <w:r w:rsidR="53722F7E" w:rsidRPr="007676F6">
        <w:rPr>
          <w:rFonts w:ascii="Times New Roman" w:hAnsi="Times New Roman"/>
          <w:lang w:val="en-GB"/>
        </w:rPr>
        <w:t xml:space="preserve">n line with the </w:t>
      </w:r>
      <w:r w:rsidR="271A7272" w:rsidRPr="007676F6">
        <w:rPr>
          <w:rFonts w:ascii="Times New Roman" w:hAnsi="Times New Roman"/>
          <w:lang w:val="en-GB"/>
        </w:rPr>
        <w:t>Electricity Market Design</w:t>
      </w:r>
      <w:r w:rsidR="718CEA74" w:rsidRPr="007676F6">
        <w:rPr>
          <w:rFonts w:ascii="Times New Roman" w:hAnsi="Times New Roman"/>
          <w:lang w:val="en-GB"/>
        </w:rPr>
        <w:t xml:space="preserve"> </w:t>
      </w:r>
      <w:r w:rsidR="53722F7E" w:rsidRPr="007676F6">
        <w:rPr>
          <w:rFonts w:ascii="Times New Roman" w:hAnsi="Times New Roman"/>
          <w:lang w:val="en-GB"/>
        </w:rPr>
        <w:t xml:space="preserve">approach, the Commission will </w:t>
      </w:r>
      <w:r w:rsidR="392E8A81" w:rsidRPr="007676F6">
        <w:rPr>
          <w:rFonts w:ascii="Times New Roman" w:hAnsi="Times New Roman"/>
          <w:lang w:val="en-GB"/>
        </w:rPr>
        <w:t xml:space="preserve">also 1) </w:t>
      </w:r>
      <w:r w:rsidR="53722F7E" w:rsidRPr="007676F6">
        <w:rPr>
          <w:rFonts w:ascii="Times New Roman" w:hAnsi="Times New Roman"/>
          <w:lang w:val="en-GB"/>
        </w:rPr>
        <w:t xml:space="preserve">assess barriers to </w:t>
      </w:r>
      <w:r w:rsidR="271A7272" w:rsidRPr="007676F6">
        <w:rPr>
          <w:rFonts w:ascii="Times New Roman" w:hAnsi="Times New Roman"/>
          <w:lang w:val="en-GB"/>
        </w:rPr>
        <w:t>Power purchase agreements (</w:t>
      </w:r>
      <w:r w:rsidR="53722F7E" w:rsidRPr="007676F6">
        <w:rPr>
          <w:rFonts w:ascii="Times New Roman" w:hAnsi="Times New Roman"/>
          <w:lang w:val="en-GB"/>
        </w:rPr>
        <w:t>PPAs</w:t>
      </w:r>
      <w:r w:rsidR="271A7272" w:rsidRPr="007676F6">
        <w:rPr>
          <w:rFonts w:ascii="Times New Roman" w:hAnsi="Times New Roman"/>
          <w:lang w:val="en-GB"/>
        </w:rPr>
        <w:t>)</w:t>
      </w:r>
      <w:r w:rsidR="53722F7E" w:rsidRPr="007676F6">
        <w:rPr>
          <w:rFonts w:ascii="Times New Roman" w:hAnsi="Times New Roman"/>
          <w:lang w:val="en-GB"/>
        </w:rPr>
        <w:t xml:space="preserve">, </w:t>
      </w:r>
      <w:r w:rsidR="55360AAD" w:rsidRPr="007676F6">
        <w:rPr>
          <w:rFonts w:ascii="Times New Roman" w:hAnsi="Times New Roman"/>
          <w:lang w:val="en-GB"/>
        </w:rPr>
        <w:t>2</w:t>
      </w:r>
      <w:r w:rsidR="392E8A81" w:rsidRPr="007676F6">
        <w:rPr>
          <w:rFonts w:ascii="Times New Roman" w:hAnsi="Times New Roman"/>
          <w:lang w:val="en-GB"/>
        </w:rPr>
        <w:t xml:space="preserve">) </w:t>
      </w:r>
      <w:r w:rsidR="53722F7E" w:rsidRPr="007676F6">
        <w:rPr>
          <w:rFonts w:ascii="Times New Roman" w:hAnsi="Times New Roman"/>
          <w:lang w:val="en-GB"/>
        </w:rPr>
        <w:t>issue guidance on their removal and</w:t>
      </w:r>
      <w:r w:rsidR="392E8A81" w:rsidRPr="007676F6">
        <w:rPr>
          <w:rFonts w:ascii="Times New Roman" w:hAnsi="Times New Roman"/>
          <w:lang w:val="en-GB"/>
        </w:rPr>
        <w:t xml:space="preserve"> </w:t>
      </w:r>
      <w:r w:rsidR="6122919C" w:rsidRPr="007676F6">
        <w:rPr>
          <w:rFonts w:ascii="Times New Roman" w:hAnsi="Times New Roman"/>
          <w:lang w:val="en-GB"/>
        </w:rPr>
        <w:t>3</w:t>
      </w:r>
      <w:r w:rsidR="392E8A81" w:rsidRPr="007676F6">
        <w:rPr>
          <w:rFonts w:ascii="Times New Roman" w:hAnsi="Times New Roman"/>
          <w:lang w:val="en-GB"/>
        </w:rPr>
        <w:t>)</w:t>
      </w:r>
      <w:r w:rsidR="53722F7E" w:rsidRPr="007676F6">
        <w:rPr>
          <w:rFonts w:ascii="Times New Roman" w:hAnsi="Times New Roman"/>
          <w:lang w:val="en-GB"/>
        </w:rPr>
        <w:t xml:space="preserve"> assess the potential role of market platforms. </w:t>
      </w:r>
      <w:r w:rsidR="00BC7C87">
        <w:rPr>
          <w:rFonts w:ascii="Times New Roman" w:hAnsi="Times New Roman"/>
          <w:lang w:val="en-GB"/>
        </w:rPr>
        <w:t>T</w:t>
      </w:r>
      <w:r w:rsidR="53722F7E" w:rsidRPr="007676F6">
        <w:rPr>
          <w:rFonts w:ascii="Times New Roman" w:hAnsi="Times New Roman"/>
          <w:lang w:val="en-GB"/>
        </w:rPr>
        <w:t>he Commission will provide guidance to Member States on the design of effective contracts for difference, including their combination with PPAs</w:t>
      </w:r>
      <w:r w:rsidR="2B4E5A2B" w:rsidRPr="007676F6">
        <w:rPr>
          <w:rFonts w:ascii="Times New Roman" w:hAnsi="Times New Roman"/>
          <w:lang w:val="en-GB"/>
        </w:rPr>
        <w:t>, by the end of the year</w:t>
      </w:r>
      <w:r w:rsidR="53722F7E" w:rsidRPr="007676F6">
        <w:rPr>
          <w:rFonts w:ascii="Times New Roman" w:hAnsi="Times New Roman"/>
          <w:lang w:val="en-GB"/>
        </w:rPr>
        <w:t>.</w:t>
      </w:r>
    </w:p>
    <w:p w14:paraId="67DE280A" w14:textId="2BBC7C72" w:rsidR="00A437DA" w:rsidRPr="007676F6" w:rsidRDefault="3582D3A8" w:rsidP="00DD48A1">
      <w:pPr>
        <w:widowControl w:val="0"/>
        <w:spacing w:line="259" w:lineRule="auto"/>
        <w:rPr>
          <w:rFonts w:ascii="Times New Roman" w:hAnsi="Times New Roman"/>
          <w:lang w:val="en-GB"/>
        </w:rPr>
      </w:pPr>
      <w:r w:rsidRPr="007676F6">
        <w:rPr>
          <w:rFonts w:ascii="Times New Roman" w:hAnsi="Times New Roman"/>
          <w:lang w:val="en-GB"/>
        </w:rPr>
        <w:t xml:space="preserve">At </w:t>
      </w:r>
      <w:r w:rsidRPr="007676F6">
        <w:rPr>
          <w:rFonts w:ascii="Times New Roman" w:hAnsi="Times New Roman"/>
          <w:b/>
          <w:bCs/>
          <w:lang w:val="en-GB"/>
        </w:rPr>
        <w:t>p</w:t>
      </w:r>
      <w:r w:rsidR="160AA8DA" w:rsidRPr="007676F6">
        <w:rPr>
          <w:rFonts w:ascii="Times New Roman" w:hAnsi="Times New Roman"/>
          <w:b/>
          <w:bCs/>
          <w:lang w:val="en-GB"/>
        </w:rPr>
        <w:t>ara</w:t>
      </w:r>
      <w:r w:rsidRPr="007676F6">
        <w:rPr>
          <w:rFonts w:ascii="Times New Roman" w:hAnsi="Times New Roman"/>
          <w:b/>
          <w:bCs/>
          <w:lang w:val="en-GB"/>
        </w:rPr>
        <w:t>graph</w:t>
      </w:r>
      <w:r w:rsidR="160AA8DA" w:rsidRPr="007676F6">
        <w:rPr>
          <w:rFonts w:ascii="Times New Roman" w:hAnsi="Times New Roman"/>
          <w:b/>
          <w:bCs/>
          <w:lang w:val="en-GB"/>
        </w:rPr>
        <w:t xml:space="preserve"> 4 </w:t>
      </w:r>
      <w:r w:rsidRPr="007676F6">
        <w:rPr>
          <w:rFonts w:ascii="Times New Roman" w:hAnsi="Times New Roman"/>
          <w:lang w:val="en-GB"/>
        </w:rPr>
        <w:t>the European Parliament</w:t>
      </w:r>
      <w:r w:rsidR="5F03112D" w:rsidRPr="007676F6">
        <w:rPr>
          <w:rFonts w:ascii="Times New Roman" w:hAnsi="Times New Roman"/>
          <w:lang w:val="en-GB"/>
        </w:rPr>
        <w:t xml:space="preserve"> calls</w:t>
      </w:r>
      <w:r w:rsidRPr="007676F6">
        <w:rPr>
          <w:rFonts w:ascii="Times New Roman" w:hAnsi="Times New Roman"/>
          <w:lang w:val="en-GB"/>
        </w:rPr>
        <w:t xml:space="preserve"> </w:t>
      </w:r>
      <w:r w:rsidR="00BC7C87">
        <w:rPr>
          <w:rFonts w:ascii="Times New Roman" w:hAnsi="Times New Roman"/>
          <w:lang w:val="en-GB"/>
        </w:rPr>
        <w:t xml:space="preserve">on </w:t>
      </w:r>
      <w:r w:rsidRPr="007676F6">
        <w:rPr>
          <w:rFonts w:ascii="Times New Roman" w:hAnsi="Times New Roman"/>
          <w:lang w:val="en-GB"/>
        </w:rPr>
        <w:t>the Commission</w:t>
      </w:r>
      <w:r w:rsidR="5F03112D" w:rsidRPr="007676F6">
        <w:rPr>
          <w:rFonts w:ascii="Times New Roman" w:hAnsi="Times New Roman"/>
          <w:lang w:val="en-GB"/>
        </w:rPr>
        <w:t xml:space="preserve"> to assess the possibility of scaling up best practice for EIIs from Member States and to develop recommendations for reducing the exposure of consumers, and especially EIIs, to rising energy costs</w:t>
      </w:r>
      <w:r w:rsidRPr="007676F6">
        <w:rPr>
          <w:rFonts w:ascii="Times New Roman" w:hAnsi="Times New Roman"/>
          <w:lang w:val="en-GB"/>
        </w:rPr>
        <w:t>. In this regard,</w:t>
      </w:r>
      <w:r w:rsidR="5F03112D" w:rsidRPr="007676F6">
        <w:rPr>
          <w:rFonts w:ascii="Times New Roman" w:hAnsi="Times New Roman"/>
          <w:lang w:val="en-GB"/>
        </w:rPr>
        <w:t xml:space="preserve"> </w:t>
      </w:r>
      <w:r w:rsidR="6A687883" w:rsidRPr="007676F6">
        <w:rPr>
          <w:rFonts w:ascii="Times New Roman" w:hAnsi="Times New Roman"/>
          <w:lang w:val="en-GB"/>
        </w:rPr>
        <w:t>the Commission recalls that one of the key pillar</w:t>
      </w:r>
      <w:r w:rsidR="1DB12E1C" w:rsidRPr="007676F6">
        <w:rPr>
          <w:rFonts w:ascii="Times New Roman" w:hAnsi="Times New Roman"/>
          <w:lang w:val="en-GB"/>
        </w:rPr>
        <w:t>s</w:t>
      </w:r>
      <w:r w:rsidR="6A687883" w:rsidRPr="007676F6">
        <w:rPr>
          <w:rFonts w:ascii="Times New Roman" w:hAnsi="Times New Roman"/>
          <w:lang w:val="en-GB"/>
        </w:rPr>
        <w:t xml:space="preserve"> of the </w:t>
      </w:r>
      <w:r w:rsidR="7C2CAE85" w:rsidRPr="007676F6">
        <w:rPr>
          <w:rFonts w:ascii="Times New Roman" w:hAnsi="Times New Roman"/>
          <w:lang w:val="en-GB"/>
        </w:rPr>
        <w:t>Action Plan for Affordable Energy</w:t>
      </w:r>
      <w:r w:rsidR="6A687883" w:rsidRPr="007676F6">
        <w:rPr>
          <w:rFonts w:ascii="Times New Roman" w:hAnsi="Times New Roman"/>
          <w:lang w:val="en-GB"/>
        </w:rPr>
        <w:t xml:space="preserve"> is to lower energy costs, for example by streamlining permitting, promoting long-term contracts, reviewing energy bill components, improving gas market oversight, enhancing energy efficiency, reinforcing grids and boosting flexibility.  In this regard,</w:t>
      </w:r>
      <w:r w:rsidR="007676F6">
        <w:rPr>
          <w:rFonts w:ascii="Times New Roman" w:hAnsi="Times New Roman"/>
          <w:lang w:val="en-GB"/>
        </w:rPr>
        <w:t xml:space="preserve"> on 2 July 2025,</w:t>
      </w:r>
      <w:r w:rsidR="6A687883" w:rsidRPr="007676F6">
        <w:rPr>
          <w:rFonts w:ascii="Times New Roman" w:hAnsi="Times New Roman"/>
          <w:lang w:val="en-GB"/>
        </w:rPr>
        <w:t xml:space="preserve"> the Commission </w:t>
      </w:r>
      <w:r w:rsidR="7F33C1FC" w:rsidRPr="007676F6">
        <w:rPr>
          <w:rFonts w:ascii="Times New Roman" w:hAnsi="Times New Roman"/>
          <w:lang w:val="en-GB"/>
        </w:rPr>
        <w:t>put forward a</w:t>
      </w:r>
      <w:r w:rsidR="6A687883" w:rsidRPr="007676F6">
        <w:rPr>
          <w:rFonts w:ascii="Times New Roman" w:hAnsi="Times New Roman"/>
          <w:lang w:val="en-GB"/>
        </w:rPr>
        <w:t xml:space="preserve"> </w:t>
      </w:r>
      <w:r w:rsidR="2C616E00" w:rsidRPr="007676F6">
        <w:rPr>
          <w:rFonts w:ascii="Times New Roman" w:hAnsi="Times New Roman"/>
          <w:lang w:val="en-GB"/>
        </w:rPr>
        <w:t>guidance on</w:t>
      </w:r>
      <w:r w:rsidR="595E723B" w:rsidRPr="007676F6">
        <w:rPr>
          <w:rFonts w:ascii="Times New Roman" w:hAnsi="Times New Roman"/>
          <w:lang w:val="en-GB"/>
        </w:rPr>
        <w:t xml:space="preserve"> </w:t>
      </w:r>
      <w:r w:rsidR="6A687883" w:rsidRPr="007676F6">
        <w:rPr>
          <w:rFonts w:ascii="Times New Roman" w:hAnsi="Times New Roman"/>
          <w:lang w:val="en-GB"/>
        </w:rPr>
        <w:t>tariff methodologies for network charges to incentivise the use of flexibility and investments in electrification, while maintaining the incentive to invest in the grid and ensuring a level playing field.</w:t>
      </w:r>
      <w:r w:rsidR="007676F6">
        <w:rPr>
          <w:rStyle w:val="FootnoteReference"/>
          <w:rFonts w:ascii="Times New Roman" w:hAnsi="Times New Roman"/>
          <w:lang w:val="en-GB"/>
        </w:rPr>
        <w:footnoteReference w:id="2"/>
      </w:r>
      <w:r w:rsidR="6A687883" w:rsidRPr="007676F6">
        <w:rPr>
          <w:rFonts w:ascii="Times New Roman" w:hAnsi="Times New Roman"/>
          <w:lang w:val="en-GB"/>
        </w:rPr>
        <w:t xml:space="preserve"> Moreover, in line with the Energy Taxation Directive</w:t>
      </w:r>
      <w:r w:rsidR="7C2CAE85" w:rsidRPr="007676F6">
        <w:rPr>
          <w:rFonts w:ascii="Times New Roman" w:hAnsi="Times New Roman"/>
          <w:lang w:val="en-GB"/>
        </w:rPr>
        <w:t xml:space="preserve">, </w:t>
      </w:r>
      <w:r w:rsidR="6A687883" w:rsidRPr="007676F6">
        <w:rPr>
          <w:rFonts w:ascii="Times New Roman" w:hAnsi="Times New Roman"/>
          <w:lang w:val="en-GB"/>
        </w:rPr>
        <w:t xml:space="preserve">which allows decreasing taxes down to zero for </w:t>
      </w:r>
      <w:r w:rsidR="00D63D91">
        <w:rPr>
          <w:rFonts w:ascii="Times New Roman" w:hAnsi="Times New Roman"/>
          <w:lang w:val="en-GB"/>
        </w:rPr>
        <w:t>electricity</w:t>
      </w:r>
      <w:r w:rsidR="00D63D91" w:rsidRPr="007676F6">
        <w:rPr>
          <w:rFonts w:ascii="Times New Roman" w:hAnsi="Times New Roman"/>
          <w:lang w:val="en-GB"/>
        </w:rPr>
        <w:t xml:space="preserve"> </w:t>
      </w:r>
      <w:r w:rsidR="6A687883" w:rsidRPr="007676F6">
        <w:rPr>
          <w:rFonts w:ascii="Times New Roman" w:hAnsi="Times New Roman"/>
          <w:lang w:val="en-GB"/>
        </w:rPr>
        <w:t>consumed by households and energy intensive industries, the Commission will issue a recommendation to Member States</w:t>
      </w:r>
      <w:r w:rsidR="00FA579D">
        <w:rPr>
          <w:rFonts w:ascii="Times New Roman" w:hAnsi="Times New Roman"/>
          <w:lang w:val="en-GB"/>
        </w:rPr>
        <w:t xml:space="preserve"> in Q4 2025</w:t>
      </w:r>
      <w:r w:rsidR="6A687883" w:rsidRPr="007676F6">
        <w:rPr>
          <w:rFonts w:ascii="Times New Roman" w:hAnsi="Times New Roman"/>
          <w:lang w:val="en-GB"/>
        </w:rPr>
        <w:t xml:space="preserve"> on how to use such flexibilities </w:t>
      </w:r>
      <w:r w:rsidR="7DC70385" w:rsidRPr="007676F6">
        <w:rPr>
          <w:rFonts w:ascii="Times New Roman" w:hAnsi="Times New Roman"/>
          <w:lang w:val="en-GB"/>
        </w:rPr>
        <w:t>with a view to</w:t>
      </w:r>
      <w:r w:rsidR="6A687883" w:rsidRPr="007676F6">
        <w:rPr>
          <w:rFonts w:ascii="Times New Roman" w:hAnsi="Times New Roman"/>
          <w:lang w:val="en-GB"/>
        </w:rPr>
        <w:t xml:space="preserve"> ensure across all sectors that electricity is taxed less than </w:t>
      </w:r>
      <w:r w:rsidR="00D63D91">
        <w:rPr>
          <w:rFonts w:ascii="Times New Roman" w:hAnsi="Times New Roman"/>
          <w:lang w:val="en-GB"/>
        </w:rPr>
        <w:t>more polluting</w:t>
      </w:r>
      <w:r w:rsidR="00D63D91" w:rsidRPr="007676F6">
        <w:rPr>
          <w:rFonts w:ascii="Times New Roman" w:hAnsi="Times New Roman"/>
          <w:lang w:val="en-GB"/>
        </w:rPr>
        <w:t xml:space="preserve"> </w:t>
      </w:r>
      <w:r w:rsidR="6A687883" w:rsidRPr="007676F6">
        <w:rPr>
          <w:rFonts w:ascii="Times New Roman" w:hAnsi="Times New Roman"/>
          <w:lang w:val="en-GB"/>
        </w:rPr>
        <w:t>energy sources while pursuing our long-term decarbonisation objectives.</w:t>
      </w:r>
    </w:p>
    <w:p w14:paraId="3750A273" w14:textId="611E293D" w:rsidR="00DD48A1" w:rsidRPr="006627CF" w:rsidRDefault="00DE63C0" w:rsidP="3AE733F2">
      <w:pPr>
        <w:widowControl w:val="0"/>
        <w:rPr>
          <w:rFonts w:ascii="Times New Roman" w:hAnsi="Times New Roman"/>
          <w:lang w:val="en-GB"/>
        </w:rPr>
      </w:pPr>
      <w:r w:rsidRPr="007676F6">
        <w:rPr>
          <w:rFonts w:ascii="Times New Roman" w:hAnsi="Times New Roman"/>
          <w:lang w:val="en-GB"/>
        </w:rPr>
        <w:t>On</w:t>
      </w:r>
      <w:r w:rsidR="36FC43F0" w:rsidRPr="007676F6">
        <w:rPr>
          <w:rFonts w:ascii="Times New Roman" w:hAnsi="Times New Roman"/>
          <w:lang w:val="en-GB"/>
        </w:rPr>
        <w:t xml:space="preserve"> the request for increased investment in flexibility, such as storage, including pumped storage hydropower and heat and waste heat storage as well as for demand response to optimise grid stability</w:t>
      </w:r>
      <w:r w:rsidRPr="007676F6">
        <w:rPr>
          <w:rFonts w:ascii="Times New Roman" w:hAnsi="Times New Roman"/>
          <w:lang w:val="en-GB"/>
        </w:rPr>
        <w:t xml:space="preserve"> (</w:t>
      </w:r>
      <w:r w:rsidRPr="007676F6">
        <w:rPr>
          <w:rFonts w:ascii="Times New Roman" w:hAnsi="Times New Roman"/>
          <w:b/>
          <w:bCs/>
          <w:lang w:val="en-GB"/>
        </w:rPr>
        <w:t>paragraph 5</w:t>
      </w:r>
      <w:r w:rsidRPr="007676F6">
        <w:rPr>
          <w:rFonts w:ascii="Times New Roman" w:hAnsi="Times New Roman"/>
          <w:lang w:val="en-GB"/>
        </w:rPr>
        <w:t>)</w:t>
      </w:r>
      <w:r w:rsidR="36FC43F0" w:rsidRPr="007676F6">
        <w:rPr>
          <w:rFonts w:ascii="Times New Roman" w:hAnsi="Times New Roman"/>
          <w:lang w:val="en-GB"/>
        </w:rPr>
        <w:t xml:space="preserve">, the Commission recalls that in the </w:t>
      </w:r>
      <w:r w:rsidR="005D4AAA" w:rsidRPr="007676F6">
        <w:rPr>
          <w:rFonts w:ascii="Times New Roman" w:hAnsi="Times New Roman"/>
          <w:lang w:val="en-GB"/>
        </w:rPr>
        <w:t xml:space="preserve">Action Plan for </w:t>
      </w:r>
      <w:r w:rsidR="005D4AAA" w:rsidRPr="007676F6">
        <w:rPr>
          <w:rFonts w:ascii="Times New Roman" w:hAnsi="Times New Roman"/>
          <w:lang w:val="en-GB"/>
        </w:rPr>
        <w:lastRenderedPageBreak/>
        <w:t>Affordable Energy</w:t>
      </w:r>
      <w:r w:rsidR="36FC43F0" w:rsidRPr="007676F6">
        <w:rPr>
          <w:rFonts w:ascii="Times New Roman" w:hAnsi="Times New Roman"/>
          <w:lang w:val="en-GB"/>
        </w:rPr>
        <w:t xml:space="preserve"> it is outlined</w:t>
      </w:r>
      <w:r w:rsidR="00A437DA" w:rsidRPr="007676F6">
        <w:rPr>
          <w:rFonts w:ascii="Times New Roman" w:hAnsi="Times New Roman"/>
          <w:lang w:val="en-GB"/>
        </w:rPr>
        <w:t xml:space="preserve"> that the complete delivery of an electricity system underpinned by market integration, renewable generation and flexible capacity could result in 40% lower wholesale electricity prices on average in the EU</w:t>
      </w:r>
      <w:r w:rsidR="5F6AC6ED" w:rsidRPr="007676F6">
        <w:rPr>
          <w:rFonts w:ascii="Times New Roman" w:hAnsi="Times New Roman"/>
          <w:lang w:val="en-GB"/>
        </w:rPr>
        <w:t xml:space="preserve"> as compared to a less optimised system</w:t>
      </w:r>
      <w:r w:rsidR="00A437DA" w:rsidRPr="007676F6">
        <w:rPr>
          <w:rFonts w:ascii="Times New Roman" w:hAnsi="Times New Roman"/>
          <w:lang w:val="en-GB"/>
        </w:rPr>
        <w:t xml:space="preserve">. </w:t>
      </w:r>
      <w:r w:rsidR="36FC43F0" w:rsidRPr="007676F6">
        <w:rPr>
          <w:rFonts w:ascii="Times New Roman" w:hAnsi="Times New Roman"/>
          <w:lang w:val="en-GB"/>
        </w:rPr>
        <w:t>It is also stressed that m</w:t>
      </w:r>
      <w:r w:rsidR="00A437DA" w:rsidRPr="007676F6">
        <w:rPr>
          <w:rFonts w:ascii="Times New Roman" w:hAnsi="Times New Roman"/>
          <w:lang w:val="en-GB"/>
        </w:rPr>
        <w:t xml:space="preserve">ore flexibility can provide tangible cost savings, with industry estimates showing EUR 2.7 billion per year in avoided peak generation capacity by 2030. </w:t>
      </w:r>
      <w:r w:rsidR="36FC43F0" w:rsidRPr="007676F6">
        <w:rPr>
          <w:rFonts w:ascii="Times New Roman" w:hAnsi="Times New Roman"/>
          <w:lang w:val="en-GB"/>
        </w:rPr>
        <w:t xml:space="preserve">In this regard, </w:t>
      </w:r>
      <w:r w:rsidR="00A437DA" w:rsidRPr="007676F6">
        <w:rPr>
          <w:rFonts w:ascii="Times New Roman" w:hAnsi="Times New Roman"/>
          <w:lang w:val="en-GB"/>
        </w:rPr>
        <w:t xml:space="preserve">the </w:t>
      </w:r>
      <w:r w:rsidR="00773DA1" w:rsidRPr="007676F6">
        <w:rPr>
          <w:rFonts w:ascii="Times New Roman" w:hAnsi="Times New Roman"/>
          <w:lang w:val="en-GB"/>
        </w:rPr>
        <w:t xml:space="preserve">Clean Industrial Deal </w:t>
      </w:r>
      <w:r w:rsidR="00A437DA" w:rsidRPr="007676F6">
        <w:rPr>
          <w:rFonts w:ascii="Times New Roman" w:hAnsi="Times New Roman"/>
          <w:lang w:val="en-GB"/>
        </w:rPr>
        <w:t>State aid framework</w:t>
      </w:r>
      <w:r w:rsidR="00B7159F" w:rsidRPr="007676F6">
        <w:rPr>
          <w:rFonts w:ascii="Times New Roman" w:hAnsi="Times New Roman"/>
          <w:lang w:val="en-GB"/>
        </w:rPr>
        <w:t>, adopted on 25 June 2025,</w:t>
      </w:r>
      <w:r w:rsidR="003E51F0" w:rsidRPr="007676F6">
        <w:rPr>
          <w:rFonts w:ascii="Times New Roman" w:hAnsi="Times New Roman"/>
          <w:lang w:val="en-GB"/>
        </w:rPr>
        <w:t xml:space="preserve"> clarifies the State aid requirements for non-fossil flexibility schemes</w:t>
      </w:r>
      <w:r w:rsidR="00A437DA" w:rsidRPr="007676F6">
        <w:rPr>
          <w:rFonts w:ascii="Times New Roman" w:hAnsi="Times New Roman"/>
          <w:lang w:val="en-GB"/>
        </w:rPr>
        <w:t xml:space="preserve">, </w:t>
      </w:r>
      <w:r w:rsidR="00BC7C87" w:rsidRPr="00BC7C87">
        <w:rPr>
          <w:rFonts w:ascii="Times New Roman" w:hAnsi="Times New Roman"/>
          <w:lang w:val="en-GB"/>
        </w:rPr>
        <w:t>to</w:t>
      </w:r>
      <w:r w:rsidR="36FC43F0" w:rsidRPr="007676F6">
        <w:rPr>
          <w:rFonts w:ascii="Times New Roman" w:hAnsi="Times New Roman"/>
          <w:lang w:val="en-GB"/>
        </w:rPr>
        <w:t xml:space="preserve"> make</w:t>
      </w:r>
      <w:r w:rsidR="00A437DA" w:rsidRPr="007676F6">
        <w:rPr>
          <w:rFonts w:ascii="Times New Roman" w:hAnsi="Times New Roman"/>
          <w:lang w:val="en-GB"/>
        </w:rPr>
        <w:t xml:space="preserve"> it easier for Member States to design their support mechanisms </w:t>
      </w:r>
      <w:r w:rsidR="36FC43F0" w:rsidRPr="007676F6">
        <w:rPr>
          <w:rFonts w:ascii="Times New Roman" w:hAnsi="Times New Roman"/>
          <w:lang w:val="en-GB"/>
        </w:rPr>
        <w:t xml:space="preserve">and </w:t>
      </w:r>
      <w:r w:rsidR="00A437DA" w:rsidRPr="007676F6">
        <w:rPr>
          <w:rFonts w:ascii="Times New Roman" w:hAnsi="Times New Roman"/>
          <w:lang w:val="en-GB"/>
        </w:rPr>
        <w:t xml:space="preserve">to give consumers the incentive to provide flexibility to the system. </w:t>
      </w:r>
      <w:r w:rsidR="00BC7C87">
        <w:rPr>
          <w:rFonts w:ascii="Times New Roman" w:hAnsi="Times New Roman"/>
          <w:lang w:val="en-GB"/>
        </w:rPr>
        <w:t>By</w:t>
      </w:r>
      <w:r w:rsidR="36FC43F0" w:rsidRPr="006627CF">
        <w:rPr>
          <w:rFonts w:ascii="Times New Roman" w:hAnsi="Times New Roman"/>
          <w:lang w:val="en-GB"/>
        </w:rPr>
        <w:t xml:space="preserve"> Q1 2026, t</w:t>
      </w:r>
      <w:r w:rsidR="00A437DA" w:rsidRPr="006627CF">
        <w:rPr>
          <w:rFonts w:ascii="Times New Roman" w:hAnsi="Times New Roman"/>
          <w:lang w:val="en-GB"/>
        </w:rPr>
        <w:t>he Commission will adopt new rules on demand response</w:t>
      </w:r>
      <w:r w:rsidR="6AEF2579" w:rsidRPr="006627CF">
        <w:rPr>
          <w:rFonts w:ascii="Times New Roman" w:hAnsi="Times New Roman"/>
          <w:lang w:val="en-GB"/>
        </w:rPr>
        <w:t xml:space="preserve"> and distributed flexibility</w:t>
      </w:r>
      <w:r w:rsidR="00A437DA" w:rsidRPr="006627CF">
        <w:rPr>
          <w:rFonts w:ascii="Times New Roman" w:hAnsi="Times New Roman"/>
          <w:lang w:val="en-GB"/>
        </w:rPr>
        <w:t xml:space="preserve"> to</w:t>
      </w:r>
      <w:r w:rsidR="76ED6269" w:rsidRPr="006627CF">
        <w:rPr>
          <w:rFonts w:ascii="Times New Roman" w:hAnsi="Times New Roman"/>
          <w:lang w:val="en-GB"/>
        </w:rPr>
        <w:t xml:space="preserve"> ensure their full participation to the market and enable</w:t>
      </w:r>
      <w:r w:rsidR="00A437DA" w:rsidRPr="006627CF">
        <w:rPr>
          <w:rFonts w:ascii="Times New Roman" w:hAnsi="Times New Roman"/>
          <w:lang w:val="en-GB"/>
        </w:rPr>
        <w:t xml:space="preserve"> consumers </w:t>
      </w:r>
      <w:r w:rsidR="3E558777" w:rsidRPr="006627CF">
        <w:rPr>
          <w:rFonts w:ascii="Times New Roman" w:hAnsi="Times New Roman"/>
          <w:lang w:val="en-GB"/>
        </w:rPr>
        <w:t>to value their</w:t>
      </w:r>
      <w:r w:rsidR="00A437DA" w:rsidRPr="006627CF">
        <w:rPr>
          <w:rFonts w:ascii="Times New Roman" w:hAnsi="Times New Roman"/>
          <w:lang w:val="en-GB"/>
        </w:rPr>
        <w:t xml:space="preserve"> flexibility</w:t>
      </w:r>
      <w:r w:rsidR="7CD843CA" w:rsidRPr="006627CF">
        <w:rPr>
          <w:rFonts w:ascii="Times New Roman" w:hAnsi="Times New Roman"/>
          <w:lang w:val="en-GB"/>
        </w:rPr>
        <w:t>.</w:t>
      </w:r>
      <w:r w:rsidR="00A437DA" w:rsidRPr="006627CF">
        <w:rPr>
          <w:rFonts w:ascii="Times New Roman" w:hAnsi="Times New Roman"/>
          <w:lang w:val="en-GB"/>
        </w:rPr>
        <w:t xml:space="preserve"> These rules will address the remaining barriers that hamper</w:t>
      </w:r>
      <w:r w:rsidR="77CA70EC" w:rsidRPr="006627CF">
        <w:rPr>
          <w:rFonts w:ascii="Times New Roman" w:hAnsi="Times New Roman"/>
          <w:lang w:val="en-GB"/>
        </w:rPr>
        <w:t xml:space="preserve"> flexibility solutions like</w:t>
      </w:r>
      <w:r w:rsidR="00A437DA" w:rsidRPr="006627CF">
        <w:rPr>
          <w:rFonts w:ascii="Times New Roman" w:hAnsi="Times New Roman"/>
          <w:lang w:val="en-GB"/>
        </w:rPr>
        <w:t xml:space="preserve"> demand response and storage services in the internal electricity market. </w:t>
      </w:r>
    </w:p>
    <w:p w14:paraId="068E8DDE" w14:textId="55CD5956" w:rsidR="0019639D" w:rsidRPr="006627CF" w:rsidRDefault="00DE63C0" w:rsidP="758EC0B7">
      <w:pPr>
        <w:widowControl w:val="0"/>
        <w:rPr>
          <w:rFonts w:ascii="Times New Roman" w:hAnsi="Times New Roman"/>
          <w:lang w:val="en-GB"/>
        </w:rPr>
      </w:pPr>
      <w:proofErr w:type="gramStart"/>
      <w:r w:rsidRPr="006627CF">
        <w:rPr>
          <w:rFonts w:ascii="Times New Roman" w:hAnsi="Times New Roman"/>
          <w:lang w:val="en-GB"/>
        </w:rPr>
        <w:t>W</w:t>
      </w:r>
      <w:r w:rsidR="73475E97" w:rsidRPr="006627CF">
        <w:rPr>
          <w:rFonts w:ascii="Times New Roman" w:hAnsi="Times New Roman"/>
          <w:lang w:val="en-GB"/>
        </w:rPr>
        <w:t>ith regard to</w:t>
      </w:r>
      <w:proofErr w:type="gramEnd"/>
      <w:r w:rsidR="73475E97" w:rsidRPr="006627CF">
        <w:rPr>
          <w:rFonts w:ascii="Times New Roman" w:hAnsi="Times New Roman"/>
          <w:lang w:val="en-GB"/>
        </w:rPr>
        <w:t xml:space="preserve"> the call to develop tools to ensure gas supply at a mitigated cost by enabling demand aggregation, building on </w:t>
      </w:r>
      <w:proofErr w:type="spellStart"/>
      <w:r w:rsidR="73475E97" w:rsidRPr="006627CF">
        <w:rPr>
          <w:rFonts w:ascii="Times New Roman" w:hAnsi="Times New Roman"/>
          <w:lang w:val="en-GB"/>
        </w:rPr>
        <w:t>AggregateEU</w:t>
      </w:r>
      <w:proofErr w:type="spellEnd"/>
      <w:r w:rsidR="73475E97" w:rsidRPr="006627CF">
        <w:rPr>
          <w:rFonts w:ascii="Times New Roman" w:hAnsi="Times New Roman"/>
          <w:lang w:val="en-GB"/>
        </w:rPr>
        <w:t xml:space="preserve"> and joint gas purchasing, while keeping decarbonisation objectives</w:t>
      </w:r>
      <w:r w:rsidRPr="006627CF">
        <w:rPr>
          <w:rFonts w:ascii="Times New Roman" w:hAnsi="Times New Roman"/>
          <w:lang w:val="en-GB"/>
        </w:rPr>
        <w:t xml:space="preserve"> (</w:t>
      </w:r>
      <w:r w:rsidRPr="006627CF">
        <w:rPr>
          <w:rFonts w:ascii="Times New Roman" w:hAnsi="Times New Roman"/>
          <w:b/>
          <w:bCs/>
          <w:lang w:val="en-GB"/>
        </w:rPr>
        <w:t>paragraph 6</w:t>
      </w:r>
      <w:r w:rsidRPr="006627CF">
        <w:rPr>
          <w:rFonts w:ascii="Times New Roman" w:hAnsi="Times New Roman"/>
          <w:lang w:val="en-GB"/>
        </w:rPr>
        <w:t>)</w:t>
      </w:r>
      <w:r w:rsidR="3D99E51F" w:rsidRPr="006627CF">
        <w:rPr>
          <w:rFonts w:ascii="Times New Roman" w:hAnsi="Times New Roman"/>
          <w:lang w:val="en-GB"/>
        </w:rPr>
        <w:t xml:space="preserve">, the Commission is currently implementing the mandates provided in the last gas directive and regulation, and is preparing dedicated mechanisms for gas and for hydrogen and its derivatives. While the hydrogen mechanism will directly contribute to decarbonisation, when designing the gas one, the Commission will ensure its contribution to decarbonisation objectives. </w:t>
      </w:r>
      <w:r w:rsidR="00BC7C87">
        <w:rPr>
          <w:rFonts w:ascii="Times New Roman" w:hAnsi="Times New Roman"/>
          <w:lang w:val="en-GB"/>
        </w:rPr>
        <w:t>T</w:t>
      </w:r>
      <w:r w:rsidR="3D99E51F" w:rsidRPr="006627CF">
        <w:rPr>
          <w:rFonts w:ascii="Times New Roman" w:hAnsi="Times New Roman"/>
          <w:lang w:val="en-GB"/>
        </w:rPr>
        <w:t>he Commission recalls that t</w:t>
      </w:r>
      <w:r w:rsidR="3985AEC4" w:rsidRPr="006627CF">
        <w:rPr>
          <w:rFonts w:ascii="Times New Roman" w:hAnsi="Times New Roman"/>
          <w:lang w:val="en-GB"/>
        </w:rPr>
        <w:t>ransparency in energy markets is established thanks to energy legislation applicable to both spot and derivatives markets (</w:t>
      </w:r>
      <w:r w:rsidR="00B5163C" w:rsidRPr="006627CF">
        <w:rPr>
          <w:rFonts w:ascii="Times New Roman" w:hAnsi="Times New Roman"/>
          <w:lang w:val="en-GB"/>
        </w:rPr>
        <w:t xml:space="preserve">Regulation on Wholesale Energy Market Integrity and Transparency - </w:t>
      </w:r>
      <w:r w:rsidR="3985AEC4" w:rsidRPr="006627CF">
        <w:rPr>
          <w:rFonts w:ascii="Times New Roman" w:hAnsi="Times New Roman"/>
          <w:lang w:val="en-GB"/>
        </w:rPr>
        <w:t xml:space="preserve">REMIT) and financial legislation applicable to energy derivatives (e.g., </w:t>
      </w:r>
      <w:r w:rsidR="00B5163C" w:rsidRPr="006627CF">
        <w:rPr>
          <w:rFonts w:ascii="Times New Roman" w:hAnsi="Times New Roman"/>
          <w:lang w:val="en-GB"/>
        </w:rPr>
        <w:t xml:space="preserve">Markets in Financial Instruments Directive – </w:t>
      </w:r>
      <w:r w:rsidR="3985AEC4" w:rsidRPr="006627CF">
        <w:rPr>
          <w:rFonts w:ascii="Times New Roman" w:hAnsi="Times New Roman"/>
          <w:lang w:val="en-GB"/>
        </w:rPr>
        <w:t>MiFID</w:t>
      </w:r>
      <w:r w:rsidR="00B5163C" w:rsidRPr="006627CF">
        <w:rPr>
          <w:rFonts w:ascii="Times New Roman" w:hAnsi="Times New Roman"/>
          <w:lang w:val="en-GB"/>
        </w:rPr>
        <w:t xml:space="preserve"> </w:t>
      </w:r>
      <w:r w:rsidR="005D4AAA" w:rsidRPr="006627CF">
        <w:rPr>
          <w:rFonts w:ascii="Times New Roman" w:hAnsi="Times New Roman"/>
          <w:lang w:val="en-GB"/>
        </w:rPr>
        <w:t>and Market</w:t>
      </w:r>
      <w:r w:rsidR="00B5163C" w:rsidRPr="006627CF">
        <w:rPr>
          <w:rFonts w:ascii="Times New Roman" w:hAnsi="Times New Roman"/>
          <w:lang w:val="en-GB"/>
        </w:rPr>
        <w:t xml:space="preserve"> Abuse Regulation - </w:t>
      </w:r>
      <w:r w:rsidR="3985AEC4" w:rsidRPr="006627CF">
        <w:rPr>
          <w:rFonts w:ascii="Times New Roman" w:hAnsi="Times New Roman"/>
          <w:lang w:val="en-GB"/>
        </w:rPr>
        <w:t xml:space="preserve">MAR). As part of the Action Plan for affordable Energy, the Commission set up a Gas Market Task Force to comprehensively scrutinise the EU natural gas markets. </w:t>
      </w:r>
    </w:p>
    <w:p w14:paraId="5DA867E7" w14:textId="07B5C3C4" w:rsidR="00A437DA" w:rsidRPr="006627CF" w:rsidRDefault="00DE63C0" w:rsidP="00A437DA">
      <w:pPr>
        <w:widowControl w:val="0"/>
        <w:rPr>
          <w:rFonts w:ascii="Times New Roman" w:hAnsi="Times New Roman"/>
          <w:bCs/>
          <w:iCs/>
          <w:szCs w:val="24"/>
          <w:lang w:val="en-GB"/>
        </w:rPr>
      </w:pPr>
      <w:r w:rsidRPr="006627CF">
        <w:rPr>
          <w:rFonts w:ascii="Times New Roman" w:hAnsi="Times New Roman"/>
          <w:bCs/>
          <w:iCs/>
          <w:szCs w:val="24"/>
          <w:lang w:val="en-GB"/>
        </w:rPr>
        <w:t>Within the same paragraph, the European Parliament also</w:t>
      </w:r>
      <w:r w:rsidR="0019639D" w:rsidRPr="006627CF">
        <w:rPr>
          <w:rFonts w:ascii="Times New Roman" w:hAnsi="Times New Roman"/>
          <w:bCs/>
          <w:iCs/>
          <w:szCs w:val="24"/>
          <w:lang w:val="en-GB"/>
        </w:rPr>
        <w:t xml:space="preserve"> call</w:t>
      </w:r>
      <w:r w:rsidRPr="006627CF">
        <w:rPr>
          <w:rFonts w:ascii="Times New Roman" w:hAnsi="Times New Roman"/>
          <w:bCs/>
          <w:iCs/>
          <w:szCs w:val="24"/>
          <w:lang w:val="en-GB"/>
        </w:rPr>
        <w:t>s</w:t>
      </w:r>
      <w:r w:rsidR="0019639D" w:rsidRPr="006627CF">
        <w:rPr>
          <w:rFonts w:ascii="Times New Roman" w:hAnsi="Times New Roman"/>
          <w:bCs/>
          <w:iCs/>
          <w:szCs w:val="24"/>
          <w:lang w:val="en-GB"/>
        </w:rPr>
        <w:t xml:space="preserve"> for an impact assessment in the upcoming </w:t>
      </w:r>
      <w:r w:rsidR="00B5163C" w:rsidRPr="006627CF">
        <w:rPr>
          <w:rFonts w:ascii="Times New Roman" w:hAnsi="Times New Roman"/>
          <w:bCs/>
          <w:iCs/>
          <w:szCs w:val="24"/>
          <w:lang w:val="en-GB"/>
        </w:rPr>
        <w:t>Emission Trading System (</w:t>
      </w:r>
      <w:r w:rsidR="0019639D" w:rsidRPr="006627CF">
        <w:rPr>
          <w:rFonts w:ascii="Times New Roman" w:hAnsi="Times New Roman"/>
          <w:bCs/>
          <w:iCs/>
          <w:szCs w:val="24"/>
          <w:lang w:val="en-GB"/>
        </w:rPr>
        <w:t>ETS</w:t>
      </w:r>
      <w:r w:rsidR="00B5163C" w:rsidRPr="006627CF">
        <w:rPr>
          <w:rFonts w:ascii="Times New Roman" w:hAnsi="Times New Roman"/>
          <w:bCs/>
          <w:iCs/>
          <w:szCs w:val="24"/>
          <w:lang w:val="en-GB"/>
        </w:rPr>
        <w:t>)</w:t>
      </w:r>
      <w:r w:rsidR="0019639D" w:rsidRPr="006627CF">
        <w:rPr>
          <w:rFonts w:ascii="Times New Roman" w:hAnsi="Times New Roman"/>
          <w:bCs/>
          <w:iCs/>
          <w:szCs w:val="24"/>
          <w:lang w:val="en-GB"/>
        </w:rPr>
        <w:t xml:space="preserve"> review to analyse the relationship between the gas market and CO</w:t>
      </w:r>
      <w:r w:rsidR="0019639D" w:rsidRPr="006627CF">
        <w:rPr>
          <w:rFonts w:ascii="Times New Roman" w:hAnsi="Times New Roman"/>
          <w:bCs/>
          <w:iCs/>
          <w:szCs w:val="24"/>
          <w:vertAlign w:val="subscript"/>
          <w:lang w:val="en-GB"/>
        </w:rPr>
        <w:t>2</w:t>
      </w:r>
      <w:r w:rsidR="0019639D" w:rsidRPr="006627CF">
        <w:rPr>
          <w:rFonts w:ascii="Times New Roman" w:hAnsi="Times New Roman"/>
          <w:bCs/>
          <w:iCs/>
          <w:szCs w:val="24"/>
          <w:lang w:val="en-GB"/>
        </w:rPr>
        <w:t xml:space="preserve"> prices and the role of the market stability reserve and its parameters</w:t>
      </w:r>
      <w:r w:rsidRPr="006627CF">
        <w:rPr>
          <w:rFonts w:ascii="Times New Roman" w:hAnsi="Times New Roman"/>
          <w:bCs/>
          <w:iCs/>
          <w:szCs w:val="24"/>
          <w:lang w:val="en-GB"/>
        </w:rPr>
        <w:t xml:space="preserve">. </w:t>
      </w:r>
      <w:r w:rsidR="00BC7C87">
        <w:rPr>
          <w:rFonts w:ascii="Times New Roman" w:hAnsi="Times New Roman"/>
          <w:bCs/>
          <w:iCs/>
          <w:szCs w:val="24"/>
          <w:lang w:val="en-GB"/>
        </w:rPr>
        <w:t>T</w:t>
      </w:r>
      <w:r w:rsidR="00A437DA" w:rsidRPr="006627CF">
        <w:rPr>
          <w:rFonts w:ascii="Times New Roman" w:hAnsi="Times New Roman"/>
          <w:bCs/>
          <w:iCs/>
          <w:szCs w:val="24"/>
          <w:lang w:val="en-GB"/>
        </w:rPr>
        <w:t>he</w:t>
      </w:r>
      <w:r w:rsidR="0019639D" w:rsidRPr="006627CF">
        <w:rPr>
          <w:rFonts w:ascii="Times New Roman" w:hAnsi="Times New Roman"/>
          <w:bCs/>
          <w:iCs/>
          <w:szCs w:val="24"/>
          <w:lang w:val="en-GB"/>
        </w:rPr>
        <w:t xml:space="preserve"> Commission recalls that the</w:t>
      </w:r>
      <w:r w:rsidR="00A437DA" w:rsidRPr="006627CF">
        <w:rPr>
          <w:rFonts w:ascii="Times New Roman" w:hAnsi="Times New Roman"/>
          <w:bCs/>
          <w:iCs/>
          <w:szCs w:val="24"/>
          <w:lang w:val="en-GB"/>
        </w:rPr>
        <w:t xml:space="preserve"> EU ETS Directive and the Market Stability Reserve (MSR) Decision are subject to review by July 2026. The MSR review will analyse the design of the reserve considering the relevant market circumstances and the more general EU ETS framework. </w:t>
      </w:r>
      <w:r w:rsidR="00BC7C87">
        <w:rPr>
          <w:rFonts w:ascii="Times New Roman" w:hAnsi="Times New Roman"/>
          <w:bCs/>
          <w:iCs/>
          <w:szCs w:val="24"/>
          <w:lang w:val="en-GB"/>
        </w:rPr>
        <w:t>Th</w:t>
      </w:r>
      <w:r w:rsidR="00A437DA" w:rsidRPr="006627CF">
        <w:rPr>
          <w:rFonts w:ascii="Times New Roman" w:hAnsi="Times New Roman"/>
          <w:bCs/>
          <w:iCs/>
          <w:szCs w:val="24"/>
          <w:lang w:val="en-GB"/>
        </w:rPr>
        <w:t>e MSR review will look at the various parameters of the reserve, including the intake rate, the upper and lower thresholds, and the release volume.</w:t>
      </w:r>
    </w:p>
    <w:p w14:paraId="6B50DE7A" w14:textId="6323EBC6" w:rsidR="00A437DA" w:rsidRPr="000D2AFB" w:rsidRDefault="00DE63C0" w:rsidP="76CEE539">
      <w:pPr>
        <w:widowControl w:val="0"/>
        <w:rPr>
          <w:rFonts w:ascii="Times New Roman" w:hAnsi="Times New Roman"/>
        </w:rPr>
      </w:pPr>
      <w:r w:rsidRPr="006627CF">
        <w:rPr>
          <w:rFonts w:ascii="Times New Roman" w:hAnsi="Times New Roman"/>
          <w:lang w:val="en-GB"/>
        </w:rPr>
        <w:t>Concerning</w:t>
      </w:r>
      <w:r w:rsidR="49189E21" w:rsidRPr="006627CF">
        <w:rPr>
          <w:rFonts w:ascii="Times New Roman" w:hAnsi="Times New Roman"/>
          <w:lang w:val="en-GB"/>
        </w:rPr>
        <w:t xml:space="preserve"> the </w:t>
      </w:r>
      <w:r w:rsidR="00DF029C">
        <w:rPr>
          <w:rFonts w:ascii="Times New Roman" w:hAnsi="Times New Roman"/>
          <w:lang w:val="en-GB"/>
        </w:rPr>
        <w:t>Parliament’s</w:t>
      </w:r>
      <w:r w:rsidR="00DF029C" w:rsidRPr="006627CF">
        <w:rPr>
          <w:rFonts w:ascii="Times New Roman" w:hAnsi="Times New Roman"/>
          <w:lang w:val="en-GB"/>
        </w:rPr>
        <w:t xml:space="preserve"> </w:t>
      </w:r>
      <w:r w:rsidR="49189E21" w:rsidRPr="006627CF">
        <w:rPr>
          <w:rFonts w:ascii="Times New Roman" w:hAnsi="Times New Roman"/>
          <w:lang w:val="en-GB"/>
        </w:rPr>
        <w:t>call to support EIIs in adopting clean and net-zero technologies, including carbon capture and storage and low-carbon hydrogen, and energy-efficient production methods by strengthening funding mechanisms and ensuring that ETS revenue is used effectively by Member States</w:t>
      </w:r>
      <w:r w:rsidRPr="006627CF">
        <w:rPr>
          <w:rFonts w:ascii="Times New Roman" w:hAnsi="Times New Roman"/>
          <w:lang w:val="en-GB"/>
        </w:rPr>
        <w:t xml:space="preserve"> (</w:t>
      </w:r>
      <w:r w:rsidRPr="006627CF">
        <w:rPr>
          <w:rFonts w:ascii="Times New Roman" w:hAnsi="Times New Roman"/>
          <w:b/>
          <w:bCs/>
          <w:lang w:val="en-GB"/>
        </w:rPr>
        <w:t>paragraph 7</w:t>
      </w:r>
      <w:r w:rsidRPr="006627CF">
        <w:rPr>
          <w:rFonts w:ascii="Times New Roman" w:hAnsi="Times New Roman"/>
          <w:lang w:val="en-GB"/>
        </w:rPr>
        <w:t>)</w:t>
      </w:r>
      <w:r w:rsidR="49189E21" w:rsidRPr="006627CF">
        <w:rPr>
          <w:rFonts w:ascii="Times New Roman" w:hAnsi="Times New Roman"/>
          <w:lang w:val="en-GB"/>
        </w:rPr>
        <w:t>, the Commission stresses that t</w:t>
      </w:r>
      <w:r w:rsidR="6B8D7694" w:rsidRPr="006627CF">
        <w:rPr>
          <w:rFonts w:ascii="Times New Roman" w:hAnsi="Times New Roman"/>
          <w:lang w:val="en-GB"/>
        </w:rPr>
        <w:t xml:space="preserve">he Clean Industrial Deal </w:t>
      </w:r>
      <w:r w:rsidR="00DB3174" w:rsidRPr="006627CF">
        <w:rPr>
          <w:rFonts w:ascii="Times New Roman" w:hAnsi="Times New Roman"/>
          <w:lang w:val="en-GB"/>
        </w:rPr>
        <w:t xml:space="preserve">(CID) </w:t>
      </w:r>
      <w:r w:rsidR="49189E21" w:rsidRPr="006627CF">
        <w:rPr>
          <w:rFonts w:ascii="Times New Roman" w:hAnsi="Times New Roman"/>
          <w:lang w:val="en-GB"/>
        </w:rPr>
        <w:t xml:space="preserve">aims to </w:t>
      </w:r>
      <w:r w:rsidR="6B8D7694" w:rsidRPr="006627CF">
        <w:rPr>
          <w:rFonts w:ascii="Times New Roman" w:hAnsi="Times New Roman"/>
          <w:lang w:val="en-GB"/>
        </w:rPr>
        <w:t>present European industry with a stronger business case for climate neutral investments in energy-intensive sectors. This will include</w:t>
      </w:r>
      <w:r w:rsidR="6B8D7694" w:rsidRPr="000D2AFB">
        <w:rPr>
          <w:rFonts w:ascii="Times New Roman" w:hAnsi="Times New Roman"/>
        </w:rPr>
        <w:t xml:space="preserve"> proposing an Industrial Decarbonisation Bank</w:t>
      </w:r>
      <w:r w:rsidR="005D4AAA" w:rsidRPr="000D2AFB">
        <w:rPr>
          <w:rFonts w:ascii="Times New Roman" w:hAnsi="Times New Roman"/>
        </w:rPr>
        <w:t xml:space="preserve"> </w:t>
      </w:r>
      <w:r w:rsidR="3EB0369B" w:rsidRPr="000D2AFB">
        <w:rPr>
          <w:rFonts w:ascii="Times New Roman" w:hAnsi="Times New Roman"/>
        </w:rPr>
        <w:t>under the governance of the Competitiveness Fund</w:t>
      </w:r>
      <w:r w:rsidR="6B8D7694" w:rsidRPr="000D2AFB">
        <w:rPr>
          <w:rFonts w:ascii="Times New Roman" w:hAnsi="Times New Roman"/>
        </w:rPr>
        <w:t>,</w:t>
      </w:r>
      <w:r w:rsidR="57C91EFF" w:rsidRPr="000D2AFB">
        <w:rPr>
          <w:rFonts w:ascii="Times New Roman" w:hAnsi="Times New Roman"/>
        </w:rPr>
        <w:t xml:space="preserve"> including</w:t>
      </w:r>
      <w:r w:rsidR="6B8D7694" w:rsidRPr="000D2AFB">
        <w:rPr>
          <w:rFonts w:ascii="Times New Roman" w:hAnsi="Times New Roman"/>
        </w:rPr>
        <w:t xml:space="preserve"> </w:t>
      </w:r>
      <w:r w:rsidR="6F1AFC15" w:rsidRPr="000D2AFB">
        <w:rPr>
          <w:rFonts w:ascii="Times New Roman" w:hAnsi="Times New Roman"/>
        </w:rPr>
        <w:t xml:space="preserve">supporting </w:t>
      </w:r>
      <w:r w:rsidR="5A27C1C9" w:rsidRPr="000D2AFB">
        <w:rPr>
          <w:rFonts w:ascii="Times New Roman" w:hAnsi="Times New Roman"/>
        </w:rPr>
        <w:t xml:space="preserve">projects through </w:t>
      </w:r>
      <w:r w:rsidR="6F1AFC15" w:rsidRPr="000D2AFB">
        <w:rPr>
          <w:rFonts w:ascii="Times New Roman" w:hAnsi="Times New Roman"/>
        </w:rPr>
        <w:t>carbon contracts for difference,</w:t>
      </w:r>
      <w:r w:rsidR="17BAED80" w:rsidRPr="000D2AFB">
        <w:rPr>
          <w:rFonts w:ascii="Times New Roman" w:hAnsi="Times New Roman"/>
        </w:rPr>
        <w:t xml:space="preserve"> </w:t>
      </w:r>
      <w:r w:rsidR="6B8D7694" w:rsidRPr="000D2AFB">
        <w:rPr>
          <w:rFonts w:ascii="Times New Roman" w:hAnsi="Times New Roman"/>
        </w:rPr>
        <w:t xml:space="preserve">enhancing the effectiveness of State aid, developing lead markets for </w:t>
      </w:r>
      <w:r w:rsidR="786218B0" w:rsidRPr="000D2AFB">
        <w:rPr>
          <w:rFonts w:ascii="Times New Roman" w:hAnsi="Times New Roman"/>
        </w:rPr>
        <w:t xml:space="preserve">low-carbon industrial products and </w:t>
      </w:r>
      <w:r w:rsidR="6B8D7694" w:rsidRPr="000D2AFB">
        <w:rPr>
          <w:rFonts w:ascii="Times New Roman" w:hAnsi="Times New Roman"/>
        </w:rPr>
        <w:t xml:space="preserve">clean technologies, and enhancing circularity and access to raw materials. </w:t>
      </w:r>
      <w:r w:rsidR="7F558157" w:rsidRPr="000D2AFB">
        <w:rPr>
          <w:rFonts w:ascii="Times New Roman" w:hAnsi="Times New Roman"/>
        </w:rPr>
        <w:t>The Commission seeks to pursue these</w:t>
      </w:r>
      <w:r w:rsidR="6B8D7694" w:rsidRPr="000D2AFB">
        <w:rPr>
          <w:rFonts w:ascii="Times New Roman" w:hAnsi="Times New Roman"/>
        </w:rPr>
        <w:t xml:space="preserve"> aims through various forthcoming initiatives including the </w:t>
      </w:r>
      <w:r w:rsidR="005D4AAA" w:rsidRPr="000D2AFB">
        <w:rPr>
          <w:rFonts w:ascii="Times New Roman" w:hAnsi="Times New Roman"/>
        </w:rPr>
        <w:t>Industrial Decarbonisation Accelerator Act</w:t>
      </w:r>
      <w:r w:rsidR="6B8D7694" w:rsidRPr="000D2AFB">
        <w:rPr>
          <w:rFonts w:ascii="Times New Roman" w:hAnsi="Times New Roman"/>
        </w:rPr>
        <w:t xml:space="preserve"> and 2026 review of the EU ETS Directive.</w:t>
      </w:r>
    </w:p>
    <w:p w14:paraId="564C256E" w14:textId="733381C0" w:rsidR="00F85EE4" w:rsidRPr="006627CF" w:rsidRDefault="00DE63C0" w:rsidP="76CEE539">
      <w:pPr>
        <w:widowControl w:val="0"/>
        <w:rPr>
          <w:rFonts w:ascii="Times New Roman" w:hAnsi="Times New Roman"/>
          <w:lang w:val="en-GB"/>
        </w:rPr>
      </w:pPr>
      <w:r w:rsidRPr="000D2AFB">
        <w:rPr>
          <w:rFonts w:ascii="Times New Roman" w:hAnsi="Times New Roman"/>
        </w:rPr>
        <w:t>In</w:t>
      </w:r>
      <w:r w:rsidRPr="000D2AFB">
        <w:rPr>
          <w:rFonts w:ascii="Times New Roman" w:hAnsi="Times New Roman"/>
          <w:b/>
          <w:bCs/>
        </w:rPr>
        <w:t xml:space="preserve"> p</w:t>
      </w:r>
      <w:r w:rsidR="2578F399" w:rsidRPr="000D2AFB">
        <w:rPr>
          <w:rFonts w:ascii="Times New Roman" w:hAnsi="Times New Roman"/>
          <w:b/>
          <w:bCs/>
        </w:rPr>
        <w:t>ara</w:t>
      </w:r>
      <w:r w:rsidRPr="000D2AFB">
        <w:rPr>
          <w:rFonts w:ascii="Times New Roman" w:hAnsi="Times New Roman"/>
          <w:b/>
          <w:bCs/>
        </w:rPr>
        <w:t>graph</w:t>
      </w:r>
      <w:r w:rsidR="2578F399" w:rsidRPr="000D2AFB">
        <w:rPr>
          <w:rFonts w:ascii="Times New Roman" w:hAnsi="Times New Roman"/>
          <w:b/>
          <w:bCs/>
        </w:rPr>
        <w:t xml:space="preserve"> 8 </w:t>
      </w:r>
      <w:r w:rsidR="4A731EC5" w:rsidRPr="000D2AFB">
        <w:rPr>
          <w:rFonts w:ascii="Times New Roman" w:hAnsi="Times New Roman"/>
        </w:rPr>
        <w:t>the</w:t>
      </w:r>
      <w:r w:rsidRPr="000D2AFB">
        <w:rPr>
          <w:rFonts w:ascii="Times New Roman" w:hAnsi="Times New Roman"/>
        </w:rPr>
        <w:t xml:space="preserve"> </w:t>
      </w:r>
      <w:r w:rsidR="00DF029C">
        <w:rPr>
          <w:rFonts w:ascii="Times New Roman" w:hAnsi="Times New Roman"/>
          <w:lang w:val="en-GB"/>
        </w:rPr>
        <w:t>Parliament’s</w:t>
      </w:r>
      <w:r w:rsidR="00DF029C" w:rsidRPr="00E046F3">
        <w:rPr>
          <w:rFonts w:ascii="Times New Roman" w:hAnsi="Times New Roman"/>
          <w:lang w:val="en-GB"/>
        </w:rPr>
        <w:t xml:space="preserve"> </w:t>
      </w:r>
      <w:r w:rsidR="4A731EC5" w:rsidRPr="006627CF">
        <w:rPr>
          <w:rFonts w:ascii="Times New Roman" w:hAnsi="Times New Roman"/>
          <w:lang w:val="en-GB"/>
        </w:rPr>
        <w:t>call</w:t>
      </w:r>
      <w:r w:rsidRPr="006627CF">
        <w:rPr>
          <w:rFonts w:ascii="Times New Roman" w:hAnsi="Times New Roman"/>
          <w:lang w:val="en-GB"/>
        </w:rPr>
        <w:t>s</w:t>
      </w:r>
      <w:r w:rsidR="4A731EC5" w:rsidRPr="006627CF">
        <w:rPr>
          <w:rFonts w:ascii="Times New Roman" w:hAnsi="Times New Roman"/>
          <w:lang w:val="en-GB"/>
        </w:rPr>
        <w:t xml:space="preserve"> for </w:t>
      </w:r>
      <w:proofErr w:type="spellStart"/>
      <w:r w:rsidR="4A731EC5" w:rsidRPr="006627CF">
        <w:rPr>
          <w:rFonts w:ascii="Times New Roman" w:hAnsi="Times New Roman"/>
          <w:lang w:val="en-GB"/>
        </w:rPr>
        <w:t>InvestEU</w:t>
      </w:r>
      <w:proofErr w:type="spellEnd"/>
      <w:r w:rsidR="4A731EC5" w:rsidRPr="006627CF">
        <w:rPr>
          <w:rFonts w:ascii="Times New Roman" w:hAnsi="Times New Roman"/>
          <w:lang w:val="en-GB"/>
        </w:rPr>
        <w:t xml:space="preserve"> to be topped up before the next multiannual financial framework (MFF), the Commission recalls that on 26 February, it has proposed an amendment to the </w:t>
      </w:r>
      <w:proofErr w:type="spellStart"/>
      <w:r w:rsidR="4A731EC5" w:rsidRPr="006627CF">
        <w:rPr>
          <w:rFonts w:ascii="Times New Roman" w:hAnsi="Times New Roman"/>
          <w:lang w:val="en-GB"/>
        </w:rPr>
        <w:t>InvestEU</w:t>
      </w:r>
      <w:proofErr w:type="spellEnd"/>
      <w:r w:rsidR="4A731EC5" w:rsidRPr="006627CF">
        <w:rPr>
          <w:rFonts w:ascii="Times New Roman" w:hAnsi="Times New Roman"/>
          <w:lang w:val="en-GB"/>
        </w:rPr>
        <w:t xml:space="preserve"> Regulation to increase the amount of EU </w:t>
      </w:r>
      <w:r w:rsidR="4A731EC5" w:rsidRPr="006627CF">
        <w:rPr>
          <w:rFonts w:ascii="Times New Roman" w:hAnsi="Times New Roman"/>
          <w:lang w:val="en-GB"/>
        </w:rPr>
        <w:lastRenderedPageBreak/>
        <w:t xml:space="preserve">guarantee available in this MFF by </w:t>
      </w:r>
      <w:r w:rsidR="00DB3174" w:rsidRPr="006627CF">
        <w:rPr>
          <w:rFonts w:ascii="Times New Roman" w:hAnsi="Times New Roman"/>
          <w:lang w:val="en-GB"/>
        </w:rPr>
        <w:t>1)</w:t>
      </w:r>
      <w:r w:rsidR="4A731EC5" w:rsidRPr="006627CF">
        <w:rPr>
          <w:rFonts w:ascii="Times New Roman" w:hAnsi="Times New Roman"/>
          <w:lang w:val="en-GB"/>
        </w:rPr>
        <w:t xml:space="preserve"> using </w:t>
      </w:r>
      <w:r w:rsidR="007E6556" w:rsidRPr="006627CF">
        <w:rPr>
          <w:rFonts w:ascii="Times New Roman" w:hAnsi="Times New Roman"/>
          <w:lang w:val="en-GB"/>
        </w:rPr>
        <w:t xml:space="preserve">further </w:t>
      </w:r>
      <w:r w:rsidR="4A731EC5" w:rsidRPr="006627CF">
        <w:rPr>
          <w:rFonts w:ascii="Times New Roman" w:hAnsi="Times New Roman"/>
          <w:lang w:val="en-GB"/>
        </w:rPr>
        <w:t xml:space="preserve">reflows, and </w:t>
      </w:r>
      <w:r w:rsidR="00DB3174" w:rsidRPr="006627CF">
        <w:rPr>
          <w:rFonts w:ascii="Times New Roman" w:hAnsi="Times New Roman"/>
          <w:lang w:val="en-GB"/>
        </w:rPr>
        <w:t>2) a</w:t>
      </w:r>
      <w:r w:rsidR="4A731EC5" w:rsidRPr="006627CF">
        <w:rPr>
          <w:rFonts w:ascii="Times New Roman" w:hAnsi="Times New Roman"/>
          <w:lang w:val="en-GB"/>
        </w:rPr>
        <w:t xml:space="preserve"> combination of </w:t>
      </w:r>
      <w:proofErr w:type="spellStart"/>
      <w:r w:rsidR="4A731EC5" w:rsidRPr="006627CF">
        <w:rPr>
          <w:rFonts w:ascii="Times New Roman" w:hAnsi="Times New Roman"/>
          <w:lang w:val="en-GB"/>
        </w:rPr>
        <w:t>InvestEU</w:t>
      </w:r>
      <w:proofErr w:type="spellEnd"/>
      <w:r w:rsidR="4A731EC5" w:rsidRPr="006627CF">
        <w:rPr>
          <w:rFonts w:ascii="Times New Roman" w:hAnsi="Times New Roman"/>
          <w:lang w:val="en-GB"/>
        </w:rPr>
        <w:t xml:space="preserve"> with legacy instruments portfolios, to mobili</w:t>
      </w:r>
      <w:r w:rsidR="001454EE">
        <w:rPr>
          <w:rFonts w:ascii="Times New Roman" w:hAnsi="Times New Roman"/>
          <w:lang w:val="en-GB"/>
        </w:rPr>
        <w:t>s</w:t>
      </w:r>
      <w:r w:rsidR="4A731EC5" w:rsidRPr="006627CF">
        <w:rPr>
          <w:rFonts w:ascii="Times New Roman" w:hAnsi="Times New Roman"/>
          <w:lang w:val="en-GB"/>
        </w:rPr>
        <w:t xml:space="preserve">e around EUR 50 billion of investment including to support the </w:t>
      </w:r>
      <w:r w:rsidR="00275FEE" w:rsidRPr="006627CF">
        <w:rPr>
          <w:rFonts w:ascii="Times New Roman" w:hAnsi="Times New Roman"/>
          <w:lang w:val="en-GB"/>
        </w:rPr>
        <w:t>CID</w:t>
      </w:r>
      <w:r w:rsidR="1B85D1F1" w:rsidRPr="006627CF">
        <w:rPr>
          <w:rFonts w:ascii="Times New Roman" w:hAnsi="Times New Roman"/>
          <w:lang w:val="en-GB"/>
        </w:rPr>
        <w:t xml:space="preserve"> </w:t>
      </w:r>
      <w:r w:rsidR="1B85D1F1" w:rsidRPr="006627CF">
        <w:rPr>
          <w:rFonts w:ascii="Times New Roman" w:hAnsi="Times New Roman"/>
          <w:szCs w:val="24"/>
          <w:lang w:val="en-GB"/>
        </w:rPr>
        <w:t>and other investments priorities outlined in the Competitiveness Compass such as digital frontier technologies</w:t>
      </w:r>
      <w:r w:rsidR="4A731EC5" w:rsidRPr="006627CF">
        <w:rPr>
          <w:rFonts w:ascii="Times New Roman" w:hAnsi="Times New Roman"/>
          <w:lang w:val="en-GB"/>
        </w:rPr>
        <w:t>. On top of that, the proposal also seeks to simplify the programme and its reporting.</w:t>
      </w:r>
      <w:r w:rsidR="005C2E77" w:rsidRPr="006627CF">
        <w:rPr>
          <w:rFonts w:ascii="Times New Roman" w:hAnsi="Times New Roman"/>
          <w:lang w:val="en-GB"/>
        </w:rPr>
        <w:t xml:space="preserve"> </w:t>
      </w:r>
      <w:r w:rsidR="00FD3C0D" w:rsidRPr="006627CF">
        <w:rPr>
          <w:rFonts w:ascii="Times New Roman" w:hAnsi="Times New Roman"/>
          <w:lang w:val="en-GB"/>
        </w:rPr>
        <w:t>W</w:t>
      </w:r>
      <w:r w:rsidR="2C3E880A" w:rsidRPr="006627CF">
        <w:rPr>
          <w:rFonts w:ascii="Times New Roman" w:hAnsi="Times New Roman"/>
          <w:lang w:val="en-GB"/>
        </w:rPr>
        <w:t>ith regard to the call for leftover RRF loans to support investment in EII decarbonisation, the Commission stresses that the RRF supports Member States reforms and investments contributing to the decarbonisation of energy intensive industries</w:t>
      </w:r>
      <w:r w:rsidR="78FF4C90" w:rsidRPr="006627CF">
        <w:rPr>
          <w:rFonts w:ascii="Times New Roman" w:hAnsi="Times New Roman"/>
          <w:lang w:val="en-GB"/>
        </w:rPr>
        <w:t xml:space="preserve"> </w:t>
      </w:r>
      <w:r w:rsidR="78FF4C90" w:rsidRPr="006627CF">
        <w:rPr>
          <w:rFonts w:ascii="Times New Roman" w:hAnsi="Times New Roman"/>
          <w:szCs w:val="24"/>
          <w:lang w:val="en-GB"/>
        </w:rPr>
        <w:t>and other strategic priorities linked to the digital transition</w:t>
      </w:r>
      <w:r w:rsidR="2C3E880A" w:rsidRPr="006627CF">
        <w:rPr>
          <w:rFonts w:ascii="Times New Roman" w:hAnsi="Times New Roman"/>
          <w:lang w:val="en-GB"/>
        </w:rPr>
        <w:t>, and Member States can request the revision of their recovery and resilience plans to add further measures in that regard, in so far as the related milestones and targets can be completed by 31 August 2026. As provided by the RRF Regulation, Member States could request loan support until 31 August 2023 and</w:t>
      </w:r>
      <w:r w:rsidR="003E51F0" w:rsidRPr="006627CF">
        <w:rPr>
          <w:rFonts w:ascii="Times New Roman" w:hAnsi="Times New Roman"/>
          <w:lang w:val="en-GB"/>
        </w:rPr>
        <w:t xml:space="preserve"> </w:t>
      </w:r>
      <w:r w:rsidR="2C3E880A" w:rsidRPr="006627CF">
        <w:rPr>
          <w:rFonts w:ascii="Times New Roman" w:hAnsi="Times New Roman"/>
          <w:lang w:val="en-GB"/>
        </w:rPr>
        <w:t>RRF loans were committed by 31 December 2023.</w:t>
      </w:r>
      <w:r w:rsidR="03C84A8F" w:rsidRPr="006627CF">
        <w:rPr>
          <w:rFonts w:ascii="Times New Roman" w:hAnsi="Times New Roman"/>
          <w:lang w:val="en-GB"/>
        </w:rPr>
        <w:t xml:space="preserve"> No additional RRF loans can be committed.</w:t>
      </w:r>
      <w:r w:rsidR="005C2E77" w:rsidRPr="006627CF">
        <w:rPr>
          <w:rFonts w:ascii="Times New Roman" w:hAnsi="Times New Roman"/>
          <w:lang w:val="en-GB"/>
        </w:rPr>
        <w:t xml:space="preserve"> Finally, concerning </w:t>
      </w:r>
      <w:r w:rsidR="606892CA" w:rsidRPr="006627CF">
        <w:rPr>
          <w:rFonts w:ascii="Times New Roman" w:hAnsi="Times New Roman"/>
          <w:lang w:val="en-GB"/>
        </w:rPr>
        <w:t xml:space="preserve">the call on the Commission to build on the Net-Zero Industry Act </w:t>
      </w:r>
      <w:r w:rsidR="004E7244" w:rsidRPr="006627CF">
        <w:rPr>
          <w:rFonts w:ascii="Times New Roman" w:hAnsi="Times New Roman"/>
          <w:lang w:val="en-GB"/>
        </w:rPr>
        <w:t xml:space="preserve">(NZIA) </w:t>
      </w:r>
      <w:r w:rsidR="606892CA" w:rsidRPr="006627CF">
        <w:rPr>
          <w:rFonts w:ascii="Times New Roman" w:hAnsi="Times New Roman"/>
          <w:lang w:val="en-GB"/>
        </w:rPr>
        <w:t xml:space="preserve">in the upcoming </w:t>
      </w:r>
      <w:r w:rsidR="005D4AAA" w:rsidRPr="006627CF">
        <w:rPr>
          <w:rFonts w:ascii="Times New Roman" w:hAnsi="Times New Roman"/>
          <w:lang w:val="en-GB"/>
        </w:rPr>
        <w:t>Industrial Decarbonisation Accelerator Act</w:t>
      </w:r>
      <w:r w:rsidR="606892CA" w:rsidRPr="006627CF">
        <w:rPr>
          <w:rFonts w:ascii="Times New Roman" w:hAnsi="Times New Roman"/>
          <w:lang w:val="en-GB"/>
        </w:rPr>
        <w:t xml:space="preserve">, to streamline the processes for granting permits and strategic project status, the Commission stresses that in the upcoming </w:t>
      </w:r>
      <w:r w:rsidR="005D4AAA" w:rsidRPr="006627CF">
        <w:rPr>
          <w:rFonts w:ascii="Times New Roman" w:hAnsi="Times New Roman"/>
          <w:lang w:val="en-GB"/>
        </w:rPr>
        <w:t>Industrial Decarbonisation Accelerator Act</w:t>
      </w:r>
      <w:r w:rsidR="606892CA" w:rsidRPr="006627CF">
        <w:rPr>
          <w:rFonts w:ascii="Times New Roman" w:hAnsi="Times New Roman"/>
          <w:lang w:val="en-GB"/>
        </w:rPr>
        <w:t xml:space="preserve">, it </w:t>
      </w:r>
      <w:r w:rsidR="22D301FA" w:rsidRPr="006627CF">
        <w:rPr>
          <w:rFonts w:ascii="Times New Roman" w:hAnsi="Times New Roman"/>
          <w:lang w:val="en-GB"/>
        </w:rPr>
        <w:t>intends to</w:t>
      </w:r>
      <w:r w:rsidR="606892CA" w:rsidRPr="006627CF">
        <w:rPr>
          <w:rFonts w:ascii="Times New Roman" w:hAnsi="Times New Roman"/>
          <w:lang w:val="en-GB"/>
        </w:rPr>
        <w:t xml:space="preserve"> propose concrete measures to address permitting bottlenecks related to industrial access to energy and industrial decarbonisation</w:t>
      </w:r>
      <w:r w:rsidR="4FBBDFB9" w:rsidRPr="006627CF">
        <w:rPr>
          <w:rFonts w:ascii="Times New Roman" w:hAnsi="Times New Roman"/>
          <w:lang w:val="en-GB"/>
        </w:rPr>
        <w:t xml:space="preserve">, when these are not already </w:t>
      </w:r>
      <w:r w:rsidR="00C20C43" w:rsidRPr="006627CF">
        <w:rPr>
          <w:rFonts w:ascii="Times New Roman" w:hAnsi="Times New Roman"/>
          <w:lang w:val="en-GB"/>
        </w:rPr>
        <w:t xml:space="preserve">covered by the provisions in the </w:t>
      </w:r>
      <w:r w:rsidR="00275FEE" w:rsidRPr="006627CF">
        <w:rPr>
          <w:rFonts w:ascii="Times New Roman" w:hAnsi="Times New Roman"/>
          <w:lang w:val="en-GB"/>
        </w:rPr>
        <w:t>NZIA</w:t>
      </w:r>
      <w:r w:rsidR="606892CA" w:rsidRPr="006627CF">
        <w:rPr>
          <w:rFonts w:ascii="Times New Roman" w:hAnsi="Times New Roman"/>
          <w:lang w:val="en-GB"/>
        </w:rPr>
        <w:t xml:space="preserve">. These measures will build on the experience acquired, among other, through the </w:t>
      </w:r>
      <w:r w:rsidR="00275FEE" w:rsidRPr="006627CF">
        <w:rPr>
          <w:rFonts w:ascii="Times New Roman" w:hAnsi="Times New Roman"/>
          <w:lang w:val="en-GB"/>
        </w:rPr>
        <w:t>NZIA</w:t>
      </w:r>
      <w:r w:rsidR="00C20C43" w:rsidRPr="006627CF">
        <w:rPr>
          <w:rFonts w:ascii="Times New Roman" w:hAnsi="Times New Roman"/>
          <w:lang w:val="en-GB"/>
        </w:rPr>
        <w:t xml:space="preserve"> and the Renewable Energy Directive</w:t>
      </w:r>
      <w:r w:rsidR="00275FEE" w:rsidRPr="006627CF">
        <w:rPr>
          <w:rFonts w:ascii="Times New Roman" w:hAnsi="Times New Roman"/>
          <w:lang w:val="en-GB"/>
        </w:rPr>
        <w:t xml:space="preserve"> (RED)</w:t>
      </w:r>
      <w:r w:rsidR="606892CA" w:rsidRPr="006627CF">
        <w:rPr>
          <w:rFonts w:ascii="Times New Roman" w:hAnsi="Times New Roman"/>
          <w:lang w:val="en-GB"/>
        </w:rPr>
        <w:t>.</w:t>
      </w:r>
    </w:p>
    <w:p w14:paraId="3867B86D" w14:textId="3B5C8475" w:rsidR="00253316" w:rsidRPr="00253316" w:rsidRDefault="7315B331" w:rsidP="00253316">
      <w:pPr>
        <w:widowControl w:val="0"/>
        <w:rPr>
          <w:rFonts w:ascii="Times New Roman" w:hAnsi="Times New Roman"/>
          <w:lang w:val="en-US"/>
        </w:rPr>
      </w:pPr>
      <w:proofErr w:type="gramStart"/>
      <w:r w:rsidRPr="006627CF">
        <w:rPr>
          <w:rFonts w:ascii="Times New Roman" w:hAnsi="Times New Roman"/>
          <w:lang w:val="en-GB"/>
        </w:rPr>
        <w:t>W</w:t>
      </w:r>
      <w:r w:rsidR="63B9A142" w:rsidRPr="006627CF">
        <w:rPr>
          <w:rFonts w:ascii="Times New Roman" w:hAnsi="Times New Roman"/>
          <w:lang w:val="en-GB"/>
        </w:rPr>
        <w:t>ith regard to</w:t>
      </w:r>
      <w:proofErr w:type="gramEnd"/>
      <w:r w:rsidR="63B9A142" w:rsidRPr="006627CF">
        <w:rPr>
          <w:rFonts w:ascii="Times New Roman" w:hAnsi="Times New Roman"/>
          <w:lang w:val="en-GB"/>
        </w:rPr>
        <w:t xml:space="preserve"> the </w:t>
      </w:r>
      <w:r w:rsidR="00DF029C">
        <w:rPr>
          <w:rFonts w:ascii="Times New Roman" w:hAnsi="Times New Roman"/>
          <w:lang w:val="en-GB"/>
        </w:rPr>
        <w:t>Parliament’s</w:t>
      </w:r>
      <w:r w:rsidR="00DF029C" w:rsidRPr="00E046F3">
        <w:rPr>
          <w:rFonts w:ascii="Times New Roman" w:hAnsi="Times New Roman"/>
          <w:lang w:val="en-GB"/>
        </w:rPr>
        <w:t xml:space="preserve"> </w:t>
      </w:r>
      <w:r w:rsidR="63B9A142" w:rsidRPr="006627CF">
        <w:rPr>
          <w:rFonts w:ascii="Times New Roman" w:hAnsi="Times New Roman"/>
          <w:lang w:val="en-GB"/>
        </w:rPr>
        <w:t>call to make full and efficient use of trade defence instruments</w:t>
      </w:r>
      <w:r w:rsidRPr="006627CF">
        <w:rPr>
          <w:rFonts w:ascii="Times New Roman" w:hAnsi="Times New Roman"/>
          <w:lang w:val="en-GB"/>
        </w:rPr>
        <w:t xml:space="preserve"> stated in </w:t>
      </w:r>
      <w:r w:rsidRPr="006627CF">
        <w:rPr>
          <w:rFonts w:ascii="Times New Roman" w:hAnsi="Times New Roman"/>
          <w:b/>
          <w:bCs/>
          <w:lang w:val="en-GB"/>
        </w:rPr>
        <w:t>paragraph 11</w:t>
      </w:r>
      <w:r w:rsidRPr="006627CF">
        <w:rPr>
          <w:rFonts w:ascii="Times New Roman" w:hAnsi="Times New Roman"/>
          <w:lang w:val="en-GB"/>
        </w:rPr>
        <w:t>,</w:t>
      </w:r>
      <w:r w:rsidR="63B9A142" w:rsidRPr="006627CF">
        <w:rPr>
          <w:rFonts w:ascii="Times New Roman" w:hAnsi="Times New Roman"/>
          <w:lang w:val="en-GB"/>
        </w:rPr>
        <w:t xml:space="preserve"> the Commission reiterates its full commitment to a robust application of the trade defence instruments to tackle unfair trade. </w:t>
      </w:r>
      <w:r w:rsidR="00BC7C87">
        <w:rPr>
          <w:rFonts w:ascii="Times New Roman" w:hAnsi="Times New Roman"/>
          <w:lang w:val="en-GB"/>
        </w:rPr>
        <w:t>At</w:t>
      </w:r>
      <w:r w:rsidR="63B9A142" w:rsidRPr="006627CF">
        <w:rPr>
          <w:rFonts w:ascii="Times New Roman" w:hAnsi="Times New Roman"/>
          <w:lang w:val="en-GB"/>
        </w:rPr>
        <w:t xml:space="preserve"> present there are more than 210 measures in force protecting over 640,000 jobs in the EU and that 2024 saw a high number of new investigations initiated (33), which is indicative of the Commission’s intent to act when there are allegations of unfairly traded imports damaging EU producers.</w:t>
      </w:r>
      <w:r w:rsidRPr="006627CF">
        <w:rPr>
          <w:rFonts w:ascii="Times New Roman" w:hAnsi="Times New Roman"/>
          <w:lang w:val="en-GB"/>
        </w:rPr>
        <w:t xml:space="preserve"> </w:t>
      </w:r>
      <w:proofErr w:type="gramStart"/>
      <w:r w:rsidRPr="006627CF">
        <w:rPr>
          <w:rFonts w:ascii="Times New Roman" w:hAnsi="Times New Roman"/>
          <w:lang w:val="en-GB"/>
        </w:rPr>
        <w:t>W</w:t>
      </w:r>
      <w:r w:rsidR="63B9A142" w:rsidRPr="006627CF">
        <w:rPr>
          <w:rFonts w:ascii="Times New Roman" w:hAnsi="Times New Roman"/>
          <w:lang w:val="en-GB"/>
        </w:rPr>
        <w:t>ith regard to</w:t>
      </w:r>
      <w:proofErr w:type="gramEnd"/>
      <w:r w:rsidR="63B9A142" w:rsidRPr="006627CF">
        <w:rPr>
          <w:rFonts w:ascii="Times New Roman" w:hAnsi="Times New Roman"/>
          <w:lang w:val="en-GB"/>
        </w:rPr>
        <w:t xml:space="preserve"> the call to engage with the U</w:t>
      </w:r>
      <w:r w:rsidR="12D1B12A" w:rsidRPr="006627CF">
        <w:rPr>
          <w:rFonts w:ascii="Times New Roman" w:hAnsi="Times New Roman"/>
          <w:lang w:val="en-GB"/>
        </w:rPr>
        <w:t xml:space="preserve">nited </w:t>
      </w:r>
      <w:r w:rsidR="63B9A142" w:rsidRPr="006627CF">
        <w:rPr>
          <w:rFonts w:ascii="Times New Roman" w:hAnsi="Times New Roman"/>
          <w:lang w:val="en-GB"/>
        </w:rPr>
        <w:t>S</w:t>
      </w:r>
      <w:r w:rsidR="12D1B12A" w:rsidRPr="006627CF">
        <w:rPr>
          <w:rFonts w:ascii="Times New Roman" w:hAnsi="Times New Roman"/>
          <w:lang w:val="en-GB"/>
        </w:rPr>
        <w:t>tates (US)</w:t>
      </w:r>
      <w:r w:rsidR="63B9A142" w:rsidRPr="006627CF">
        <w:rPr>
          <w:rFonts w:ascii="Times New Roman" w:hAnsi="Times New Roman"/>
          <w:lang w:val="en-GB"/>
        </w:rPr>
        <w:t xml:space="preserve"> in relation to the announced tariffs on EU imports and avoid any harmful escalation,</w:t>
      </w:r>
      <w:r w:rsidRPr="006627CF">
        <w:rPr>
          <w:rFonts w:ascii="Times New Roman" w:hAnsi="Times New Roman"/>
          <w:lang w:val="en-GB"/>
        </w:rPr>
        <w:t xml:space="preserve"> stated in the same paragraph,</w:t>
      </w:r>
      <w:r w:rsidR="63B9A142" w:rsidRPr="006627CF">
        <w:rPr>
          <w:rFonts w:ascii="Times New Roman" w:hAnsi="Times New Roman"/>
          <w:lang w:val="en-GB"/>
        </w:rPr>
        <w:t xml:space="preserve"> the Commission </w:t>
      </w:r>
      <w:r w:rsidR="00253316" w:rsidRPr="00253316">
        <w:rPr>
          <w:rFonts w:ascii="Times New Roman" w:hAnsi="Times New Roman"/>
          <w:b/>
          <w:bCs/>
          <w:lang w:val="en-US"/>
        </w:rPr>
        <w:t>refers to the deal on tariffs and trade announced on 27 July</w:t>
      </w:r>
      <w:r w:rsidR="00253316" w:rsidRPr="00253316">
        <w:rPr>
          <w:rFonts w:ascii="Times New Roman" w:hAnsi="Times New Roman"/>
          <w:lang w:val="en-US"/>
        </w:rPr>
        <w:t>.”</w:t>
      </w:r>
    </w:p>
    <w:p w14:paraId="0C1B65A3" w14:textId="7E1AFCA5" w:rsidR="00F85EE4" w:rsidRPr="006627CF" w:rsidRDefault="73744B96" w:rsidP="009A4264">
      <w:pPr>
        <w:widowControl w:val="0"/>
        <w:rPr>
          <w:rFonts w:ascii="Times New Roman" w:hAnsi="Times New Roman"/>
          <w:bCs/>
          <w:iCs/>
          <w:szCs w:val="24"/>
          <w:lang w:val="en-GB"/>
        </w:rPr>
      </w:pPr>
      <w:r w:rsidRPr="006627CF">
        <w:rPr>
          <w:rFonts w:ascii="Times New Roman" w:hAnsi="Times New Roman"/>
          <w:lang w:val="en-GB"/>
        </w:rPr>
        <w:t>With regard to the steel indu</w:t>
      </w:r>
      <w:r w:rsidR="27EF2E19" w:rsidRPr="006627CF">
        <w:rPr>
          <w:rFonts w:ascii="Times New Roman" w:hAnsi="Times New Roman"/>
          <w:lang w:val="en-GB"/>
        </w:rPr>
        <w:t>s</w:t>
      </w:r>
      <w:r w:rsidRPr="006627CF">
        <w:rPr>
          <w:rFonts w:ascii="Times New Roman" w:hAnsi="Times New Roman"/>
          <w:lang w:val="en-GB"/>
        </w:rPr>
        <w:t xml:space="preserve">try, </w:t>
      </w:r>
      <w:r w:rsidR="0B29FE79" w:rsidRPr="006627CF">
        <w:rPr>
          <w:rFonts w:ascii="Times New Roman" w:hAnsi="Times New Roman"/>
          <w:lang w:val="en-GB"/>
        </w:rPr>
        <w:t>in the Autumn</w:t>
      </w:r>
      <w:r w:rsidR="00C80F08" w:rsidRPr="006627CF">
        <w:rPr>
          <w:rFonts w:ascii="Times New Roman" w:hAnsi="Times New Roman"/>
          <w:lang w:val="en-GB"/>
        </w:rPr>
        <w:t>,</w:t>
      </w:r>
      <w:r w:rsidR="0B29FE79" w:rsidRPr="006627CF">
        <w:rPr>
          <w:rFonts w:ascii="Times New Roman" w:hAnsi="Times New Roman"/>
          <w:lang w:val="en-GB"/>
        </w:rPr>
        <w:t xml:space="preserve"> </w:t>
      </w:r>
      <w:r w:rsidRPr="006627CF">
        <w:rPr>
          <w:rFonts w:ascii="Times New Roman" w:hAnsi="Times New Roman"/>
          <w:lang w:val="en-GB"/>
        </w:rPr>
        <w:t xml:space="preserve">the Commission </w:t>
      </w:r>
      <w:r w:rsidR="49F13ADE" w:rsidRPr="006627CF">
        <w:rPr>
          <w:rFonts w:ascii="Times New Roman" w:hAnsi="Times New Roman"/>
          <w:lang w:val="en-GB"/>
        </w:rPr>
        <w:t xml:space="preserve">will propose a long-term measure </w:t>
      </w:r>
      <w:r w:rsidR="415AC712" w:rsidRPr="006627CF">
        <w:rPr>
          <w:rFonts w:ascii="Times New Roman" w:hAnsi="Times New Roman"/>
          <w:lang w:val="en-GB"/>
        </w:rPr>
        <w:t xml:space="preserve">to replace the current </w:t>
      </w:r>
      <w:r w:rsidR="53952737" w:rsidRPr="006627CF">
        <w:rPr>
          <w:rFonts w:ascii="Times New Roman" w:hAnsi="Times New Roman"/>
          <w:lang w:val="en-GB"/>
        </w:rPr>
        <w:t xml:space="preserve">steel </w:t>
      </w:r>
      <w:r w:rsidR="415AC712" w:rsidRPr="006627CF">
        <w:rPr>
          <w:rFonts w:ascii="Times New Roman" w:hAnsi="Times New Roman"/>
          <w:lang w:val="en-GB"/>
        </w:rPr>
        <w:t xml:space="preserve">safeguards, </w:t>
      </w:r>
      <w:r w:rsidR="49F13ADE" w:rsidRPr="006627CF">
        <w:rPr>
          <w:rFonts w:ascii="Times New Roman" w:hAnsi="Times New Roman"/>
          <w:lang w:val="en-GB"/>
        </w:rPr>
        <w:t>providing a</w:t>
      </w:r>
      <w:r w:rsidR="33121D4E" w:rsidRPr="006627CF">
        <w:rPr>
          <w:rFonts w:ascii="Times New Roman" w:hAnsi="Times New Roman"/>
          <w:lang w:val="en-GB"/>
        </w:rPr>
        <w:t>n effective</w:t>
      </w:r>
      <w:r w:rsidR="49F13ADE" w:rsidRPr="006627CF">
        <w:rPr>
          <w:rFonts w:ascii="Times New Roman" w:hAnsi="Times New Roman"/>
          <w:lang w:val="en-GB"/>
        </w:rPr>
        <w:t xml:space="preserve"> protection to the EU’s </w:t>
      </w:r>
      <w:r w:rsidR="5F770584" w:rsidRPr="006627CF">
        <w:rPr>
          <w:rFonts w:ascii="Times New Roman" w:hAnsi="Times New Roman"/>
          <w:lang w:val="en-GB"/>
        </w:rPr>
        <w:t xml:space="preserve">steel </w:t>
      </w:r>
      <w:r w:rsidR="046BD140" w:rsidRPr="006627CF">
        <w:rPr>
          <w:rFonts w:ascii="Times New Roman" w:hAnsi="Times New Roman"/>
          <w:lang w:val="en-GB"/>
        </w:rPr>
        <w:t>sector</w:t>
      </w:r>
      <w:r w:rsidR="5F770584" w:rsidRPr="006627CF">
        <w:rPr>
          <w:rFonts w:ascii="Times New Roman" w:hAnsi="Times New Roman"/>
          <w:lang w:val="en-GB"/>
        </w:rPr>
        <w:t xml:space="preserve">, as it faces intense pressure from global overcapacity, rising exports from China, and increasing trade barriers in key markets like the US. </w:t>
      </w:r>
      <w:r w:rsidR="005C2E77" w:rsidRPr="006627CF">
        <w:rPr>
          <w:rFonts w:ascii="Times New Roman" w:hAnsi="Times New Roman"/>
          <w:bCs/>
          <w:iCs/>
          <w:szCs w:val="24"/>
          <w:lang w:val="en-GB"/>
        </w:rPr>
        <w:t>W</w:t>
      </w:r>
      <w:r w:rsidR="00F85EE4" w:rsidRPr="006627CF">
        <w:rPr>
          <w:rFonts w:ascii="Times New Roman" w:hAnsi="Times New Roman"/>
          <w:bCs/>
          <w:iCs/>
          <w:szCs w:val="24"/>
          <w:lang w:val="en-GB"/>
        </w:rPr>
        <w:t xml:space="preserve">ith regard to the </w:t>
      </w:r>
      <w:r w:rsidR="00DF029C">
        <w:rPr>
          <w:rFonts w:ascii="Times New Roman" w:hAnsi="Times New Roman"/>
          <w:lang w:val="en-GB"/>
        </w:rPr>
        <w:t>Parliament’s</w:t>
      </w:r>
      <w:r w:rsidR="00DF029C" w:rsidRPr="006627CF">
        <w:rPr>
          <w:rFonts w:ascii="Times New Roman" w:hAnsi="Times New Roman"/>
          <w:bCs/>
          <w:iCs/>
          <w:szCs w:val="24"/>
          <w:lang w:val="en-GB"/>
        </w:rPr>
        <w:t xml:space="preserve"> </w:t>
      </w:r>
      <w:r w:rsidR="00F85EE4" w:rsidRPr="006627CF">
        <w:rPr>
          <w:rFonts w:ascii="Times New Roman" w:hAnsi="Times New Roman"/>
          <w:bCs/>
          <w:iCs/>
          <w:szCs w:val="24"/>
          <w:lang w:val="en-GB"/>
        </w:rPr>
        <w:t>call to address the risks of resource shuffling and circumvention of the CBAM</w:t>
      </w:r>
      <w:r w:rsidR="009A4264" w:rsidRPr="006627CF">
        <w:rPr>
          <w:rFonts w:ascii="Times New Roman" w:hAnsi="Times New Roman"/>
          <w:bCs/>
          <w:iCs/>
          <w:szCs w:val="24"/>
          <w:lang w:val="en-GB"/>
        </w:rPr>
        <w:t xml:space="preserve"> as well as</w:t>
      </w:r>
      <w:r w:rsidR="00F85EE4" w:rsidRPr="006627CF">
        <w:rPr>
          <w:rFonts w:ascii="Times New Roman" w:hAnsi="Times New Roman"/>
          <w:bCs/>
          <w:iCs/>
          <w:szCs w:val="24"/>
          <w:lang w:val="en-GB"/>
        </w:rPr>
        <w:t xml:space="preserve"> for the implementation of an effective solution for EU exporters and an analysis of the possible extension to further sectors and downstream products, preceded by an impact assessment</w:t>
      </w:r>
      <w:r w:rsidR="005C2E77" w:rsidRPr="006627CF">
        <w:rPr>
          <w:rFonts w:ascii="Times New Roman" w:hAnsi="Times New Roman"/>
          <w:bCs/>
          <w:iCs/>
          <w:szCs w:val="24"/>
          <w:lang w:val="en-GB"/>
        </w:rPr>
        <w:t xml:space="preserve"> (</w:t>
      </w:r>
      <w:r w:rsidR="005C2E77" w:rsidRPr="006627CF">
        <w:rPr>
          <w:rFonts w:ascii="Times New Roman" w:hAnsi="Times New Roman"/>
          <w:b/>
          <w:iCs/>
          <w:szCs w:val="24"/>
          <w:lang w:val="en-GB"/>
        </w:rPr>
        <w:t>paragraph 12</w:t>
      </w:r>
      <w:r w:rsidR="005C2E77" w:rsidRPr="006627CF">
        <w:rPr>
          <w:rFonts w:ascii="Times New Roman" w:hAnsi="Times New Roman"/>
          <w:bCs/>
          <w:iCs/>
          <w:szCs w:val="24"/>
          <w:lang w:val="en-GB"/>
        </w:rPr>
        <w:t>)</w:t>
      </w:r>
      <w:r w:rsidR="009A4264" w:rsidRPr="006627CF">
        <w:rPr>
          <w:rFonts w:ascii="Times New Roman" w:hAnsi="Times New Roman"/>
          <w:bCs/>
          <w:iCs/>
          <w:szCs w:val="24"/>
          <w:lang w:val="en-GB"/>
        </w:rPr>
        <w:t>, the Commission recalls</w:t>
      </w:r>
      <w:r w:rsidR="00D80410">
        <w:rPr>
          <w:rFonts w:ascii="Times New Roman" w:hAnsi="Times New Roman"/>
          <w:bCs/>
          <w:iCs/>
          <w:szCs w:val="24"/>
          <w:lang w:val="en-GB"/>
        </w:rPr>
        <w:t xml:space="preserve"> that</w:t>
      </w:r>
      <w:r w:rsidR="009A4264" w:rsidRPr="006627CF">
        <w:rPr>
          <w:rFonts w:ascii="Times New Roman" w:hAnsi="Times New Roman"/>
          <w:bCs/>
          <w:iCs/>
          <w:szCs w:val="24"/>
          <w:lang w:val="en-GB"/>
        </w:rPr>
        <w:t xml:space="preserve">, as </w:t>
      </w:r>
      <w:r w:rsidR="00D80410">
        <w:rPr>
          <w:rFonts w:ascii="Times New Roman" w:hAnsi="Times New Roman"/>
          <w:bCs/>
          <w:iCs/>
          <w:szCs w:val="24"/>
          <w:lang w:val="en-GB"/>
        </w:rPr>
        <w:t xml:space="preserve">previously </w:t>
      </w:r>
      <w:r w:rsidR="009A4264" w:rsidRPr="006627CF">
        <w:rPr>
          <w:rFonts w:ascii="Times New Roman" w:hAnsi="Times New Roman"/>
          <w:bCs/>
          <w:iCs/>
          <w:szCs w:val="24"/>
          <w:lang w:val="en-GB"/>
        </w:rPr>
        <w:t>announced in the Steel and Metals Action Plan</w:t>
      </w:r>
      <w:r w:rsidR="00275FEE" w:rsidRPr="006627CF">
        <w:rPr>
          <w:rFonts w:ascii="Times New Roman" w:hAnsi="Times New Roman"/>
          <w:bCs/>
          <w:iCs/>
          <w:szCs w:val="24"/>
          <w:lang w:val="en-GB"/>
        </w:rPr>
        <w:t xml:space="preserve"> (SMAP)</w:t>
      </w:r>
      <w:r w:rsidR="009A4264" w:rsidRPr="006627CF">
        <w:rPr>
          <w:rFonts w:ascii="Times New Roman" w:hAnsi="Times New Roman"/>
          <w:bCs/>
          <w:iCs/>
          <w:szCs w:val="24"/>
          <w:lang w:val="en-GB"/>
        </w:rPr>
        <w:t xml:space="preserve">, it </w:t>
      </w:r>
      <w:r w:rsidR="00D80410">
        <w:rPr>
          <w:rFonts w:ascii="Times New Roman" w:hAnsi="Times New Roman"/>
          <w:bCs/>
          <w:iCs/>
          <w:szCs w:val="24"/>
          <w:lang w:val="en-GB"/>
        </w:rPr>
        <w:t>has</w:t>
      </w:r>
      <w:r w:rsidR="009A4264" w:rsidRPr="006627CF">
        <w:rPr>
          <w:rFonts w:ascii="Times New Roman" w:hAnsi="Times New Roman"/>
          <w:bCs/>
          <w:iCs/>
          <w:szCs w:val="24"/>
          <w:lang w:val="en-GB"/>
        </w:rPr>
        <w:t xml:space="preserve"> issue</w:t>
      </w:r>
      <w:r w:rsidR="00D80410">
        <w:rPr>
          <w:rFonts w:ascii="Times New Roman" w:hAnsi="Times New Roman"/>
          <w:bCs/>
          <w:iCs/>
          <w:szCs w:val="24"/>
          <w:lang w:val="en-GB"/>
        </w:rPr>
        <w:t>d</w:t>
      </w:r>
      <w:r w:rsidR="009A4264" w:rsidRPr="006627CF">
        <w:rPr>
          <w:rFonts w:ascii="Times New Roman" w:hAnsi="Times New Roman"/>
          <w:bCs/>
          <w:iCs/>
          <w:szCs w:val="24"/>
          <w:lang w:val="en-GB"/>
        </w:rPr>
        <w:t xml:space="preserve"> a communication</w:t>
      </w:r>
      <w:r w:rsidR="00FD3C0D" w:rsidRPr="006627CF">
        <w:rPr>
          <w:rFonts w:ascii="Times New Roman" w:hAnsi="Times New Roman"/>
          <w:bCs/>
          <w:iCs/>
          <w:szCs w:val="24"/>
          <w:lang w:val="en-GB"/>
        </w:rPr>
        <w:t xml:space="preserve"> on the implementation of Clean Industrial Deal</w:t>
      </w:r>
      <w:r w:rsidR="00D80410">
        <w:rPr>
          <w:rFonts w:ascii="Times New Roman" w:hAnsi="Times New Roman"/>
          <w:bCs/>
          <w:iCs/>
          <w:szCs w:val="24"/>
          <w:lang w:val="en-GB"/>
        </w:rPr>
        <w:t xml:space="preserve"> on 2 July 2025,</w:t>
      </w:r>
      <w:r w:rsidR="009A4264" w:rsidRPr="006627CF">
        <w:rPr>
          <w:rFonts w:ascii="Times New Roman" w:hAnsi="Times New Roman"/>
          <w:bCs/>
          <w:iCs/>
          <w:szCs w:val="24"/>
          <w:lang w:val="en-GB"/>
        </w:rPr>
        <w:t xml:space="preserve"> </w:t>
      </w:r>
      <w:r w:rsidR="00FD3C0D" w:rsidRPr="006627CF">
        <w:rPr>
          <w:rFonts w:ascii="Times New Roman" w:hAnsi="Times New Roman"/>
          <w:bCs/>
          <w:iCs/>
          <w:szCs w:val="24"/>
          <w:lang w:val="en-GB"/>
        </w:rPr>
        <w:t>including an</w:t>
      </w:r>
      <w:r w:rsidR="009A4264" w:rsidRPr="006627CF">
        <w:rPr>
          <w:rFonts w:ascii="Times New Roman" w:hAnsi="Times New Roman"/>
          <w:bCs/>
          <w:iCs/>
          <w:szCs w:val="24"/>
          <w:lang w:val="en-GB"/>
        </w:rPr>
        <w:t xml:space="preserve"> option on how to address the problem of carbon leakage for goods </w:t>
      </w:r>
      <w:r w:rsidR="00D80410">
        <w:rPr>
          <w:rFonts w:ascii="Times New Roman" w:hAnsi="Times New Roman"/>
          <w:bCs/>
          <w:iCs/>
          <w:szCs w:val="24"/>
          <w:lang w:val="en-GB"/>
        </w:rPr>
        <w:t xml:space="preserve">covered by the </w:t>
      </w:r>
      <w:r w:rsidR="00D80410" w:rsidRPr="006627CF">
        <w:rPr>
          <w:rFonts w:ascii="Times New Roman" w:hAnsi="Times New Roman"/>
          <w:bCs/>
          <w:iCs/>
          <w:szCs w:val="24"/>
          <w:lang w:val="en-GB"/>
        </w:rPr>
        <w:t>C</w:t>
      </w:r>
      <w:r w:rsidR="00D80410">
        <w:rPr>
          <w:rFonts w:ascii="Times New Roman" w:hAnsi="Times New Roman"/>
          <w:bCs/>
          <w:iCs/>
          <w:szCs w:val="24"/>
          <w:lang w:val="en-GB"/>
        </w:rPr>
        <w:t xml:space="preserve">arbon </w:t>
      </w:r>
      <w:r w:rsidR="00D80410" w:rsidRPr="006627CF">
        <w:rPr>
          <w:rFonts w:ascii="Times New Roman" w:hAnsi="Times New Roman"/>
          <w:bCs/>
          <w:iCs/>
          <w:szCs w:val="24"/>
          <w:lang w:val="en-GB"/>
        </w:rPr>
        <w:t>B</w:t>
      </w:r>
      <w:r w:rsidR="00D80410">
        <w:rPr>
          <w:rFonts w:ascii="Times New Roman" w:hAnsi="Times New Roman"/>
          <w:bCs/>
          <w:iCs/>
          <w:szCs w:val="24"/>
          <w:lang w:val="en-GB"/>
        </w:rPr>
        <w:t xml:space="preserve">order </w:t>
      </w:r>
      <w:r w:rsidR="00D80410" w:rsidRPr="006627CF">
        <w:rPr>
          <w:rFonts w:ascii="Times New Roman" w:hAnsi="Times New Roman"/>
          <w:bCs/>
          <w:iCs/>
          <w:szCs w:val="24"/>
          <w:lang w:val="en-GB"/>
        </w:rPr>
        <w:t>A</w:t>
      </w:r>
      <w:r w:rsidR="00D80410">
        <w:rPr>
          <w:rFonts w:ascii="Times New Roman" w:hAnsi="Times New Roman"/>
          <w:bCs/>
          <w:iCs/>
          <w:szCs w:val="24"/>
          <w:lang w:val="en-GB"/>
        </w:rPr>
        <w:t xml:space="preserve">djustment </w:t>
      </w:r>
      <w:r w:rsidR="00D80410" w:rsidRPr="006627CF">
        <w:rPr>
          <w:rFonts w:ascii="Times New Roman" w:hAnsi="Times New Roman"/>
          <w:bCs/>
          <w:iCs/>
          <w:szCs w:val="24"/>
          <w:lang w:val="en-GB"/>
        </w:rPr>
        <w:t>M</w:t>
      </w:r>
      <w:r w:rsidR="00D80410">
        <w:rPr>
          <w:rFonts w:ascii="Times New Roman" w:hAnsi="Times New Roman"/>
          <w:bCs/>
          <w:iCs/>
          <w:szCs w:val="24"/>
          <w:lang w:val="en-GB"/>
        </w:rPr>
        <w:t>echanism (CBAM)</w:t>
      </w:r>
      <w:r w:rsidR="00D80410" w:rsidRPr="006627CF">
        <w:rPr>
          <w:rFonts w:ascii="Times New Roman" w:hAnsi="Times New Roman"/>
          <w:bCs/>
          <w:iCs/>
          <w:szCs w:val="24"/>
          <w:lang w:val="en-GB"/>
        </w:rPr>
        <w:t xml:space="preserve"> </w:t>
      </w:r>
      <w:r w:rsidR="00D80410">
        <w:rPr>
          <w:rFonts w:ascii="Times New Roman" w:hAnsi="Times New Roman"/>
          <w:bCs/>
          <w:iCs/>
          <w:szCs w:val="24"/>
          <w:lang w:val="en-GB"/>
        </w:rPr>
        <w:t xml:space="preserve">and </w:t>
      </w:r>
      <w:r w:rsidR="009A4264" w:rsidRPr="006627CF">
        <w:rPr>
          <w:rFonts w:ascii="Times New Roman" w:hAnsi="Times New Roman"/>
          <w:bCs/>
          <w:iCs/>
          <w:szCs w:val="24"/>
          <w:lang w:val="en-GB"/>
        </w:rPr>
        <w:t xml:space="preserve">exported from the EU to third countries. The </w:t>
      </w:r>
      <w:r w:rsidR="00275FEE" w:rsidRPr="006627CF">
        <w:rPr>
          <w:rFonts w:ascii="Times New Roman" w:hAnsi="Times New Roman"/>
          <w:bCs/>
          <w:iCs/>
          <w:szCs w:val="24"/>
          <w:lang w:val="en-GB"/>
        </w:rPr>
        <w:t>SMAP</w:t>
      </w:r>
      <w:r w:rsidR="009A4264" w:rsidRPr="006627CF">
        <w:rPr>
          <w:rFonts w:ascii="Times New Roman" w:hAnsi="Times New Roman"/>
          <w:bCs/>
          <w:iCs/>
          <w:szCs w:val="24"/>
          <w:lang w:val="en-GB"/>
        </w:rPr>
        <w:t xml:space="preserve"> furthermore announced that by Q4 2025, the Commission will conduct a comprehensive review of CBAM, which will be accompanied by an anti-circumvention strategy and by a first legislative proposal to extend the scope of CBAM to certain steel and aluminium-intensive downstream products. </w:t>
      </w:r>
      <w:r w:rsidR="00D80410">
        <w:rPr>
          <w:rFonts w:ascii="Times New Roman" w:hAnsi="Times New Roman"/>
          <w:bCs/>
          <w:iCs/>
          <w:szCs w:val="24"/>
          <w:lang w:val="en-GB"/>
        </w:rPr>
        <w:t>This</w:t>
      </w:r>
      <w:r w:rsidR="009A4264" w:rsidRPr="006627CF">
        <w:rPr>
          <w:rFonts w:ascii="Times New Roman" w:hAnsi="Times New Roman"/>
          <w:bCs/>
          <w:iCs/>
          <w:szCs w:val="24"/>
          <w:lang w:val="en-GB"/>
        </w:rPr>
        <w:t xml:space="preserve"> proposal will build on an impact assessment.</w:t>
      </w:r>
    </w:p>
    <w:p w14:paraId="2599A16C" w14:textId="24913805" w:rsidR="009A4264" w:rsidRPr="006627CF" w:rsidRDefault="005C2E77" w:rsidP="00DD48A1">
      <w:pPr>
        <w:widowControl w:val="0"/>
        <w:spacing w:line="259" w:lineRule="auto"/>
        <w:rPr>
          <w:rFonts w:ascii="Times New Roman" w:hAnsi="Times New Roman"/>
          <w:lang w:val="en-GB"/>
        </w:rPr>
      </w:pPr>
      <w:r w:rsidRPr="006627CF">
        <w:rPr>
          <w:rFonts w:ascii="Times New Roman" w:hAnsi="Times New Roman"/>
          <w:lang w:val="en-GB"/>
        </w:rPr>
        <w:t>Finally,</w:t>
      </w:r>
      <w:r w:rsidR="00165DE1" w:rsidRPr="006627CF">
        <w:rPr>
          <w:rFonts w:ascii="Times New Roman" w:hAnsi="Times New Roman"/>
          <w:lang w:val="en-GB"/>
        </w:rPr>
        <w:t xml:space="preserve"> with regard to the call</w:t>
      </w:r>
      <w:r w:rsidRPr="006627CF">
        <w:rPr>
          <w:rFonts w:ascii="Times New Roman" w:hAnsi="Times New Roman"/>
          <w:lang w:val="en-GB"/>
        </w:rPr>
        <w:t xml:space="preserve"> in </w:t>
      </w:r>
      <w:r w:rsidRPr="006627CF">
        <w:rPr>
          <w:rFonts w:ascii="Times New Roman" w:hAnsi="Times New Roman"/>
          <w:b/>
          <w:bCs/>
          <w:lang w:val="en-GB"/>
        </w:rPr>
        <w:t>paragraph 13</w:t>
      </w:r>
      <w:r w:rsidR="00165DE1" w:rsidRPr="006627CF">
        <w:rPr>
          <w:rFonts w:ascii="Times New Roman" w:hAnsi="Times New Roman"/>
          <w:lang w:val="en-GB"/>
        </w:rPr>
        <w:t xml:space="preserve"> for the creation of lead markets for clean and circular European products, the Commission recalls that, as announced in the </w:t>
      </w:r>
      <w:r w:rsidR="00275FEE" w:rsidRPr="006627CF">
        <w:rPr>
          <w:rFonts w:ascii="Times New Roman" w:hAnsi="Times New Roman"/>
          <w:lang w:val="en-GB"/>
        </w:rPr>
        <w:t>CID</w:t>
      </w:r>
      <w:r w:rsidR="00165DE1" w:rsidRPr="006627CF">
        <w:rPr>
          <w:rFonts w:ascii="Times New Roman" w:hAnsi="Times New Roman"/>
          <w:lang w:val="en-GB"/>
        </w:rPr>
        <w:t xml:space="preserve">, the upcoming </w:t>
      </w:r>
      <w:r w:rsidR="004E7244" w:rsidRPr="006627CF">
        <w:rPr>
          <w:rFonts w:ascii="Times New Roman" w:hAnsi="Times New Roman"/>
          <w:lang w:val="en-GB"/>
        </w:rPr>
        <w:t>Industrial Decarbonisation Accelerator Act</w:t>
      </w:r>
      <w:r w:rsidR="00165DE1" w:rsidRPr="006627CF">
        <w:rPr>
          <w:rFonts w:ascii="Times New Roman" w:hAnsi="Times New Roman"/>
          <w:lang w:val="en-GB"/>
        </w:rPr>
        <w:t xml:space="preserve"> </w:t>
      </w:r>
      <w:r w:rsidR="522AF6D7" w:rsidRPr="006627CF">
        <w:rPr>
          <w:rFonts w:ascii="Times New Roman" w:hAnsi="Times New Roman"/>
          <w:lang w:val="en-GB"/>
        </w:rPr>
        <w:t>seeks to</w:t>
      </w:r>
      <w:r w:rsidR="00165DE1" w:rsidRPr="006627CF">
        <w:rPr>
          <w:rFonts w:ascii="Times New Roman" w:hAnsi="Times New Roman"/>
          <w:lang w:val="en-GB"/>
        </w:rPr>
        <w:t xml:space="preserve"> create lead markets for the </w:t>
      </w:r>
      <w:r w:rsidR="00165DE1" w:rsidRPr="006627CF">
        <w:rPr>
          <w:rFonts w:ascii="Times New Roman" w:hAnsi="Times New Roman"/>
          <w:lang w:val="en-GB"/>
        </w:rPr>
        <w:lastRenderedPageBreak/>
        <w:t xml:space="preserve">development of European clean and resilient industrial technologies and products, while the European Steel and Metals Action Plan reiterates the commitment to include resilience and sustainability criteria to support the production of EU-made clean products. Similarly, the Automotive Action Plan states that the Act will propose that any public support benefitting the automotive industry should be made conditional on resilience and sustainability criteria, with the aim to boost the European production of key vehicle components. Furthermore, the Automotive Action Plan calls </w:t>
      </w:r>
      <w:r w:rsidR="19A89D20" w:rsidRPr="006627CF">
        <w:rPr>
          <w:rFonts w:ascii="Times New Roman" w:hAnsi="Times New Roman"/>
          <w:lang w:val="en-GB"/>
        </w:rPr>
        <w:t>for</w:t>
      </w:r>
      <w:r w:rsidR="1F4F64BA" w:rsidRPr="006627CF">
        <w:rPr>
          <w:rFonts w:ascii="Times New Roman" w:hAnsi="Times New Roman"/>
          <w:lang w:val="en-GB"/>
        </w:rPr>
        <w:t xml:space="preserve"> upcoming leg</w:t>
      </w:r>
      <w:r w:rsidR="7A323C01" w:rsidRPr="006627CF">
        <w:rPr>
          <w:rFonts w:ascii="Times New Roman" w:hAnsi="Times New Roman"/>
          <w:lang w:val="en-GB"/>
        </w:rPr>
        <w:t>i</w:t>
      </w:r>
      <w:r w:rsidR="1F4F64BA" w:rsidRPr="006627CF">
        <w:rPr>
          <w:rFonts w:ascii="Times New Roman" w:hAnsi="Times New Roman"/>
          <w:lang w:val="en-GB"/>
        </w:rPr>
        <w:t>slation, including</w:t>
      </w:r>
      <w:r w:rsidR="00165DE1" w:rsidRPr="006627CF">
        <w:rPr>
          <w:rFonts w:ascii="Times New Roman" w:hAnsi="Times New Roman"/>
          <w:lang w:val="en-GB"/>
        </w:rPr>
        <w:t xml:space="preserve"> the </w:t>
      </w:r>
      <w:r w:rsidR="004E7244" w:rsidRPr="006627CF">
        <w:rPr>
          <w:rFonts w:ascii="Times New Roman" w:hAnsi="Times New Roman"/>
          <w:lang w:val="en-GB"/>
        </w:rPr>
        <w:t>Industrial Decarbonisation Accelerator Act</w:t>
      </w:r>
      <w:r w:rsidR="7C820B0C" w:rsidRPr="006627CF">
        <w:rPr>
          <w:rFonts w:ascii="Times New Roman" w:hAnsi="Times New Roman"/>
          <w:lang w:val="en-GB"/>
        </w:rPr>
        <w:t xml:space="preserve"> or </w:t>
      </w:r>
      <w:r w:rsidR="00FD3C0D" w:rsidRPr="006627CF">
        <w:rPr>
          <w:rFonts w:ascii="Times New Roman" w:hAnsi="Times New Roman"/>
          <w:lang w:val="en-GB"/>
        </w:rPr>
        <w:t>the corporate fleets</w:t>
      </w:r>
      <w:r w:rsidR="729E3B8D" w:rsidRPr="006627CF">
        <w:rPr>
          <w:rFonts w:ascii="Times New Roman" w:hAnsi="Times New Roman"/>
          <w:lang w:val="en-GB"/>
        </w:rPr>
        <w:t>,</w:t>
      </w:r>
      <w:r w:rsidR="00165DE1" w:rsidRPr="006627CF">
        <w:rPr>
          <w:rFonts w:ascii="Times New Roman" w:hAnsi="Times New Roman"/>
          <w:lang w:val="en-GB"/>
        </w:rPr>
        <w:t xml:space="preserve"> to address European content requirements on battery cells and components in E</w:t>
      </w:r>
      <w:r w:rsidR="00275FEE" w:rsidRPr="006627CF">
        <w:rPr>
          <w:rFonts w:ascii="Times New Roman" w:hAnsi="Times New Roman"/>
          <w:lang w:val="en-GB"/>
        </w:rPr>
        <w:t xml:space="preserve">lectric </w:t>
      </w:r>
      <w:r w:rsidR="00165DE1" w:rsidRPr="006627CF">
        <w:rPr>
          <w:rFonts w:ascii="Times New Roman" w:hAnsi="Times New Roman"/>
          <w:lang w:val="en-GB"/>
        </w:rPr>
        <w:t>V</w:t>
      </w:r>
      <w:r w:rsidR="00275FEE" w:rsidRPr="006627CF">
        <w:rPr>
          <w:rFonts w:ascii="Times New Roman" w:hAnsi="Times New Roman"/>
          <w:lang w:val="en-GB"/>
        </w:rPr>
        <w:t>ehicle</w:t>
      </w:r>
      <w:r w:rsidR="00165DE1" w:rsidRPr="006627CF">
        <w:rPr>
          <w:rFonts w:ascii="Times New Roman" w:hAnsi="Times New Roman"/>
          <w:lang w:val="en-GB"/>
        </w:rPr>
        <w:t xml:space="preserve">s sold in the EU, in line with the Union’s international legal commitments. Finally, the </w:t>
      </w:r>
      <w:r w:rsidR="004E7244" w:rsidRPr="006627CF">
        <w:rPr>
          <w:rFonts w:ascii="Times New Roman" w:hAnsi="Times New Roman"/>
          <w:lang w:val="en-GB"/>
        </w:rPr>
        <w:t>Industrial Decarbonisation Accelerator Act</w:t>
      </w:r>
      <w:r w:rsidR="00165DE1" w:rsidRPr="006627CF">
        <w:rPr>
          <w:rFonts w:ascii="Times New Roman" w:hAnsi="Times New Roman"/>
          <w:lang w:val="en-GB"/>
        </w:rPr>
        <w:t xml:space="preserve"> will also develop a voluntary label on the carbon intensity of </w:t>
      </w:r>
      <w:r w:rsidR="007619B4" w:rsidRPr="006627CF">
        <w:rPr>
          <w:rFonts w:ascii="Times New Roman" w:hAnsi="Times New Roman"/>
          <w:lang w:val="en-GB"/>
        </w:rPr>
        <w:t>steel</w:t>
      </w:r>
      <w:r w:rsidR="00165DE1" w:rsidRPr="006627CF">
        <w:rPr>
          <w:rFonts w:ascii="Times New Roman" w:hAnsi="Times New Roman"/>
          <w:lang w:val="en-GB"/>
        </w:rPr>
        <w:t xml:space="preserve">, based on a simple methodology with ETS data and building on the CBAM methodology. In parallel, the Commission will continue working on developing comprehensive life-cycle assessments, building on the </w:t>
      </w:r>
      <w:r w:rsidR="004E7244" w:rsidRPr="006627CF">
        <w:rPr>
          <w:rFonts w:ascii="Times New Roman" w:hAnsi="Times New Roman"/>
          <w:lang w:val="en-GB"/>
        </w:rPr>
        <w:t>Industrial Decarbonisation Accelerator Act</w:t>
      </w:r>
      <w:r w:rsidR="00275FEE" w:rsidRPr="006627CF">
        <w:rPr>
          <w:rFonts w:ascii="Times New Roman" w:hAnsi="Times New Roman"/>
          <w:lang w:val="en-GB"/>
        </w:rPr>
        <w:t>’s</w:t>
      </w:r>
      <w:r w:rsidR="00165DE1" w:rsidRPr="006627CF">
        <w:rPr>
          <w:rFonts w:ascii="Times New Roman" w:hAnsi="Times New Roman"/>
          <w:lang w:val="en-GB"/>
        </w:rPr>
        <w:t xml:space="preserve"> voluntary label where relevant, in the context of existing legislation, like the </w:t>
      </w:r>
      <w:r w:rsidR="005F3239" w:rsidRPr="006627CF">
        <w:rPr>
          <w:rFonts w:ascii="Times New Roman" w:hAnsi="Times New Roman"/>
          <w:lang w:val="en-GB"/>
        </w:rPr>
        <w:t>Eco-design</w:t>
      </w:r>
      <w:r w:rsidR="00165DE1" w:rsidRPr="006627CF">
        <w:rPr>
          <w:rFonts w:ascii="Times New Roman" w:hAnsi="Times New Roman"/>
          <w:lang w:val="en-GB"/>
        </w:rPr>
        <w:t xml:space="preserve"> for Sustainable Products Regulation</w:t>
      </w:r>
      <w:r w:rsidR="00275FEE" w:rsidRPr="006627CF">
        <w:rPr>
          <w:rFonts w:ascii="Times New Roman" w:hAnsi="Times New Roman"/>
          <w:lang w:val="en-GB"/>
        </w:rPr>
        <w:t xml:space="preserve"> (ESPR)</w:t>
      </w:r>
      <w:r w:rsidR="00165DE1" w:rsidRPr="006627CF">
        <w:rPr>
          <w:rFonts w:ascii="Times New Roman" w:hAnsi="Times New Roman"/>
          <w:lang w:val="en-GB"/>
        </w:rPr>
        <w:t>. Furthermore</w:t>
      </w:r>
      <w:r w:rsidR="5433D7A7" w:rsidRPr="006627CF">
        <w:rPr>
          <w:rFonts w:ascii="Times New Roman" w:hAnsi="Times New Roman"/>
          <w:lang w:val="en-GB"/>
        </w:rPr>
        <w:t>,</w:t>
      </w:r>
      <w:r w:rsidR="00165DE1" w:rsidRPr="006627CF">
        <w:rPr>
          <w:rFonts w:ascii="Times New Roman" w:hAnsi="Times New Roman"/>
          <w:lang w:val="en-GB"/>
        </w:rPr>
        <w:t xml:space="preserve"> the Commission reaffirms its commitment to review the EU public procurement framework in 2026 with a view to introducing European preference criteria in EU public procurement for certain strategic technologies and sectors, while ensuring the competitiveness of tenders.</w:t>
      </w:r>
      <w:r w:rsidR="00525080" w:rsidRPr="006627CF">
        <w:rPr>
          <w:rFonts w:ascii="Times New Roman" w:hAnsi="Times New Roman"/>
          <w:lang w:val="en-GB"/>
        </w:rPr>
        <w:t xml:space="preserve"> </w:t>
      </w:r>
      <w:r w:rsidR="004B2FBC" w:rsidRPr="006627CF">
        <w:rPr>
          <w:rFonts w:ascii="Times New Roman" w:hAnsi="Times New Roman"/>
          <w:lang w:val="en-GB"/>
        </w:rPr>
        <w:t>Additionally, the Circular Economy Act (2026) will help create market demand for secondary materials, including through public procurement criteria, and a single market for waste, notably in relation to critical raw materials.</w:t>
      </w:r>
    </w:p>
    <w:sectPr w:rsidR="009A4264" w:rsidRPr="006627CF" w:rsidSect="000A07D2">
      <w:footerReference w:type="even" r:id="rId11"/>
      <w:footerReference w:type="default" r:id="rId12"/>
      <w:footerReference w:type="first" r:id="rId13"/>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82FE" w14:textId="77777777" w:rsidR="006E5A8F" w:rsidRDefault="006E5A8F">
      <w:r>
        <w:separator/>
      </w:r>
    </w:p>
  </w:endnote>
  <w:endnote w:type="continuationSeparator" w:id="0">
    <w:p w14:paraId="56810A5D" w14:textId="77777777" w:rsidR="006E5A8F" w:rsidRDefault="006E5A8F">
      <w:r>
        <w:continuationSeparator/>
      </w:r>
    </w:p>
  </w:endnote>
  <w:endnote w:type="continuationNotice" w:id="1">
    <w:p w14:paraId="13E7251C" w14:textId="77777777" w:rsidR="006E5A8F" w:rsidRDefault="006E5A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2E7D"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2A2D4688"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D304"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246D">
      <w:rPr>
        <w:rStyle w:val="PageNumber"/>
        <w:noProof/>
      </w:rPr>
      <w:t>2</w:t>
    </w:r>
    <w:r>
      <w:rPr>
        <w:rStyle w:val="PageNumber"/>
      </w:rPr>
      <w:fldChar w:fldCharType="end"/>
    </w:r>
  </w:p>
  <w:p w14:paraId="41D1F713"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2826"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4522" w14:textId="77777777" w:rsidR="006E5A8F" w:rsidRDefault="006E5A8F">
      <w:r>
        <w:separator/>
      </w:r>
    </w:p>
  </w:footnote>
  <w:footnote w:type="continuationSeparator" w:id="0">
    <w:p w14:paraId="73C161B1" w14:textId="77777777" w:rsidR="006E5A8F" w:rsidRDefault="006E5A8F">
      <w:r>
        <w:continuationSeparator/>
      </w:r>
    </w:p>
  </w:footnote>
  <w:footnote w:type="continuationNotice" w:id="1">
    <w:p w14:paraId="597F23E4" w14:textId="77777777" w:rsidR="006E5A8F" w:rsidRDefault="006E5A8F">
      <w:pPr>
        <w:spacing w:after="0"/>
      </w:pPr>
    </w:p>
  </w:footnote>
  <w:footnote w:id="2">
    <w:p w14:paraId="64649C0D" w14:textId="48379168" w:rsidR="007676F6" w:rsidRPr="007676F6" w:rsidRDefault="007676F6" w:rsidP="007676F6">
      <w:pPr>
        <w:pStyle w:val="FootnoteText"/>
        <w:rPr>
          <w:lang w:val="en-US"/>
        </w:rPr>
      </w:pPr>
      <w:r>
        <w:rPr>
          <w:rStyle w:val="FootnoteReference"/>
        </w:rPr>
        <w:footnoteRef/>
      </w:r>
      <w:r>
        <w:t xml:space="preserve"> </w:t>
      </w:r>
      <w:r w:rsidRPr="007676F6">
        <w:rPr>
          <w:rFonts w:ascii="Times New Roman" w:hAnsi="Times New Roman"/>
        </w:rPr>
        <w:t>COMMUNICATION TO THE COMMISSION</w:t>
      </w:r>
      <w:r>
        <w:rPr>
          <w:rFonts w:ascii="Times New Roman" w:hAnsi="Times New Roman"/>
        </w:rPr>
        <w:t xml:space="preserve"> </w:t>
      </w:r>
      <w:r w:rsidRPr="007676F6">
        <w:rPr>
          <w:rFonts w:ascii="Times New Roman" w:hAnsi="Times New Roman"/>
        </w:rPr>
        <w:t>Approval of the content of a draft Commission Notice on Guidelines on future proof</w:t>
      </w:r>
      <w:r>
        <w:rPr>
          <w:rFonts w:ascii="Times New Roman" w:hAnsi="Times New Roman"/>
        </w:rPr>
        <w:t xml:space="preserve"> </w:t>
      </w:r>
      <w:r w:rsidRPr="007676F6">
        <w:rPr>
          <w:rFonts w:ascii="Times New Roman" w:hAnsi="Times New Roman"/>
        </w:rPr>
        <w:t>network charges for reduced system costs</w:t>
      </w:r>
      <w:r>
        <w:rPr>
          <w:rFonts w:ascii="Times New Roman" w:hAnsi="Times New Roman"/>
        </w:rPr>
        <w:t xml:space="preserve">, </w:t>
      </w:r>
      <w:hyperlink r:id="rId1" w:history="1">
        <w:r w:rsidRPr="007676F6">
          <w:rPr>
            <w:rStyle w:val="Hyperlink"/>
            <w:rFonts w:ascii="Times New Roman" w:hAnsi="Times New Roman"/>
          </w:rPr>
          <w:t>C(2025) 4010 final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8"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5" w15:restartNumberingAfterBreak="0">
    <w:nsid w:val="746C1691"/>
    <w:multiLevelType w:val="hybridMultilevel"/>
    <w:tmpl w:val="014C1D4E"/>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1"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2"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150832569">
    <w:abstractNumId w:val="6"/>
  </w:num>
  <w:num w:numId="2" w16cid:durableId="68701762">
    <w:abstractNumId w:val="1"/>
  </w:num>
  <w:num w:numId="3" w16cid:durableId="1754735802">
    <w:abstractNumId w:val="31"/>
  </w:num>
  <w:num w:numId="4" w16cid:durableId="1227957657">
    <w:abstractNumId w:val="12"/>
  </w:num>
  <w:num w:numId="5" w16cid:durableId="677387260">
    <w:abstractNumId w:val="24"/>
  </w:num>
  <w:num w:numId="6" w16cid:durableId="848327859">
    <w:abstractNumId w:val="10"/>
  </w:num>
  <w:num w:numId="7" w16cid:durableId="1325164916">
    <w:abstractNumId w:val="5"/>
  </w:num>
  <w:num w:numId="8" w16cid:durableId="267197560">
    <w:abstractNumId w:val="15"/>
  </w:num>
  <w:num w:numId="9" w16cid:durableId="1749880813">
    <w:abstractNumId w:val="30"/>
  </w:num>
  <w:num w:numId="10" w16cid:durableId="1718238643">
    <w:abstractNumId w:val="20"/>
  </w:num>
  <w:num w:numId="11" w16cid:durableId="137453565">
    <w:abstractNumId w:val="22"/>
  </w:num>
  <w:num w:numId="12" w16cid:durableId="680864050">
    <w:abstractNumId w:val="11"/>
  </w:num>
  <w:num w:numId="13" w16cid:durableId="1432625048">
    <w:abstractNumId w:val="16"/>
  </w:num>
  <w:num w:numId="14" w16cid:durableId="1260718353">
    <w:abstractNumId w:val="26"/>
  </w:num>
  <w:num w:numId="15" w16cid:durableId="844831690">
    <w:abstractNumId w:val="14"/>
  </w:num>
  <w:num w:numId="16" w16cid:durableId="585503704">
    <w:abstractNumId w:val="32"/>
  </w:num>
  <w:num w:numId="17" w16cid:durableId="1741517002">
    <w:abstractNumId w:val="29"/>
  </w:num>
  <w:num w:numId="18" w16cid:durableId="1428886111">
    <w:abstractNumId w:val="18"/>
  </w:num>
  <w:num w:numId="19" w16cid:durableId="2083868533">
    <w:abstractNumId w:val="19"/>
  </w:num>
  <w:num w:numId="20" w16cid:durableId="285083076">
    <w:abstractNumId w:val="23"/>
  </w:num>
  <w:num w:numId="21" w16cid:durableId="1785004308">
    <w:abstractNumId w:val="3"/>
  </w:num>
  <w:num w:numId="22" w16cid:durableId="1039545777">
    <w:abstractNumId w:val="4"/>
  </w:num>
  <w:num w:numId="23" w16cid:durableId="1627814512">
    <w:abstractNumId w:val="17"/>
  </w:num>
  <w:num w:numId="24" w16cid:durableId="1361659577">
    <w:abstractNumId w:val="27"/>
  </w:num>
  <w:num w:numId="25" w16cid:durableId="1575358753">
    <w:abstractNumId w:val="9"/>
  </w:num>
  <w:num w:numId="26" w16cid:durableId="1032455577">
    <w:abstractNumId w:val="28"/>
  </w:num>
  <w:num w:numId="27" w16cid:durableId="1707874358">
    <w:abstractNumId w:val="8"/>
  </w:num>
  <w:num w:numId="28" w16cid:durableId="1767075215">
    <w:abstractNumId w:val="2"/>
  </w:num>
  <w:num w:numId="29" w16cid:durableId="644895030">
    <w:abstractNumId w:val="13"/>
  </w:num>
  <w:num w:numId="30" w16cid:durableId="1536578247">
    <w:abstractNumId w:val="21"/>
  </w:num>
  <w:num w:numId="31" w16cid:durableId="1770658978">
    <w:abstractNumId w:val="31"/>
  </w:num>
  <w:num w:numId="32" w16cid:durableId="116092698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Kit_DocumentHasBeenSaved" w:val="true"/>
    <w:docVar w:name="LW_DocType" w:val="TEL"/>
  </w:docVars>
  <w:rsids>
    <w:rsidRoot w:val="009A3DA0"/>
    <w:rsid w:val="00000080"/>
    <w:rsid w:val="000001DC"/>
    <w:rsid w:val="0000032F"/>
    <w:rsid w:val="00000397"/>
    <w:rsid w:val="00000468"/>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B32"/>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9F2"/>
    <w:rsid w:val="00021AEC"/>
    <w:rsid w:val="00021B43"/>
    <w:rsid w:val="00021BCD"/>
    <w:rsid w:val="00021EF0"/>
    <w:rsid w:val="00021FA4"/>
    <w:rsid w:val="0002207D"/>
    <w:rsid w:val="0002216F"/>
    <w:rsid w:val="000221F2"/>
    <w:rsid w:val="00022538"/>
    <w:rsid w:val="00022669"/>
    <w:rsid w:val="00022775"/>
    <w:rsid w:val="00022776"/>
    <w:rsid w:val="000227B8"/>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0F70"/>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15F"/>
    <w:rsid w:val="000434BD"/>
    <w:rsid w:val="000436A8"/>
    <w:rsid w:val="00043B7B"/>
    <w:rsid w:val="00043E36"/>
    <w:rsid w:val="000443C3"/>
    <w:rsid w:val="0004455F"/>
    <w:rsid w:val="00044806"/>
    <w:rsid w:val="00044A42"/>
    <w:rsid w:val="00044AB8"/>
    <w:rsid w:val="00045126"/>
    <w:rsid w:val="000454B2"/>
    <w:rsid w:val="0004574C"/>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0EC"/>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2C1"/>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163"/>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821"/>
    <w:rsid w:val="00083B96"/>
    <w:rsid w:val="00083EAD"/>
    <w:rsid w:val="00084044"/>
    <w:rsid w:val="00084211"/>
    <w:rsid w:val="00084419"/>
    <w:rsid w:val="0008449C"/>
    <w:rsid w:val="000845D7"/>
    <w:rsid w:val="000846F8"/>
    <w:rsid w:val="0008473F"/>
    <w:rsid w:val="00084B71"/>
    <w:rsid w:val="00084D1E"/>
    <w:rsid w:val="00084DFB"/>
    <w:rsid w:val="0008526A"/>
    <w:rsid w:val="000853EB"/>
    <w:rsid w:val="00085484"/>
    <w:rsid w:val="00085847"/>
    <w:rsid w:val="00085BE8"/>
    <w:rsid w:val="00085E04"/>
    <w:rsid w:val="0008608A"/>
    <w:rsid w:val="000863ED"/>
    <w:rsid w:val="00086911"/>
    <w:rsid w:val="00086C30"/>
    <w:rsid w:val="00086D5D"/>
    <w:rsid w:val="00086DA6"/>
    <w:rsid w:val="00087251"/>
    <w:rsid w:val="000875DD"/>
    <w:rsid w:val="00087C2A"/>
    <w:rsid w:val="00087E0A"/>
    <w:rsid w:val="00087F8F"/>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68"/>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34"/>
    <w:rsid w:val="000A09F3"/>
    <w:rsid w:val="000A0A19"/>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C5C"/>
    <w:rsid w:val="000A3DAD"/>
    <w:rsid w:val="000A3E2D"/>
    <w:rsid w:val="000A44D4"/>
    <w:rsid w:val="000A4524"/>
    <w:rsid w:val="000A4554"/>
    <w:rsid w:val="000A4A38"/>
    <w:rsid w:val="000A4B74"/>
    <w:rsid w:val="000A4C85"/>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87"/>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16E"/>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11"/>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BEC"/>
    <w:rsid w:val="000C4CD3"/>
    <w:rsid w:val="000C52B2"/>
    <w:rsid w:val="000C533C"/>
    <w:rsid w:val="000C53D3"/>
    <w:rsid w:val="000C53D4"/>
    <w:rsid w:val="000C5518"/>
    <w:rsid w:val="000C5720"/>
    <w:rsid w:val="000C5898"/>
    <w:rsid w:val="000C61AB"/>
    <w:rsid w:val="000C628E"/>
    <w:rsid w:val="000C6354"/>
    <w:rsid w:val="000C6577"/>
    <w:rsid w:val="000C6610"/>
    <w:rsid w:val="000C6902"/>
    <w:rsid w:val="000C69CA"/>
    <w:rsid w:val="000C6B93"/>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2AFB"/>
    <w:rsid w:val="000D333F"/>
    <w:rsid w:val="000D34BD"/>
    <w:rsid w:val="000D3537"/>
    <w:rsid w:val="000D37F7"/>
    <w:rsid w:val="000D38B0"/>
    <w:rsid w:val="000D390C"/>
    <w:rsid w:val="000D3A17"/>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E7F"/>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C35"/>
    <w:rsid w:val="000F6E53"/>
    <w:rsid w:val="000F7126"/>
    <w:rsid w:val="000F7275"/>
    <w:rsid w:val="000F75A8"/>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41"/>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93B"/>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478"/>
    <w:rsid w:val="001164DA"/>
    <w:rsid w:val="00116539"/>
    <w:rsid w:val="001166A1"/>
    <w:rsid w:val="00116823"/>
    <w:rsid w:val="00116AC9"/>
    <w:rsid w:val="00116B75"/>
    <w:rsid w:val="001174DA"/>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8B4"/>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7B5"/>
    <w:rsid w:val="00133885"/>
    <w:rsid w:val="00133938"/>
    <w:rsid w:val="0013397A"/>
    <w:rsid w:val="00133BE8"/>
    <w:rsid w:val="00133DBB"/>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0E53"/>
    <w:rsid w:val="00141418"/>
    <w:rsid w:val="001416BD"/>
    <w:rsid w:val="0014174F"/>
    <w:rsid w:val="00141A02"/>
    <w:rsid w:val="00141BBE"/>
    <w:rsid w:val="00141C08"/>
    <w:rsid w:val="00141CA1"/>
    <w:rsid w:val="0014201B"/>
    <w:rsid w:val="00142062"/>
    <w:rsid w:val="0014210A"/>
    <w:rsid w:val="00142485"/>
    <w:rsid w:val="0014296A"/>
    <w:rsid w:val="00143061"/>
    <w:rsid w:val="00143335"/>
    <w:rsid w:val="00143391"/>
    <w:rsid w:val="001438FC"/>
    <w:rsid w:val="00143DDE"/>
    <w:rsid w:val="00143E6D"/>
    <w:rsid w:val="00143F3D"/>
    <w:rsid w:val="0014413D"/>
    <w:rsid w:val="00145387"/>
    <w:rsid w:val="001454EE"/>
    <w:rsid w:val="00145AB8"/>
    <w:rsid w:val="00145BBD"/>
    <w:rsid w:val="00145D7D"/>
    <w:rsid w:val="001463CA"/>
    <w:rsid w:val="00146572"/>
    <w:rsid w:val="0014708A"/>
    <w:rsid w:val="00147197"/>
    <w:rsid w:val="001474D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4E2"/>
    <w:rsid w:val="001538A6"/>
    <w:rsid w:val="00153952"/>
    <w:rsid w:val="00153AD9"/>
    <w:rsid w:val="00153C3E"/>
    <w:rsid w:val="00153F3C"/>
    <w:rsid w:val="001540D4"/>
    <w:rsid w:val="00154153"/>
    <w:rsid w:val="00154223"/>
    <w:rsid w:val="00154492"/>
    <w:rsid w:val="001545E0"/>
    <w:rsid w:val="0015465C"/>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297E"/>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5DE1"/>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9FB"/>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32"/>
    <w:rsid w:val="00176697"/>
    <w:rsid w:val="001766DB"/>
    <w:rsid w:val="00176734"/>
    <w:rsid w:val="00176748"/>
    <w:rsid w:val="00176AFC"/>
    <w:rsid w:val="00176CAD"/>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0B23"/>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15"/>
    <w:rsid w:val="001932A6"/>
    <w:rsid w:val="0019344A"/>
    <w:rsid w:val="00193567"/>
    <w:rsid w:val="001937F9"/>
    <w:rsid w:val="001939BF"/>
    <w:rsid w:val="00193D1E"/>
    <w:rsid w:val="00193E17"/>
    <w:rsid w:val="00193FA0"/>
    <w:rsid w:val="0019484D"/>
    <w:rsid w:val="00194A0F"/>
    <w:rsid w:val="00194B51"/>
    <w:rsid w:val="00195512"/>
    <w:rsid w:val="00196088"/>
    <w:rsid w:val="001962D1"/>
    <w:rsid w:val="0019639D"/>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C90"/>
    <w:rsid w:val="001A7DB2"/>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6A8"/>
    <w:rsid w:val="001C580F"/>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532"/>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A98"/>
    <w:rsid w:val="001E0B9A"/>
    <w:rsid w:val="001E0C41"/>
    <w:rsid w:val="001E0CEF"/>
    <w:rsid w:val="001E0F6D"/>
    <w:rsid w:val="001E11CA"/>
    <w:rsid w:val="001E15FE"/>
    <w:rsid w:val="001E161D"/>
    <w:rsid w:val="001E1642"/>
    <w:rsid w:val="001E17B2"/>
    <w:rsid w:val="001E1BB8"/>
    <w:rsid w:val="001E2351"/>
    <w:rsid w:val="001E24A6"/>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C8D"/>
    <w:rsid w:val="001F1458"/>
    <w:rsid w:val="001F15A2"/>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02"/>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133"/>
    <w:rsid w:val="001F72B2"/>
    <w:rsid w:val="001F7666"/>
    <w:rsid w:val="001F7668"/>
    <w:rsid w:val="001F7CC6"/>
    <w:rsid w:val="001F7DD5"/>
    <w:rsid w:val="00200026"/>
    <w:rsid w:val="0020021A"/>
    <w:rsid w:val="00200333"/>
    <w:rsid w:val="002003F9"/>
    <w:rsid w:val="0020057E"/>
    <w:rsid w:val="00200596"/>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6BE"/>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15B"/>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5E7F"/>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6B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87E"/>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316"/>
    <w:rsid w:val="00253A58"/>
    <w:rsid w:val="00253F47"/>
    <w:rsid w:val="00253F7D"/>
    <w:rsid w:val="00253FB8"/>
    <w:rsid w:val="00254470"/>
    <w:rsid w:val="002544C2"/>
    <w:rsid w:val="0025459C"/>
    <w:rsid w:val="002546A9"/>
    <w:rsid w:val="00254775"/>
    <w:rsid w:val="00254CAB"/>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6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5B"/>
    <w:rsid w:val="00265CD1"/>
    <w:rsid w:val="00266140"/>
    <w:rsid w:val="0026615E"/>
    <w:rsid w:val="002664D5"/>
    <w:rsid w:val="002664FB"/>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86E"/>
    <w:rsid w:val="00274B6A"/>
    <w:rsid w:val="00274C62"/>
    <w:rsid w:val="00274E39"/>
    <w:rsid w:val="00274E49"/>
    <w:rsid w:val="00275026"/>
    <w:rsid w:val="0027504D"/>
    <w:rsid w:val="002750EB"/>
    <w:rsid w:val="0027528D"/>
    <w:rsid w:val="00275370"/>
    <w:rsid w:val="002756D4"/>
    <w:rsid w:val="002757FA"/>
    <w:rsid w:val="00275BAA"/>
    <w:rsid w:val="00275E50"/>
    <w:rsid w:val="00275FEE"/>
    <w:rsid w:val="00276574"/>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3A2"/>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0FF6"/>
    <w:rsid w:val="002910BF"/>
    <w:rsid w:val="002910E0"/>
    <w:rsid w:val="00291101"/>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16"/>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C11"/>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191"/>
    <w:rsid w:val="002A728E"/>
    <w:rsid w:val="002A7347"/>
    <w:rsid w:val="002A7559"/>
    <w:rsid w:val="002A75AE"/>
    <w:rsid w:val="002A7744"/>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1E3"/>
    <w:rsid w:val="002B2485"/>
    <w:rsid w:val="002B2627"/>
    <w:rsid w:val="002B26A2"/>
    <w:rsid w:val="002B2751"/>
    <w:rsid w:val="002B3151"/>
    <w:rsid w:val="002B366D"/>
    <w:rsid w:val="002B3A66"/>
    <w:rsid w:val="002B3BD7"/>
    <w:rsid w:val="002B3C56"/>
    <w:rsid w:val="002B3D3B"/>
    <w:rsid w:val="002B3E4F"/>
    <w:rsid w:val="002B3F77"/>
    <w:rsid w:val="002B4078"/>
    <w:rsid w:val="002B45F9"/>
    <w:rsid w:val="002B4722"/>
    <w:rsid w:val="002B47A1"/>
    <w:rsid w:val="002B4BC6"/>
    <w:rsid w:val="002B4C65"/>
    <w:rsid w:val="002B5080"/>
    <w:rsid w:val="002B534A"/>
    <w:rsid w:val="002B558F"/>
    <w:rsid w:val="002B564D"/>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6EC5"/>
    <w:rsid w:val="002B7AD5"/>
    <w:rsid w:val="002B7BAF"/>
    <w:rsid w:val="002B7BEB"/>
    <w:rsid w:val="002B7CCD"/>
    <w:rsid w:val="002C0046"/>
    <w:rsid w:val="002C00E0"/>
    <w:rsid w:val="002C05F0"/>
    <w:rsid w:val="002C0661"/>
    <w:rsid w:val="002C085E"/>
    <w:rsid w:val="002C089B"/>
    <w:rsid w:val="002C093A"/>
    <w:rsid w:val="002C0C05"/>
    <w:rsid w:val="002C0FF0"/>
    <w:rsid w:val="002C1781"/>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E6C"/>
    <w:rsid w:val="002C3FDC"/>
    <w:rsid w:val="002C41EB"/>
    <w:rsid w:val="002C4BB7"/>
    <w:rsid w:val="002C4CF3"/>
    <w:rsid w:val="002C530A"/>
    <w:rsid w:val="002C5558"/>
    <w:rsid w:val="002C5771"/>
    <w:rsid w:val="002C57CD"/>
    <w:rsid w:val="002C5A34"/>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BF0"/>
    <w:rsid w:val="002C7E85"/>
    <w:rsid w:val="002C7F07"/>
    <w:rsid w:val="002C7FA2"/>
    <w:rsid w:val="002D032B"/>
    <w:rsid w:val="002D0428"/>
    <w:rsid w:val="002D0AE3"/>
    <w:rsid w:val="002D0C3B"/>
    <w:rsid w:val="002D0C57"/>
    <w:rsid w:val="002D0CEC"/>
    <w:rsid w:val="002D0E6B"/>
    <w:rsid w:val="002D0F86"/>
    <w:rsid w:val="002D1035"/>
    <w:rsid w:val="002D1087"/>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EA"/>
    <w:rsid w:val="002D58F7"/>
    <w:rsid w:val="002D591C"/>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B72"/>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B9D"/>
    <w:rsid w:val="002E4DD9"/>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4B1"/>
    <w:rsid w:val="002F182E"/>
    <w:rsid w:val="002F1B67"/>
    <w:rsid w:val="002F2568"/>
    <w:rsid w:val="002F2624"/>
    <w:rsid w:val="002F29CB"/>
    <w:rsid w:val="002F2B44"/>
    <w:rsid w:val="002F2B8F"/>
    <w:rsid w:val="002F2C05"/>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59B4"/>
    <w:rsid w:val="002F6268"/>
    <w:rsid w:val="002F644B"/>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BCC"/>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65C"/>
    <w:rsid w:val="0031177F"/>
    <w:rsid w:val="00311B7B"/>
    <w:rsid w:val="00311F51"/>
    <w:rsid w:val="00312177"/>
    <w:rsid w:val="003122E8"/>
    <w:rsid w:val="00312635"/>
    <w:rsid w:val="00312B96"/>
    <w:rsid w:val="00312BA3"/>
    <w:rsid w:val="00313B7C"/>
    <w:rsid w:val="00313C32"/>
    <w:rsid w:val="00314017"/>
    <w:rsid w:val="00314034"/>
    <w:rsid w:val="00314397"/>
    <w:rsid w:val="003144BA"/>
    <w:rsid w:val="00314523"/>
    <w:rsid w:val="00314645"/>
    <w:rsid w:val="003149A3"/>
    <w:rsid w:val="00314B2A"/>
    <w:rsid w:val="00315000"/>
    <w:rsid w:val="003153D9"/>
    <w:rsid w:val="0031550B"/>
    <w:rsid w:val="00315540"/>
    <w:rsid w:val="00315A9D"/>
    <w:rsid w:val="00315BCB"/>
    <w:rsid w:val="00315E08"/>
    <w:rsid w:val="00316755"/>
    <w:rsid w:val="003169B6"/>
    <w:rsid w:val="00316C69"/>
    <w:rsid w:val="003171CB"/>
    <w:rsid w:val="00317261"/>
    <w:rsid w:val="0031736F"/>
    <w:rsid w:val="00317766"/>
    <w:rsid w:val="003179CF"/>
    <w:rsid w:val="00317E3D"/>
    <w:rsid w:val="00320010"/>
    <w:rsid w:val="003201FF"/>
    <w:rsid w:val="00320256"/>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101"/>
    <w:rsid w:val="0033435C"/>
    <w:rsid w:val="00334AA7"/>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C2"/>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2F7"/>
    <w:rsid w:val="00346411"/>
    <w:rsid w:val="003466AD"/>
    <w:rsid w:val="003469AA"/>
    <w:rsid w:val="00346F1B"/>
    <w:rsid w:val="00347337"/>
    <w:rsid w:val="003473BB"/>
    <w:rsid w:val="003473FB"/>
    <w:rsid w:val="00347505"/>
    <w:rsid w:val="00347690"/>
    <w:rsid w:val="00347719"/>
    <w:rsid w:val="00347A1E"/>
    <w:rsid w:val="00347B98"/>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DCC"/>
    <w:rsid w:val="00353E7D"/>
    <w:rsid w:val="003542D4"/>
    <w:rsid w:val="003543DA"/>
    <w:rsid w:val="00354514"/>
    <w:rsid w:val="0035483F"/>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066"/>
    <w:rsid w:val="00363328"/>
    <w:rsid w:val="0036335B"/>
    <w:rsid w:val="003636C9"/>
    <w:rsid w:val="00363D5D"/>
    <w:rsid w:val="00363F44"/>
    <w:rsid w:val="003641FE"/>
    <w:rsid w:val="0036423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110"/>
    <w:rsid w:val="003714B2"/>
    <w:rsid w:val="00371518"/>
    <w:rsid w:val="0037158B"/>
    <w:rsid w:val="003717F1"/>
    <w:rsid w:val="00371BC0"/>
    <w:rsid w:val="00371ECA"/>
    <w:rsid w:val="0037209F"/>
    <w:rsid w:val="003726B7"/>
    <w:rsid w:val="00372984"/>
    <w:rsid w:val="00372AE1"/>
    <w:rsid w:val="00372B4A"/>
    <w:rsid w:val="00372B98"/>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1"/>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8AC"/>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0BF"/>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2F22"/>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B75"/>
    <w:rsid w:val="003D2CD5"/>
    <w:rsid w:val="003D2CEE"/>
    <w:rsid w:val="003D2D67"/>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1F0"/>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6D"/>
    <w:rsid w:val="003F03C4"/>
    <w:rsid w:val="003F04C5"/>
    <w:rsid w:val="003F066F"/>
    <w:rsid w:val="003F07C3"/>
    <w:rsid w:val="003F0C9B"/>
    <w:rsid w:val="003F110B"/>
    <w:rsid w:val="003F1299"/>
    <w:rsid w:val="003F1C0F"/>
    <w:rsid w:val="003F1F1D"/>
    <w:rsid w:val="003F22E0"/>
    <w:rsid w:val="003F2A8C"/>
    <w:rsid w:val="003F2BA7"/>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FCB"/>
    <w:rsid w:val="0040203A"/>
    <w:rsid w:val="00402B30"/>
    <w:rsid w:val="00402B9A"/>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CF4"/>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9E2"/>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14"/>
    <w:rsid w:val="00442386"/>
    <w:rsid w:val="004429A5"/>
    <w:rsid w:val="00442B2E"/>
    <w:rsid w:val="00442BD9"/>
    <w:rsid w:val="00442D21"/>
    <w:rsid w:val="00443182"/>
    <w:rsid w:val="004431E9"/>
    <w:rsid w:val="00443287"/>
    <w:rsid w:val="00443392"/>
    <w:rsid w:val="004433C5"/>
    <w:rsid w:val="00443630"/>
    <w:rsid w:val="0044365B"/>
    <w:rsid w:val="0044368D"/>
    <w:rsid w:val="00443ADC"/>
    <w:rsid w:val="00443D0B"/>
    <w:rsid w:val="004443AF"/>
    <w:rsid w:val="00444631"/>
    <w:rsid w:val="00444B3D"/>
    <w:rsid w:val="00444C12"/>
    <w:rsid w:val="00444D1D"/>
    <w:rsid w:val="00444E76"/>
    <w:rsid w:val="00444EA8"/>
    <w:rsid w:val="00445089"/>
    <w:rsid w:val="00445144"/>
    <w:rsid w:val="0044536C"/>
    <w:rsid w:val="00445832"/>
    <w:rsid w:val="00445B21"/>
    <w:rsid w:val="00445C50"/>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4F6"/>
    <w:rsid w:val="004516D6"/>
    <w:rsid w:val="004516F2"/>
    <w:rsid w:val="004519F1"/>
    <w:rsid w:val="00451B24"/>
    <w:rsid w:val="00451D96"/>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4A6"/>
    <w:rsid w:val="004577BF"/>
    <w:rsid w:val="0045781E"/>
    <w:rsid w:val="00457AFC"/>
    <w:rsid w:val="00457C09"/>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A60"/>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013"/>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631"/>
    <w:rsid w:val="00477975"/>
    <w:rsid w:val="00477AA1"/>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2F07"/>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E91"/>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88"/>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97D16"/>
    <w:rsid w:val="004A0116"/>
    <w:rsid w:val="004A011E"/>
    <w:rsid w:val="004A03A0"/>
    <w:rsid w:val="004A03D9"/>
    <w:rsid w:val="004A05E1"/>
    <w:rsid w:val="004A076D"/>
    <w:rsid w:val="004A07DF"/>
    <w:rsid w:val="004A09C8"/>
    <w:rsid w:val="004A0C18"/>
    <w:rsid w:val="004A108C"/>
    <w:rsid w:val="004A12D0"/>
    <w:rsid w:val="004A13B4"/>
    <w:rsid w:val="004A13C3"/>
    <w:rsid w:val="004A15F8"/>
    <w:rsid w:val="004A162D"/>
    <w:rsid w:val="004A1826"/>
    <w:rsid w:val="004A1A0C"/>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2E7"/>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2FBC"/>
    <w:rsid w:val="004B33B9"/>
    <w:rsid w:val="004B340E"/>
    <w:rsid w:val="004B3420"/>
    <w:rsid w:val="004B34E5"/>
    <w:rsid w:val="004B37E4"/>
    <w:rsid w:val="004B399F"/>
    <w:rsid w:val="004B39D5"/>
    <w:rsid w:val="004B39F4"/>
    <w:rsid w:val="004B3BF8"/>
    <w:rsid w:val="004B42FD"/>
    <w:rsid w:val="004B438E"/>
    <w:rsid w:val="004B440A"/>
    <w:rsid w:val="004B477B"/>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9E4"/>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787"/>
    <w:rsid w:val="004D08BF"/>
    <w:rsid w:val="004D0B9F"/>
    <w:rsid w:val="004D0C77"/>
    <w:rsid w:val="004D0DD6"/>
    <w:rsid w:val="004D0FF1"/>
    <w:rsid w:val="004D1027"/>
    <w:rsid w:val="004D13B6"/>
    <w:rsid w:val="004D156A"/>
    <w:rsid w:val="004D18CD"/>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168"/>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244"/>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A8E"/>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2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54A"/>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080"/>
    <w:rsid w:val="005256E5"/>
    <w:rsid w:val="00525992"/>
    <w:rsid w:val="00525A0D"/>
    <w:rsid w:val="005260C5"/>
    <w:rsid w:val="0052615C"/>
    <w:rsid w:val="00526293"/>
    <w:rsid w:val="0052643B"/>
    <w:rsid w:val="005267DC"/>
    <w:rsid w:val="005267E4"/>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5D4D"/>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162"/>
    <w:rsid w:val="0054144C"/>
    <w:rsid w:val="00541AED"/>
    <w:rsid w:val="00541B3F"/>
    <w:rsid w:val="00541CB8"/>
    <w:rsid w:val="005427AE"/>
    <w:rsid w:val="005427D7"/>
    <w:rsid w:val="005428BB"/>
    <w:rsid w:val="00542993"/>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B0D"/>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AF0"/>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7F"/>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CC2"/>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A33"/>
    <w:rsid w:val="00573B1A"/>
    <w:rsid w:val="00573D33"/>
    <w:rsid w:val="00573DC5"/>
    <w:rsid w:val="00574223"/>
    <w:rsid w:val="00574D66"/>
    <w:rsid w:val="00574E2E"/>
    <w:rsid w:val="00575284"/>
    <w:rsid w:val="0057546D"/>
    <w:rsid w:val="0057554A"/>
    <w:rsid w:val="00575822"/>
    <w:rsid w:val="00575973"/>
    <w:rsid w:val="00575E87"/>
    <w:rsid w:val="00575FF0"/>
    <w:rsid w:val="0057604C"/>
    <w:rsid w:val="00576147"/>
    <w:rsid w:val="00576436"/>
    <w:rsid w:val="00576564"/>
    <w:rsid w:val="005767C0"/>
    <w:rsid w:val="00576DD5"/>
    <w:rsid w:val="00576E83"/>
    <w:rsid w:val="00576EAA"/>
    <w:rsid w:val="00576FFD"/>
    <w:rsid w:val="005771BB"/>
    <w:rsid w:val="005773DC"/>
    <w:rsid w:val="00577618"/>
    <w:rsid w:val="005776CB"/>
    <w:rsid w:val="00577812"/>
    <w:rsid w:val="005779D6"/>
    <w:rsid w:val="00577DE7"/>
    <w:rsid w:val="0058007E"/>
    <w:rsid w:val="0058019F"/>
    <w:rsid w:val="00580408"/>
    <w:rsid w:val="00580712"/>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1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22"/>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5E"/>
    <w:rsid w:val="005B636A"/>
    <w:rsid w:val="005B640F"/>
    <w:rsid w:val="005B672A"/>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9AD"/>
    <w:rsid w:val="005C1AC5"/>
    <w:rsid w:val="005C1B7D"/>
    <w:rsid w:val="005C22C3"/>
    <w:rsid w:val="005C2352"/>
    <w:rsid w:val="005C28BB"/>
    <w:rsid w:val="005C2956"/>
    <w:rsid w:val="005C2DD4"/>
    <w:rsid w:val="005C2E02"/>
    <w:rsid w:val="005C2E77"/>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32"/>
    <w:rsid w:val="005C53DD"/>
    <w:rsid w:val="005C58FD"/>
    <w:rsid w:val="005C5A7E"/>
    <w:rsid w:val="005C5B7B"/>
    <w:rsid w:val="005C5BE0"/>
    <w:rsid w:val="005C5DF6"/>
    <w:rsid w:val="005C5EE0"/>
    <w:rsid w:val="005C6425"/>
    <w:rsid w:val="005C65AB"/>
    <w:rsid w:val="005C684A"/>
    <w:rsid w:val="005C69BE"/>
    <w:rsid w:val="005C6A03"/>
    <w:rsid w:val="005C6ADA"/>
    <w:rsid w:val="005C6BD1"/>
    <w:rsid w:val="005C6C3D"/>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6D"/>
    <w:rsid w:val="005D24AF"/>
    <w:rsid w:val="005D289E"/>
    <w:rsid w:val="005D297B"/>
    <w:rsid w:val="005D2A4F"/>
    <w:rsid w:val="005D2A97"/>
    <w:rsid w:val="005D2F3A"/>
    <w:rsid w:val="005D3430"/>
    <w:rsid w:val="005D351B"/>
    <w:rsid w:val="005D360C"/>
    <w:rsid w:val="005D36CE"/>
    <w:rsid w:val="005D39EF"/>
    <w:rsid w:val="005D3B50"/>
    <w:rsid w:val="005D3E72"/>
    <w:rsid w:val="005D4028"/>
    <w:rsid w:val="005D4997"/>
    <w:rsid w:val="005D4AAA"/>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153"/>
    <w:rsid w:val="005E1480"/>
    <w:rsid w:val="005E1512"/>
    <w:rsid w:val="005E15E3"/>
    <w:rsid w:val="005E1A55"/>
    <w:rsid w:val="005E1E55"/>
    <w:rsid w:val="005E2005"/>
    <w:rsid w:val="005E224F"/>
    <w:rsid w:val="005E2460"/>
    <w:rsid w:val="005E262C"/>
    <w:rsid w:val="005E2A6D"/>
    <w:rsid w:val="005E2B22"/>
    <w:rsid w:val="005E2C61"/>
    <w:rsid w:val="005E2CA4"/>
    <w:rsid w:val="005E2D3F"/>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02"/>
    <w:rsid w:val="005F1558"/>
    <w:rsid w:val="005F188D"/>
    <w:rsid w:val="005F1AF6"/>
    <w:rsid w:val="005F1D8D"/>
    <w:rsid w:val="005F1EEE"/>
    <w:rsid w:val="005F21C9"/>
    <w:rsid w:val="005F241F"/>
    <w:rsid w:val="005F247D"/>
    <w:rsid w:val="005F26B1"/>
    <w:rsid w:val="005F2EF6"/>
    <w:rsid w:val="005F30BF"/>
    <w:rsid w:val="005F3239"/>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07"/>
    <w:rsid w:val="005F653A"/>
    <w:rsid w:val="005F6615"/>
    <w:rsid w:val="005F68A0"/>
    <w:rsid w:val="005F69B7"/>
    <w:rsid w:val="005F6AC0"/>
    <w:rsid w:val="005F6D52"/>
    <w:rsid w:val="005F73C6"/>
    <w:rsid w:val="005F7421"/>
    <w:rsid w:val="005F7DB6"/>
    <w:rsid w:val="005F7E7B"/>
    <w:rsid w:val="005F7ECA"/>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5B0"/>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3F1"/>
    <w:rsid w:val="00613534"/>
    <w:rsid w:val="0061373D"/>
    <w:rsid w:val="0061388C"/>
    <w:rsid w:val="006139BA"/>
    <w:rsid w:val="00613A9B"/>
    <w:rsid w:val="00613B66"/>
    <w:rsid w:val="00613CCA"/>
    <w:rsid w:val="00614424"/>
    <w:rsid w:val="00614C5D"/>
    <w:rsid w:val="00614D6C"/>
    <w:rsid w:val="00614DBD"/>
    <w:rsid w:val="00614E47"/>
    <w:rsid w:val="0061530F"/>
    <w:rsid w:val="006154AB"/>
    <w:rsid w:val="0061557B"/>
    <w:rsid w:val="006160C4"/>
    <w:rsid w:val="00616265"/>
    <w:rsid w:val="006163CF"/>
    <w:rsid w:val="0061668C"/>
    <w:rsid w:val="00616B95"/>
    <w:rsid w:val="006171D9"/>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7FE"/>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7E6"/>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6F"/>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A91"/>
    <w:rsid w:val="00660BE4"/>
    <w:rsid w:val="00660D14"/>
    <w:rsid w:val="00660E89"/>
    <w:rsid w:val="00660EFE"/>
    <w:rsid w:val="00661804"/>
    <w:rsid w:val="006619C8"/>
    <w:rsid w:val="006621A6"/>
    <w:rsid w:val="0066224E"/>
    <w:rsid w:val="006626D9"/>
    <w:rsid w:val="006627CF"/>
    <w:rsid w:val="00662883"/>
    <w:rsid w:val="00662EDB"/>
    <w:rsid w:val="0066301F"/>
    <w:rsid w:val="006631F7"/>
    <w:rsid w:val="006633C0"/>
    <w:rsid w:val="00663595"/>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3A2"/>
    <w:rsid w:val="00676467"/>
    <w:rsid w:val="006766AA"/>
    <w:rsid w:val="006767BC"/>
    <w:rsid w:val="00676904"/>
    <w:rsid w:val="0067695B"/>
    <w:rsid w:val="0067755C"/>
    <w:rsid w:val="00677604"/>
    <w:rsid w:val="00677861"/>
    <w:rsid w:val="0067798F"/>
    <w:rsid w:val="00677AD6"/>
    <w:rsid w:val="006800E7"/>
    <w:rsid w:val="00680197"/>
    <w:rsid w:val="006804C4"/>
    <w:rsid w:val="00680500"/>
    <w:rsid w:val="006806CA"/>
    <w:rsid w:val="0068074D"/>
    <w:rsid w:val="00680ED3"/>
    <w:rsid w:val="00680F0D"/>
    <w:rsid w:val="00680F69"/>
    <w:rsid w:val="00681293"/>
    <w:rsid w:val="006816AC"/>
    <w:rsid w:val="00681933"/>
    <w:rsid w:val="0068194A"/>
    <w:rsid w:val="00681A7A"/>
    <w:rsid w:val="00681C42"/>
    <w:rsid w:val="00681DC9"/>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A97"/>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5D6"/>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8D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5BE"/>
    <w:rsid w:val="006A4635"/>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60C"/>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C75"/>
    <w:rsid w:val="006C4EB7"/>
    <w:rsid w:val="006C52E8"/>
    <w:rsid w:val="006C5346"/>
    <w:rsid w:val="006C551C"/>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497"/>
    <w:rsid w:val="006D077B"/>
    <w:rsid w:val="006D0974"/>
    <w:rsid w:val="006D09A3"/>
    <w:rsid w:val="006D09D2"/>
    <w:rsid w:val="006D0A72"/>
    <w:rsid w:val="006D0C8A"/>
    <w:rsid w:val="006D0D92"/>
    <w:rsid w:val="006D121E"/>
    <w:rsid w:val="006D13F9"/>
    <w:rsid w:val="006D176E"/>
    <w:rsid w:val="006D1BD4"/>
    <w:rsid w:val="006D1EE5"/>
    <w:rsid w:val="006D2145"/>
    <w:rsid w:val="006D26DE"/>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0B3"/>
    <w:rsid w:val="006D7146"/>
    <w:rsid w:val="006D7309"/>
    <w:rsid w:val="006D74E0"/>
    <w:rsid w:val="006D7795"/>
    <w:rsid w:val="006D79BA"/>
    <w:rsid w:val="006E0258"/>
    <w:rsid w:val="006E06B3"/>
    <w:rsid w:val="006E09ED"/>
    <w:rsid w:val="006E0BB8"/>
    <w:rsid w:val="006E0D37"/>
    <w:rsid w:val="006E0FB9"/>
    <w:rsid w:val="006E102E"/>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696"/>
    <w:rsid w:val="006E5A8F"/>
    <w:rsid w:val="006E5BBA"/>
    <w:rsid w:val="006E6338"/>
    <w:rsid w:val="006E66A7"/>
    <w:rsid w:val="006E68C1"/>
    <w:rsid w:val="006E6AFB"/>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42E"/>
    <w:rsid w:val="006F2578"/>
    <w:rsid w:val="006F2F10"/>
    <w:rsid w:val="006F344B"/>
    <w:rsid w:val="006F3664"/>
    <w:rsid w:val="006F40BA"/>
    <w:rsid w:val="006F42AE"/>
    <w:rsid w:val="006F4507"/>
    <w:rsid w:val="006F5608"/>
    <w:rsid w:val="006F560B"/>
    <w:rsid w:val="006F604B"/>
    <w:rsid w:val="006F6337"/>
    <w:rsid w:val="006F6502"/>
    <w:rsid w:val="006F661D"/>
    <w:rsid w:val="006F6847"/>
    <w:rsid w:val="006F6A32"/>
    <w:rsid w:val="006F7262"/>
    <w:rsid w:val="006F73B3"/>
    <w:rsid w:val="006F73B4"/>
    <w:rsid w:val="006F73FC"/>
    <w:rsid w:val="006F7524"/>
    <w:rsid w:val="006F753A"/>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5FFB"/>
    <w:rsid w:val="00706076"/>
    <w:rsid w:val="007060FC"/>
    <w:rsid w:val="007062B6"/>
    <w:rsid w:val="00706625"/>
    <w:rsid w:val="0070690C"/>
    <w:rsid w:val="00706952"/>
    <w:rsid w:val="00706B0E"/>
    <w:rsid w:val="00706B40"/>
    <w:rsid w:val="00706C63"/>
    <w:rsid w:val="00706FC4"/>
    <w:rsid w:val="007073B1"/>
    <w:rsid w:val="0070768C"/>
    <w:rsid w:val="007076E6"/>
    <w:rsid w:val="00707D18"/>
    <w:rsid w:val="00707F91"/>
    <w:rsid w:val="00710129"/>
    <w:rsid w:val="00710287"/>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7E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57"/>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C1"/>
    <w:rsid w:val="00727AD4"/>
    <w:rsid w:val="00727BD2"/>
    <w:rsid w:val="00727FC7"/>
    <w:rsid w:val="00730286"/>
    <w:rsid w:val="007306DC"/>
    <w:rsid w:val="007309B3"/>
    <w:rsid w:val="00730C79"/>
    <w:rsid w:val="007312CA"/>
    <w:rsid w:val="007317E5"/>
    <w:rsid w:val="0073183B"/>
    <w:rsid w:val="00731859"/>
    <w:rsid w:val="007318DD"/>
    <w:rsid w:val="00731929"/>
    <w:rsid w:val="00731D48"/>
    <w:rsid w:val="00731DB2"/>
    <w:rsid w:val="007323D1"/>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3CB2"/>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660"/>
    <w:rsid w:val="00761704"/>
    <w:rsid w:val="00761894"/>
    <w:rsid w:val="00761949"/>
    <w:rsid w:val="007619B4"/>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6F6"/>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DA1"/>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8A"/>
    <w:rsid w:val="00780D9E"/>
    <w:rsid w:val="00780E5D"/>
    <w:rsid w:val="0078123E"/>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4F3"/>
    <w:rsid w:val="00783A1E"/>
    <w:rsid w:val="00783A98"/>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D64"/>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E3D"/>
    <w:rsid w:val="00797F43"/>
    <w:rsid w:val="007A055C"/>
    <w:rsid w:val="007A0767"/>
    <w:rsid w:val="007A0928"/>
    <w:rsid w:val="007A0C8F"/>
    <w:rsid w:val="007A0D76"/>
    <w:rsid w:val="007A111B"/>
    <w:rsid w:val="007A1381"/>
    <w:rsid w:val="007A16F4"/>
    <w:rsid w:val="007A194E"/>
    <w:rsid w:val="007A19B2"/>
    <w:rsid w:val="007A19E0"/>
    <w:rsid w:val="007A1D46"/>
    <w:rsid w:val="007A203D"/>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0E"/>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3B4"/>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13"/>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56"/>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99"/>
    <w:rsid w:val="007F19AA"/>
    <w:rsid w:val="007F21A3"/>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2E3B"/>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6EED"/>
    <w:rsid w:val="00807252"/>
    <w:rsid w:val="00807383"/>
    <w:rsid w:val="00807419"/>
    <w:rsid w:val="008076A5"/>
    <w:rsid w:val="008077B2"/>
    <w:rsid w:val="0080780B"/>
    <w:rsid w:val="008078B7"/>
    <w:rsid w:val="00807CE2"/>
    <w:rsid w:val="00807CE5"/>
    <w:rsid w:val="008111F2"/>
    <w:rsid w:val="0081147E"/>
    <w:rsid w:val="00812128"/>
    <w:rsid w:val="00812176"/>
    <w:rsid w:val="00812AF2"/>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DFA"/>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7D7"/>
    <w:rsid w:val="00824A4A"/>
    <w:rsid w:val="00824AF1"/>
    <w:rsid w:val="00824BE7"/>
    <w:rsid w:val="00824D37"/>
    <w:rsid w:val="00824D4D"/>
    <w:rsid w:val="00824E2F"/>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69"/>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6B"/>
    <w:rsid w:val="00844218"/>
    <w:rsid w:val="008443BA"/>
    <w:rsid w:val="0084458D"/>
    <w:rsid w:val="00844606"/>
    <w:rsid w:val="008446F6"/>
    <w:rsid w:val="00844AA5"/>
    <w:rsid w:val="008458D1"/>
    <w:rsid w:val="00845939"/>
    <w:rsid w:val="00845AEA"/>
    <w:rsid w:val="00845C2E"/>
    <w:rsid w:val="00845D3D"/>
    <w:rsid w:val="00845DD5"/>
    <w:rsid w:val="00846069"/>
    <w:rsid w:val="008460AE"/>
    <w:rsid w:val="008462C7"/>
    <w:rsid w:val="0084644F"/>
    <w:rsid w:val="008464D2"/>
    <w:rsid w:val="008465E1"/>
    <w:rsid w:val="008465E6"/>
    <w:rsid w:val="00846905"/>
    <w:rsid w:val="00846A7E"/>
    <w:rsid w:val="00846EFF"/>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44"/>
    <w:rsid w:val="0085396A"/>
    <w:rsid w:val="00853A2E"/>
    <w:rsid w:val="00853B48"/>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84D"/>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B5"/>
    <w:rsid w:val="00866EEF"/>
    <w:rsid w:val="00867014"/>
    <w:rsid w:val="008671B9"/>
    <w:rsid w:val="00867290"/>
    <w:rsid w:val="008672FE"/>
    <w:rsid w:val="00867459"/>
    <w:rsid w:val="00867703"/>
    <w:rsid w:val="00867730"/>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1095"/>
    <w:rsid w:val="008714E6"/>
    <w:rsid w:val="0087151E"/>
    <w:rsid w:val="00871A9E"/>
    <w:rsid w:val="00871AF3"/>
    <w:rsid w:val="00871B95"/>
    <w:rsid w:val="00872461"/>
    <w:rsid w:val="008724E3"/>
    <w:rsid w:val="0087271B"/>
    <w:rsid w:val="00872DB3"/>
    <w:rsid w:val="00872F0F"/>
    <w:rsid w:val="00873001"/>
    <w:rsid w:val="00873068"/>
    <w:rsid w:val="0087326F"/>
    <w:rsid w:val="00873530"/>
    <w:rsid w:val="008735DD"/>
    <w:rsid w:val="008737CC"/>
    <w:rsid w:val="00873986"/>
    <w:rsid w:val="00873CDB"/>
    <w:rsid w:val="00873E43"/>
    <w:rsid w:val="00873F4A"/>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D1B"/>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1609"/>
    <w:rsid w:val="008A1BAA"/>
    <w:rsid w:val="008A1BC1"/>
    <w:rsid w:val="008A1E72"/>
    <w:rsid w:val="008A2404"/>
    <w:rsid w:val="008A2413"/>
    <w:rsid w:val="008A25A6"/>
    <w:rsid w:val="008A2904"/>
    <w:rsid w:val="008A291F"/>
    <w:rsid w:val="008A29ED"/>
    <w:rsid w:val="008A2E0C"/>
    <w:rsid w:val="008A34E0"/>
    <w:rsid w:val="008A368E"/>
    <w:rsid w:val="008A36F0"/>
    <w:rsid w:val="008A37E5"/>
    <w:rsid w:val="008A401D"/>
    <w:rsid w:val="008A4256"/>
    <w:rsid w:val="008A451C"/>
    <w:rsid w:val="008A47DC"/>
    <w:rsid w:val="008A4824"/>
    <w:rsid w:val="008A49B1"/>
    <w:rsid w:val="008A4F1E"/>
    <w:rsid w:val="008A529E"/>
    <w:rsid w:val="008A535F"/>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B27"/>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DFB"/>
    <w:rsid w:val="008C0E6B"/>
    <w:rsid w:val="008C1B54"/>
    <w:rsid w:val="008C1E36"/>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05"/>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44D"/>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5F"/>
    <w:rsid w:val="00902FFC"/>
    <w:rsid w:val="009030C4"/>
    <w:rsid w:val="00903532"/>
    <w:rsid w:val="00903906"/>
    <w:rsid w:val="00903914"/>
    <w:rsid w:val="00903B72"/>
    <w:rsid w:val="00903BF8"/>
    <w:rsid w:val="009040B5"/>
    <w:rsid w:val="009043AD"/>
    <w:rsid w:val="009046B5"/>
    <w:rsid w:val="00905201"/>
    <w:rsid w:val="00905396"/>
    <w:rsid w:val="009054A3"/>
    <w:rsid w:val="00905775"/>
    <w:rsid w:val="00905939"/>
    <w:rsid w:val="0090594B"/>
    <w:rsid w:val="009059C1"/>
    <w:rsid w:val="00905A22"/>
    <w:rsid w:val="00905DB4"/>
    <w:rsid w:val="00906310"/>
    <w:rsid w:val="0090641D"/>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3AC"/>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876"/>
    <w:rsid w:val="00921CAD"/>
    <w:rsid w:val="00922481"/>
    <w:rsid w:val="009226FB"/>
    <w:rsid w:val="00922ECF"/>
    <w:rsid w:val="00922F03"/>
    <w:rsid w:val="00923092"/>
    <w:rsid w:val="009231BC"/>
    <w:rsid w:val="009231DC"/>
    <w:rsid w:val="0092330D"/>
    <w:rsid w:val="009234A1"/>
    <w:rsid w:val="00923881"/>
    <w:rsid w:val="00923A7F"/>
    <w:rsid w:val="00923B39"/>
    <w:rsid w:val="00923CAC"/>
    <w:rsid w:val="00923D1C"/>
    <w:rsid w:val="00924208"/>
    <w:rsid w:val="009246EF"/>
    <w:rsid w:val="00924761"/>
    <w:rsid w:val="00924978"/>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4C9"/>
    <w:rsid w:val="009305F1"/>
    <w:rsid w:val="0093065A"/>
    <w:rsid w:val="00930D85"/>
    <w:rsid w:val="00930F3E"/>
    <w:rsid w:val="00931144"/>
    <w:rsid w:val="009312FC"/>
    <w:rsid w:val="009315BA"/>
    <w:rsid w:val="0093175F"/>
    <w:rsid w:val="00931AB8"/>
    <w:rsid w:val="00931BC2"/>
    <w:rsid w:val="00931DB3"/>
    <w:rsid w:val="00931E9E"/>
    <w:rsid w:val="00932106"/>
    <w:rsid w:val="00932309"/>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B17"/>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6F"/>
    <w:rsid w:val="009412BE"/>
    <w:rsid w:val="009413F8"/>
    <w:rsid w:val="00941920"/>
    <w:rsid w:val="009419EE"/>
    <w:rsid w:val="00941D68"/>
    <w:rsid w:val="00941FAC"/>
    <w:rsid w:val="00942270"/>
    <w:rsid w:val="009427AB"/>
    <w:rsid w:val="009429B6"/>
    <w:rsid w:val="0094321B"/>
    <w:rsid w:val="009439CC"/>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5C51F"/>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0DC"/>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7B9"/>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0E1B"/>
    <w:rsid w:val="0099135D"/>
    <w:rsid w:val="0099168F"/>
    <w:rsid w:val="009918EC"/>
    <w:rsid w:val="00991D3C"/>
    <w:rsid w:val="00991D93"/>
    <w:rsid w:val="0099234E"/>
    <w:rsid w:val="00992394"/>
    <w:rsid w:val="009924E6"/>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B9"/>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264"/>
    <w:rsid w:val="009A4321"/>
    <w:rsid w:val="009A46B9"/>
    <w:rsid w:val="009A47BA"/>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3BE"/>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1C"/>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49"/>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6AA"/>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0A5"/>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C7"/>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0D47"/>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4DF6"/>
    <w:rsid w:val="00A0512C"/>
    <w:rsid w:val="00A051CB"/>
    <w:rsid w:val="00A052DE"/>
    <w:rsid w:val="00A05977"/>
    <w:rsid w:val="00A05ABE"/>
    <w:rsid w:val="00A05CC5"/>
    <w:rsid w:val="00A05E2A"/>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33D"/>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53D"/>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900"/>
    <w:rsid w:val="00A21AE9"/>
    <w:rsid w:val="00A21B58"/>
    <w:rsid w:val="00A2222A"/>
    <w:rsid w:val="00A224EB"/>
    <w:rsid w:val="00A225CB"/>
    <w:rsid w:val="00A22951"/>
    <w:rsid w:val="00A22B7E"/>
    <w:rsid w:val="00A23113"/>
    <w:rsid w:val="00A231F2"/>
    <w:rsid w:val="00A236CB"/>
    <w:rsid w:val="00A237E3"/>
    <w:rsid w:val="00A23968"/>
    <w:rsid w:val="00A23B05"/>
    <w:rsid w:val="00A23B78"/>
    <w:rsid w:val="00A23C2D"/>
    <w:rsid w:val="00A23D71"/>
    <w:rsid w:val="00A23D7F"/>
    <w:rsid w:val="00A23E3E"/>
    <w:rsid w:val="00A243EF"/>
    <w:rsid w:val="00A24401"/>
    <w:rsid w:val="00A244A8"/>
    <w:rsid w:val="00A24CB3"/>
    <w:rsid w:val="00A24E42"/>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09E"/>
    <w:rsid w:val="00A3022B"/>
    <w:rsid w:val="00A30338"/>
    <w:rsid w:val="00A303BB"/>
    <w:rsid w:val="00A30A01"/>
    <w:rsid w:val="00A30B08"/>
    <w:rsid w:val="00A30D9E"/>
    <w:rsid w:val="00A30E58"/>
    <w:rsid w:val="00A30E6F"/>
    <w:rsid w:val="00A3128B"/>
    <w:rsid w:val="00A312CC"/>
    <w:rsid w:val="00A313F7"/>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71"/>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1F56"/>
    <w:rsid w:val="00A42067"/>
    <w:rsid w:val="00A42165"/>
    <w:rsid w:val="00A42213"/>
    <w:rsid w:val="00A42463"/>
    <w:rsid w:val="00A427B3"/>
    <w:rsid w:val="00A429F6"/>
    <w:rsid w:val="00A42AC6"/>
    <w:rsid w:val="00A42B71"/>
    <w:rsid w:val="00A42B99"/>
    <w:rsid w:val="00A43042"/>
    <w:rsid w:val="00A4317B"/>
    <w:rsid w:val="00A4353D"/>
    <w:rsid w:val="00A437DA"/>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AEA"/>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7CB"/>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6F5"/>
    <w:rsid w:val="00A75C6B"/>
    <w:rsid w:val="00A75E8D"/>
    <w:rsid w:val="00A75F81"/>
    <w:rsid w:val="00A762AA"/>
    <w:rsid w:val="00A766FF"/>
    <w:rsid w:val="00A76B4A"/>
    <w:rsid w:val="00A76D8C"/>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782"/>
    <w:rsid w:val="00AA2801"/>
    <w:rsid w:val="00AA29BD"/>
    <w:rsid w:val="00AA2BE2"/>
    <w:rsid w:val="00AA32B9"/>
    <w:rsid w:val="00AA3671"/>
    <w:rsid w:val="00AA3A33"/>
    <w:rsid w:val="00AA3AFC"/>
    <w:rsid w:val="00AA3C5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0CF"/>
    <w:rsid w:val="00AB7255"/>
    <w:rsid w:val="00AB75C1"/>
    <w:rsid w:val="00AB7787"/>
    <w:rsid w:val="00AB77E5"/>
    <w:rsid w:val="00AB78D9"/>
    <w:rsid w:val="00AB7DC2"/>
    <w:rsid w:val="00AB7E74"/>
    <w:rsid w:val="00AB7FD0"/>
    <w:rsid w:val="00AC00F3"/>
    <w:rsid w:val="00AC0222"/>
    <w:rsid w:val="00AC04C8"/>
    <w:rsid w:val="00AC0AB1"/>
    <w:rsid w:val="00AC1217"/>
    <w:rsid w:val="00AC1346"/>
    <w:rsid w:val="00AC18D0"/>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191"/>
    <w:rsid w:val="00AD1295"/>
    <w:rsid w:val="00AD14C1"/>
    <w:rsid w:val="00AD16FC"/>
    <w:rsid w:val="00AD1A5C"/>
    <w:rsid w:val="00AD1A5D"/>
    <w:rsid w:val="00AD1BBE"/>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3F20"/>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6E9B"/>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519"/>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6B30"/>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AFB"/>
    <w:rsid w:val="00B17E73"/>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88C"/>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03"/>
    <w:rsid w:val="00B40E39"/>
    <w:rsid w:val="00B4135A"/>
    <w:rsid w:val="00B4141A"/>
    <w:rsid w:val="00B41471"/>
    <w:rsid w:val="00B414BD"/>
    <w:rsid w:val="00B4159C"/>
    <w:rsid w:val="00B41749"/>
    <w:rsid w:val="00B417DF"/>
    <w:rsid w:val="00B4197F"/>
    <w:rsid w:val="00B41AD3"/>
    <w:rsid w:val="00B42146"/>
    <w:rsid w:val="00B42270"/>
    <w:rsid w:val="00B426F8"/>
    <w:rsid w:val="00B4276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63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06D"/>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748"/>
    <w:rsid w:val="00B64AB2"/>
    <w:rsid w:val="00B651B0"/>
    <w:rsid w:val="00B651FC"/>
    <w:rsid w:val="00B65207"/>
    <w:rsid w:val="00B6522F"/>
    <w:rsid w:val="00B65343"/>
    <w:rsid w:val="00B654FC"/>
    <w:rsid w:val="00B65885"/>
    <w:rsid w:val="00B65BE6"/>
    <w:rsid w:val="00B65C8F"/>
    <w:rsid w:val="00B65EDD"/>
    <w:rsid w:val="00B65FEF"/>
    <w:rsid w:val="00B6648B"/>
    <w:rsid w:val="00B665B6"/>
    <w:rsid w:val="00B66615"/>
    <w:rsid w:val="00B66672"/>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59F"/>
    <w:rsid w:val="00B71B61"/>
    <w:rsid w:val="00B72018"/>
    <w:rsid w:val="00B72633"/>
    <w:rsid w:val="00B72965"/>
    <w:rsid w:val="00B72A38"/>
    <w:rsid w:val="00B72A3E"/>
    <w:rsid w:val="00B72DF7"/>
    <w:rsid w:val="00B72E6C"/>
    <w:rsid w:val="00B72F50"/>
    <w:rsid w:val="00B731DE"/>
    <w:rsid w:val="00B731EC"/>
    <w:rsid w:val="00B7326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7F9"/>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7D5"/>
    <w:rsid w:val="00B83E46"/>
    <w:rsid w:val="00B843B6"/>
    <w:rsid w:val="00B84689"/>
    <w:rsid w:val="00B849C9"/>
    <w:rsid w:val="00B84A62"/>
    <w:rsid w:val="00B84ED3"/>
    <w:rsid w:val="00B84F34"/>
    <w:rsid w:val="00B84F7F"/>
    <w:rsid w:val="00B853C7"/>
    <w:rsid w:val="00B85414"/>
    <w:rsid w:val="00B85465"/>
    <w:rsid w:val="00B85747"/>
    <w:rsid w:val="00B85D09"/>
    <w:rsid w:val="00B85E94"/>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580"/>
    <w:rsid w:val="00B917C1"/>
    <w:rsid w:val="00B91D5A"/>
    <w:rsid w:val="00B91D8D"/>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43"/>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CB4"/>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ECC"/>
    <w:rsid w:val="00BA139E"/>
    <w:rsid w:val="00BA17E4"/>
    <w:rsid w:val="00BA1A10"/>
    <w:rsid w:val="00BA1B35"/>
    <w:rsid w:val="00BA1B99"/>
    <w:rsid w:val="00BA1C72"/>
    <w:rsid w:val="00BA2652"/>
    <w:rsid w:val="00BA2914"/>
    <w:rsid w:val="00BA2B6F"/>
    <w:rsid w:val="00BA2DD7"/>
    <w:rsid w:val="00BA3072"/>
    <w:rsid w:val="00BA30C7"/>
    <w:rsid w:val="00BA35C5"/>
    <w:rsid w:val="00BA3857"/>
    <w:rsid w:val="00BA3A00"/>
    <w:rsid w:val="00BA3AEE"/>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501"/>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C7C87"/>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CF8"/>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770"/>
    <w:rsid w:val="00BD687E"/>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3FD1"/>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9BC"/>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2AF"/>
    <w:rsid w:val="00BF132A"/>
    <w:rsid w:val="00BF16CF"/>
    <w:rsid w:val="00BF198A"/>
    <w:rsid w:val="00BF19BB"/>
    <w:rsid w:val="00BF1AF8"/>
    <w:rsid w:val="00BF1EE7"/>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4CD"/>
    <w:rsid w:val="00C15507"/>
    <w:rsid w:val="00C15671"/>
    <w:rsid w:val="00C158D3"/>
    <w:rsid w:val="00C158DA"/>
    <w:rsid w:val="00C159F9"/>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208D5"/>
    <w:rsid w:val="00C20B43"/>
    <w:rsid w:val="00C20C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7D8"/>
    <w:rsid w:val="00C22D7F"/>
    <w:rsid w:val="00C22EDF"/>
    <w:rsid w:val="00C23005"/>
    <w:rsid w:val="00C230B7"/>
    <w:rsid w:val="00C2346D"/>
    <w:rsid w:val="00C236F1"/>
    <w:rsid w:val="00C2374B"/>
    <w:rsid w:val="00C23C8C"/>
    <w:rsid w:val="00C23EC1"/>
    <w:rsid w:val="00C240BF"/>
    <w:rsid w:val="00C24245"/>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1E2"/>
    <w:rsid w:val="00C27518"/>
    <w:rsid w:val="00C2784F"/>
    <w:rsid w:val="00C27D1D"/>
    <w:rsid w:val="00C27F24"/>
    <w:rsid w:val="00C301B8"/>
    <w:rsid w:val="00C3023F"/>
    <w:rsid w:val="00C30438"/>
    <w:rsid w:val="00C304C5"/>
    <w:rsid w:val="00C3083E"/>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CDB"/>
    <w:rsid w:val="00C40F89"/>
    <w:rsid w:val="00C41695"/>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6DD5"/>
    <w:rsid w:val="00C472B8"/>
    <w:rsid w:val="00C472DF"/>
    <w:rsid w:val="00C4730A"/>
    <w:rsid w:val="00C474E5"/>
    <w:rsid w:val="00C4751E"/>
    <w:rsid w:val="00C4751F"/>
    <w:rsid w:val="00C47540"/>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C3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2F3"/>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B87"/>
    <w:rsid w:val="00C63F0A"/>
    <w:rsid w:val="00C641E9"/>
    <w:rsid w:val="00C645AB"/>
    <w:rsid w:val="00C646E0"/>
    <w:rsid w:val="00C646F0"/>
    <w:rsid w:val="00C647CC"/>
    <w:rsid w:val="00C64906"/>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A72"/>
    <w:rsid w:val="00C80AF3"/>
    <w:rsid w:val="00C80F08"/>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B0"/>
    <w:rsid w:val="00C941D9"/>
    <w:rsid w:val="00C941E2"/>
    <w:rsid w:val="00C942CD"/>
    <w:rsid w:val="00C945E1"/>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59D"/>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788"/>
    <w:rsid w:val="00CC4818"/>
    <w:rsid w:val="00CC49F5"/>
    <w:rsid w:val="00CC4B9D"/>
    <w:rsid w:val="00CC4FFC"/>
    <w:rsid w:val="00CC50F1"/>
    <w:rsid w:val="00CC5105"/>
    <w:rsid w:val="00CC5180"/>
    <w:rsid w:val="00CC51D6"/>
    <w:rsid w:val="00CC5208"/>
    <w:rsid w:val="00CC5280"/>
    <w:rsid w:val="00CC52A6"/>
    <w:rsid w:val="00CC554A"/>
    <w:rsid w:val="00CC5C70"/>
    <w:rsid w:val="00CC5DBC"/>
    <w:rsid w:val="00CC6139"/>
    <w:rsid w:val="00CC6282"/>
    <w:rsid w:val="00CC67AF"/>
    <w:rsid w:val="00CC6897"/>
    <w:rsid w:val="00CC68DC"/>
    <w:rsid w:val="00CC6A7E"/>
    <w:rsid w:val="00CC6F8F"/>
    <w:rsid w:val="00CC745A"/>
    <w:rsid w:val="00CC74E0"/>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77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D7F"/>
    <w:rsid w:val="00CD3E8B"/>
    <w:rsid w:val="00CD41DD"/>
    <w:rsid w:val="00CD47F2"/>
    <w:rsid w:val="00CD4E1C"/>
    <w:rsid w:val="00CD4EBB"/>
    <w:rsid w:val="00CD5571"/>
    <w:rsid w:val="00CD5991"/>
    <w:rsid w:val="00CD5AC0"/>
    <w:rsid w:val="00CD5DA8"/>
    <w:rsid w:val="00CD5DAA"/>
    <w:rsid w:val="00CD5F0A"/>
    <w:rsid w:val="00CD5F4D"/>
    <w:rsid w:val="00CD62C1"/>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58"/>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2E98"/>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CF7EE4"/>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203"/>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6D11"/>
    <w:rsid w:val="00D0712F"/>
    <w:rsid w:val="00D07276"/>
    <w:rsid w:val="00D0742A"/>
    <w:rsid w:val="00D07497"/>
    <w:rsid w:val="00D07682"/>
    <w:rsid w:val="00D0779C"/>
    <w:rsid w:val="00D077B3"/>
    <w:rsid w:val="00D07841"/>
    <w:rsid w:val="00D07984"/>
    <w:rsid w:val="00D07A42"/>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0B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2A"/>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2F3"/>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DA"/>
    <w:rsid w:val="00D63D91"/>
    <w:rsid w:val="00D643C5"/>
    <w:rsid w:val="00D64791"/>
    <w:rsid w:val="00D64A46"/>
    <w:rsid w:val="00D64B5A"/>
    <w:rsid w:val="00D64CE8"/>
    <w:rsid w:val="00D64F53"/>
    <w:rsid w:val="00D65064"/>
    <w:rsid w:val="00D6563A"/>
    <w:rsid w:val="00D656B9"/>
    <w:rsid w:val="00D65BA6"/>
    <w:rsid w:val="00D65E4D"/>
    <w:rsid w:val="00D65F8E"/>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A6D"/>
    <w:rsid w:val="00D76E51"/>
    <w:rsid w:val="00D7703D"/>
    <w:rsid w:val="00D776D4"/>
    <w:rsid w:val="00D77800"/>
    <w:rsid w:val="00D779F9"/>
    <w:rsid w:val="00D77BBF"/>
    <w:rsid w:val="00D8040B"/>
    <w:rsid w:val="00D80410"/>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DD3"/>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C28"/>
    <w:rsid w:val="00D92DE5"/>
    <w:rsid w:val="00D92F09"/>
    <w:rsid w:val="00D930B9"/>
    <w:rsid w:val="00D93434"/>
    <w:rsid w:val="00D93630"/>
    <w:rsid w:val="00D937F1"/>
    <w:rsid w:val="00D93C28"/>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12"/>
    <w:rsid w:val="00D95460"/>
    <w:rsid w:val="00D95963"/>
    <w:rsid w:val="00D95B84"/>
    <w:rsid w:val="00D95CB4"/>
    <w:rsid w:val="00D95D87"/>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7CF"/>
    <w:rsid w:val="00DA2838"/>
    <w:rsid w:val="00DA2885"/>
    <w:rsid w:val="00DA3167"/>
    <w:rsid w:val="00DA31B5"/>
    <w:rsid w:val="00DA3497"/>
    <w:rsid w:val="00DA3767"/>
    <w:rsid w:val="00DA385D"/>
    <w:rsid w:val="00DA38D5"/>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38B"/>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174"/>
    <w:rsid w:val="00DB3507"/>
    <w:rsid w:val="00DB37CD"/>
    <w:rsid w:val="00DB39D1"/>
    <w:rsid w:val="00DB3F0A"/>
    <w:rsid w:val="00DB41CC"/>
    <w:rsid w:val="00DB4665"/>
    <w:rsid w:val="00DB46B9"/>
    <w:rsid w:val="00DB49E5"/>
    <w:rsid w:val="00DB4AFF"/>
    <w:rsid w:val="00DB4B12"/>
    <w:rsid w:val="00DB4B7C"/>
    <w:rsid w:val="00DB4C48"/>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5C3"/>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BCA"/>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8A1"/>
    <w:rsid w:val="00DD4901"/>
    <w:rsid w:val="00DD49C0"/>
    <w:rsid w:val="00DD49E2"/>
    <w:rsid w:val="00DD49F8"/>
    <w:rsid w:val="00DD4BE6"/>
    <w:rsid w:val="00DD4F64"/>
    <w:rsid w:val="00DD513E"/>
    <w:rsid w:val="00DD541C"/>
    <w:rsid w:val="00DD5458"/>
    <w:rsid w:val="00DD55DE"/>
    <w:rsid w:val="00DD577E"/>
    <w:rsid w:val="00DD5812"/>
    <w:rsid w:val="00DD58DE"/>
    <w:rsid w:val="00DD59C0"/>
    <w:rsid w:val="00DD5ABC"/>
    <w:rsid w:val="00DD60CD"/>
    <w:rsid w:val="00DD6C24"/>
    <w:rsid w:val="00DD70F4"/>
    <w:rsid w:val="00DD786C"/>
    <w:rsid w:val="00DD7BA7"/>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3C0"/>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29C"/>
    <w:rsid w:val="00DF0387"/>
    <w:rsid w:val="00DF06D1"/>
    <w:rsid w:val="00DF08F5"/>
    <w:rsid w:val="00DF0AC7"/>
    <w:rsid w:val="00DF0BC6"/>
    <w:rsid w:val="00DF0D75"/>
    <w:rsid w:val="00DF1197"/>
    <w:rsid w:val="00DF1402"/>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1EDB"/>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795"/>
    <w:rsid w:val="00E07955"/>
    <w:rsid w:val="00E07B62"/>
    <w:rsid w:val="00E07C2D"/>
    <w:rsid w:val="00E07CD1"/>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BF6"/>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2EE6"/>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55D"/>
    <w:rsid w:val="00E25A72"/>
    <w:rsid w:val="00E25B4C"/>
    <w:rsid w:val="00E25CCF"/>
    <w:rsid w:val="00E25D73"/>
    <w:rsid w:val="00E25F74"/>
    <w:rsid w:val="00E25FD4"/>
    <w:rsid w:val="00E260ED"/>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27F55"/>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5D35"/>
    <w:rsid w:val="00E36196"/>
    <w:rsid w:val="00E36483"/>
    <w:rsid w:val="00E364E8"/>
    <w:rsid w:val="00E36D4D"/>
    <w:rsid w:val="00E36EA8"/>
    <w:rsid w:val="00E36EE5"/>
    <w:rsid w:val="00E36FD9"/>
    <w:rsid w:val="00E3769A"/>
    <w:rsid w:val="00E378C4"/>
    <w:rsid w:val="00E378EC"/>
    <w:rsid w:val="00E379F2"/>
    <w:rsid w:val="00E37B9B"/>
    <w:rsid w:val="00E37BA8"/>
    <w:rsid w:val="00E37F75"/>
    <w:rsid w:val="00E37FD7"/>
    <w:rsid w:val="00E4019B"/>
    <w:rsid w:val="00E4081E"/>
    <w:rsid w:val="00E40AEB"/>
    <w:rsid w:val="00E40ED8"/>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4FE5"/>
    <w:rsid w:val="00E45159"/>
    <w:rsid w:val="00E4522F"/>
    <w:rsid w:val="00E4531F"/>
    <w:rsid w:val="00E455C8"/>
    <w:rsid w:val="00E456B8"/>
    <w:rsid w:val="00E456D5"/>
    <w:rsid w:val="00E45D0B"/>
    <w:rsid w:val="00E45DD3"/>
    <w:rsid w:val="00E45E50"/>
    <w:rsid w:val="00E460D5"/>
    <w:rsid w:val="00E46116"/>
    <w:rsid w:val="00E46235"/>
    <w:rsid w:val="00E4656D"/>
    <w:rsid w:val="00E46630"/>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99E"/>
    <w:rsid w:val="00E51B67"/>
    <w:rsid w:val="00E51E55"/>
    <w:rsid w:val="00E52338"/>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A55"/>
    <w:rsid w:val="00E67BA0"/>
    <w:rsid w:val="00E67E01"/>
    <w:rsid w:val="00E70014"/>
    <w:rsid w:val="00E701EB"/>
    <w:rsid w:val="00E7034D"/>
    <w:rsid w:val="00E706C4"/>
    <w:rsid w:val="00E70797"/>
    <w:rsid w:val="00E70895"/>
    <w:rsid w:val="00E709A0"/>
    <w:rsid w:val="00E70A49"/>
    <w:rsid w:val="00E70CDE"/>
    <w:rsid w:val="00E70CEB"/>
    <w:rsid w:val="00E71027"/>
    <w:rsid w:val="00E711AB"/>
    <w:rsid w:val="00E7124E"/>
    <w:rsid w:val="00E7135C"/>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A"/>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E7"/>
    <w:rsid w:val="00E826FB"/>
    <w:rsid w:val="00E8271A"/>
    <w:rsid w:val="00E8286F"/>
    <w:rsid w:val="00E8293D"/>
    <w:rsid w:val="00E82AE3"/>
    <w:rsid w:val="00E82FD4"/>
    <w:rsid w:val="00E8303D"/>
    <w:rsid w:val="00E8324C"/>
    <w:rsid w:val="00E835C1"/>
    <w:rsid w:val="00E83F5F"/>
    <w:rsid w:val="00E83F95"/>
    <w:rsid w:val="00E840FB"/>
    <w:rsid w:val="00E84126"/>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31"/>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353"/>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0"/>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859"/>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841"/>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0B0"/>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2B2"/>
    <w:rsid w:val="00EE161B"/>
    <w:rsid w:val="00EE1622"/>
    <w:rsid w:val="00EE1951"/>
    <w:rsid w:val="00EE1ACC"/>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646"/>
    <w:rsid w:val="00EE3916"/>
    <w:rsid w:val="00EE3964"/>
    <w:rsid w:val="00EE3B00"/>
    <w:rsid w:val="00EE442F"/>
    <w:rsid w:val="00EE4465"/>
    <w:rsid w:val="00EE45B8"/>
    <w:rsid w:val="00EE4A2C"/>
    <w:rsid w:val="00EE4A3B"/>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F78"/>
    <w:rsid w:val="00EF0FE3"/>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00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C38"/>
    <w:rsid w:val="00F11CB8"/>
    <w:rsid w:val="00F11F62"/>
    <w:rsid w:val="00F12941"/>
    <w:rsid w:val="00F12BFC"/>
    <w:rsid w:val="00F13051"/>
    <w:rsid w:val="00F13119"/>
    <w:rsid w:val="00F133E9"/>
    <w:rsid w:val="00F133F2"/>
    <w:rsid w:val="00F13604"/>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0D"/>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C7A"/>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673"/>
    <w:rsid w:val="00F426B7"/>
    <w:rsid w:val="00F42C82"/>
    <w:rsid w:val="00F43066"/>
    <w:rsid w:val="00F4309B"/>
    <w:rsid w:val="00F430BF"/>
    <w:rsid w:val="00F4339C"/>
    <w:rsid w:val="00F436A4"/>
    <w:rsid w:val="00F43ABF"/>
    <w:rsid w:val="00F43C91"/>
    <w:rsid w:val="00F43E2F"/>
    <w:rsid w:val="00F43EB1"/>
    <w:rsid w:val="00F44238"/>
    <w:rsid w:val="00F44506"/>
    <w:rsid w:val="00F445B7"/>
    <w:rsid w:val="00F4466E"/>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0AC7"/>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CF0"/>
    <w:rsid w:val="00F72DC8"/>
    <w:rsid w:val="00F72F1D"/>
    <w:rsid w:val="00F73277"/>
    <w:rsid w:val="00F73330"/>
    <w:rsid w:val="00F7381F"/>
    <w:rsid w:val="00F742FE"/>
    <w:rsid w:val="00F74427"/>
    <w:rsid w:val="00F7480D"/>
    <w:rsid w:val="00F74B21"/>
    <w:rsid w:val="00F74BC8"/>
    <w:rsid w:val="00F7520F"/>
    <w:rsid w:val="00F756D4"/>
    <w:rsid w:val="00F75F2B"/>
    <w:rsid w:val="00F7615F"/>
    <w:rsid w:val="00F762ED"/>
    <w:rsid w:val="00F76562"/>
    <w:rsid w:val="00F765D2"/>
    <w:rsid w:val="00F76BDA"/>
    <w:rsid w:val="00F76D01"/>
    <w:rsid w:val="00F76FE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690"/>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1CB"/>
    <w:rsid w:val="00F834DC"/>
    <w:rsid w:val="00F835CA"/>
    <w:rsid w:val="00F83BAB"/>
    <w:rsid w:val="00F840B5"/>
    <w:rsid w:val="00F8419D"/>
    <w:rsid w:val="00F842E1"/>
    <w:rsid w:val="00F84779"/>
    <w:rsid w:val="00F84D8D"/>
    <w:rsid w:val="00F84E62"/>
    <w:rsid w:val="00F84EA8"/>
    <w:rsid w:val="00F84EF1"/>
    <w:rsid w:val="00F8553A"/>
    <w:rsid w:val="00F858A1"/>
    <w:rsid w:val="00F858E4"/>
    <w:rsid w:val="00F859E6"/>
    <w:rsid w:val="00F85D02"/>
    <w:rsid w:val="00F85EE4"/>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13C"/>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759"/>
    <w:rsid w:val="00FA579D"/>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2"/>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2D"/>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1C"/>
    <w:rsid w:val="00FC242A"/>
    <w:rsid w:val="00FC2434"/>
    <w:rsid w:val="00FC2537"/>
    <w:rsid w:val="00FC2867"/>
    <w:rsid w:val="00FC2886"/>
    <w:rsid w:val="00FC29ED"/>
    <w:rsid w:val="00FC30C2"/>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C760C"/>
    <w:rsid w:val="00FD07DC"/>
    <w:rsid w:val="00FD0BB7"/>
    <w:rsid w:val="00FD0CD2"/>
    <w:rsid w:val="00FD0E43"/>
    <w:rsid w:val="00FD0F39"/>
    <w:rsid w:val="00FD11B6"/>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C0D"/>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707"/>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1D1"/>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E7D57"/>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55"/>
    <w:rsid w:val="00FF43F0"/>
    <w:rsid w:val="00FF471C"/>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 w:val="01B4ED20"/>
    <w:rsid w:val="02AB7F6E"/>
    <w:rsid w:val="03C84A8F"/>
    <w:rsid w:val="040A5E81"/>
    <w:rsid w:val="0440103B"/>
    <w:rsid w:val="046BD140"/>
    <w:rsid w:val="05F9C7C7"/>
    <w:rsid w:val="06CE91D4"/>
    <w:rsid w:val="06DC6929"/>
    <w:rsid w:val="06EAB514"/>
    <w:rsid w:val="08721DC8"/>
    <w:rsid w:val="092CB580"/>
    <w:rsid w:val="0B2928CB"/>
    <w:rsid w:val="0B29FE79"/>
    <w:rsid w:val="0B645709"/>
    <w:rsid w:val="0D97848B"/>
    <w:rsid w:val="0DEBFFEE"/>
    <w:rsid w:val="0F6DE6DA"/>
    <w:rsid w:val="0FB4120B"/>
    <w:rsid w:val="10CE7BE5"/>
    <w:rsid w:val="10E3D986"/>
    <w:rsid w:val="119EADFC"/>
    <w:rsid w:val="12D1B12A"/>
    <w:rsid w:val="13C9CF4A"/>
    <w:rsid w:val="1402DAFD"/>
    <w:rsid w:val="15CE20E2"/>
    <w:rsid w:val="15EEE130"/>
    <w:rsid w:val="160AA8DA"/>
    <w:rsid w:val="163EA623"/>
    <w:rsid w:val="166AEAA3"/>
    <w:rsid w:val="17BAED80"/>
    <w:rsid w:val="17E2B432"/>
    <w:rsid w:val="19A89D20"/>
    <w:rsid w:val="1A1948D0"/>
    <w:rsid w:val="1A21BCD2"/>
    <w:rsid w:val="1B85D1F1"/>
    <w:rsid w:val="1C8AF1C1"/>
    <w:rsid w:val="1CA6C82E"/>
    <w:rsid w:val="1D5EE0C7"/>
    <w:rsid w:val="1D72DCA3"/>
    <w:rsid w:val="1DB12E1C"/>
    <w:rsid w:val="1E00BD4B"/>
    <w:rsid w:val="1E718070"/>
    <w:rsid w:val="1EC2754C"/>
    <w:rsid w:val="1F4F64BA"/>
    <w:rsid w:val="201343CE"/>
    <w:rsid w:val="2129DB71"/>
    <w:rsid w:val="221EB49B"/>
    <w:rsid w:val="221FE024"/>
    <w:rsid w:val="22D301FA"/>
    <w:rsid w:val="233A1905"/>
    <w:rsid w:val="235BD057"/>
    <w:rsid w:val="237CF413"/>
    <w:rsid w:val="248FBEAA"/>
    <w:rsid w:val="2578F399"/>
    <w:rsid w:val="259154FE"/>
    <w:rsid w:val="25D10FE3"/>
    <w:rsid w:val="271A7272"/>
    <w:rsid w:val="273B4FED"/>
    <w:rsid w:val="27EF2E19"/>
    <w:rsid w:val="2945644E"/>
    <w:rsid w:val="2987767D"/>
    <w:rsid w:val="2A4BABAC"/>
    <w:rsid w:val="2A7A2E89"/>
    <w:rsid w:val="2B0675B5"/>
    <w:rsid w:val="2B4E5A2B"/>
    <w:rsid w:val="2B7B21D9"/>
    <w:rsid w:val="2B824054"/>
    <w:rsid w:val="2B866E20"/>
    <w:rsid w:val="2C3E880A"/>
    <w:rsid w:val="2C616E00"/>
    <w:rsid w:val="2C87E92B"/>
    <w:rsid w:val="2CB88BAB"/>
    <w:rsid w:val="2E2E2734"/>
    <w:rsid w:val="2ED500AA"/>
    <w:rsid w:val="30120808"/>
    <w:rsid w:val="314500F8"/>
    <w:rsid w:val="3265D81A"/>
    <w:rsid w:val="33121D4E"/>
    <w:rsid w:val="332632CF"/>
    <w:rsid w:val="3439C783"/>
    <w:rsid w:val="357487D1"/>
    <w:rsid w:val="3582D3A8"/>
    <w:rsid w:val="369E19F6"/>
    <w:rsid w:val="36FC43F0"/>
    <w:rsid w:val="37DCB49B"/>
    <w:rsid w:val="382E249F"/>
    <w:rsid w:val="392E8A81"/>
    <w:rsid w:val="3985AEC4"/>
    <w:rsid w:val="3AE733F2"/>
    <w:rsid w:val="3AF5648D"/>
    <w:rsid w:val="3B35AB40"/>
    <w:rsid w:val="3C846BB6"/>
    <w:rsid w:val="3CE4DC86"/>
    <w:rsid w:val="3D99E51F"/>
    <w:rsid w:val="3E558777"/>
    <w:rsid w:val="3EB0369B"/>
    <w:rsid w:val="3EF95FF2"/>
    <w:rsid w:val="402E1A92"/>
    <w:rsid w:val="40396CD9"/>
    <w:rsid w:val="407D6179"/>
    <w:rsid w:val="409B25AD"/>
    <w:rsid w:val="412B4FE0"/>
    <w:rsid w:val="413DDBD9"/>
    <w:rsid w:val="415AC712"/>
    <w:rsid w:val="420A8AFA"/>
    <w:rsid w:val="422A4FEA"/>
    <w:rsid w:val="4285DC37"/>
    <w:rsid w:val="435DF44E"/>
    <w:rsid w:val="43AEA9A0"/>
    <w:rsid w:val="43E59015"/>
    <w:rsid w:val="44CBD484"/>
    <w:rsid w:val="44F3B5D6"/>
    <w:rsid w:val="48E88566"/>
    <w:rsid w:val="49189E21"/>
    <w:rsid w:val="49467C0F"/>
    <w:rsid w:val="49780A5C"/>
    <w:rsid w:val="49796C24"/>
    <w:rsid w:val="49F13ADE"/>
    <w:rsid w:val="4A290446"/>
    <w:rsid w:val="4A5E7C6F"/>
    <w:rsid w:val="4A731EC5"/>
    <w:rsid w:val="4C2F2700"/>
    <w:rsid w:val="4C9256A6"/>
    <w:rsid w:val="4DCD2A67"/>
    <w:rsid w:val="4F0C94FA"/>
    <w:rsid w:val="4F2D3746"/>
    <w:rsid w:val="4FBBDFB9"/>
    <w:rsid w:val="4FED1F94"/>
    <w:rsid w:val="50AF2AC3"/>
    <w:rsid w:val="50E042F5"/>
    <w:rsid w:val="515FB479"/>
    <w:rsid w:val="517C9E35"/>
    <w:rsid w:val="51B53995"/>
    <w:rsid w:val="522AF6D7"/>
    <w:rsid w:val="52790B9C"/>
    <w:rsid w:val="52BBA4FC"/>
    <w:rsid w:val="5357AB6B"/>
    <w:rsid w:val="53722F7E"/>
    <w:rsid w:val="53952737"/>
    <w:rsid w:val="54052E1D"/>
    <w:rsid w:val="541089D4"/>
    <w:rsid w:val="5433D7A7"/>
    <w:rsid w:val="544B667B"/>
    <w:rsid w:val="54752C32"/>
    <w:rsid w:val="549048A5"/>
    <w:rsid w:val="549FBC12"/>
    <w:rsid w:val="551AADEE"/>
    <w:rsid w:val="55360AAD"/>
    <w:rsid w:val="558189FD"/>
    <w:rsid w:val="5587412F"/>
    <w:rsid w:val="5637E362"/>
    <w:rsid w:val="56DFC792"/>
    <w:rsid w:val="57A590DE"/>
    <w:rsid w:val="57C91EFF"/>
    <w:rsid w:val="5845A988"/>
    <w:rsid w:val="59249BE3"/>
    <w:rsid w:val="595E723B"/>
    <w:rsid w:val="5A12D1B8"/>
    <w:rsid w:val="5A27C1C9"/>
    <w:rsid w:val="5A6EBCAD"/>
    <w:rsid w:val="5A6F4E98"/>
    <w:rsid w:val="5B810C86"/>
    <w:rsid w:val="5B8428F5"/>
    <w:rsid w:val="5C2AA42D"/>
    <w:rsid w:val="5CF12FFE"/>
    <w:rsid w:val="5D3FDB97"/>
    <w:rsid w:val="5D9A71DC"/>
    <w:rsid w:val="5EC43A51"/>
    <w:rsid w:val="5F03112D"/>
    <w:rsid w:val="5F6AC6ED"/>
    <w:rsid w:val="5F770584"/>
    <w:rsid w:val="606892CA"/>
    <w:rsid w:val="610ED6FB"/>
    <w:rsid w:val="6122919C"/>
    <w:rsid w:val="61E0EAC3"/>
    <w:rsid w:val="63971B54"/>
    <w:rsid w:val="63B9A142"/>
    <w:rsid w:val="64BCEEFF"/>
    <w:rsid w:val="6560FF0C"/>
    <w:rsid w:val="670BF1AE"/>
    <w:rsid w:val="67B852D5"/>
    <w:rsid w:val="68383C56"/>
    <w:rsid w:val="6A41F200"/>
    <w:rsid w:val="6A687883"/>
    <w:rsid w:val="6A9E6A98"/>
    <w:rsid w:val="6AA028FA"/>
    <w:rsid w:val="6AEF2579"/>
    <w:rsid w:val="6B8D7694"/>
    <w:rsid w:val="6D0A01CF"/>
    <w:rsid w:val="6F1AFC15"/>
    <w:rsid w:val="7047E17B"/>
    <w:rsid w:val="705C6408"/>
    <w:rsid w:val="7102DD5A"/>
    <w:rsid w:val="718CEA74"/>
    <w:rsid w:val="7252D02C"/>
    <w:rsid w:val="729E3B8D"/>
    <w:rsid w:val="72B23B5A"/>
    <w:rsid w:val="7315B331"/>
    <w:rsid w:val="73475E97"/>
    <w:rsid w:val="73744B96"/>
    <w:rsid w:val="73C53FEA"/>
    <w:rsid w:val="74BF737A"/>
    <w:rsid w:val="752441D2"/>
    <w:rsid w:val="757CC512"/>
    <w:rsid w:val="758EC0B7"/>
    <w:rsid w:val="76CEE539"/>
    <w:rsid w:val="76ED6269"/>
    <w:rsid w:val="77CA70EC"/>
    <w:rsid w:val="77F2A1AB"/>
    <w:rsid w:val="786218B0"/>
    <w:rsid w:val="78FF4C90"/>
    <w:rsid w:val="7A323C01"/>
    <w:rsid w:val="7C1DC590"/>
    <w:rsid w:val="7C265D8A"/>
    <w:rsid w:val="7C2CAE85"/>
    <w:rsid w:val="7C820B0C"/>
    <w:rsid w:val="7CD843CA"/>
    <w:rsid w:val="7DC70385"/>
    <w:rsid w:val="7E859B64"/>
    <w:rsid w:val="7F039D0F"/>
    <w:rsid w:val="7F33C1FC"/>
    <w:rsid w:val="7F5581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2C0FA"/>
  <w15:docId w15:val="{6300055B-DEC2-45AD-8581-D61DC0A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paragraph" w:customStyle="1" w:styleId="CharCharChar00">
    <w:name w:val="Char Char Char00"/>
    <w:basedOn w:val="Normal"/>
    <w:rsid w:val="00CD62C1"/>
    <w:pPr>
      <w:spacing w:after="160" w:line="240" w:lineRule="exact"/>
      <w:jc w:val="left"/>
    </w:pPr>
    <w:rPr>
      <w:rFonts w:ascii="Tahoma" w:hAnsi="Tahoma"/>
      <w:sz w:val="20"/>
      <w:lang w:val="en-US" w:eastAsia="en-US"/>
    </w:rPr>
  </w:style>
  <w:style w:type="paragraph" w:customStyle="1" w:styleId="ZnakZnak00">
    <w:name w:val="Znak Znak00"/>
    <w:basedOn w:val="Normal"/>
    <w:rsid w:val="00CD62C1"/>
    <w:pPr>
      <w:spacing w:after="0" w:line="360" w:lineRule="auto"/>
    </w:pPr>
    <w:rPr>
      <w:rFonts w:ascii="Verdana" w:hAnsi="Verdana"/>
      <w:sz w:val="20"/>
      <w:lang w:val="pl-PL" w:eastAsia="pl-PL"/>
    </w:rPr>
  </w:style>
  <w:style w:type="paragraph" w:customStyle="1" w:styleId="CharCharChar000">
    <w:name w:val="Char Char Char000"/>
    <w:basedOn w:val="Normal"/>
    <w:rsid w:val="0090641D"/>
    <w:pPr>
      <w:spacing w:after="160" w:line="240" w:lineRule="exact"/>
      <w:jc w:val="left"/>
    </w:pPr>
    <w:rPr>
      <w:rFonts w:ascii="Tahoma" w:hAnsi="Tahoma"/>
      <w:sz w:val="20"/>
      <w:lang w:val="en-US" w:eastAsia="en-US"/>
    </w:rPr>
  </w:style>
  <w:style w:type="paragraph" w:customStyle="1" w:styleId="ZnakZnak000">
    <w:name w:val="Znak Znak000"/>
    <w:basedOn w:val="Normal"/>
    <w:rsid w:val="0090641D"/>
    <w:pPr>
      <w:spacing w:after="0" w:line="360" w:lineRule="auto"/>
    </w:pPr>
    <w:rPr>
      <w:rFonts w:ascii="Verdana" w:hAnsi="Verdana"/>
      <w:sz w:val="20"/>
      <w:lang w:val="pl-PL" w:eastAsia="pl-PL"/>
    </w:rPr>
  </w:style>
  <w:style w:type="paragraph" w:customStyle="1" w:styleId="CharCharChar0000">
    <w:name w:val="Char Char Char0000"/>
    <w:basedOn w:val="Normal"/>
    <w:rsid w:val="00A76D8C"/>
    <w:pPr>
      <w:spacing w:after="160" w:line="240" w:lineRule="exact"/>
      <w:jc w:val="left"/>
    </w:pPr>
    <w:rPr>
      <w:rFonts w:ascii="Tahoma" w:hAnsi="Tahoma"/>
      <w:sz w:val="20"/>
      <w:lang w:val="en-US" w:eastAsia="en-US"/>
    </w:rPr>
  </w:style>
  <w:style w:type="paragraph" w:customStyle="1" w:styleId="ZnakZnak0000">
    <w:name w:val="Znak Znak0000"/>
    <w:basedOn w:val="Normal"/>
    <w:rsid w:val="00A76D8C"/>
    <w:pPr>
      <w:spacing w:after="0" w:line="360" w:lineRule="auto"/>
    </w:pPr>
    <w:rPr>
      <w:rFonts w:ascii="Verdana" w:hAnsi="Verdana"/>
      <w:sz w:val="20"/>
      <w:lang w:val="pl-PL" w:eastAsia="pl-PL"/>
    </w:rPr>
  </w:style>
  <w:style w:type="paragraph" w:customStyle="1" w:styleId="CharCharChar00000">
    <w:name w:val="Char Char Char00000"/>
    <w:basedOn w:val="Normal"/>
    <w:rsid w:val="006A28DA"/>
    <w:pPr>
      <w:spacing w:after="160" w:line="240" w:lineRule="exact"/>
      <w:jc w:val="left"/>
    </w:pPr>
    <w:rPr>
      <w:rFonts w:ascii="Tahoma" w:hAnsi="Tahoma"/>
      <w:sz w:val="20"/>
      <w:lang w:val="en-US" w:eastAsia="en-US"/>
    </w:rPr>
  </w:style>
  <w:style w:type="paragraph" w:customStyle="1" w:styleId="ZnakZnak00000">
    <w:name w:val="Znak Znak00000"/>
    <w:basedOn w:val="Normal"/>
    <w:rsid w:val="006A28DA"/>
    <w:pPr>
      <w:spacing w:after="0" w:line="360" w:lineRule="auto"/>
    </w:pPr>
    <w:rPr>
      <w:rFonts w:ascii="Verdana" w:hAnsi="Verdana"/>
      <w:sz w:val="20"/>
      <w:lang w:val="pl-PL" w:eastAsia="pl-PL"/>
    </w:rPr>
  </w:style>
  <w:style w:type="paragraph" w:customStyle="1" w:styleId="CharCharChar000000">
    <w:name w:val="Char Char Char000000"/>
    <w:basedOn w:val="Normal"/>
    <w:rsid w:val="00F81690"/>
    <w:pPr>
      <w:spacing w:after="160" w:line="240" w:lineRule="exact"/>
      <w:jc w:val="left"/>
    </w:pPr>
    <w:rPr>
      <w:rFonts w:ascii="Tahoma" w:hAnsi="Tahoma"/>
      <w:sz w:val="20"/>
      <w:lang w:val="en-US" w:eastAsia="en-US"/>
    </w:rPr>
  </w:style>
  <w:style w:type="paragraph" w:customStyle="1" w:styleId="ZnakZnak000000">
    <w:name w:val="Znak Znak000000"/>
    <w:basedOn w:val="Normal"/>
    <w:rsid w:val="00F81690"/>
    <w:pPr>
      <w:spacing w:after="0" w:line="360" w:lineRule="auto"/>
    </w:pPr>
    <w:rPr>
      <w:rFonts w:ascii="Verdana" w:hAnsi="Verdana"/>
      <w:sz w:val="20"/>
      <w:lang w:val="pl-PL" w:eastAsia="pl-PL"/>
    </w:rPr>
  </w:style>
  <w:style w:type="paragraph" w:customStyle="1" w:styleId="CharCharChar0000000">
    <w:name w:val="Char Char Char0000000"/>
    <w:basedOn w:val="Normal"/>
    <w:uiPriority w:val="99"/>
    <w:rsid w:val="00580712"/>
    <w:pPr>
      <w:spacing w:after="160" w:line="240" w:lineRule="exact"/>
      <w:jc w:val="left"/>
    </w:pPr>
    <w:rPr>
      <w:rFonts w:ascii="Tahoma" w:hAnsi="Tahoma"/>
      <w:sz w:val="20"/>
      <w:lang w:val="en-US" w:eastAsia="en-US"/>
    </w:rPr>
  </w:style>
  <w:style w:type="paragraph" w:customStyle="1" w:styleId="ZnakZnak0000000">
    <w:name w:val="Znak Znak0000000"/>
    <w:basedOn w:val="Normal"/>
    <w:rsid w:val="00580712"/>
    <w:pPr>
      <w:spacing w:after="0" w:line="360" w:lineRule="auto"/>
    </w:pPr>
    <w:rPr>
      <w:rFonts w:ascii="Verdana" w:hAnsi="Verdana"/>
      <w:sz w:val="20"/>
      <w:lang w:val="pl-PL" w:eastAsia="pl-PL"/>
    </w:rPr>
  </w:style>
  <w:style w:type="character" w:styleId="UnresolvedMention">
    <w:name w:val="Unresolved Mention"/>
    <w:basedOn w:val="DefaultParagraphFont"/>
    <w:uiPriority w:val="99"/>
    <w:semiHidden/>
    <w:unhideWhenUsed/>
    <w:rsid w:val="00EE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0299">
      <w:bodyDiv w:val="1"/>
      <w:marLeft w:val="0"/>
      <w:marRight w:val="0"/>
      <w:marTop w:val="0"/>
      <w:marBottom w:val="0"/>
      <w:divBdr>
        <w:top w:val="none" w:sz="0" w:space="0" w:color="auto"/>
        <w:left w:val="none" w:sz="0" w:space="0" w:color="auto"/>
        <w:bottom w:val="none" w:sz="0" w:space="0" w:color="auto"/>
        <w:right w:val="none" w:sz="0" w:space="0" w:color="auto"/>
      </w:divBdr>
    </w:div>
    <w:div w:id="360860389">
      <w:bodyDiv w:val="1"/>
      <w:marLeft w:val="0"/>
      <w:marRight w:val="0"/>
      <w:marTop w:val="0"/>
      <w:marBottom w:val="0"/>
      <w:divBdr>
        <w:top w:val="none" w:sz="0" w:space="0" w:color="auto"/>
        <w:left w:val="none" w:sz="0" w:space="0" w:color="auto"/>
        <w:bottom w:val="none" w:sz="0" w:space="0" w:color="auto"/>
        <w:right w:val="none" w:sz="0" w:space="0" w:color="auto"/>
      </w:divBdr>
      <w:divsChild>
        <w:div w:id="156501935">
          <w:marLeft w:val="0"/>
          <w:marRight w:val="0"/>
          <w:marTop w:val="0"/>
          <w:marBottom w:val="0"/>
          <w:divBdr>
            <w:top w:val="none" w:sz="0" w:space="0" w:color="auto"/>
            <w:left w:val="none" w:sz="0" w:space="0" w:color="auto"/>
            <w:bottom w:val="none" w:sz="0" w:space="0" w:color="auto"/>
            <w:right w:val="none" w:sz="0" w:space="0" w:color="auto"/>
          </w:divBdr>
        </w:div>
        <w:div w:id="552424884">
          <w:marLeft w:val="0"/>
          <w:marRight w:val="0"/>
          <w:marTop w:val="0"/>
          <w:marBottom w:val="0"/>
          <w:divBdr>
            <w:top w:val="none" w:sz="0" w:space="0" w:color="auto"/>
            <w:left w:val="none" w:sz="0" w:space="0" w:color="auto"/>
            <w:bottom w:val="none" w:sz="0" w:space="0" w:color="auto"/>
            <w:right w:val="none" w:sz="0" w:space="0" w:color="auto"/>
          </w:divBdr>
        </w:div>
        <w:div w:id="578292878">
          <w:marLeft w:val="0"/>
          <w:marRight w:val="0"/>
          <w:marTop w:val="0"/>
          <w:marBottom w:val="0"/>
          <w:divBdr>
            <w:top w:val="none" w:sz="0" w:space="0" w:color="auto"/>
            <w:left w:val="none" w:sz="0" w:space="0" w:color="auto"/>
            <w:bottom w:val="none" w:sz="0" w:space="0" w:color="auto"/>
            <w:right w:val="none" w:sz="0" w:space="0" w:color="auto"/>
          </w:divBdr>
        </w:div>
        <w:div w:id="1315067994">
          <w:marLeft w:val="0"/>
          <w:marRight w:val="0"/>
          <w:marTop w:val="0"/>
          <w:marBottom w:val="0"/>
          <w:divBdr>
            <w:top w:val="none" w:sz="0" w:space="0" w:color="auto"/>
            <w:left w:val="none" w:sz="0" w:space="0" w:color="auto"/>
            <w:bottom w:val="none" w:sz="0" w:space="0" w:color="auto"/>
            <w:right w:val="none" w:sz="0" w:space="0" w:color="auto"/>
          </w:divBdr>
        </w:div>
      </w:divsChild>
    </w:div>
    <w:div w:id="451368782">
      <w:bodyDiv w:val="1"/>
      <w:marLeft w:val="0"/>
      <w:marRight w:val="0"/>
      <w:marTop w:val="0"/>
      <w:marBottom w:val="0"/>
      <w:divBdr>
        <w:top w:val="none" w:sz="0" w:space="0" w:color="auto"/>
        <w:left w:val="none" w:sz="0" w:space="0" w:color="auto"/>
        <w:bottom w:val="none" w:sz="0" w:space="0" w:color="auto"/>
        <w:right w:val="none" w:sz="0" w:space="0" w:color="auto"/>
      </w:divBdr>
    </w:div>
    <w:div w:id="537354046">
      <w:bodyDiv w:val="1"/>
      <w:marLeft w:val="0"/>
      <w:marRight w:val="0"/>
      <w:marTop w:val="0"/>
      <w:marBottom w:val="0"/>
      <w:divBdr>
        <w:top w:val="none" w:sz="0" w:space="0" w:color="auto"/>
        <w:left w:val="none" w:sz="0" w:space="0" w:color="auto"/>
        <w:bottom w:val="none" w:sz="0" w:space="0" w:color="auto"/>
        <w:right w:val="none" w:sz="0" w:space="0" w:color="auto"/>
      </w:divBdr>
      <w:divsChild>
        <w:div w:id="424770923">
          <w:marLeft w:val="0"/>
          <w:marRight w:val="0"/>
          <w:marTop w:val="0"/>
          <w:marBottom w:val="0"/>
          <w:divBdr>
            <w:top w:val="none" w:sz="0" w:space="0" w:color="auto"/>
            <w:left w:val="none" w:sz="0" w:space="0" w:color="auto"/>
            <w:bottom w:val="none" w:sz="0" w:space="0" w:color="auto"/>
            <w:right w:val="none" w:sz="0" w:space="0" w:color="auto"/>
          </w:divBdr>
        </w:div>
        <w:div w:id="510802111">
          <w:marLeft w:val="0"/>
          <w:marRight w:val="0"/>
          <w:marTop w:val="0"/>
          <w:marBottom w:val="0"/>
          <w:divBdr>
            <w:top w:val="none" w:sz="0" w:space="0" w:color="auto"/>
            <w:left w:val="none" w:sz="0" w:space="0" w:color="auto"/>
            <w:bottom w:val="none" w:sz="0" w:space="0" w:color="auto"/>
            <w:right w:val="none" w:sz="0" w:space="0" w:color="auto"/>
          </w:divBdr>
        </w:div>
      </w:divsChild>
    </w:div>
    <w:div w:id="577595866">
      <w:bodyDiv w:val="1"/>
      <w:marLeft w:val="0"/>
      <w:marRight w:val="0"/>
      <w:marTop w:val="0"/>
      <w:marBottom w:val="0"/>
      <w:divBdr>
        <w:top w:val="none" w:sz="0" w:space="0" w:color="auto"/>
        <w:left w:val="none" w:sz="0" w:space="0" w:color="auto"/>
        <w:bottom w:val="none" w:sz="0" w:space="0" w:color="auto"/>
        <w:right w:val="none" w:sz="0" w:space="0" w:color="auto"/>
      </w:divBdr>
    </w:div>
    <w:div w:id="684595965">
      <w:bodyDiv w:val="1"/>
      <w:marLeft w:val="0"/>
      <w:marRight w:val="0"/>
      <w:marTop w:val="0"/>
      <w:marBottom w:val="0"/>
      <w:divBdr>
        <w:top w:val="none" w:sz="0" w:space="0" w:color="auto"/>
        <w:left w:val="none" w:sz="0" w:space="0" w:color="auto"/>
        <w:bottom w:val="none" w:sz="0" w:space="0" w:color="auto"/>
        <w:right w:val="none" w:sz="0" w:space="0" w:color="auto"/>
      </w:divBdr>
      <w:divsChild>
        <w:div w:id="879049944">
          <w:marLeft w:val="0"/>
          <w:marRight w:val="0"/>
          <w:marTop w:val="0"/>
          <w:marBottom w:val="0"/>
          <w:divBdr>
            <w:top w:val="none" w:sz="0" w:space="0" w:color="auto"/>
            <w:left w:val="none" w:sz="0" w:space="0" w:color="auto"/>
            <w:bottom w:val="none" w:sz="0" w:space="0" w:color="auto"/>
            <w:right w:val="none" w:sz="0" w:space="0" w:color="auto"/>
          </w:divBdr>
        </w:div>
        <w:div w:id="1144542118">
          <w:marLeft w:val="0"/>
          <w:marRight w:val="0"/>
          <w:marTop w:val="0"/>
          <w:marBottom w:val="0"/>
          <w:divBdr>
            <w:top w:val="none" w:sz="0" w:space="0" w:color="auto"/>
            <w:left w:val="none" w:sz="0" w:space="0" w:color="auto"/>
            <w:bottom w:val="none" w:sz="0" w:space="0" w:color="auto"/>
            <w:right w:val="none" w:sz="0" w:space="0" w:color="auto"/>
          </w:divBdr>
        </w:div>
        <w:div w:id="1600529125">
          <w:marLeft w:val="0"/>
          <w:marRight w:val="0"/>
          <w:marTop w:val="0"/>
          <w:marBottom w:val="0"/>
          <w:divBdr>
            <w:top w:val="none" w:sz="0" w:space="0" w:color="auto"/>
            <w:left w:val="none" w:sz="0" w:space="0" w:color="auto"/>
            <w:bottom w:val="none" w:sz="0" w:space="0" w:color="auto"/>
            <w:right w:val="none" w:sz="0" w:space="0" w:color="auto"/>
          </w:divBdr>
        </w:div>
        <w:div w:id="1806657752">
          <w:marLeft w:val="0"/>
          <w:marRight w:val="0"/>
          <w:marTop w:val="0"/>
          <w:marBottom w:val="0"/>
          <w:divBdr>
            <w:top w:val="none" w:sz="0" w:space="0" w:color="auto"/>
            <w:left w:val="none" w:sz="0" w:space="0" w:color="auto"/>
            <w:bottom w:val="none" w:sz="0" w:space="0" w:color="auto"/>
            <w:right w:val="none" w:sz="0" w:space="0" w:color="auto"/>
          </w:divBdr>
        </w:div>
      </w:divsChild>
    </w:div>
    <w:div w:id="786125993">
      <w:bodyDiv w:val="1"/>
      <w:marLeft w:val="0"/>
      <w:marRight w:val="0"/>
      <w:marTop w:val="0"/>
      <w:marBottom w:val="0"/>
      <w:divBdr>
        <w:top w:val="none" w:sz="0" w:space="0" w:color="auto"/>
        <w:left w:val="none" w:sz="0" w:space="0" w:color="auto"/>
        <w:bottom w:val="none" w:sz="0" w:space="0" w:color="auto"/>
        <w:right w:val="none" w:sz="0" w:space="0" w:color="auto"/>
      </w:divBdr>
    </w:div>
    <w:div w:id="807821632">
      <w:bodyDiv w:val="1"/>
      <w:marLeft w:val="0"/>
      <w:marRight w:val="0"/>
      <w:marTop w:val="0"/>
      <w:marBottom w:val="0"/>
      <w:divBdr>
        <w:top w:val="none" w:sz="0" w:space="0" w:color="auto"/>
        <w:left w:val="none" w:sz="0" w:space="0" w:color="auto"/>
        <w:bottom w:val="none" w:sz="0" w:space="0" w:color="auto"/>
        <w:right w:val="none" w:sz="0" w:space="0" w:color="auto"/>
      </w:divBdr>
    </w:div>
    <w:div w:id="926185734">
      <w:bodyDiv w:val="1"/>
      <w:marLeft w:val="0"/>
      <w:marRight w:val="0"/>
      <w:marTop w:val="0"/>
      <w:marBottom w:val="0"/>
      <w:divBdr>
        <w:top w:val="none" w:sz="0" w:space="0" w:color="auto"/>
        <w:left w:val="none" w:sz="0" w:space="0" w:color="auto"/>
        <w:bottom w:val="none" w:sz="0" w:space="0" w:color="auto"/>
        <w:right w:val="none" w:sz="0" w:space="0" w:color="auto"/>
      </w:divBdr>
      <w:divsChild>
        <w:div w:id="177816267">
          <w:marLeft w:val="0"/>
          <w:marRight w:val="0"/>
          <w:marTop w:val="0"/>
          <w:marBottom w:val="0"/>
          <w:divBdr>
            <w:top w:val="none" w:sz="0" w:space="0" w:color="auto"/>
            <w:left w:val="none" w:sz="0" w:space="0" w:color="auto"/>
            <w:bottom w:val="none" w:sz="0" w:space="0" w:color="auto"/>
            <w:right w:val="none" w:sz="0" w:space="0" w:color="auto"/>
          </w:divBdr>
        </w:div>
        <w:div w:id="222446358">
          <w:marLeft w:val="0"/>
          <w:marRight w:val="0"/>
          <w:marTop w:val="0"/>
          <w:marBottom w:val="0"/>
          <w:divBdr>
            <w:top w:val="none" w:sz="0" w:space="0" w:color="auto"/>
            <w:left w:val="none" w:sz="0" w:space="0" w:color="auto"/>
            <w:bottom w:val="none" w:sz="0" w:space="0" w:color="auto"/>
            <w:right w:val="none" w:sz="0" w:space="0" w:color="auto"/>
          </w:divBdr>
        </w:div>
        <w:div w:id="903179215">
          <w:marLeft w:val="0"/>
          <w:marRight w:val="0"/>
          <w:marTop w:val="0"/>
          <w:marBottom w:val="0"/>
          <w:divBdr>
            <w:top w:val="none" w:sz="0" w:space="0" w:color="auto"/>
            <w:left w:val="none" w:sz="0" w:space="0" w:color="auto"/>
            <w:bottom w:val="none" w:sz="0" w:space="0" w:color="auto"/>
            <w:right w:val="none" w:sz="0" w:space="0" w:color="auto"/>
          </w:divBdr>
        </w:div>
        <w:div w:id="1906597304">
          <w:marLeft w:val="0"/>
          <w:marRight w:val="0"/>
          <w:marTop w:val="0"/>
          <w:marBottom w:val="0"/>
          <w:divBdr>
            <w:top w:val="none" w:sz="0" w:space="0" w:color="auto"/>
            <w:left w:val="none" w:sz="0" w:space="0" w:color="auto"/>
            <w:bottom w:val="none" w:sz="0" w:space="0" w:color="auto"/>
            <w:right w:val="none" w:sz="0" w:space="0" w:color="auto"/>
          </w:divBdr>
        </w:div>
        <w:div w:id="1956672962">
          <w:marLeft w:val="0"/>
          <w:marRight w:val="0"/>
          <w:marTop w:val="0"/>
          <w:marBottom w:val="0"/>
          <w:divBdr>
            <w:top w:val="none" w:sz="0" w:space="0" w:color="auto"/>
            <w:left w:val="none" w:sz="0" w:space="0" w:color="auto"/>
            <w:bottom w:val="none" w:sz="0" w:space="0" w:color="auto"/>
            <w:right w:val="none" w:sz="0" w:space="0" w:color="auto"/>
          </w:divBdr>
        </w:div>
      </w:divsChild>
    </w:div>
    <w:div w:id="1246694423">
      <w:bodyDiv w:val="1"/>
      <w:marLeft w:val="0"/>
      <w:marRight w:val="0"/>
      <w:marTop w:val="0"/>
      <w:marBottom w:val="0"/>
      <w:divBdr>
        <w:top w:val="none" w:sz="0" w:space="0" w:color="auto"/>
        <w:left w:val="none" w:sz="0" w:space="0" w:color="auto"/>
        <w:bottom w:val="none" w:sz="0" w:space="0" w:color="auto"/>
        <w:right w:val="none" w:sz="0" w:space="0" w:color="auto"/>
      </w:divBdr>
      <w:divsChild>
        <w:div w:id="1067606575">
          <w:marLeft w:val="0"/>
          <w:marRight w:val="0"/>
          <w:marTop w:val="0"/>
          <w:marBottom w:val="0"/>
          <w:divBdr>
            <w:top w:val="none" w:sz="0" w:space="0" w:color="auto"/>
            <w:left w:val="none" w:sz="0" w:space="0" w:color="auto"/>
            <w:bottom w:val="none" w:sz="0" w:space="0" w:color="auto"/>
            <w:right w:val="none" w:sz="0" w:space="0" w:color="auto"/>
          </w:divBdr>
        </w:div>
        <w:div w:id="1295410091">
          <w:marLeft w:val="0"/>
          <w:marRight w:val="0"/>
          <w:marTop w:val="0"/>
          <w:marBottom w:val="0"/>
          <w:divBdr>
            <w:top w:val="none" w:sz="0" w:space="0" w:color="auto"/>
            <w:left w:val="none" w:sz="0" w:space="0" w:color="auto"/>
            <w:bottom w:val="none" w:sz="0" w:space="0" w:color="auto"/>
            <w:right w:val="none" w:sz="0" w:space="0" w:color="auto"/>
          </w:divBdr>
        </w:div>
      </w:divsChild>
    </w:div>
    <w:div w:id="1304895807">
      <w:bodyDiv w:val="1"/>
      <w:marLeft w:val="0"/>
      <w:marRight w:val="0"/>
      <w:marTop w:val="0"/>
      <w:marBottom w:val="0"/>
      <w:divBdr>
        <w:top w:val="none" w:sz="0" w:space="0" w:color="auto"/>
        <w:left w:val="none" w:sz="0" w:space="0" w:color="auto"/>
        <w:bottom w:val="none" w:sz="0" w:space="0" w:color="auto"/>
        <w:right w:val="none" w:sz="0" w:space="0" w:color="auto"/>
      </w:divBdr>
    </w:div>
    <w:div w:id="1420760455">
      <w:bodyDiv w:val="1"/>
      <w:marLeft w:val="0"/>
      <w:marRight w:val="0"/>
      <w:marTop w:val="0"/>
      <w:marBottom w:val="0"/>
      <w:divBdr>
        <w:top w:val="none" w:sz="0" w:space="0" w:color="auto"/>
        <w:left w:val="none" w:sz="0" w:space="0" w:color="auto"/>
        <w:bottom w:val="none" w:sz="0" w:space="0" w:color="auto"/>
        <w:right w:val="none" w:sz="0" w:space="0" w:color="auto"/>
      </w:divBdr>
    </w:div>
    <w:div w:id="1454785158">
      <w:bodyDiv w:val="1"/>
      <w:marLeft w:val="0"/>
      <w:marRight w:val="0"/>
      <w:marTop w:val="0"/>
      <w:marBottom w:val="0"/>
      <w:divBdr>
        <w:top w:val="none" w:sz="0" w:space="0" w:color="auto"/>
        <w:left w:val="none" w:sz="0" w:space="0" w:color="auto"/>
        <w:bottom w:val="none" w:sz="0" w:space="0" w:color="auto"/>
        <w:right w:val="none" w:sz="0" w:space="0" w:color="auto"/>
      </w:divBdr>
      <w:divsChild>
        <w:div w:id="1245453981">
          <w:marLeft w:val="0"/>
          <w:marRight w:val="0"/>
          <w:marTop w:val="0"/>
          <w:marBottom w:val="0"/>
          <w:divBdr>
            <w:top w:val="none" w:sz="0" w:space="0" w:color="auto"/>
            <w:left w:val="none" w:sz="0" w:space="0" w:color="auto"/>
            <w:bottom w:val="none" w:sz="0" w:space="0" w:color="auto"/>
            <w:right w:val="none" w:sz="0" w:space="0" w:color="auto"/>
          </w:divBdr>
        </w:div>
        <w:div w:id="1249729285">
          <w:marLeft w:val="0"/>
          <w:marRight w:val="0"/>
          <w:marTop w:val="0"/>
          <w:marBottom w:val="0"/>
          <w:divBdr>
            <w:top w:val="none" w:sz="0" w:space="0" w:color="auto"/>
            <w:left w:val="none" w:sz="0" w:space="0" w:color="auto"/>
            <w:bottom w:val="none" w:sz="0" w:space="0" w:color="auto"/>
            <w:right w:val="none" w:sz="0" w:space="0" w:color="auto"/>
          </w:divBdr>
        </w:div>
        <w:div w:id="1764569674">
          <w:marLeft w:val="0"/>
          <w:marRight w:val="0"/>
          <w:marTop w:val="0"/>
          <w:marBottom w:val="0"/>
          <w:divBdr>
            <w:top w:val="none" w:sz="0" w:space="0" w:color="auto"/>
            <w:left w:val="none" w:sz="0" w:space="0" w:color="auto"/>
            <w:bottom w:val="none" w:sz="0" w:space="0" w:color="auto"/>
            <w:right w:val="none" w:sz="0" w:space="0" w:color="auto"/>
          </w:divBdr>
        </w:div>
        <w:div w:id="1842499582">
          <w:marLeft w:val="0"/>
          <w:marRight w:val="0"/>
          <w:marTop w:val="0"/>
          <w:marBottom w:val="0"/>
          <w:divBdr>
            <w:top w:val="none" w:sz="0" w:space="0" w:color="auto"/>
            <w:left w:val="none" w:sz="0" w:space="0" w:color="auto"/>
            <w:bottom w:val="none" w:sz="0" w:space="0" w:color="auto"/>
            <w:right w:val="none" w:sz="0" w:space="0" w:color="auto"/>
          </w:divBdr>
        </w:div>
        <w:div w:id="1914580891">
          <w:marLeft w:val="0"/>
          <w:marRight w:val="0"/>
          <w:marTop w:val="0"/>
          <w:marBottom w:val="0"/>
          <w:divBdr>
            <w:top w:val="none" w:sz="0" w:space="0" w:color="auto"/>
            <w:left w:val="none" w:sz="0" w:space="0" w:color="auto"/>
            <w:bottom w:val="none" w:sz="0" w:space="0" w:color="auto"/>
            <w:right w:val="none" w:sz="0" w:space="0" w:color="auto"/>
          </w:divBdr>
        </w:div>
      </w:divsChild>
    </w:div>
    <w:div w:id="1615820628">
      <w:bodyDiv w:val="1"/>
      <w:marLeft w:val="0"/>
      <w:marRight w:val="0"/>
      <w:marTop w:val="0"/>
      <w:marBottom w:val="0"/>
      <w:divBdr>
        <w:top w:val="none" w:sz="0" w:space="0" w:color="auto"/>
        <w:left w:val="none" w:sz="0" w:space="0" w:color="auto"/>
        <w:bottom w:val="none" w:sz="0" w:space="0" w:color="auto"/>
        <w:right w:val="none" w:sz="0" w:space="0" w:color="auto"/>
      </w:divBdr>
    </w:div>
    <w:div w:id="1866211138">
      <w:bodyDiv w:val="1"/>
      <w:marLeft w:val="0"/>
      <w:marRight w:val="0"/>
      <w:marTop w:val="0"/>
      <w:marBottom w:val="0"/>
      <w:divBdr>
        <w:top w:val="none" w:sz="0" w:space="0" w:color="auto"/>
        <w:left w:val="none" w:sz="0" w:space="0" w:color="auto"/>
        <w:bottom w:val="none" w:sz="0" w:space="0" w:color="auto"/>
        <w:right w:val="none" w:sz="0" w:space="0" w:color="auto"/>
      </w:divBdr>
    </w:div>
    <w:div w:id="1866408722">
      <w:bodyDiv w:val="1"/>
      <w:marLeft w:val="0"/>
      <w:marRight w:val="0"/>
      <w:marTop w:val="0"/>
      <w:marBottom w:val="0"/>
      <w:divBdr>
        <w:top w:val="none" w:sz="0" w:space="0" w:color="auto"/>
        <w:left w:val="none" w:sz="0" w:space="0" w:color="auto"/>
        <w:bottom w:val="none" w:sz="0" w:space="0" w:color="auto"/>
        <w:right w:val="none" w:sz="0" w:space="0" w:color="auto"/>
      </w:divBdr>
    </w:div>
    <w:div w:id="1961179267">
      <w:bodyDiv w:val="1"/>
      <w:marLeft w:val="0"/>
      <w:marRight w:val="0"/>
      <w:marTop w:val="0"/>
      <w:marBottom w:val="0"/>
      <w:divBdr>
        <w:top w:val="none" w:sz="0" w:space="0" w:color="auto"/>
        <w:left w:val="none" w:sz="0" w:space="0" w:color="auto"/>
        <w:bottom w:val="none" w:sz="0" w:space="0" w:color="auto"/>
        <w:right w:val="none" w:sz="0" w:space="0" w:color="auto"/>
      </w:divBdr>
    </w:div>
    <w:div w:id="19788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footer1.xml" Type="http://schemas.openxmlformats.org/officeDocument/2006/relationships/footer"/>
<Relationship Id="rId12" Target="footer2.xml" Type="http://schemas.openxmlformats.org/officeDocument/2006/relationships/foot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footnotes.xml.rels><?xml version="1.0" encoding="UTF-8" standalone="yes"?>
<Relationships xmlns="http://schemas.openxmlformats.org/package/2006/relationships">
<Relationship Id="rId1" Target="https://energy.ec.europa.eu/document/download/d911cc86-121d-445c-bd27-a14098ede7e2_en?filename=C_2025_4010_1_EN_ACT_part1_v3.pdf" TargetMode="External" Type="http://schemas.openxmlformats.org/officeDocument/2006/relationships/hyperlink"/>
</Relationships>

</file>

<file path=word/_rels/settings.xml.rels><?xml version="1.0" encoding="UTF-8" standalone="yes"?>
<Relationships xmlns="http://schemas.openxmlformats.org/package/2006/relationships">
<Relationship Id="rId1" Target="file:///C:/Users/Public/Documents/Templates/TEL.DOTM"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ée un document." ma:contentTypeScope="" ma:versionID="baed57e5ae00fcd781a69a36303c2229">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3413c0683a3559d29de3e615920cbb4b"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EF6E5-587B-45A1-BF05-EA372D839199}">
  <ds:schemaRefs>
    <ds:schemaRef ds:uri="http://schemas.openxmlformats.org/officeDocument/2006/bibliography"/>
  </ds:schemaRefs>
</ds:datastoreItem>
</file>

<file path=customXml/itemProps2.xml><?xml version="1.0" encoding="utf-8"?>
<ds:datastoreItem xmlns:ds="http://schemas.openxmlformats.org/officeDocument/2006/customXml" ds:itemID="{0708F24A-8014-4BF9-8CD6-E718AC99A4DA}">
  <ds:schemaRefs>
    <ds:schemaRef ds:uri="http://schemas.microsoft.com/sharepoint/v3/contenttype/forms"/>
  </ds:schemaRefs>
</ds:datastoreItem>
</file>

<file path=customXml/itemProps3.xml><?xml version="1.0" encoding="utf-8"?>
<ds:datastoreItem xmlns:ds="http://schemas.openxmlformats.org/officeDocument/2006/customXml" ds:itemID="{30D800A8-49F3-4B84-92CF-0632A03A97C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C8148922-3082-408F-98A6-D95B4042CA05}"/>
</file>

<file path=docProps/app.xml><?xml version="1.0" encoding="utf-8"?>
<Properties xmlns="http://schemas.openxmlformats.org/officeDocument/2006/extended-properties" xmlns:vt="http://schemas.openxmlformats.org/officeDocument/2006/docPropsVTypes">
  <Template>TEL.DOTM</Template>
  <TotalTime>1</TotalTime>
  <Pages>5</Pages>
  <Words>2601</Words>
  <Characters>14918</Characters>
  <Application>Microsoft Office Word</Application>
  <DocSecurity>0</DocSecurity>
  <PresentationFormat>Microsoft Word 8.0b</PresentationFormat>
  <Lines>213</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WERKER</dc:creator>
  <cp:keywords>EL4</cp:keywords>
  <cp:lastModifiedBy>BARREAUX Sandrine (CAB-SEJOURNE)</cp:lastModifiedBy>
  <cp:revision>3</cp:revision>
  <cp:lastPrinted>2017-11-25T23:32:00Z</cp:lastPrinted>
  <dcterms:created xsi:type="dcterms:W3CDTF">2025-08-01T14:40:00Z</dcterms:created>
  <dcterms:modified xsi:type="dcterms:W3CDTF">2025-08-01T14:41:00Z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2023-02-21T13:39:13Z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c98215b1-b58e-459e-ac80-3f8da5ec5521</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ies>
</file>