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9F37A" w14:textId="14DB779C" w:rsidR="00963420" w:rsidRPr="009E0617" w:rsidRDefault="00963420" w:rsidP="009E0617">
      <w:pPr>
        <w:spacing w:after="720"/>
        <w:jc w:val="center"/>
        <w:rPr>
          <w:rFonts w:ascii="Times New Roman" w:hAnsi="Times New Roman"/>
          <w:b/>
          <w:i/>
          <w:iCs/>
        </w:rPr>
      </w:pPr>
      <w:r w:rsidRPr="00C33439">
        <w:rPr>
          <w:rFonts w:ascii="Times New Roman" w:hAnsi="Times New Roman"/>
          <w:b/>
          <w:szCs w:val="24"/>
        </w:rPr>
        <w:t xml:space="preserve">Follow-up to the European Parliament non-legislative resolution </w:t>
      </w:r>
      <w:r w:rsidRPr="00C33439">
        <w:rPr>
          <w:rFonts w:ascii="Times New Roman" w:hAnsi="Times New Roman"/>
          <w:b/>
          <w:bCs/>
          <w:szCs w:val="24"/>
        </w:rPr>
        <w:t xml:space="preserve">on </w:t>
      </w:r>
      <w:r w:rsidR="009E0617">
        <w:rPr>
          <w:rFonts w:ascii="Times New Roman" w:hAnsi="Times New Roman"/>
          <w:b/>
        </w:rPr>
        <w:t>the ninth report on economic and social cohesion</w:t>
      </w:r>
    </w:p>
    <w:p w14:paraId="222E65B7" w14:textId="13615475" w:rsidR="00963420" w:rsidRPr="009E0617" w:rsidRDefault="003F4302" w:rsidP="0084310E">
      <w:pPr>
        <w:numPr>
          <w:ilvl w:val="0"/>
          <w:numId w:val="35"/>
        </w:numPr>
        <w:ind w:left="567" w:hanging="567"/>
        <w:rPr>
          <w:rFonts w:ascii="Times New Roman" w:hAnsi="Times New Roman"/>
          <w:i/>
          <w:szCs w:val="24"/>
          <w:lang w:val="fr-BE"/>
        </w:rPr>
      </w:pPr>
      <w:r w:rsidRPr="009E0617">
        <w:rPr>
          <w:rFonts w:ascii="Times New Roman" w:hAnsi="Times New Roman"/>
          <w:b/>
          <w:szCs w:val="24"/>
          <w:lang w:val="fr-BE"/>
        </w:rPr>
        <w:t>Rapporteur :</w:t>
      </w:r>
      <w:r w:rsidR="00963420" w:rsidRPr="009E0617">
        <w:rPr>
          <w:rFonts w:ascii="Times New Roman" w:hAnsi="Times New Roman"/>
          <w:szCs w:val="24"/>
          <w:lang w:val="fr-BE"/>
        </w:rPr>
        <w:t xml:space="preserve"> </w:t>
      </w:r>
      <w:r w:rsidR="009E0617" w:rsidRPr="009E0617">
        <w:rPr>
          <w:rFonts w:ascii="Times New Roman" w:hAnsi="Times New Roman"/>
          <w:bCs/>
          <w:lang w:val="fr-BE"/>
        </w:rPr>
        <w:t>Jacek PROTAS</w:t>
      </w:r>
      <w:r w:rsidR="00C9310B" w:rsidRPr="009E0617">
        <w:rPr>
          <w:rFonts w:ascii="Times New Roman" w:hAnsi="Times New Roman"/>
          <w:bCs/>
          <w:lang w:val="fr-BE"/>
        </w:rPr>
        <w:t xml:space="preserve"> (</w:t>
      </w:r>
      <w:r w:rsidR="009E0617" w:rsidRPr="009E0617">
        <w:rPr>
          <w:rFonts w:ascii="Times New Roman" w:hAnsi="Times New Roman"/>
          <w:bCs/>
          <w:lang w:val="fr-BE"/>
        </w:rPr>
        <w:t>EPP</w:t>
      </w:r>
      <w:r w:rsidR="00C9310B" w:rsidRPr="009E0617">
        <w:rPr>
          <w:rFonts w:ascii="Times New Roman" w:hAnsi="Times New Roman"/>
          <w:bCs/>
          <w:lang w:val="fr-BE"/>
        </w:rPr>
        <w:t xml:space="preserve"> / </w:t>
      </w:r>
      <w:r w:rsidR="009E0617" w:rsidRPr="009E0617">
        <w:rPr>
          <w:rFonts w:ascii="Times New Roman" w:hAnsi="Times New Roman"/>
          <w:bCs/>
          <w:lang w:val="fr-BE"/>
        </w:rPr>
        <w:t>PL</w:t>
      </w:r>
      <w:r w:rsidR="00C9310B" w:rsidRPr="009E0617">
        <w:rPr>
          <w:rFonts w:ascii="Times New Roman" w:hAnsi="Times New Roman"/>
          <w:bCs/>
          <w:lang w:val="fr-BE"/>
        </w:rPr>
        <w:t>)</w:t>
      </w:r>
    </w:p>
    <w:p w14:paraId="3021C497" w14:textId="118EABE5" w:rsidR="00563F16" w:rsidRPr="009E0617" w:rsidRDefault="00063DCE" w:rsidP="009E0617">
      <w:pPr>
        <w:pStyle w:val="Default"/>
        <w:numPr>
          <w:ilvl w:val="0"/>
          <w:numId w:val="35"/>
        </w:numPr>
        <w:ind w:left="567" w:hanging="567"/>
        <w:jc w:val="both"/>
        <w:rPr>
          <w:color w:val="auto"/>
          <w:lang w:val="en-GB"/>
        </w:rPr>
      </w:pPr>
      <w:r w:rsidRPr="009E0617">
        <w:rPr>
          <w:b/>
          <w:color w:val="auto"/>
          <w:lang w:val="en-GB"/>
        </w:rPr>
        <w:t>R</w:t>
      </w:r>
      <w:r w:rsidR="00963420" w:rsidRPr="009E0617">
        <w:rPr>
          <w:b/>
          <w:color w:val="auto"/>
          <w:lang w:val="en-GB"/>
        </w:rPr>
        <w:t>eference</w:t>
      </w:r>
      <w:r w:rsidR="00CA777E" w:rsidRPr="009E0617">
        <w:rPr>
          <w:b/>
          <w:color w:val="auto"/>
          <w:lang w:val="en-GB"/>
        </w:rPr>
        <w:t>s</w:t>
      </w:r>
      <w:r w:rsidR="00963420" w:rsidRPr="009E0617">
        <w:rPr>
          <w:b/>
          <w:color w:val="auto"/>
          <w:lang w:val="en-GB"/>
        </w:rPr>
        <w:t xml:space="preserve">: </w:t>
      </w:r>
      <w:hyperlink r:id="rId11" w:history="1">
        <w:hyperlink r:id="rId12" w:history="1">
          <w:r w:rsidR="009E0617" w:rsidRPr="009E0617">
            <w:rPr>
              <w:rFonts w:eastAsia="Calibri"/>
              <w:lang w:val="en-GB" w:eastAsia="en-US"/>
            </w:rPr>
            <w:t>2024</w:t>
          </w:r>
          <w:r w:rsidR="007F37AE" w:rsidRPr="009E0617">
            <w:rPr>
              <w:rFonts w:eastAsia="Calibri"/>
              <w:lang w:val="en-GB" w:eastAsia="en-US"/>
            </w:rPr>
            <w:t>/</w:t>
          </w:r>
          <w:r w:rsidR="009E0617" w:rsidRPr="009E0617">
            <w:rPr>
              <w:rFonts w:eastAsia="Calibri"/>
              <w:lang w:val="en-GB" w:eastAsia="en-US"/>
            </w:rPr>
            <w:t>2107</w:t>
          </w:r>
          <w:r w:rsidR="007F37AE" w:rsidRPr="009E0617">
            <w:rPr>
              <w:rFonts w:eastAsia="Calibri"/>
              <w:lang w:val="en-GB" w:eastAsia="en-US"/>
            </w:rPr>
            <w:t>(INI</w:t>
          </w:r>
        </w:hyperlink>
      </w:hyperlink>
      <w:r w:rsidR="007F37AE" w:rsidRPr="009E0617">
        <w:rPr>
          <w:lang w:val="en-GB"/>
        </w:rPr>
        <w:t>)</w:t>
      </w:r>
      <w:r w:rsidR="001C668F">
        <w:rPr>
          <w:lang w:val="en-GB"/>
        </w:rPr>
        <w:t xml:space="preserve"> /</w:t>
      </w:r>
      <w:r w:rsidR="007F37AE" w:rsidRPr="009E0617">
        <w:rPr>
          <w:i/>
          <w:lang w:val="en-GB"/>
        </w:rPr>
        <w:t xml:space="preserve"> </w:t>
      </w:r>
      <w:hyperlink r:id="rId13" w:tgtFrame="externalDocument" w:history="1">
        <w:r w:rsidR="007F37AE" w:rsidRPr="009E0617">
          <w:rPr>
            <w:lang w:val="en-GB"/>
          </w:rPr>
          <w:t>A10-</w:t>
        </w:r>
        <w:r w:rsidR="009E0617" w:rsidRPr="009E0617">
          <w:rPr>
            <w:lang w:val="en-GB"/>
          </w:rPr>
          <w:t>0066</w:t>
        </w:r>
        <w:r w:rsidR="007F37AE" w:rsidRPr="009E0617">
          <w:rPr>
            <w:lang w:val="en-GB"/>
          </w:rPr>
          <w:t>/20</w:t>
        </w:r>
      </w:hyperlink>
      <w:r w:rsidR="009E0617" w:rsidRPr="009E0617">
        <w:rPr>
          <w:lang w:val="en-GB"/>
        </w:rPr>
        <w:t>25</w:t>
      </w:r>
      <w:r w:rsidR="007F37AE" w:rsidRPr="009E0617">
        <w:rPr>
          <w:lang w:val="en-GB"/>
        </w:rPr>
        <w:t xml:space="preserve"> / P10_TA(20</w:t>
      </w:r>
      <w:r w:rsidR="009E0617" w:rsidRPr="009E0617">
        <w:rPr>
          <w:lang w:val="en-GB"/>
        </w:rPr>
        <w:t>25</w:t>
      </w:r>
      <w:r w:rsidR="007F37AE" w:rsidRPr="009E0617">
        <w:rPr>
          <w:lang w:val="en-GB"/>
        </w:rPr>
        <w:t>)</w:t>
      </w:r>
      <w:r w:rsidR="009E0617" w:rsidRPr="009E0617">
        <w:rPr>
          <w:lang w:val="en-GB"/>
        </w:rPr>
        <w:t>0098</w:t>
      </w:r>
      <w:r w:rsidR="007F37AE" w:rsidRPr="009E0617">
        <w:rPr>
          <w:lang w:val="en-GB"/>
        </w:rPr>
        <w:t xml:space="preserve"> </w:t>
      </w:r>
      <w:r w:rsidR="007F37AE" w:rsidRPr="009E0617">
        <w:rPr>
          <w:lang w:val="en-GB"/>
        </w:rPr>
        <w:tab/>
      </w:r>
      <w:r w:rsidR="007F37AE" w:rsidRPr="009E0617">
        <w:rPr>
          <w:lang w:val="en-GB"/>
        </w:rPr>
        <w:br/>
      </w:r>
    </w:p>
    <w:p w14:paraId="61D85C18" w14:textId="1B2E7426" w:rsidR="001F0B89" w:rsidRDefault="00963420" w:rsidP="0084310E">
      <w:pPr>
        <w:numPr>
          <w:ilvl w:val="0"/>
          <w:numId w:val="35"/>
        </w:numPr>
        <w:ind w:left="567" w:hanging="567"/>
        <w:rPr>
          <w:rFonts w:ascii="Times New Roman" w:hAnsi="Times New Roman"/>
          <w:szCs w:val="24"/>
        </w:rPr>
      </w:pPr>
      <w:r w:rsidRPr="001F0B89">
        <w:rPr>
          <w:rFonts w:ascii="Times New Roman" w:hAnsi="Times New Roman"/>
          <w:b/>
          <w:szCs w:val="24"/>
        </w:rPr>
        <w:t>Date of adoption of the resolution:</w:t>
      </w:r>
      <w:r w:rsidRPr="001F0B89">
        <w:rPr>
          <w:rFonts w:ascii="Times New Roman" w:hAnsi="Times New Roman"/>
          <w:szCs w:val="24"/>
        </w:rPr>
        <w:t xml:space="preserve"> </w:t>
      </w:r>
      <w:r w:rsidR="009E0617" w:rsidRPr="009E0617">
        <w:rPr>
          <w:rFonts w:ascii="Times New Roman" w:hAnsi="Times New Roman"/>
          <w:iCs/>
          <w:szCs w:val="24"/>
        </w:rPr>
        <w:t>8 May 2025</w:t>
      </w:r>
    </w:p>
    <w:p w14:paraId="4451E813" w14:textId="3534A1DC" w:rsidR="00963420" w:rsidRPr="00A0010B" w:rsidRDefault="00963420" w:rsidP="0084310E">
      <w:pPr>
        <w:numPr>
          <w:ilvl w:val="0"/>
          <w:numId w:val="35"/>
        </w:numPr>
        <w:ind w:left="567" w:hanging="567"/>
        <w:rPr>
          <w:rFonts w:ascii="Times New Roman" w:hAnsi="Times New Roman"/>
          <w:i/>
          <w:szCs w:val="24"/>
        </w:rPr>
      </w:pPr>
      <w:r w:rsidRPr="001F0B89">
        <w:rPr>
          <w:rFonts w:ascii="Times New Roman" w:hAnsi="Times New Roman"/>
          <w:b/>
          <w:szCs w:val="24"/>
        </w:rPr>
        <w:t>Competent Parliamentary Committee:</w:t>
      </w:r>
      <w:r w:rsidRPr="00A0010B">
        <w:rPr>
          <w:rFonts w:ascii="Times New Roman" w:hAnsi="Times New Roman"/>
          <w:b/>
          <w:szCs w:val="24"/>
        </w:rPr>
        <w:t xml:space="preserve"> </w:t>
      </w:r>
      <w:r w:rsidR="00EA2741" w:rsidRPr="0014367F">
        <w:rPr>
          <w:rFonts w:ascii="Times New Roman" w:hAnsi="Times New Roman"/>
          <w:szCs w:val="24"/>
        </w:rPr>
        <w:t>Committee on</w:t>
      </w:r>
      <w:r w:rsidR="00EA2741" w:rsidRPr="00A0010B">
        <w:rPr>
          <w:rFonts w:ascii="Times New Roman" w:hAnsi="Times New Roman"/>
          <w:i/>
          <w:szCs w:val="24"/>
        </w:rPr>
        <w:t xml:space="preserve"> </w:t>
      </w:r>
      <w:r w:rsidR="009E0617">
        <w:rPr>
          <w:rFonts w:ascii="Times New Roman" w:hAnsi="Times New Roman"/>
          <w:iCs/>
          <w:szCs w:val="24"/>
        </w:rPr>
        <w:t>Regional Development (REGI)</w:t>
      </w:r>
    </w:p>
    <w:p w14:paraId="073DB649" w14:textId="77777777" w:rsidR="0079141C" w:rsidRDefault="00963420" w:rsidP="0084310E">
      <w:pPr>
        <w:widowControl w:val="0"/>
        <w:numPr>
          <w:ilvl w:val="0"/>
          <w:numId w:val="35"/>
        </w:numPr>
        <w:ind w:left="567" w:hanging="567"/>
        <w:rPr>
          <w:rFonts w:ascii="Times New Roman" w:hAnsi="Times New Roman"/>
          <w:b/>
          <w:szCs w:val="24"/>
        </w:rPr>
      </w:pPr>
      <w:r w:rsidRPr="00C33439">
        <w:rPr>
          <w:rFonts w:ascii="Times New Roman" w:hAnsi="Times New Roman"/>
          <w:b/>
          <w:szCs w:val="24"/>
        </w:rPr>
        <w:t>Brief analysis/</w:t>
      </w:r>
      <w:r w:rsidR="00AB3960" w:rsidRPr="00C33439">
        <w:rPr>
          <w:rFonts w:ascii="Times New Roman" w:hAnsi="Times New Roman"/>
          <w:b/>
          <w:szCs w:val="24"/>
        </w:rPr>
        <w:t xml:space="preserve"> </w:t>
      </w:r>
      <w:r w:rsidRPr="00C33439">
        <w:rPr>
          <w:rFonts w:ascii="Times New Roman" w:hAnsi="Times New Roman"/>
          <w:b/>
          <w:szCs w:val="24"/>
        </w:rPr>
        <w:t>assessment of the resolution and requests made in it:</w:t>
      </w:r>
      <w:r w:rsidR="00146971">
        <w:rPr>
          <w:rFonts w:ascii="Times New Roman" w:hAnsi="Times New Roman"/>
          <w:b/>
          <w:szCs w:val="24"/>
        </w:rPr>
        <w:t xml:space="preserve"> </w:t>
      </w:r>
    </w:p>
    <w:p w14:paraId="4A574364" w14:textId="0EE301BB" w:rsidR="0079141C" w:rsidRPr="001073C2" w:rsidRDefault="1F4AB9DD" w:rsidP="00F809B4">
      <w:pPr>
        <w:widowControl w:val="0"/>
        <w:rPr>
          <w:rFonts w:ascii="Times New Roman" w:hAnsi="Times New Roman"/>
        </w:rPr>
      </w:pPr>
      <w:r w:rsidRPr="0BCEB318">
        <w:rPr>
          <w:rFonts w:ascii="Times New Roman" w:hAnsi="Times New Roman"/>
        </w:rPr>
        <w:t xml:space="preserve">Building on the Commission’s report on economic, social, and territorial cohesion published in March 2024, the resolution underscores the key role of cohesion policy in promoting convergence, reducing regional disparities, and addressing the challenges of the green, digital, and demographic transitions. It puts forward policy recommendations after 2027, with a strong focus on preserving its core principles: a bottom-up approach, multi-level governance, decentralised programming, and the partnership principle. The resolution calls for a more ambitious cohesion policy envelope under the next </w:t>
      </w:r>
      <w:r w:rsidR="000B18C5">
        <w:rPr>
          <w:rFonts w:ascii="Times New Roman" w:hAnsi="Times New Roman"/>
        </w:rPr>
        <w:t>Multiannual Financial Framework (MFF)</w:t>
      </w:r>
      <w:r w:rsidRPr="0BCEB318">
        <w:rPr>
          <w:rFonts w:ascii="Times New Roman" w:hAnsi="Times New Roman"/>
        </w:rPr>
        <w:t xml:space="preserve">, stronger enforcement of the rule of law, a more flexible programming framework tailored to territorial needs, enhanced synergies between funds at all levels, greater alignment with </w:t>
      </w:r>
      <w:r w:rsidR="000B18C5">
        <w:rPr>
          <w:rFonts w:ascii="Times New Roman" w:hAnsi="Times New Roman"/>
        </w:rPr>
        <w:t xml:space="preserve">the rules governing the </w:t>
      </w:r>
      <w:r w:rsidR="000516DF" w:rsidRPr="000516DF">
        <w:rPr>
          <w:rFonts w:ascii="Times New Roman" w:hAnsi="Times New Roman"/>
        </w:rPr>
        <w:t>European Agricultural Fund for Rural Development (EAFRD)</w:t>
      </w:r>
      <w:r w:rsidRPr="0BCEB318">
        <w:rPr>
          <w:rFonts w:ascii="Times New Roman" w:hAnsi="Times New Roman"/>
        </w:rPr>
        <w:t xml:space="preserve">, improved link with the EU’s economic governance, and tailored support for regions along the EU’s eastern borders. </w:t>
      </w:r>
      <w:r w:rsidR="2D069AD8" w:rsidRPr="0BCEB318">
        <w:rPr>
          <w:rFonts w:ascii="Times New Roman" w:hAnsi="Times New Roman"/>
        </w:rPr>
        <w:t>It opposes any centralisation of cohesion policy governance and expresses caution towards adopting a one-size-fits-all, performance-based model for fund disbursement</w:t>
      </w:r>
      <w:r w:rsidR="421064E1" w:rsidRPr="0BCEB318">
        <w:rPr>
          <w:rFonts w:ascii="Times New Roman" w:hAnsi="Times New Roman"/>
        </w:rPr>
        <w:t xml:space="preserve"> – </w:t>
      </w:r>
      <w:r w:rsidR="2D069AD8" w:rsidRPr="0BCEB318">
        <w:rPr>
          <w:rFonts w:ascii="Times New Roman" w:hAnsi="Times New Roman"/>
        </w:rPr>
        <w:t>particularly</w:t>
      </w:r>
      <w:r w:rsidR="421064E1" w:rsidRPr="0BCEB318">
        <w:rPr>
          <w:rFonts w:ascii="Times New Roman" w:hAnsi="Times New Roman"/>
        </w:rPr>
        <w:t xml:space="preserve"> </w:t>
      </w:r>
      <w:r w:rsidR="2D069AD8" w:rsidRPr="0BCEB318">
        <w:rPr>
          <w:rFonts w:ascii="Times New Roman" w:hAnsi="Times New Roman"/>
        </w:rPr>
        <w:t>if applied to reforms that fall outside the remit of regional competences.</w:t>
      </w:r>
    </w:p>
    <w:p w14:paraId="26A9CADD" w14:textId="77777777" w:rsidR="009E0617" w:rsidRDefault="00963420" w:rsidP="0084310E">
      <w:pPr>
        <w:widowControl w:val="0"/>
        <w:numPr>
          <w:ilvl w:val="0"/>
          <w:numId w:val="35"/>
        </w:numPr>
        <w:ind w:left="567" w:hanging="567"/>
        <w:rPr>
          <w:rFonts w:ascii="Times New Roman" w:hAnsi="Times New Roman"/>
          <w:b/>
          <w:szCs w:val="24"/>
        </w:rPr>
      </w:pPr>
      <w:r w:rsidRPr="00C33439">
        <w:rPr>
          <w:rFonts w:ascii="Times New Roman" w:hAnsi="Times New Roman"/>
          <w:b/>
          <w:szCs w:val="24"/>
        </w:rPr>
        <w:t>Response to requests and overview of action</w:t>
      </w:r>
      <w:r w:rsidR="001946EE">
        <w:rPr>
          <w:rFonts w:ascii="Times New Roman" w:hAnsi="Times New Roman"/>
          <w:b/>
          <w:szCs w:val="24"/>
        </w:rPr>
        <w:t>s</w:t>
      </w:r>
      <w:r w:rsidRPr="00C33439">
        <w:rPr>
          <w:rFonts w:ascii="Times New Roman" w:hAnsi="Times New Roman"/>
          <w:b/>
          <w:szCs w:val="24"/>
        </w:rPr>
        <w:t xml:space="preserve"> taken, or intended to be taken, by the Commission:</w:t>
      </w:r>
      <w:r w:rsidR="00146971">
        <w:rPr>
          <w:rFonts w:ascii="Times New Roman" w:hAnsi="Times New Roman"/>
          <w:b/>
          <w:szCs w:val="24"/>
        </w:rPr>
        <w:t xml:space="preserve"> </w:t>
      </w:r>
    </w:p>
    <w:p w14:paraId="7A2BDE78" w14:textId="1268E8D2" w:rsidR="009E0617" w:rsidRPr="000B18C5" w:rsidRDefault="33CCD2E4" w:rsidP="00F809B4">
      <w:pPr>
        <w:widowControl w:val="0"/>
        <w:rPr>
          <w:rFonts w:ascii="Times New Roman" w:hAnsi="Times New Roman"/>
        </w:rPr>
      </w:pPr>
      <w:r w:rsidRPr="0FBACDC1">
        <w:rPr>
          <w:rFonts w:ascii="Times New Roman" w:hAnsi="Times New Roman"/>
        </w:rPr>
        <w:t>The Commission welcomes the European Parliament’s resolution on the 9</w:t>
      </w:r>
      <w:r w:rsidRPr="0FBACDC1">
        <w:rPr>
          <w:rFonts w:ascii="Times New Roman" w:hAnsi="Times New Roman"/>
          <w:vertAlign w:val="superscript"/>
        </w:rPr>
        <w:t>th</w:t>
      </w:r>
      <w:r w:rsidRPr="0FBACDC1">
        <w:rPr>
          <w:rFonts w:ascii="Times New Roman" w:hAnsi="Times New Roman"/>
        </w:rPr>
        <w:t xml:space="preserve"> Cohesion Report, adopted on 8 May.</w:t>
      </w:r>
    </w:p>
    <w:p w14:paraId="5719F697" w14:textId="68E0118B" w:rsidR="009E0617" w:rsidRPr="000B18C5" w:rsidRDefault="33CCD2E4" w:rsidP="00F809B4">
      <w:pPr>
        <w:widowControl w:val="0"/>
        <w:rPr>
          <w:rFonts w:ascii="Times New Roman" w:hAnsi="Times New Roman"/>
        </w:rPr>
      </w:pPr>
      <w:r w:rsidRPr="000B18C5">
        <w:rPr>
          <w:rFonts w:ascii="Times New Roman" w:hAnsi="Times New Roman"/>
        </w:rPr>
        <w:t>The Commission shares the European Parliament’s view that a stronger focus on performance-based delivery could enhance the effectiveness of future cohesion policy (§2). It further considers that such an approach could accelerate fund absorption by triggering faster payments to Member States, while ensuring better value for money. In the Commission’s view, extending this approach more broadly would contribute to simplification – particularly in terms of reporting – and create financial incentives for Member States to implement reforms essential for growth and cohesion, all while respecting national institutional frameworks and the specific competences of regional authorities.</w:t>
      </w:r>
    </w:p>
    <w:p w14:paraId="6B9F813D" w14:textId="1794BE2A" w:rsidR="009E0617" w:rsidRPr="000B18C5" w:rsidRDefault="44888D67" w:rsidP="00AD75FC">
      <w:pPr>
        <w:widowControl w:val="0"/>
        <w:spacing w:line="259" w:lineRule="auto"/>
        <w:rPr>
          <w:rFonts w:ascii="Times New Roman" w:hAnsi="Times New Roman"/>
        </w:rPr>
      </w:pPr>
      <w:r w:rsidRPr="5AD59F13">
        <w:rPr>
          <w:rFonts w:ascii="Times New Roman" w:hAnsi="Times New Roman"/>
        </w:rPr>
        <w:t>The Commission considers that</w:t>
      </w:r>
      <w:r w:rsidR="351BE829" w:rsidRPr="5AD59F13">
        <w:rPr>
          <w:rFonts w:ascii="Times New Roman" w:hAnsi="Times New Roman"/>
        </w:rPr>
        <w:t xml:space="preserve"> thematic concentration requirements </w:t>
      </w:r>
      <w:r w:rsidR="0118C1B6" w:rsidRPr="5AD59F13">
        <w:rPr>
          <w:rFonts w:ascii="Times New Roman" w:hAnsi="Times New Roman"/>
        </w:rPr>
        <w:t xml:space="preserve">have </w:t>
      </w:r>
      <w:r w:rsidR="3E0E69C1" w:rsidRPr="5AD59F13">
        <w:rPr>
          <w:rFonts w:ascii="Times New Roman" w:hAnsi="Times New Roman"/>
        </w:rPr>
        <w:t>contribute</w:t>
      </w:r>
      <w:r w:rsidR="50CFADAF" w:rsidRPr="5AD59F13">
        <w:rPr>
          <w:rFonts w:ascii="Times New Roman" w:hAnsi="Times New Roman"/>
        </w:rPr>
        <w:t>d</w:t>
      </w:r>
      <w:r w:rsidR="3E0E69C1" w:rsidRPr="5AD59F13">
        <w:rPr>
          <w:rFonts w:ascii="Times New Roman" w:hAnsi="Times New Roman"/>
        </w:rPr>
        <w:t xml:space="preserve"> to</w:t>
      </w:r>
      <w:r w:rsidR="1597AAF1" w:rsidRPr="5AD59F13">
        <w:rPr>
          <w:rFonts w:ascii="Times New Roman" w:hAnsi="Times New Roman"/>
        </w:rPr>
        <w:t xml:space="preserve">wards the </w:t>
      </w:r>
      <w:r w:rsidR="7F2D76AB" w:rsidRPr="5AD59F13">
        <w:rPr>
          <w:rFonts w:ascii="Times New Roman" w:hAnsi="Times New Roman"/>
        </w:rPr>
        <w:t xml:space="preserve">alignment of cohesion policy funds with the EU </w:t>
      </w:r>
      <w:r w:rsidR="30496DCF" w:rsidRPr="5AD59F13">
        <w:rPr>
          <w:rFonts w:ascii="Times New Roman" w:hAnsi="Times New Roman"/>
        </w:rPr>
        <w:t xml:space="preserve">strategic </w:t>
      </w:r>
      <w:r w:rsidR="709A9784" w:rsidRPr="5AD59F13">
        <w:rPr>
          <w:rFonts w:ascii="Times New Roman" w:hAnsi="Times New Roman"/>
        </w:rPr>
        <w:t>priorities</w:t>
      </w:r>
      <w:r w:rsidR="351BE829" w:rsidRPr="5AD59F13">
        <w:rPr>
          <w:rFonts w:ascii="Times New Roman" w:hAnsi="Times New Roman"/>
        </w:rPr>
        <w:t xml:space="preserve">. However, their design and implementation need to find the appropriate balance between Member State and regional specificity, the need for flexibility and </w:t>
      </w:r>
      <w:r w:rsidR="00BD2FA4" w:rsidRPr="5AD59F13">
        <w:rPr>
          <w:rFonts w:ascii="Times New Roman" w:hAnsi="Times New Roman"/>
        </w:rPr>
        <w:t>predictability</w:t>
      </w:r>
      <w:r w:rsidR="32535C7A" w:rsidRPr="5AD59F13">
        <w:rPr>
          <w:rFonts w:ascii="Times New Roman" w:hAnsi="Times New Roman"/>
        </w:rPr>
        <w:t>.</w:t>
      </w:r>
      <w:r w:rsidRPr="5AD59F13">
        <w:rPr>
          <w:rFonts w:ascii="Times New Roman" w:hAnsi="Times New Roman"/>
        </w:rPr>
        <w:t xml:space="preserve"> In this context, the Commission welcomes the Parliament’s support for </w:t>
      </w:r>
      <w:r w:rsidRPr="5AD59F13">
        <w:rPr>
          <w:rFonts w:ascii="Times New Roman" w:hAnsi="Times New Roman"/>
        </w:rPr>
        <w:lastRenderedPageBreak/>
        <w:t>greater flexibility in fund programming beyond 2027 (§11), as this would enable faster responses to unforeseen challenges and better alignment with territorial needs.</w:t>
      </w:r>
    </w:p>
    <w:p w14:paraId="63B89348" w14:textId="6410CC25" w:rsidR="009E0617" w:rsidRPr="000B18C5" w:rsidRDefault="7DD5F94F" w:rsidP="0D8588BC">
      <w:pPr>
        <w:widowControl w:val="0"/>
        <w:rPr>
          <w:rFonts w:ascii="Arial" w:eastAsia="Arial" w:hAnsi="Arial" w:cs="Arial"/>
          <w:color w:val="666666"/>
          <w:sz w:val="18"/>
          <w:szCs w:val="18"/>
        </w:rPr>
      </w:pPr>
      <w:r w:rsidRPr="5D1000CB">
        <w:rPr>
          <w:rFonts w:ascii="Times New Roman" w:hAnsi="Times New Roman"/>
        </w:rPr>
        <w:t xml:space="preserve">The Better Regulation guidelines require </w:t>
      </w:r>
      <w:r w:rsidR="00BD2FA4">
        <w:rPr>
          <w:rFonts w:ascii="Times New Roman" w:hAnsi="Times New Roman"/>
        </w:rPr>
        <w:t>an assessment of terr</w:t>
      </w:r>
      <w:r w:rsidR="00DE3A47">
        <w:rPr>
          <w:rFonts w:ascii="Times New Roman" w:hAnsi="Times New Roman"/>
        </w:rPr>
        <w:t xml:space="preserve">itorial </w:t>
      </w:r>
      <w:r w:rsidRPr="5D1000CB">
        <w:rPr>
          <w:rFonts w:ascii="Times New Roman" w:hAnsi="Times New Roman"/>
        </w:rPr>
        <w:t>impact</w:t>
      </w:r>
      <w:r w:rsidR="00DE3A47">
        <w:rPr>
          <w:rFonts w:ascii="Times New Roman" w:hAnsi="Times New Roman"/>
        </w:rPr>
        <w:t xml:space="preserve">s, including on outermost regions, in a proportionate manner when such impacts are potentially </w:t>
      </w:r>
      <w:r w:rsidRPr="5D1000CB">
        <w:rPr>
          <w:rFonts w:ascii="Times New Roman" w:hAnsi="Times New Roman"/>
        </w:rPr>
        <w:t xml:space="preserve">significant. </w:t>
      </w:r>
      <w:r w:rsidR="1A8C71D9" w:rsidRPr="5D1000CB">
        <w:rPr>
          <w:rFonts w:ascii="Times New Roman" w:hAnsi="Times New Roman"/>
        </w:rPr>
        <w:t xml:space="preserve">The Commission recognises </w:t>
      </w:r>
      <w:r w:rsidR="04508F1D" w:rsidRPr="00BD2FA4">
        <w:rPr>
          <w:rFonts w:ascii="Times New Roman" w:hAnsi="Times New Roman"/>
        </w:rPr>
        <w:t>the outermost regions</w:t>
      </w:r>
      <w:r w:rsidR="00DE3A47">
        <w:rPr>
          <w:rFonts w:ascii="Times New Roman" w:hAnsi="Times New Roman"/>
        </w:rPr>
        <w:t>’ specificities</w:t>
      </w:r>
      <w:r w:rsidR="04508F1D" w:rsidRPr="00BD2FA4">
        <w:rPr>
          <w:rFonts w:ascii="Times New Roman" w:hAnsi="Times New Roman"/>
        </w:rPr>
        <w:t>, as defined under Article 349 TFEU</w:t>
      </w:r>
      <w:r w:rsidR="00DE3A47">
        <w:rPr>
          <w:rFonts w:ascii="Times New Roman" w:hAnsi="Times New Roman"/>
        </w:rPr>
        <w:t xml:space="preserve"> and highlighted in its 2022 Communication</w:t>
      </w:r>
      <w:r w:rsidR="00DE3A47">
        <w:rPr>
          <w:rStyle w:val="FootnoteReference"/>
          <w:rFonts w:ascii="Times New Roman" w:hAnsi="Times New Roman"/>
        </w:rPr>
        <w:footnoteReference w:id="2"/>
      </w:r>
      <w:r w:rsidR="04508F1D" w:rsidRPr="00BD2FA4">
        <w:rPr>
          <w:rFonts w:ascii="Times New Roman" w:hAnsi="Times New Roman"/>
        </w:rPr>
        <w:t>,</w:t>
      </w:r>
      <w:r w:rsidR="04508F1D" w:rsidRPr="5D1000CB">
        <w:rPr>
          <w:rFonts w:ascii="Times New Roman" w:hAnsi="Times New Roman"/>
        </w:rPr>
        <w:t xml:space="preserve"> </w:t>
      </w:r>
      <w:r w:rsidR="00DE3A47">
        <w:rPr>
          <w:rFonts w:ascii="Times New Roman" w:hAnsi="Times New Roman"/>
        </w:rPr>
        <w:t xml:space="preserve">and the need for tailored and place-based approaches (§18). The Commission considers possible impacts of legislative proposals on outermost regions when these are deemed significant, under the principle of proportionality. The Commission welcomes the participation of Member States and of the outermost regions to its consultation activities and the support with data that could point to significant asymmetric impacts. </w:t>
      </w:r>
    </w:p>
    <w:p w14:paraId="182DEE29" w14:textId="041C44A4" w:rsidR="009E0617" w:rsidRPr="00BD059A" w:rsidRDefault="219C0123" w:rsidP="00F809B4">
      <w:pPr>
        <w:spacing w:line="259" w:lineRule="auto"/>
        <w:rPr>
          <w:rFonts w:ascii="Times New Roman" w:hAnsi="Times New Roman"/>
        </w:rPr>
      </w:pPr>
      <w:r w:rsidRPr="7D104CE2">
        <w:rPr>
          <w:rFonts w:ascii="Times New Roman" w:hAnsi="Times New Roman"/>
        </w:rPr>
        <w:t>The Commission remains firmly committed to supporting Member States and regions impacted by Russia’s war of aggression against Ukraine, with particular attention to the EU’s eastern border regions. It shares the European Parliament’s view on the importance of providing these regions with tailored support (§21), given the dual challenge they face in strengthening security and revitalising their economic and social fabric.</w:t>
      </w:r>
    </w:p>
    <w:p w14:paraId="7A95B95C" w14:textId="164A93C3" w:rsidR="009E0617" w:rsidRPr="00BD059A" w:rsidRDefault="1C013DB2" w:rsidP="00A1788E">
      <w:pPr>
        <w:spacing w:line="259" w:lineRule="auto"/>
        <w:rPr>
          <w:rFonts w:ascii="Times New Roman" w:hAnsi="Times New Roman"/>
        </w:rPr>
      </w:pPr>
      <w:r w:rsidRPr="0FBACDC1">
        <w:rPr>
          <w:rFonts w:ascii="Times New Roman" w:hAnsi="Times New Roman"/>
        </w:rPr>
        <w:t xml:space="preserve">Several initiatives have already been undertaken. </w:t>
      </w:r>
      <w:r w:rsidR="0042512E" w:rsidRPr="641FD140">
        <w:rPr>
          <w:rFonts w:ascii="Times New Roman" w:hAnsi="Times New Roman"/>
        </w:rPr>
        <w:t>Over EUR 1.4 billion have been mobilised for accommodation, healthcare, employment orientation, medical, social and psychological support in the context of the so-called CARE (Cohesion’s Action for Refugees in Europe) package under 2014-2020 cohesion policy programmes</w:t>
      </w:r>
      <w:r w:rsidR="0042512E">
        <w:rPr>
          <w:rStyle w:val="FootnoteReference"/>
          <w:rFonts w:ascii="Times New Roman" w:hAnsi="Times New Roman"/>
        </w:rPr>
        <w:footnoteReference w:id="3"/>
      </w:r>
      <w:r w:rsidR="0042512E" w:rsidRPr="641FD140">
        <w:rPr>
          <w:rFonts w:ascii="Times New Roman" w:hAnsi="Times New Roman"/>
        </w:rPr>
        <w:t>. It allowed Member States to reprogramme cohesion policy funds (including the ERDF and the ESF+) to address the situation of people who fled Ukraine because of Russia's war of aggression against Ukraine</w:t>
      </w:r>
      <w:r w:rsidRPr="0FBACDC1">
        <w:rPr>
          <w:rFonts w:ascii="Times New Roman" w:hAnsi="Times New Roman"/>
        </w:rPr>
        <w:t xml:space="preserve">. Furthermore, EUR 150 million from the European Regional Development Fund (ERDF), originally allocated to </w:t>
      </w:r>
      <w:r w:rsidR="00F919D6">
        <w:rPr>
          <w:rFonts w:ascii="Times New Roman" w:hAnsi="Times New Roman"/>
        </w:rPr>
        <w:t xml:space="preserve">planned </w:t>
      </w:r>
      <w:r w:rsidR="00FC077B">
        <w:rPr>
          <w:rFonts w:ascii="Times New Roman" w:hAnsi="Times New Roman"/>
        </w:rPr>
        <w:t xml:space="preserve">Interreg </w:t>
      </w:r>
      <w:r w:rsidRPr="0FBACDC1">
        <w:rPr>
          <w:rFonts w:ascii="Times New Roman" w:hAnsi="Times New Roman"/>
        </w:rPr>
        <w:t>programmes with Russia and Belarus, was redirected to internal cross-border cooperation programmes. This ensured that all EU regions bordering Russia and Belarus now participate in at least one internal Interreg programme</w:t>
      </w:r>
      <w:r w:rsidR="001813AE">
        <w:rPr>
          <w:rFonts w:ascii="Times New Roman" w:hAnsi="Times New Roman"/>
        </w:rPr>
        <w:t xml:space="preserve"> and have more opportunities </w:t>
      </w:r>
      <w:r w:rsidR="441F1086" w:rsidRPr="6872BA44">
        <w:rPr>
          <w:rFonts w:ascii="Times New Roman" w:hAnsi="Times New Roman"/>
        </w:rPr>
        <w:t xml:space="preserve">for </w:t>
      </w:r>
      <w:r w:rsidR="001813AE" w:rsidRPr="6872BA44">
        <w:rPr>
          <w:rFonts w:ascii="Times New Roman" w:hAnsi="Times New Roman"/>
        </w:rPr>
        <w:t>cooperation</w:t>
      </w:r>
      <w:r w:rsidR="001813AE">
        <w:rPr>
          <w:rFonts w:ascii="Times New Roman" w:hAnsi="Times New Roman"/>
        </w:rPr>
        <w:t xml:space="preserve"> with other EU regions</w:t>
      </w:r>
      <w:r w:rsidRPr="0FBACDC1">
        <w:rPr>
          <w:rFonts w:ascii="Times New Roman" w:hAnsi="Times New Roman"/>
        </w:rPr>
        <w:t>. Targeted calls, dedicated information sessions, and technical assistance were also provided to maximise the uptake of this additional funding by local beneficiaries.</w:t>
      </w:r>
      <w:r w:rsidR="010FEC53" w:rsidRPr="0FBACDC1">
        <w:rPr>
          <w:rFonts w:ascii="Times New Roman" w:hAnsi="Times New Roman"/>
        </w:rPr>
        <w:t xml:space="preserve"> </w:t>
      </w:r>
      <w:r w:rsidRPr="0FBACDC1">
        <w:rPr>
          <w:rFonts w:ascii="Times New Roman" w:hAnsi="Times New Roman"/>
        </w:rPr>
        <w:t>To further reinforce cooperation with Ukraine and Moldova, an additional EUR 135 million</w:t>
      </w:r>
      <w:r w:rsidR="00AA133B">
        <w:rPr>
          <w:rFonts w:ascii="Times New Roman" w:hAnsi="Times New Roman"/>
        </w:rPr>
        <w:t>,</w:t>
      </w:r>
      <w:r w:rsidR="4E58CBF8" w:rsidRPr="0FBACDC1">
        <w:rPr>
          <w:rFonts w:ascii="Times New Roman" w:hAnsi="Times New Roman"/>
        </w:rPr>
        <w:t xml:space="preserve"> </w:t>
      </w:r>
      <w:r w:rsidRPr="0FBACDC1">
        <w:rPr>
          <w:rFonts w:ascii="Times New Roman" w:hAnsi="Times New Roman"/>
        </w:rPr>
        <w:t>originally earmarked for programmes with Russia and Belarus</w:t>
      </w:r>
      <w:r w:rsidR="00AA133B">
        <w:rPr>
          <w:rFonts w:ascii="Times New Roman" w:hAnsi="Times New Roman"/>
        </w:rPr>
        <w:t>,</w:t>
      </w:r>
      <w:r w:rsidR="4E58CBF8" w:rsidRPr="0FBACDC1">
        <w:rPr>
          <w:rFonts w:ascii="Times New Roman" w:hAnsi="Times New Roman"/>
        </w:rPr>
        <w:t xml:space="preserve"> </w:t>
      </w:r>
      <w:r w:rsidRPr="0FBACDC1">
        <w:rPr>
          <w:rFonts w:ascii="Times New Roman" w:hAnsi="Times New Roman"/>
        </w:rPr>
        <w:t>was reallocated to cross-border programmes with these countries. This funding supports key infrastructure projects</w:t>
      </w:r>
      <w:r w:rsidR="00AA133B">
        <w:rPr>
          <w:rFonts w:ascii="Times New Roman" w:hAnsi="Times New Roman"/>
        </w:rPr>
        <w:t xml:space="preserve">, </w:t>
      </w:r>
      <w:r w:rsidRPr="0FBACDC1">
        <w:rPr>
          <w:rFonts w:ascii="Times New Roman" w:hAnsi="Times New Roman"/>
        </w:rPr>
        <w:t>including those linked to the EU’s Solidarity Lanes Initiative</w:t>
      </w:r>
      <w:r w:rsidR="00AA133B">
        <w:rPr>
          <w:rFonts w:ascii="Times New Roman" w:hAnsi="Times New Roman"/>
        </w:rPr>
        <w:t xml:space="preserve">, </w:t>
      </w:r>
      <w:r w:rsidRPr="0FBACDC1">
        <w:rPr>
          <w:rFonts w:ascii="Times New Roman" w:hAnsi="Times New Roman"/>
        </w:rPr>
        <w:t>and Ukraine’s economic recovery.</w:t>
      </w:r>
    </w:p>
    <w:p w14:paraId="3428AA38" w14:textId="0582A3FE" w:rsidR="009E0617" w:rsidRPr="00BD059A" w:rsidRDefault="219C0123" w:rsidP="00360CFF">
      <w:pPr>
        <w:rPr>
          <w:rFonts w:ascii="Times New Roman" w:hAnsi="Times New Roman"/>
        </w:rPr>
      </w:pPr>
      <w:r w:rsidRPr="2821E03B">
        <w:rPr>
          <w:rFonts w:ascii="Times New Roman" w:hAnsi="Times New Roman"/>
        </w:rPr>
        <w:lastRenderedPageBreak/>
        <w:t xml:space="preserve">Moreover, on 1 April, the Commission adopted specific measures to address strategic challenges under the mid-term review, through amendments to the cohesion policy regulatory framework. </w:t>
      </w:r>
      <w:r w:rsidR="00B27916" w:rsidRPr="2821E03B">
        <w:rPr>
          <w:rFonts w:ascii="Times New Roman" w:hAnsi="Times New Roman"/>
        </w:rPr>
        <w:t>Based on the Commission</w:t>
      </w:r>
      <w:r w:rsidR="00360CFF" w:rsidRPr="2821E03B">
        <w:rPr>
          <w:rFonts w:ascii="Times New Roman" w:hAnsi="Times New Roman"/>
        </w:rPr>
        <w:t xml:space="preserve">’s proposal, </w:t>
      </w:r>
      <w:r w:rsidRPr="2821E03B">
        <w:rPr>
          <w:rFonts w:ascii="Times New Roman" w:hAnsi="Times New Roman"/>
        </w:rPr>
        <w:t xml:space="preserve">Member States </w:t>
      </w:r>
      <w:r w:rsidR="00DA681F" w:rsidRPr="2821E03B">
        <w:rPr>
          <w:rFonts w:ascii="Times New Roman" w:hAnsi="Times New Roman"/>
        </w:rPr>
        <w:t xml:space="preserve">and regions </w:t>
      </w:r>
      <w:r w:rsidRPr="2821E03B">
        <w:rPr>
          <w:rFonts w:ascii="Times New Roman" w:hAnsi="Times New Roman"/>
        </w:rPr>
        <w:t>are invited</w:t>
      </w:r>
      <w:r w:rsidR="00360CFF" w:rsidRPr="2821E03B">
        <w:rPr>
          <w:rFonts w:ascii="Times New Roman" w:hAnsi="Times New Roman"/>
        </w:rPr>
        <w:t xml:space="preserve"> </w:t>
      </w:r>
      <w:r w:rsidRPr="2821E03B">
        <w:rPr>
          <w:rFonts w:ascii="Times New Roman" w:hAnsi="Times New Roman"/>
        </w:rPr>
        <w:t>to adjust their cohesion policy programmes to align with the EU’s strategic priorities, including</w:t>
      </w:r>
      <w:r w:rsidR="0042512E" w:rsidRPr="2821E03B">
        <w:rPr>
          <w:rFonts w:ascii="Times New Roman" w:hAnsi="Times New Roman"/>
        </w:rPr>
        <w:t xml:space="preserve"> amongst others,</w:t>
      </w:r>
      <w:r w:rsidRPr="2821E03B">
        <w:rPr>
          <w:rFonts w:ascii="Times New Roman" w:hAnsi="Times New Roman"/>
        </w:rPr>
        <w:t xml:space="preserve"> </w:t>
      </w:r>
      <w:r w:rsidR="00DD1447">
        <w:rPr>
          <w:rFonts w:ascii="Times New Roman" w:hAnsi="Times New Roman"/>
        </w:rPr>
        <w:t xml:space="preserve">improving water resilience, </w:t>
      </w:r>
      <w:r w:rsidRPr="2821E03B">
        <w:rPr>
          <w:rFonts w:ascii="Times New Roman" w:hAnsi="Times New Roman"/>
        </w:rPr>
        <w:t>boosting industrial capacities in the defence sector</w:t>
      </w:r>
      <w:r w:rsidR="0042512E" w:rsidRPr="2821E03B">
        <w:rPr>
          <w:rFonts w:ascii="Times New Roman" w:hAnsi="Times New Roman"/>
        </w:rPr>
        <w:t>,</w:t>
      </w:r>
      <w:r w:rsidRPr="2821E03B">
        <w:rPr>
          <w:rFonts w:ascii="Times New Roman" w:hAnsi="Times New Roman"/>
        </w:rPr>
        <w:t xml:space="preserve"> enhancing military mobility</w:t>
      </w:r>
      <w:r w:rsidR="0042512E" w:rsidRPr="2821E03B">
        <w:rPr>
          <w:rFonts w:ascii="Times New Roman" w:hAnsi="Times New Roman"/>
        </w:rPr>
        <w:t xml:space="preserve"> and facilitate industrial adjustment linked to the decarbonisation of production processes and products, notably by providing lifelong opportunities to regularly upskill and reskill people</w:t>
      </w:r>
      <w:r w:rsidRPr="2821E03B">
        <w:rPr>
          <w:rFonts w:ascii="Times New Roman" w:hAnsi="Times New Roman"/>
        </w:rPr>
        <w:t xml:space="preserve">. </w:t>
      </w:r>
      <w:r w:rsidR="00AA133B">
        <w:rPr>
          <w:rFonts w:ascii="Times New Roman" w:hAnsi="Times New Roman"/>
        </w:rPr>
        <w:t>Co-legislators reached provisional agreement on the mid-term review proposal on the 15 July, including on the proposal’s additionally proposed financial flexibilities. Co-legislators agreed that</w:t>
      </w:r>
      <w:r w:rsidR="4F988907" w:rsidRPr="2821E03B">
        <w:rPr>
          <w:rFonts w:ascii="Times New Roman" w:hAnsi="Times New Roman"/>
        </w:rPr>
        <w:t xml:space="preserve"> </w:t>
      </w:r>
      <w:r w:rsidRPr="2821E03B">
        <w:rPr>
          <w:rFonts w:ascii="Times New Roman" w:hAnsi="Times New Roman"/>
        </w:rPr>
        <w:t xml:space="preserve">programmes covering </w:t>
      </w:r>
      <w:r w:rsidR="004A7C4F" w:rsidRPr="2821E03B">
        <w:rPr>
          <w:rFonts w:ascii="Times New Roman" w:hAnsi="Times New Roman"/>
        </w:rPr>
        <w:t xml:space="preserve">eastern border </w:t>
      </w:r>
      <w:r w:rsidRPr="2821E03B">
        <w:rPr>
          <w:rFonts w:ascii="Times New Roman" w:hAnsi="Times New Roman"/>
        </w:rPr>
        <w:t xml:space="preserve">regions </w:t>
      </w:r>
      <w:r w:rsidR="00AA133B">
        <w:rPr>
          <w:rFonts w:ascii="Times New Roman" w:hAnsi="Times New Roman"/>
        </w:rPr>
        <w:t>would</w:t>
      </w:r>
      <w:r w:rsidR="00AA133B" w:rsidRPr="2821E03B">
        <w:rPr>
          <w:rFonts w:ascii="Times New Roman" w:hAnsi="Times New Roman"/>
        </w:rPr>
        <w:t xml:space="preserve"> </w:t>
      </w:r>
      <w:r w:rsidRPr="2821E03B">
        <w:rPr>
          <w:rFonts w:ascii="Times New Roman" w:hAnsi="Times New Roman"/>
        </w:rPr>
        <w:t>benefit from enhanced financial support: a</w:t>
      </w:r>
      <w:r w:rsidR="00BD2FA4" w:rsidRPr="2821E03B">
        <w:rPr>
          <w:rFonts w:ascii="Times New Roman" w:hAnsi="Times New Roman"/>
        </w:rPr>
        <w:t>n additional 9.5</w:t>
      </w:r>
      <w:r w:rsidRPr="2821E03B">
        <w:rPr>
          <w:rFonts w:ascii="Times New Roman" w:hAnsi="Times New Roman"/>
        </w:rPr>
        <w:t xml:space="preserve">% </w:t>
      </w:r>
      <w:r w:rsidR="00BD2FA4" w:rsidRPr="2821E03B">
        <w:rPr>
          <w:rFonts w:ascii="Times New Roman" w:hAnsi="Times New Roman"/>
        </w:rPr>
        <w:t xml:space="preserve">one-off </w:t>
      </w:r>
      <w:r w:rsidRPr="2821E03B">
        <w:rPr>
          <w:rFonts w:ascii="Times New Roman" w:hAnsi="Times New Roman"/>
        </w:rPr>
        <w:t xml:space="preserve">pre-financing (instead of </w:t>
      </w:r>
      <w:r w:rsidR="00AA133B">
        <w:rPr>
          <w:rFonts w:ascii="Times New Roman" w:hAnsi="Times New Roman"/>
        </w:rPr>
        <w:t>1</w:t>
      </w:r>
      <w:r w:rsidR="00BD2FA4" w:rsidRPr="2821E03B">
        <w:rPr>
          <w:rFonts w:ascii="Times New Roman" w:hAnsi="Times New Roman"/>
        </w:rPr>
        <w:t>.5</w:t>
      </w:r>
      <w:r w:rsidRPr="2821E03B">
        <w:rPr>
          <w:rFonts w:ascii="Times New Roman" w:hAnsi="Times New Roman"/>
        </w:rPr>
        <w:t>%</w:t>
      </w:r>
      <w:r w:rsidR="00BD2FA4" w:rsidRPr="2821E03B">
        <w:rPr>
          <w:rFonts w:ascii="Times New Roman" w:hAnsi="Times New Roman"/>
        </w:rPr>
        <w:t xml:space="preserve"> for the rest of the programmes</w:t>
      </w:r>
      <w:r w:rsidRPr="2821E03B">
        <w:rPr>
          <w:rFonts w:ascii="Times New Roman" w:hAnsi="Times New Roman"/>
        </w:rPr>
        <w:t>)</w:t>
      </w:r>
      <w:r w:rsidR="3A89061B" w:rsidRPr="2821E03B">
        <w:rPr>
          <w:rFonts w:ascii="Times New Roman" w:hAnsi="Times New Roman"/>
        </w:rPr>
        <w:t xml:space="preserve"> </w:t>
      </w:r>
      <w:r w:rsidR="00BD2FA4" w:rsidRPr="2821E03B">
        <w:rPr>
          <w:rFonts w:ascii="Times New Roman" w:hAnsi="Times New Roman"/>
        </w:rPr>
        <w:t xml:space="preserve">in 2026, </w:t>
      </w:r>
      <w:r w:rsidR="3A89061B" w:rsidRPr="2821E03B">
        <w:rPr>
          <w:rFonts w:ascii="Times New Roman" w:hAnsi="Times New Roman"/>
        </w:rPr>
        <w:t xml:space="preserve">applied to the </w:t>
      </w:r>
      <w:r w:rsidR="00BD2FA4" w:rsidRPr="2821E03B">
        <w:rPr>
          <w:rFonts w:ascii="Times New Roman" w:hAnsi="Times New Roman"/>
        </w:rPr>
        <w:t>total support from the funds,</w:t>
      </w:r>
      <w:r w:rsidR="3A89061B" w:rsidRPr="2821E03B">
        <w:rPr>
          <w:rFonts w:ascii="Times New Roman" w:hAnsi="Times New Roman"/>
        </w:rPr>
        <w:t xml:space="preserve"> </w:t>
      </w:r>
      <w:r w:rsidRPr="2821E03B">
        <w:rPr>
          <w:rFonts w:ascii="Times New Roman" w:hAnsi="Times New Roman"/>
        </w:rPr>
        <w:t>and 100% EU financing, provided that at least 1</w:t>
      </w:r>
      <w:r w:rsidR="00AA133B">
        <w:rPr>
          <w:rFonts w:ascii="Times New Roman" w:hAnsi="Times New Roman"/>
        </w:rPr>
        <w:t>0</w:t>
      </w:r>
      <w:r w:rsidRPr="2821E03B">
        <w:rPr>
          <w:rFonts w:ascii="Times New Roman" w:hAnsi="Times New Roman"/>
        </w:rPr>
        <w:t>% of programme resources are reallocated to the newly introduced priorities and those supporting the Strategic Technologies for Europe Platform (STEP).</w:t>
      </w:r>
    </w:p>
    <w:p w14:paraId="11D31AFD" w14:textId="0DD5EBC7" w:rsidR="009E0617" w:rsidRPr="000B18C5" w:rsidRDefault="092C1B92" w:rsidP="00A1788E">
      <w:pPr>
        <w:widowControl w:val="0"/>
        <w:rPr>
          <w:rFonts w:ascii="Times New Roman" w:hAnsi="Times New Roman"/>
        </w:rPr>
      </w:pPr>
      <w:r w:rsidRPr="3210D9BD">
        <w:rPr>
          <w:rFonts w:ascii="Times New Roman" w:hAnsi="Times New Roman"/>
        </w:rPr>
        <w:t xml:space="preserve">The Commission, through the </w:t>
      </w:r>
      <w:r w:rsidRPr="00AD75FC">
        <w:rPr>
          <w:rFonts w:ascii="Times New Roman" w:hAnsi="Times New Roman"/>
        </w:rPr>
        <w:t>Interreg programmes and in the spirit of shared</w:t>
      </w:r>
      <w:r w:rsidRPr="3210D9BD">
        <w:rPr>
          <w:rFonts w:ascii="Times New Roman" w:hAnsi="Times New Roman"/>
        </w:rPr>
        <w:t xml:space="preserve"> management, actively encourages Member States to undertake awareness-raising activities in EU border regions, as part of the broader objective to strengthen cohesion and enhance the visibility and impact of EU support (§22). The Commission supports this through networks such as </w:t>
      </w:r>
      <w:proofErr w:type="spellStart"/>
      <w:r w:rsidRPr="3210D9BD">
        <w:rPr>
          <w:rFonts w:ascii="Times New Roman" w:hAnsi="Times New Roman"/>
        </w:rPr>
        <w:t>InformEU</w:t>
      </w:r>
      <w:proofErr w:type="spellEnd"/>
      <w:r w:rsidRPr="3210D9BD">
        <w:rPr>
          <w:rFonts w:ascii="Times New Roman" w:hAnsi="Times New Roman"/>
        </w:rPr>
        <w:t xml:space="preserve">, capacity-building activities, and dedicated platforms like Interreg.eu and KEEP.eu to showcase success stories and European solidarity in action. Sustained citizen engagement remains a priority – as shown by the </w:t>
      </w:r>
      <w:r w:rsidR="129690AB" w:rsidRPr="3210D9BD">
        <w:rPr>
          <w:rFonts w:ascii="Times New Roman" w:hAnsi="Times New Roman"/>
        </w:rPr>
        <w:t xml:space="preserve">recently published Harvesting report on post2027 Interreg, presenting the summary of </w:t>
      </w:r>
      <w:r w:rsidRPr="3210D9BD">
        <w:rPr>
          <w:rFonts w:ascii="Times New Roman" w:hAnsi="Times New Roman"/>
        </w:rPr>
        <w:t>2024 EU-wide consultations</w:t>
      </w:r>
      <w:r w:rsidR="1104D6AA" w:rsidRPr="3210D9BD">
        <w:rPr>
          <w:rFonts w:ascii="Times New Roman" w:hAnsi="Times New Roman"/>
        </w:rPr>
        <w:t xml:space="preserve"> of stakeholders and citizens</w:t>
      </w:r>
      <w:r w:rsidRPr="3210D9BD">
        <w:rPr>
          <w:rFonts w:ascii="Times New Roman" w:hAnsi="Times New Roman"/>
        </w:rPr>
        <w:t xml:space="preserve"> carried out by Interreg programmes and involving over 10,000 participants.</w:t>
      </w:r>
      <w:r w:rsidR="4D66AD72" w:rsidRPr="3210D9BD">
        <w:rPr>
          <w:rFonts w:ascii="Times New Roman" w:hAnsi="Times New Roman"/>
        </w:rPr>
        <w:t xml:space="preserve"> The </w:t>
      </w:r>
      <w:r w:rsidR="7B454A23" w:rsidRPr="3210D9BD">
        <w:rPr>
          <w:rFonts w:ascii="Times New Roman" w:hAnsi="Times New Roman"/>
        </w:rPr>
        <w:t xml:space="preserve">report </w:t>
      </w:r>
      <w:r w:rsidR="4D66AD72" w:rsidRPr="3210D9BD">
        <w:rPr>
          <w:rFonts w:ascii="Times New Roman" w:hAnsi="Times New Roman"/>
        </w:rPr>
        <w:t xml:space="preserve">indicates a broad consensus </w:t>
      </w:r>
      <w:r w:rsidR="00DE3A47">
        <w:rPr>
          <w:rFonts w:ascii="Times New Roman" w:hAnsi="Times New Roman"/>
        </w:rPr>
        <w:t xml:space="preserve">around </w:t>
      </w:r>
      <w:r w:rsidR="4D66AD72" w:rsidRPr="3210D9BD">
        <w:rPr>
          <w:rFonts w:ascii="Times New Roman" w:hAnsi="Times New Roman"/>
        </w:rPr>
        <w:t>that Interreg adds value and brings about positive change in knowledge exchange and learning, durable connections between people and communities, capacity to address common and complex challenges, role in building resilience, and territorial relevance and sensitivity to territorial specificities.</w:t>
      </w:r>
      <w:r w:rsidRPr="3210D9BD">
        <w:rPr>
          <w:rFonts w:ascii="Times New Roman" w:hAnsi="Times New Roman"/>
        </w:rPr>
        <w:t xml:space="preserve"> The implementation of the </w:t>
      </w:r>
      <w:proofErr w:type="spellStart"/>
      <w:r w:rsidRPr="3210D9BD">
        <w:rPr>
          <w:rFonts w:ascii="Times New Roman" w:hAnsi="Times New Roman"/>
        </w:rPr>
        <w:t>BRIDGEforEU</w:t>
      </w:r>
      <w:proofErr w:type="spellEnd"/>
      <w:r w:rsidRPr="3210D9BD">
        <w:rPr>
          <w:rFonts w:ascii="Times New Roman" w:hAnsi="Times New Roman"/>
        </w:rPr>
        <w:t xml:space="preserve"> Regulation will </w:t>
      </w:r>
      <w:r w:rsidR="00DE3A47">
        <w:rPr>
          <w:rFonts w:ascii="Times New Roman" w:hAnsi="Times New Roman"/>
        </w:rPr>
        <w:t xml:space="preserve">in addition </w:t>
      </w:r>
      <w:r w:rsidRPr="3210D9BD">
        <w:rPr>
          <w:rFonts w:ascii="Times New Roman" w:hAnsi="Times New Roman"/>
        </w:rPr>
        <w:t>help raise awareness of the persistence of cross-border legal and administrative obstacles and facilitate their resolution.</w:t>
      </w:r>
    </w:p>
    <w:p w14:paraId="2D0DA611" w14:textId="11B89164" w:rsidR="5C6EBCA2" w:rsidRPr="000B18C5" w:rsidRDefault="54CB4093" w:rsidP="00A1788E">
      <w:pPr>
        <w:spacing w:before="240"/>
        <w:rPr>
          <w:rFonts w:ascii="Times New Roman" w:hAnsi="Times New Roman"/>
        </w:rPr>
      </w:pPr>
      <w:r w:rsidRPr="2821E03B">
        <w:rPr>
          <w:rFonts w:ascii="Times New Roman" w:hAnsi="Times New Roman"/>
        </w:rPr>
        <w:t xml:space="preserve">The Commission shares the European Parliament’s view on the importance of ensuring greater coherence among EU policies </w:t>
      </w:r>
      <w:proofErr w:type="gramStart"/>
      <w:r w:rsidRPr="2821E03B">
        <w:rPr>
          <w:rFonts w:ascii="Times New Roman" w:hAnsi="Times New Roman"/>
        </w:rPr>
        <w:t>in order to</w:t>
      </w:r>
      <w:proofErr w:type="gramEnd"/>
      <w:r w:rsidRPr="2821E03B">
        <w:rPr>
          <w:rFonts w:ascii="Times New Roman" w:hAnsi="Times New Roman"/>
        </w:rPr>
        <w:t xml:space="preserve"> contribute to the Treaty objective of economic, social and territorial cohesion (§23). </w:t>
      </w:r>
      <w:r w:rsidR="38197E05" w:rsidRPr="2821E03B">
        <w:rPr>
          <w:rFonts w:ascii="Times New Roman" w:hAnsi="Times New Roman"/>
        </w:rPr>
        <w:t>T</w:t>
      </w:r>
      <w:r w:rsidRPr="2821E03B">
        <w:rPr>
          <w:rFonts w:ascii="Times New Roman" w:hAnsi="Times New Roman"/>
        </w:rPr>
        <w:t xml:space="preserve">he Commission is exploring a more flexible approach for the next Multiannual Financial Framework (MFF), notably through the establishment of </w:t>
      </w:r>
      <w:r w:rsidR="06538A0F" w:rsidRPr="2821E03B">
        <w:rPr>
          <w:rFonts w:ascii="Times New Roman" w:hAnsi="Times New Roman"/>
        </w:rPr>
        <w:t>national</w:t>
      </w:r>
      <w:r w:rsidR="63168007" w:rsidRPr="2821E03B">
        <w:rPr>
          <w:rFonts w:ascii="Times New Roman" w:hAnsi="Times New Roman"/>
        </w:rPr>
        <w:t xml:space="preserve"> and</w:t>
      </w:r>
      <w:r w:rsidRPr="2821E03B">
        <w:rPr>
          <w:rFonts w:ascii="Times New Roman" w:hAnsi="Times New Roman"/>
        </w:rPr>
        <w:t xml:space="preserve"> </w:t>
      </w:r>
      <w:r w:rsidR="63168007" w:rsidRPr="2821E03B">
        <w:rPr>
          <w:rFonts w:ascii="Times New Roman" w:hAnsi="Times New Roman"/>
        </w:rPr>
        <w:t xml:space="preserve">regional </w:t>
      </w:r>
      <w:r w:rsidR="5CF543C5" w:rsidRPr="2821E03B">
        <w:rPr>
          <w:rFonts w:ascii="Times New Roman" w:hAnsi="Times New Roman"/>
        </w:rPr>
        <w:t xml:space="preserve">partnership </w:t>
      </w:r>
      <w:r w:rsidRPr="2821E03B">
        <w:rPr>
          <w:rFonts w:ascii="Times New Roman" w:hAnsi="Times New Roman"/>
        </w:rPr>
        <w:t>plan</w:t>
      </w:r>
      <w:r w:rsidR="63168007" w:rsidRPr="2821E03B">
        <w:rPr>
          <w:rFonts w:ascii="Times New Roman" w:hAnsi="Times New Roman"/>
        </w:rPr>
        <w:t>s</w:t>
      </w:r>
      <w:r w:rsidR="2DB3040B" w:rsidRPr="2821E03B">
        <w:rPr>
          <w:rFonts w:ascii="Times New Roman" w:hAnsi="Times New Roman"/>
        </w:rPr>
        <w:t xml:space="preserve"> for each Member State</w:t>
      </w:r>
      <w:r w:rsidRPr="2821E03B">
        <w:rPr>
          <w:rFonts w:ascii="Times New Roman" w:hAnsi="Times New Roman"/>
        </w:rPr>
        <w:t xml:space="preserve">. The Commission underlines that regions would be fully associated with the preparation and implementation of these plans, in accordance with the principles of partnership and subsidiarity.  </w:t>
      </w:r>
      <w:r w:rsidR="3CC181F1" w:rsidRPr="2821E03B">
        <w:rPr>
          <w:rFonts w:ascii="Times New Roman" w:hAnsi="Times New Roman"/>
        </w:rPr>
        <w:t>A</w:t>
      </w:r>
      <w:r w:rsidR="3EC16D98" w:rsidRPr="2821E03B">
        <w:rPr>
          <w:rFonts w:ascii="Times New Roman" w:hAnsi="Times New Roman"/>
        </w:rPr>
        <w:t xml:space="preserve">s enshrined in the </w:t>
      </w:r>
      <w:r w:rsidR="17EF2446" w:rsidRPr="2821E03B">
        <w:rPr>
          <w:rFonts w:ascii="Times New Roman" w:hAnsi="Times New Roman"/>
        </w:rPr>
        <w:t>TFEU Article 174</w:t>
      </w:r>
      <w:r w:rsidR="3EC16D98" w:rsidRPr="2821E03B">
        <w:rPr>
          <w:rFonts w:ascii="Times New Roman" w:hAnsi="Times New Roman"/>
        </w:rPr>
        <w:t xml:space="preserve">, </w:t>
      </w:r>
      <w:r w:rsidRPr="2821E03B">
        <w:rPr>
          <w:rFonts w:ascii="Times New Roman" w:hAnsi="Times New Roman"/>
        </w:rPr>
        <w:t xml:space="preserve">the overarching objective of reducing regional disparities and fostering convergence </w:t>
      </w:r>
      <w:r w:rsidR="1C548E75" w:rsidRPr="2821E03B">
        <w:rPr>
          <w:rFonts w:ascii="Times New Roman" w:hAnsi="Times New Roman"/>
        </w:rPr>
        <w:t xml:space="preserve">should </w:t>
      </w:r>
      <w:r w:rsidRPr="2821E03B">
        <w:rPr>
          <w:rFonts w:ascii="Times New Roman" w:hAnsi="Times New Roman"/>
        </w:rPr>
        <w:t xml:space="preserve">remain central to </w:t>
      </w:r>
      <w:r w:rsidR="47508CAA" w:rsidRPr="2821E03B">
        <w:rPr>
          <w:rFonts w:ascii="Times New Roman" w:hAnsi="Times New Roman"/>
        </w:rPr>
        <w:t xml:space="preserve">all </w:t>
      </w:r>
      <w:r w:rsidRPr="2821E03B">
        <w:rPr>
          <w:rFonts w:ascii="Times New Roman" w:hAnsi="Times New Roman"/>
        </w:rPr>
        <w:t>EU polic</w:t>
      </w:r>
      <w:r w:rsidR="0DDB19A6" w:rsidRPr="2821E03B">
        <w:rPr>
          <w:rFonts w:ascii="Times New Roman" w:hAnsi="Times New Roman"/>
        </w:rPr>
        <w:t>ies</w:t>
      </w:r>
      <w:r w:rsidR="008236EE" w:rsidRPr="2821E03B">
        <w:rPr>
          <w:rFonts w:ascii="Times New Roman" w:hAnsi="Times New Roman"/>
        </w:rPr>
        <w:t>.</w:t>
      </w:r>
      <w:r w:rsidR="187BDF13" w:rsidRPr="2821E03B">
        <w:rPr>
          <w:rFonts w:ascii="Times New Roman" w:hAnsi="Times New Roman"/>
        </w:rPr>
        <w:t xml:space="preserve"> </w:t>
      </w:r>
      <w:r w:rsidR="008236EE" w:rsidRPr="2821E03B">
        <w:rPr>
          <w:rFonts w:ascii="Times New Roman" w:hAnsi="Times New Roman"/>
        </w:rPr>
        <w:t>Therefore,</w:t>
      </w:r>
      <w:r w:rsidR="003F4302" w:rsidRPr="2821E03B">
        <w:rPr>
          <w:rFonts w:ascii="Times New Roman" w:hAnsi="Times New Roman"/>
        </w:rPr>
        <w:t xml:space="preserve"> the</w:t>
      </w:r>
      <w:r w:rsidR="0656C684" w:rsidRPr="2821E03B">
        <w:rPr>
          <w:rFonts w:ascii="Times New Roman" w:hAnsi="Times New Roman"/>
        </w:rPr>
        <w:t xml:space="preserve"> need for additional </w:t>
      </w:r>
      <w:r w:rsidR="75D7C9AC" w:rsidRPr="2821E03B">
        <w:rPr>
          <w:rFonts w:ascii="Times New Roman" w:hAnsi="Times New Roman"/>
        </w:rPr>
        <w:t xml:space="preserve">specific </w:t>
      </w:r>
      <w:r w:rsidR="1F22C7F1" w:rsidRPr="2821E03B">
        <w:rPr>
          <w:rFonts w:ascii="Times New Roman" w:hAnsi="Times New Roman"/>
        </w:rPr>
        <w:t xml:space="preserve">guidelines on the "cohesion support" principle, as proposed by the Parliament, </w:t>
      </w:r>
      <w:r w:rsidR="78337BCD" w:rsidRPr="2821E03B">
        <w:rPr>
          <w:rFonts w:ascii="Times New Roman" w:hAnsi="Times New Roman"/>
        </w:rPr>
        <w:t>might not be required</w:t>
      </w:r>
      <w:r w:rsidRPr="2821E03B">
        <w:rPr>
          <w:rFonts w:ascii="Times New Roman" w:hAnsi="Times New Roman"/>
        </w:rPr>
        <w:t xml:space="preserve">. In addition, the Commission recalls that its Better Regulation framework already incorporates a </w:t>
      </w:r>
      <w:r w:rsidR="00B6074F" w:rsidRPr="2821E03B">
        <w:rPr>
          <w:rFonts w:ascii="Times New Roman" w:hAnsi="Times New Roman"/>
        </w:rPr>
        <w:t>methodology to identify important asymmetric effects of Commission legislative proposals to different EU territories</w:t>
      </w:r>
      <w:r w:rsidRPr="2821E03B">
        <w:rPr>
          <w:rFonts w:ascii="Times New Roman" w:hAnsi="Times New Roman"/>
        </w:rPr>
        <w:t xml:space="preserve">, ensuring that local and regional effects are duly analysed when designing new policies and legislation. Finally, the Commission takes note of the Parliament’s suggestion to further rely on innovative tools, such as </w:t>
      </w:r>
      <w:proofErr w:type="spellStart"/>
      <w:r w:rsidRPr="2821E03B">
        <w:rPr>
          <w:rFonts w:ascii="Times New Roman" w:hAnsi="Times New Roman"/>
        </w:rPr>
        <w:t>RegHub</w:t>
      </w:r>
      <w:proofErr w:type="spellEnd"/>
      <w:r w:rsidRPr="2821E03B">
        <w:rPr>
          <w:rFonts w:ascii="Times New Roman" w:hAnsi="Times New Roman"/>
        </w:rPr>
        <w:t xml:space="preserve">, to gather data on the territorial impact of EU policies. At the same time, it stresses the importance of </w:t>
      </w:r>
      <w:r w:rsidRPr="2821E03B">
        <w:rPr>
          <w:rFonts w:ascii="Times New Roman" w:hAnsi="Times New Roman"/>
        </w:rPr>
        <w:lastRenderedPageBreak/>
        <w:t>avoiding any unnecessary administrative burden stemming from additional reporting requirements.</w:t>
      </w:r>
    </w:p>
    <w:p w14:paraId="404E2D2A" w14:textId="25592098" w:rsidR="7A863E1F" w:rsidRDefault="7123D4AB" w:rsidP="28863430">
      <w:pPr>
        <w:widowControl w:val="0"/>
        <w:rPr>
          <w:rFonts w:ascii="Times New Roman" w:hAnsi="Times New Roman"/>
        </w:rPr>
      </w:pPr>
      <w:r w:rsidRPr="28863430">
        <w:rPr>
          <w:rFonts w:ascii="Times New Roman" w:hAnsi="Times New Roman"/>
        </w:rPr>
        <w:t>The Commission confirms that it will uphold its ongoing efforts to communicate the impact and achievements of EU cohesion policy, and that it will, in close cooperation with Member States and regions, continue to promote the visibility of EU actions for citizens, including greater transparency (§23).</w:t>
      </w:r>
    </w:p>
    <w:p w14:paraId="0951DBC2" w14:textId="1D5541BD" w:rsidR="2873C2A6" w:rsidRPr="000B18C5" w:rsidRDefault="2873C2A6" w:rsidP="00A1788E">
      <w:pPr>
        <w:spacing w:before="240"/>
        <w:rPr>
          <w:rFonts w:ascii="Times New Roman" w:hAnsi="Times New Roman"/>
        </w:rPr>
      </w:pPr>
      <w:r w:rsidRPr="28863430">
        <w:rPr>
          <w:rFonts w:ascii="Times New Roman" w:hAnsi="Times New Roman"/>
        </w:rPr>
        <w:t>The Commission shares the Parliament’s concerns regarding the growing internal disparities observed within certain Member States (§24). As highlighted in the 9</w:t>
      </w:r>
      <w:r w:rsidRPr="28863430">
        <w:rPr>
          <w:rFonts w:ascii="Times New Roman" w:hAnsi="Times New Roman"/>
          <w:vertAlign w:val="superscript"/>
        </w:rPr>
        <w:t>th</w:t>
      </w:r>
      <w:r w:rsidRPr="28863430">
        <w:rPr>
          <w:rFonts w:ascii="Times New Roman" w:hAnsi="Times New Roman"/>
        </w:rPr>
        <w:t xml:space="preserve"> Cohesion Report, these divergences stem from structural differences across regions – some suffer from geographical peripherality, others have been significantly affected by past economic and financial crises, while others are still coping with the impacts of industrial restructuring. Furthermore, national convergence is frequently accompanied by rising internal disparities, particularly between capital regions and other parts of the country. This dynamic </w:t>
      </w:r>
      <w:r w:rsidR="41487372" w:rsidRPr="28863430">
        <w:rPr>
          <w:rFonts w:ascii="Times New Roman" w:hAnsi="Times New Roman"/>
        </w:rPr>
        <w:t>creates</w:t>
      </w:r>
      <w:r w:rsidRPr="28863430">
        <w:rPr>
          <w:rFonts w:ascii="Times New Roman" w:hAnsi="Times New Roman"/>
        </w:rPr>
        <w:t xml:space="preserve"> multiple challenges, including congestion, social challenges, rising housing and labour costs, which can ultimately undermine the competitiveness of metropolitan areas. It may also jeopardise the balanced territorial development of the Member State as a whole.</w:t>
      </w:r>
    </w:p>
    <w:p w14:paraId="1C5AB4A2" w14:textId="1DEA2E5F" w:rsidR="2873C2A6" w:rsidRPr="000B18C5" w:rsidRDefault="2873C2A6" w:rsidP="000B18C5">
      <w:pPr>
        <w:spacing w:before="240"/>
        <w:rPr>
          <w:rFonts w:ascii="Times New Roman" w:hAnsi="Times New Roman"/>
        </w:rPr>
      </w:pPr>
      <w:r w:rsidRPr="000B18C5">
        <w:rPr>
          <w:rFonts w:ascii="Times New Roman" w:hAnsi="Times New Roman"/>
        </w:rPr>
        <w:t>Cohesion policy plays a key role in addressing these imbalances by promoting a more balanced and polycentric development model, with a strong focus on supporting less developed regions. In this context, small towns and medium-sized cities are essential drivers of regional development, stimulating growth in their surrounding territories.</w:t>
      </w:r>
    </w:p>
    <w:p w14:paraId="47588B6D" w14:textId="62D09C53" w:rsidR="2873C2A6" w:rsidRPr="000B18C5" w:rsidRDefault="2873C2A6" w:rsidP="000B18C5">
      <w:pPr>
        <w:spacing w:before="240"/>
        <w:rPr>
          <w:rFonts w:ascii="Times New Roman" w:hAnsi="Times New Roman"/>
        </w:rPr>
      </w:pPr>
      <w:r w:rsidRPr="28863430">
        <w:rPr>
          <w:rFonts w:ascii="Times New Roman" w:hAnsi="Times New Roman"/>
        </w:rPr>
        <w:t xml:space="preserve">The Commission agrees with the European Parliament that cohesion policy and national policies must be mutually reinforcing to ensure a more effective and integrated approach to regional development. The envisaged introduction of </w:t>
      </w:r>
      <w:r w:rsidR="18821B19" w:rsidRPr="28863430">
        <w:rPr>
          <w:rFonts w:ascii="Times New Roman" w:hAnsi="Times New Roman"/>
        </w:rPr>
        <w:t>national and regional partnership</w:t>
      </w:r>
      <w:r w:rsidR="00160626" w:rsidRPr="28863430">
        <w:rPr>
          <w:rFonts w:ascii="Times New Roman" w:hAnsi="Times New Roman"/>
        </w:rPr>
        <w:t xml:space="preserve"> plan</w:t>
      </w:r>
      <w:r w:rsidR="67E095A2" w:rsidRPr="28863430">
        <w:rPr>
          <w:rFonts w:ascii="Times New Roman" w:hAnsi="Times New Roman"/>
        </w:rPr>
        <w:t>s</w:t>
      </w:r>
      <w:r w:rsidRPr="28863430">
        <w:rPr>
          <w:rFonts w:ascii="Times New Roman" w:hAnsi="Times New Roman"/>
        </w:rPr>
        <w:t xml:space="preserve"> could contribute to greater alignment and consistency between EU priorities and the actions taken at national and regional levels.</w:t>
      </w:r>
    </w:p>
    <w:p w14:paraId="77E575B3" w14:textId="77777777" w:rsidR="00B869C0" w:rsidRDefault="00B869C0" w:rsidP="00B869C0">
      <w:pPr>
        <w:widowControl w:val="0"/>
        <w:rPr>
          <w:rFonts w:ascii="Times New Roman" w:hAnsi="Times New Roman"/>
          <w:szCs w:val="24"/>
        </w:rPr>
      </w:pPr>
    </w:p>
    <w:sectPr w:rsidR="00B869C0" w:rsidSect="00812321">
      <w:footerReference w:type="even" r:id="rId14"/>
      <w:footerReference w:type="default" r:id="rId15"/>
      <w:footerReference w:type="first" r:id="rId16"/>
      <w:footnotePr>
        <w:pos w:val="beneathText"/>
        <w:numRestart w:val="eachSect"/>
      </w:footnotePr>
      <w:type w:val="continuous"/>
      <w:pgSz w:w="11906" w:h="16838" w:code="9"/>
      <w:pgMar w:top="1021" w:right="1416" w:bottom="1021" w:left="2250"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14DEB" w14:textId="77777777" w:rsidR="008A6BB5" w:rsidRDefault="008A6BB5">
      <w:r>
        <w:separator/>
      </w:r>
    </w:p>
  </w:endnote>
  <w:endnote w:type="continuationSeparator" w:id="0">
    <w:p w14:paraId="5C79D5F3" w14:textId="77777777" w:rsidR="008A6BB5" w:rsidRDefault="008A6BB5">
      <w:r>
        <w:continuationSeparator/>
      </w:r>
    </w:p>
  </w:endnote>
  <w:endnote w:type="continuationNotice" w:id="1">
    <w:p w14:paraId="467C501C" w14:textId="77777777" w:rsidR="008A6BB5" w:rsidRDefault="008A6B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2F22"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1CE8F934"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9ED6"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C4F">
      <w:rPr>
        <w:rStyle w:val="PageNumber"/>
        <w:noProof/>
      </w:rPr>
      <w:t>3</w:t>
    </w:r>
    <w:r>
      <w:rPr>
        <w:rStyle w:val="PageNumber"/>
      </w:rPr>
      <w:fldChar w:fldCharType="end"/>
    </w:r>
  </w:p>
  <w:p w14:paraId="76797D1D"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EE69" w14:textId="77777777"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33CD">
      <w:rPr>
        <w:rStyle w:val="PageNumber"/>
        <w:noProof/>
      </w:rPr>
      <w:t>1</w:t>
    </w:r>
    <w:r>
      <w:rPr>
        <w:rStyle w:val="PageNumber"/>
      </w:rPr>
      <w:fldChar w:fldCharType="end"/>
    </w:r>
  </w:p>
  <w:p w14:paraId="244C2131"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D7044" w14:textId="77777777" w:rsidR="008A6BB5" w:rsidRDefault="008A6BB5">
      <w:r>
        <w:separator/>
      </w:r>
    </w:p>
  </w:footnote>
  <w:footnote w:type="continuationSeparator" w:id="0">
    <w:p w14:paraId="753CE549" w14:textId="77777777" w:rsidR="008A6BB5" w:rsidRDefault="008A6BB5">
      <w:r>
        <w:continuationSeparator/>
      </w:r>
    </w:p>
  </w:footnote>
  <w:footnote w:type="continuationNotice" w:id="1">
    <w:p w14:paraId="595C35FE" w14:textId="77777777" w:rsidR="008A6BB5" w:rsidRDefault="008A6BB5">
      <w:pPr>
        <w:spacing w:after="0"/>
      </w:pPr>
    </w:p>
  </w:footnote>
  <w:footnote w:id="2">
    <w:p w14:paraId="565FC965" w14:textId="77777777" w:rsidR="00DE3A47" w:rsidRPr="000763EC" w:rsidRDefault="00DE3A47" w:rsidP="00DE3A47">
      <w:pPr>
        <w:pStyle w:val="FootnoteText"/>
      </w:pPr>
      <w:r>
        <w:rPr>
          <w:rStyle w:val="FootnoteReference"/>
        </w:rPr>
        <w:footnoteRef/>
      </w:r>
      <w:r w:rsidRPr="000763EC">
        <w:t xml:space="preserve"> </w:t>
      </w:r>
      <w:r w:rsidRPr="002040D7">
        <w:rPr>
          <w:rFonts w:ascii="Times New Roman" w:hAnsi="Times New Roman"/>
          <w:color w:val="333333"/>
          <w:sz w:val="18"/>
          <w:szCs w:val="18"/>
        </w:rPr>
        <w:t>European Commission, Communication on Putting people first, securing sustainable and inclusive growth, unlocking the potential of the EU’s outermost regions, 2022</w:t>
      </w:r>
    </w:p>
  </w:footnote>
  <w:footnote w:id="3">
    <w:p w14:paraId="1CC228E3" w14:textId="6142F6AB" w:rsidR="0042512E" w:rsidRPr="0042512E" w:rsidRDefault="0042512E">
      <w:pPr>
        <w:pStyle w:val="FootnoteText"/>
      </w:pPr>
      <w:r>
        <w:rPr>
          <w:rStyle w:val="FootnoteReference"/>
        </w:rPr>
        <w:footnoteRef/>
      </w:r>
      <w:r>
        <w:t xml:space="preserve"> </w:t>
      </w:r>
      <w:r w:rsidRPr="641FD140">
        <w:rPr>
          <w:rFonts w:ascii="Times New Roman" w:hAnsi="Times New Roman"/>
          <w:sz w:val="18"/>
          <w:szCs w:val="18"/>
          <w:lang w:val="en-IE"/>
        </w:rPr>
        <w:t>The so-called ‘CARE package’ is composed of CARE, CARE-PLUS and FAST-CARE (Flexible Assistance to Territories).</w:t>
      </w:r>
      <w:r w:rsidRPr="0019664E">
        <w:rPr>
          <w:rFonts w:ascii="Times New Roman" w:hAnsi="Times New Roman"/>
          <w:sz w:val="18"/>
          <w:szCs w:val="18"/>
        </w:rPr>
        <w:t xml:space="preserve"> Regulation (EU) 2022/2039 of the European Parliament and of the Council of 19 October 2022 amending Regulations (EU) No 1303/2013 and (EU) 2021/1060 as regards additional flexibility to address the consequences of the military aggression of the Russian Federation FAST (Flexible Assistance for Territories) – CARE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51B12DA"/>
    <w:multiLevelType w:val="hybridMultilevel"/>
    <w:tmpl w:val="0F208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8"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9"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2"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5"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7"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1"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6"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1"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4"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5" w15:restartNumberingAfterBreak="0">
    <w:nsid w:val="78AEE3FD"/>
    <w:multiLevelType w:val="hybridMultilevel"/>
    <w:tmpl w:val="6FC427DA"/>
    <w:lvl w:ilvl="0" w:tplc="5D644B6A">
      <w:start w:val="1"/>
      <w:numFmt w:val="decimal"/>
      <w:lvlText w:val="%1."/>
      <w:lvlJc w:val="left"/>
      <w:pPr>
        <w:ind w:left="720" w:hanging="360"/>
      </w:pPr>
    </w:lvl>
    <w:lvl w:ilvl="1" w:tplc="AC8ABD3A">
      <w:start w:val="1"/>
      <w:numFmt w:val="lowerLetter"/>
      <w:lvlText w:val="%2."/>
      <w:lvlJc w:val="left"/>
      <w:pPr>
        <w:ind w:left="1440" w:hanging="360"/>
      </w:pPr>
    </w:lvl>
    <w:lvl w:ilvl="2" w:tplc="E49E12DC">
      <w:start w:val="1"/>
      <w:numFmt w:val="lowerRoman"/>
      <w:lvlText w:val="%3."/>
      <w:lvlJc w:val="right"/>
      <w:pPr>
        <w:ind w:left="2160" w:hanging="180"/>
      </w:pPr>
    </w:lvl>
    <w:lvl w:ilvl="3" w:tplc="FD02BA3A">
      <w:start w:val="1"/>
      <w:numFmt w:val="decimal"/>
      <w:lvlText w:val="%4."/>
      <w:lvlJc w:val="left"/>
      <w:pPr>
        <w:ind w:left="2880" w:hanging="360"/>
      </w:pPr>
    </w:lvl>
    <w:lvl w:ilvl="4" w:tplc="F0E2B20C">
      <w:start w:val="1"/>
      <w:numFmt w:val="lowerLetter"/>
      <w:lvlText w:val="%5."/>
      <w:lvlJc w:val="left"/>
      <w:pPr>
        <w:ind w:left="3600" w:hanging="360"/>
      </w:pPr>
    </w:lvl>
    <w:lvl w:ilvl="5" w:tplc="E35A9D98">
      <w:start w:val="1"/>
      <w:numFmt w:val="lowerRoman"/>
      <w:lvlText w:val="%6."/>
      <w:lvlJc w:val="right"/>
      <w:pPr>
        <w:ind w:left="4320" w:hanging="180"/>
      </w:pPr>
    </w:lvl>
    <w:lvl w:ilvl="6" w:tplc="3952790E">
      <w:start w:val="1"/>
      <w:numFmt w:val="decimal"/>
      <w:lvlText w:val="%7."/>
      <w:lvlJc w:val="left"/>
      <w:pPr>
        <w:ind w:left="5040" w:hanging="360"/>
      </w:pPr>
    </w:lvl>
    <w:lvl w:ilvl="7" w:tplc="802EC73C">
      <w:start w:val="1"/>
      <w:numFmt w:val="lowerLetter"/>
      <w:lvlText w:val="%8."/>
      <w:lvlJc w:val="left"/>
      <w:pPr>
        <w:ind w:left="5760" w:hanging="360"/>
      </w:pPr>
    </w:lvl>
    <w:lvl w:ilvl="8" w:tplc="EDC8B99A">
      <w:start w:val="1"/>
      <w:numFmt w:val="lowerRoman"/>
      <w:lvlText w:val="%9."/>
      <w:lvlJc w:val="right"/>
      <w:pPr>
        <w:ind w:left="6480" w:hanging="180"/>
      </w:pPr>
    </w:lvl>
  </w:abstractNum>
  <w:abstractNum w:abstractNumId="36"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1072045224">
    <w:abstractNumId w:val="35"/>
  </w:num>
  <w:num w:numId="2" w16cid:durableId="209342734">
    <w:abstractNumId w:val="8"/>
  </w:num>
  <w:num w:numId="3" w16cid:durableId="148182179">
    <w:abstractNumId w:val="1"/>
  </w:num>
  <w:num w:numId="4" w16cid:durableId="505511010">
    <w:abstractNumId w:val="34"/>
  </w:num>
  <w:num w:numId="5" w16cid:durableId="580018736">
    <w:abstractNumId w:val="14"/>
  </w:num>
  <w:num w:numId="6" w16cid:durableId="221647625">
    <w:abstractNumId w:val="30"/>
  </w:num>
  <w:num w:numId="7" w16cid:durableId="298344620">
    <w:abstractNumId w:val="11"/>
  </w:num>
  <w:num w:numId="8" w16cid:durableId="58093387">
    <w:abstractNumId w:val="7"/>
  </w:num>
  <w:num w:numId="9" w16cid:durableId="1122530581">
    <w:abstractNumId w:val="16"/>
  </w:num>
  <w:num w:numId="10" w16cid:durableId="1479684095">
    <w:abstractNumId w:val="33"/>
  </w:num>
  <w:num w:numId="11" w16cid:durableId="340007303">
    <w:abstractNumId w:val="25"/>
  </w:num>
  <w:num w:numId="12" w16cid:durableId="346519941">
    <w:abstractNumId w:val="27"/>
  </w:num>
  <w:num w:numId="13" w16cid:durableId="691036718">
    <w:abstractNumId w:val="13"/>
  </w:num>
  <w:num w:numId="14" w16cid:durableId="1452093781">
    <w:abstractNumId w:val="17"/>
  </w:num>
  <w:num w:numId="15" w16cid:durableId="906961314">
    <w:abstractNumId w:val="31"/>
  </w:num>
  <w:num w:numId="16" w16cid:durableId="1388455259">
    <w:abstractNumId w:val="15"/>
  </w:num>
  <w:num w:numId="17" w16cid:durableId="1677533267">
    <w:abstractNumId w:val="38"/>
  </w:num>
  <w:num w:numId="18" w16cid:durableId="961619330">
    <w:abstractNumId w:val="32"/>
  </w:num>
  <w:num w:numId="19" w16cid:durableId="1095638383">
    <w:abstractNumId w:val="23"/>
  </w:num>
  <w:num w:numId="20" w16cid:durableId="357776219">
    <w:abstractNumId w:val="24"/>
  </w:num>
  <w:num w:numId="21" w16cid:durableId="1481578588">
    <w:abstractNumId w:val="29"/>
  </w:num>
  <w:num w:numId="22" w16cid:durableId="1812137613">
    <w:abstractNumId w:val="4"/>
  </w:num>
  <w:num w:numId="23" w16cid:durableId="370300677">
    <w:abstractNumId w:val="5"/>
  </w:num>
  <w:num w:numId="24" w16cid:durableId="1948660650">
    <w:abstractNumId w:val="6"/>
  </w:num>
  <w:num w:numId="25" w16cid:durableId="1221136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6547536">
    <w:abstractNumId w:val="36"/>
  </w:num>
  <w:num w:numId="27" w16cid:durableId="1203983393">
    <w:abstractNumId w:val="26"/>
  </w:num>
  <w:num w:numId="28" w16cid:durableId="1149204463">
    <w:abstractNumId w:val="18"/>
  </w:num>
  <w:num w:numId="29" w16cid:durableId="614867515">
    <w:abstractNumId w:val="37"/>
  </w:num>
  <w:num w:numId="30" w16cid:durableId="1513490821">
    <w:abstractNumId w:val="3"/>
  </w:num>
  <w:num w:numId="31" w16cid:durableId="1269506392">
    <w:abstractNumId w:val="22"/>
  </w:num>
  <w:num w:numId="32" w16cid:durableId="160509948">
    <w:abstractNumId w:val="21"/>
  </w:num>
  <w:num w:numId="33" w16cid:durableId="146094414">
    <w:abstractNumId w:val="10"/>
  </w:num>
  <w:num w:numId="34" w16cid:durableId="2145806991">
    <w:abstractNumId w:val="12"/>
  </w:num>
  <w:num w:numId="35" w16cid:durableId="1322079617">
    <w:abstractNumId w:val="20"/>
  </w:num>
  <w:num w:numId="36" w16cid:durableId="1661734410">
    <w:abstractNumId w:val="19"/>
  </w:num>
  <w:num w:numId="37" w16cid:durableId="445542287">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A5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C75"/>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566"/>
    <w:rsid w:val="00022669"/>
    <w:rsid w:val="00022775"/>
    <w:rsid w:val="00022776"/>
    <w:rsid w:val="00022903"/>
    <w:rsid w:val="00022B33"/>
    <w:rsid w:val="00022E91"/>
    <w:rsid w:val="00022FAA"/>
    <w:rsid w:val="00023162"/>
    <w:rsid w:val="000232A5"/>
    <w:rsid w:val="00023424"/>
    <w:rsid w:val="00023451"/>
    <w:rsid w:val="00023626"/>
    <w:rsid w:val="00023C78"/>
    <w:rsid w:val="00023CB3"/>
    <w:rsid w:val="00023E4D"/>
    <w:rsid w:val="000240AC"/>
    <w:rsid w:val="000241F9"/>
    <w:rsid w:val="00024204"/>
    <w:rsid w:val="000242C9"/>
    <w:rsid w:val="0002435B"/>
    <w:rsid w:val="0002452D"/>
    <w:rsid w:val="00024671"/>
    <w:rsid w:val="00024685"/>
    <w:rsid w:val="000248D5"/>
    <w:rsid w:val="000249F6"/>
    <w:rsid w:val="00024BE2"/>
    <w:rsid w:val="00024C5F"/>
    <w:rsid w:val="00024D04"/>
    <w:rsid w:val="00024F7A"/>
    <w:rsid w:val="000250B7"/>
    <w:rsid w:val="00025341"/>
    <w:rsid w:val="00025501"/>
    <w:rsid w:val="0002561D"/>
    <w:rsid w:val="00025D8A"/>
    <w:rsid w:val="00025D8D"/>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792"/>
    <w:rsid w:val="000328B1"/>
    <w:rsid w:val="00032DC3"/>
    <w:rsid w:val="00032DDA"/>
    <w:rsid w:val="00032E4F"/>
    <w:rsid w:val="00032EDB"/>
    <w:rsid w:val="000332FE"/>
    <w:rsid w:val="000337C2"/>
    <w:rsid w:val="00033D6F"/>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050"/>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89C"/>
    <w:rsid w:val="0004193F"/>
    <w:rsid w:val="0004195A"/>
    <w:rsid w:val="00041A87"/>
    <w:rsid w:val="00041C4F"/>
    <w:rsid w:val="00041F1F"/>
    <w:rsid w:val="0004209B"/>
    <w:rsid w:val="000420DB"/>
    <w:rsid w:val="000421A1"/>
    <w:rsid w:val="000423C1"/>
    <w:rsid w:val="00042508"/>
    <w:rsid w:val="00042A8B"/>
    <w:rsid w:val="00042E09"/>
    <w:rsid w:val="00042F4E"/>
    <w:rsid w:val="000434BD"/>
    <w:rsid w:val="000436A8"/>
    <w:rsid w:val="00043B7B"/>
    <w:rsid w:val="00043E36"/>
    <w:rsid w:val="000443C3"/>
    <w:rsid w:val="0004455F"/>
    <w:rsid w:val="00044806"/>
    <w:rsid w:val="00044A42"/>
    <w:rsid w:val="00044AB8"/>
    <w:rsid w:val="000454B2"/>
    <w:rsid w:val="00045976"/>
    <w:rsid w:val="00045E41"/>
    <w:rsid w:val="0004610E"/>
    <w:rsid w:val="00046550"/>
    <w:rsid w:val="000466E7"/>
    <w:rsid w:val="000468E2"/>
    <w:rsid w:val="00046A3E"/>
    <w:rsid w:val="00046C6A"/>
    <w:rsid w:val="00046D8E"/>
    <w:rsid w:val="00046EE3"/>
    <w:rsid w:val="0004701B"/>
    <w:rsid w:val="00047124"/>
    <w:rsid w:val="00047444"/>
    <w:rsid w:val="00047661"/>
    <w:rsid w:val="000476C0"/>
    <w:rsid w:val="00047734"/>
    <w:rsid w:val="000477EA"/>
    <w:rsid w:val="00047936"/>
    <w:rsid w:val="0004798E"/>
    <w:rsid w:val="00047BB5"/>
    <w:rsid w:val="00047D53"/>
    <w:rsid w:val="00047FB2"/>
    <w:rsid w:val="000501AB"/>
    <w:rsid w:val="000502A5"/>
    <w:rsid w:val="000504A8"/>
    <w:rsid w:val="0005052B"/>
    <w:rsid w:val="000506A1"/>
    <w:rsid w:val="000508EC"/>
    <w:rsid w:val="000509DA"/>
    <w:rsid w:val="00050AFA"/>
    <w:rsid w:val="00051333"/>
    <w:rsid w:val="000516DF"/>
    <w:rsid w:val="00051BA8"/>
    <w:rsid w:val="00051E3C"/>
    <w:rsid w:val="000520B1"/>
    <w:rsid w:val="00052241"/>
    <w:rsid w:val="00052672"/>
    <w:rsid w:val="00052814"/>
    <w:rsid w:val="00052908"/>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745"/>
    <w:rsid w:val="00057902"/>
    <w:rsid w:val="00057E1C"/>
    <w:rsid w:val="00057EA9"/>
    <w:rsid w:val="0006062A"/>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0A"/>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3D9"/>
    <w:rsid w:val="000A1418"/>
    <w:rsid w:val="000A1760"/>
    <w:rsid w:val="000A19A2"/>
    <w:rsid w:val="000A1BDC"/>
    <w:rsid w:val="000A1CD5"/>
    <w:rsid w:val="000A1E0A"/>
    <w:rsid w:val="000A1E8A"/>
    <w:rsid w:val="000A227F"/>
    <w:rsid w:val="000A22C0"/>
    <w:rsid w:val="000A2388"/>
    <w:rsid w:val="000A2AC3"/>
    <w:rsid w:val="000A2CC6"/>
    <w:rsid w:val="000A30BD"/>
    <w:rsid w:val="000A3220"/>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C9B"/>
    <w:rsid w:val="000A7F9D"/>
    <w:rsid w:val="000B01AF"/>
    <w:rsid w:val="000B0467"/>
    <w:rsid w:val="000B055C"/>
    <w:rsid w:val="000B09D0"/>
    <w:rsid w:val="000B0F74"/>
    <w:rsid w:val="000B1471"/>
    <w:rsid w:val="000B16FC"/>
    <w:rsid w:val="000B1845"/>
    <w:rsid w:val="000B18C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41E"/>
    <w:rsid w:val="000C755B"/>
    <w:rsid w:val="000C7646"/>
    <w:rsid w:val="000C7708"/>
    <w:rsid w:val="000C7914"/>
    <w:rsid w:val="000C7A16"/>
    <w:rsid w:val="000C7A75"/>
    <w:rsid w:val="000C7BE4"/>
    <w:rsid w:val="000C7E7C"/>
    <w:rsid w:val="000D02D7"/>
    <w:rsid w:val="000D0536"/>
    <w:rsid w:val="000D057B"/>
    <w:rsid w:val="000D0723"/>
    <w:rsid w:val="000D082B"/>
    <w:rsid w:val="000D0AEE"/>
    <w:rsid w:val="000D1461"/>
    <w:rsid w:val="000D1C62"/>
    <w:rsid w:val="000D1C63"/>
    <w:rsid w:val="000D20A1"/>
    <w:rsid w:val="000D23CE"/>
    <w:rsid w:val="000D25EF"/>
    <w:rsid w:val="000D2718"/>
    <w:rsid w:val="000D280C"/>
    <w:rsid w:val="000D333F"/>
    <w:rsid w:val="000D34BD"/>
    <w:rsid w:val="000D3537"/>
    <w:rsid w:val="000D37F7"/>
    <w:rsid w:val="000D38B0"/>
    <w:rsid w:val="000D390C"/>
    <w:rsid w:val="000D3A17"/>
    <w:rsid w:val="000D3BA3"/>
    <w:rsid w:val="000D414D"/>
    <w:rsid w:val="000D4212"/>
    <w:rsid w:val="000D4395"/>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0"/>
    <w:rsid w:val="000E459D"/>
    <w:rsid w:val="000E4750"/>
    <w:rsid w:val="000E4788"/>
    <w:rsid w:val="000E4C9D"/>
    <w:rsid w:val="000E4E61"/>
    <w:rsid w:val="000E51A0"/>
    <w:rsid w:val="000E52A9"/>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C38"/>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546"/>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4F"/>
    <w:rsid w:val="00106376"/>
    <w:rsid w:val="001069D6"/>
    <w:rsid w:val="00106D10"/>
    <w:rsid w:val="00107244"/>
    <w:rsid w:val="001073C2"/>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7E6"/>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ADC"/>
    <w:rsid w:val="00120BD1"/>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3F1"/>
    <w:rsid w:val="001364BC"/>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4F2"/>
    <w:rsid w:val="0014296A"/>
    <w:rsid w:val="00143061"/>
    <w:rsid w:val="00143335"/>
    <w:rsid w:val="00143391"/>
    <w:rsid w:val="0014367F"/>
    <w:rsid w:val="001438FC"/>
    <w:rsid w:val="00143DDE"/>
    <w:rsid w:val="00143F3D"/>
    <w:rsid w:val="0014413D"/>
    <w:rsid w:val="00144F48"/>
    <w:rsid w:val="00145AB8"/>
    <w:rsid w:val="00145BBD"/>
    <w:rsid w:val="00145D7D"/>
    <w:rsid w:val="00145F7E"/>
    <w:rsid w:val="001463CA"/>
    <w:rsid w:val="00146572"/>
    <w:rsid w:val="00146971"/>
    <w:rsid w:val="0014708A"/>
    <w:rsid w:val="00147197"/>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626"/>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397"/>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3ED"/>
    <w:rsid w:val="0017543A"/>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6F44"/>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7A9"/>
    <w:rsid w:val="00180812"/>
    <w:rsid w:val="0018082C"/>
    <w:rsid w:val="00180C02"/>
    <w:rsid w:val="00180C73"/>
    <w:rsid w:val="00180CA5"/>
    <w:rsid w:val="00180DB8"/>
    <w:rsid w:val="00180DD5"/>
    <w:rsid w:val="001810AC"/>
    <w:rsid w:val="001813AE"/>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C41"/>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776"/>
    <w:rsid w:val="001908F8"/>
    <w:rsid w:val="00190A1E"/>
    <w:rsid w:val="001912E2"/>
    <w:rsid w:val="00191A2A"/>
    <w:rsid w:val="00191BF5"/>
    <w:rsid w:val="00191C56"/>
    <w:rsid w:val="00191DD2"/>
    <w:rsid w:val="00191E0F"/>
    <w:rsid w:val="00191EC5"/>
    <w:rsid w:val="001920C5"/>
    <w:rsid w:val="001922AC"/>
    <w:rsid w:val="001922FE"/>
    <w:rsid w:val="0019246F"/>
    <w:rsid w:val="0019262E"/>
    <w:rsid w:val="00192C9C"/>
    <w:rsid w:val="00192DC8"/>
    <w:rsid w:val="00192E36"/>
    <w:rsid w:val="00192ED2"/>
    <w:rsid w:val="001930FC"/>
    <w:rsid w:val="001932A6"/>
    <w:rsid w:val="0019344A"/>
    <w:rsid w:val="00193567"/>
    <w:rsid w:val="001939BF"/>
    <w:rsid w:val="00193D1E"/>
    <w:rsid w:val="00193FA0"/>
    <w:rsid w:val="001946EE"/>
    <w:rsid w:val="00194842"/>
    <w:rsid w:val="0019484D"/>
    <w:rsid w:val="00194A0F"/>
    <w:rsid w:val="00195512"/>
    <w:rsid w:val="00195CAE"/>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3205"/>
    <w:rsid w:val="001A3266"/>
    <w:rsid w:val="001A332F"/>
    <w:rsid w:val="001A3653"/>
    <w:rsid w:val="001A3A1C"/>
    <w:rsid w:val="001A3A62"/>
    <w:rsid w:val="001A3C4B"/>
    <w:rsid w:val="001A4016"/>
    <w:rsid w:val="001A4153"/>
    <w:rsid w:val="001A4259"/>
    <w:rsid w:val="001A446E"/>
    <w:rsid w:val="001A45AB"/>
    <w:rsid w:val="001A4C2D"/>
    <w:rsid w:val="001A4D24"/>
    <w:rsid w:val="001A4FE4"/>
    <w:rsid w:val="001A5720"/>
    <w:rsid w:val="001A58FB"/>
    <w:rsid w:val="001A59BE"/>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88A"/>
    <w:rsid w:val="001A7968"/>
    <w:rsid w:val="001A79CF"/>
    <w:rsid w:val="001A7A26"/>
    <w:rsid w:val="001A7F9C"/>
    <w:rsid w:val="001B001A"/>
    <w:rsid w:val="001B0178"/>
    <w:rsid w:val="001B03A0"/>
    <w:rsid w:val="001B0427"/>
    <w:rsid w:val="001B05D9"/>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56B3"/>
    <w:rsid w:val="001C580F"/>
    <w:rsid w:val="001C58C0"/>
    <w:rsid w:val="001C5C8A"/>
    <w:rsid w:val="001C6094"/>
    <w:rsid w:val="001C6197"/>
    <w:rsid w:val="001C6505"/>
    <w:rsid w:val="001C668F"/>
    <w:rsid w:val="001C680C"/>
    <w:rsid w:val="001C68EB"/>
    <w:rsid w:val="001C69AC"/>
    <w:rsid w:val="001C6B35"/>
    <w:rsid w:val="001C6E36"/>
    <w:rsid w:val="001C6ECF"/>
    <w:rsid w:val="001C7433"/>
    <w:rsid w:val="001C77DB"/>
    <w:rsid w:val="001C79E6"/>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2DDA"/>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597"/>
    <w:rsid w:val="001D585C"/>
    <w:rsid w:val="001D5903"/>
    <w:rsid w:val="001D595B"/>
    <w:rsid w:val="001D59BC"/>
    <w:rsid w:val="001D5B41"/>
    <w:rsid w:val="001D5C65"/>
    <w:rsid w:val="001D5D1B"/>
    <w:rsid w:val="001D670F"/>
    <w:rsid w:val="001D68FE"/>
    <w:rsid w:val="001D6923"/>
    <w:rsid w:val="001D6C21"/>
    <w:rsid w:val="001D6DC1"/>
    <w:rsid w:val="001D7287"/>
    <w:rsid w:val="001D72EF"/>
    <w:rsid w:val="001D7541"/>
    <w:rsid w:val="001D7715"/>
    <w:rsid w:val="001E0259"/>
    <w:rsid w:val="001E035B"/>
    <w:rsid w:val="001E03CE"/>
    <w:rsid w:val="001E05B7"/>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3F88"/>
    <w:rsid w:val="001F4229"/>
    <w:rsid w:val="001F4355"/>
    <w:rsid w:val="001F452E"/>
    <w:rsid w:val="001F475C"/>
    <w:rsid w:val="001F4A26"/>
    <w:rsid w:val="001F4BD7"/>
    <w:rsid w:val="001F4C53"/>
    <w:rsid w:val="001F4D28"/>
    <w:rsid w:val="001F4E1E"/>
    <w:rsid w:val="001F4F9A"/>
    <w:rsid w:val="001F5149"/>
    <w:rsid w:val="001F51CB"/>
    <w:rsid w:val="001F5646"/>
    <w:rsid w:val="001F56D3"/>
    <w:rsid w:val="001F57FF"/>
    <w:rsid w:val="001F58F5"/>
    <w:rsid w:val="001F5956"/>
    <w:rsid w:val="001F5A25"/>
    <w:rsid w:val="001F5A4A"/>
    <w:rsid w:val="001F5AE6"/>
    <w:rsid w:val="001F5B4A"/>
    <w:rsid w:val="001F5C00"/>
    <w:rsid w:val="001F5C54"/>
    <w:rsid w:val="001F5D90"/>
    <w:rsid w:val="001F60AF"/>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71"/>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86A"/>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21F"/>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8DD"/>
    <w:rsid w:val="00242CCC"/>
    <w:rsid w:val="00242EB7"/>
    <w:rsid w:val="00243051"/>
    <w:rsid w:val="002432D1"/>
    <w:rsid w:val="00243799"/>
    <w:rsid w:val="002437AD"/>
    <w:rsid w:val="002437F7"/>
    <w:rsid w:val="00243AFA"/>
    <w:rsid w:val="00243D04"/>
    <w:rsid w:val="00243E8B"/>
    <w:rsid w:val="0024424B"/>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D1B"/>
    <w:rsid w:val="00253F47"/>
    <w:rsid w:val="00253F7D"/>
    <w:rsid w:val="00253FB8"/>
    <w:rsid w:val="00254470"/>
    <w:rsid w:val="0025459C"/>
    <w:rsid w:val="002546A9"/>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CF"/>
    <w:rsid w:val="00263439"/>
    <w:rsid w:val="0026374E"/>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89A"/>
    <w:rsid w:val="002668EB"/>
    <w:rsid w:val="00266A3E"/>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CAD"/>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759"/>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82E"/>
    <w:rsid w:val="00295995"/>
    <w:rsid w:val="00295A12"/>
    <w:rsid w:val="00295A33"/>
    <w:rsid w:val="00295B63"/>
    <w:rsid w:val="00295D26"/>
    <w:rsid w:val="00296014"/>
    <w:rsid w:val="002962E6"/>
    <w:rsid w:val="00296D2B"/>
    <w:rsid w:val="00296F3F"/>
    <w:rsid w:val="002972E1"/>
    <w:rsid w:val="00297A99"/>
    <w:rsid w:val="00297B82"/>
    <w:rsid w:val="00297E5E"/>
    <w:rsid w:val="002A0317"/>
    <w:rsid w:val="002A03DE"/>
    <w:rsid w:val="002A05BE"/>
    <w:rsid w:val="002A07CD"/>
    <w:rsid w:val="002A0858"/>
    <w:rsid w:val="002A0A02"/>
    <w:rsid w:val="002A0A88"/>
    <w:rsid w:val="002A0CD2"/>
    <w:rsid w:val="002A13D1"/>
    <w:rsid w:val="002A1456"/>
    <w:rsid w:val="002A1573"/>
    <w:rsid w:val="002A15D8"/>
    <w:rsid w:val="002A18D2"/>
    <w:rsid w:val="002A19A2"/>
    <w:rsid w:val="002A1B34"/>
    <w:rsid w:val="002A1C16"/>
    <w:rsid w:val="002A2596"/>
    <w:rsid w:val="002A2787"/>
    <w:rsid w:val="002A2B61"/>
    <w:rsid w:val="002A313A"/>
    <w:rsid w:val="002A3179"/>
    <w:rsid w:val="002A3257"/>
    <w:rsid w:val="002A3292"/>
    <w:rsid w:val="002A3A49"/>
    <w:rsid w:val="002A3CFD"/>
    <w:rsid w:val="002A4132"/>
    <w:rsid w:val="002A4221"/>
    <w:rsid w:val="002A466C"/>
    <w:rsid w:val="002A46B9"/>
    <w:rsid w:val="002A4EA4"/>
    <w:rsid w:val="002A5068"/>
    <w:rsid w:val="002A512D"/>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606D"/>
    <w:rsid w:val="002B60CB"/>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C0046"/>
    <w:rsid w:val="002C00E0"/>
    <w:rsid w:val="002C05F0"/>
    <w:rsid w:val="002C0661"/>
    <w:rsid w:val="002C089B"/>
    <w:rsid w:val="002C093A"/>
    <w:rsid w:val="002C0A09"/>
    <w:rsid w:val="002C0C05"/>
    <w:rsid w:val="002C0FF0"/>
    <w:rsid w:val="002C152C"/>
    <w:rsid w:val="002C1656"/>
    <w:rsid w:val="002C1790"/>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BC8"/>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2BBE"/>
    <w:rsid w:val="002E37B5"/>
    <w:rsid w:val="002E380E"/>
    <w:rsid w:val="002E3B41"/>
    <w:rsid w:val="002E3DF0"/>
    <w:rsid w:val="002E4608"/>
    <w:rsid w:val="002E4671"/>
    <w:rsid w:val="002E4907"/>
    <w:rsid w:val="002E4E82"/>
    <w:rsid w:val="002E4EE2"/>
    <w:rsid w:val="002E505B"/>
    <w:rsid w:val="002E5335"/>
    <w:rsid w:val="002E5734"/>
    <w:rsid w:val="002E5811"/>
    <w:rsid w:val="002E5AF7"/>
    <w:rsid w:val="002E5CF2"/>
    <w:rsid w:val="002E660A"/>
    <w:rsid w:val="002E6799"/>
    <w:rsid w:val="002E6C40"/>
    <w:rsid w:val="002E6CCF"/>
    <w:rsid w:val="002E6E72"/>
    <w:rsid w:val="002E706B"/>
    <w:rsid w:val="002E7221"/>
    <w:rsid w:val="002E7523"/>
    <w:rsid w:val="002E7AA9"/>
    <w:rsid w:val="002E7ABC"/>
    <w:rsid w:val="002E7BCD"/>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EEA"/>
    <w:rsid w:val="002F3437"/>
    <w:rsid w:val="002F3659"/>
    <w:rsid w:val="002F3BAD"/>
    <w:rsid w:val="002F3E3D"/>
    <w:rsid w:val="002F40EB"/>
    <w:rsid w:val="002F4122"/>
    <w:rsid w:val="002F41C9"/>
    <w:rsid w:val="002F476D"/>
    <w:rsid w:val="002F47C6"/>
    <w:rsid w:val="002F4893"/>
    <w:rsid w:val="002F4A47"/>
    <w:rsid w:val="002F4BDF"/>
    <w:rsid w:val="002F4C97"/>
    <w:rsid w:val="002F4FC1"/>
    <w:rsid w:val="002F50A4"/>
    <w:rsid w:val="002F52C4"/>
    <w:rsid w:val="002F538A"/>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79B"/>
    <w:rsid w:val="003067B0"/>
    <w:rsid w:val="00306914"/>
    <w:rsid w:val="00306DA0"/>
    <w:rsid w:val="00306FED"/>
    <w:rsid w:val="003076A7"/>
    <w:rsid w:val="003078FC"/>
    <w:rsid w:val="00307C81"/>
    <w:rsid w:val="003100B4"/>
    <w:rsid w:val="00310475"/>
    <w:rsid w:val="0031051A"/>
    <w:rsid w:val="003107E7"/>
    <w:rsid w:val="00310AF2"/>
    <w:rsid w:val="00310CE4"/>
    <w:rsid w:val="0031100E"/>
    <w:rsid w:val="00311194"/>
    <w:rsid w:val="0031125F"/>
    <w:rsid w:val="0031136C"/>
    <w:rsid w:val="0031177F"/>
    <w:rsid w:val="00311B7B"/>
    <w:rsid w:val="00311F51"/>
    <w:rsid w:val="003122E8"/>
    <w:rsid w:val="00312635"/>
    <w:rsid w:val="00312B28"/>
    <w:rsid w:val="00312B96"/>
    <w:rsid w:val="00313B7C"/>
    <w:rsid w:val="00313C32"/>
    <w:rsid w:val="00314017"/>
    <w:rsid w:val="00314034"/>
    <w:rsid w:val="00314129"/>
    <w:rsid w:val="00314397"/>
    <w:rsid w:val="003144BA"/>
    <w:rsid w:val="00314523"/>
    <w:rsid w:val="00314645"/>
    <w:rsid w:val="003149A3"/>
    <w:rsid w:val="00315000"/>
    <w:rsid w:val="0031550B"/>
    <w:rsid w:val="00315540"/>
    <w:rsid w:val="00315994"/>
    <w:rsid w:val="00315A9D"/>
    <w:rsid w:val="00315E08"/>
    <w:rsid w:val="00316755"/>
    <w:rsid w:val="003169B6"/>
    <w:rsid w:val="00316C4B"/>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450"/>
    <w:rsid w:val="00323BC5"/>
    <w:rsid w:val="00323BEB"/>
    <w:rsid w:val="00324673"/>
    <w:rsid w:val="00324B9B"/>
    <w:rsid w:val="00324D46"/>
    <w:rsid w:val="00324DE1"/>
    <w:rsid w:val="003250DD"/>
    <w:rsid w:val="003257CD"/>
    <w:rsid w:val="00325B0D"/>
    <w:rsid w:val="00325B56"/>
    <w:rsid w:val="00325DF1"/>
    <w:rsid w:val="003264E9"/>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9AB"/>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DB"/>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DC"/>
    <w:rsid w:val="003510D7"/>
    <w:rsid w:val="00351453"/>
    <w:rsid w:val="0035152F"/>
    <w:rsid w:val="00351630"/>
    <w:rsid w:val="00351C0B"/>
    <w:rsid w:val="00351FC7"/>
    <w:rsid w:val="003520DC"/>
    <w:rsid w:val="003522E0"/>
    <w:rsid w:val="00352337"/>
    <w:rsid w:val="003524DB"/>
    <w:rsid w:val="00352522"/>
    <w:rsid w:val="003525B9"/>
    <w:rsid w:val="003528A2"/>
    <w:rsid w:val="0035296F"/>
    <w:rsid w:val="00352E69"/>
    <w:rsid w:val="00352EE8"/>
    <w:rsid w:val="00352EF6"/>
    <w:rsid w:val="003530CF"/>
    <w:rsid w:val="003530D4"/>
    <w:rsid w:val="00353333"/>
    <w:rsid w:val="003536C8"/>
    <w:rsid w:val="00353907"/>
    <w:rsid w:val="00353C8B"/>
    <w:rsid w:val="00353E7D"/>
    <w:rsid w:val="003542D4"/>
    <w:rsid w:val="003543DA"/>
    <w:rsid w:val="00354514"/>
    <w:rsid w:val="0035483F"/>
    <w:rsid w:val="00354B65"/>
    <w:rsid w:val="00354B6B"/>
    <w:rsid w:val="00354B7A"/>
    <w:rsid w:val="00355144"/>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CFF"/>
    <w:rsid w:val="00360D85"/>
    <w:rsid w:val="00360F07"/>
    <w:rsid w:val="00361109"/>
    <w:rsid w:val="00361A6B"/>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1A"/>
    <w:rsid w:val="00367745"/>
    <w:rsid w:val="00367816"/>
    <w:rsid w:val="00367ACE"/>
    <w:rsid w:val="00367B01"/>
    <w:rsid w:val="00367DCF"/>
    <w:rsid w:val="00367F9B"/>
    <w:rsid w:val="003700CC"/>
    <w:rsid w:val="00370536"/>
    <w:rsid w:val="00370E4B"/>
    <w:rsid w:val="00370F6E"/>
    <w:rsid w:val="00370FBB"/>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AFB"/>
    <w:rsid w:val="00373CCC"/>
    <w:rsid w:val="00373F24"/>
    <w:rsid w:val="0037417E"/>
    <w:rsid w:val="00374622"/>
    <w:rsid w:val="00374638"/>
    <w:rsid w:val="0037480E"/>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99C"/>
    <w:rsid w:val="00377A24"/>
    <w:rsid w:val="00377E52"/>
    <w:rsid w:val="003800DD"/>
    <w:rsid w:val="0038026E"/>
    <w:rsid w:val="0038028B"/>
    <w:rsid w:val="003805D6"/>
    <w:rsid w:val="003806E4"/>
    <w:rsid w:val="00380AC1"/>
    <w:rsid w:val="00380E9B"/>
    <w:rsid w:val="00381015"/>
    <w:rsid w:val="003814F7"/>
    <w:rsid w:val="00381DAA"/>
    <w:rsid w:val="00381E30"/>
    <w:rsid w:val="0038251C"/>
    <w:rsid w:val="0038264C"/>
    <w:rsid w:val="00382880"/>
    <w:rsid w:val="00382A18"/>
    <w:rsid w:val="00382AA2"/>
    <w:rsid w:val="00382ACB"/>
    <w:rsid w:val="00382B3E"/>
    <w:rsid w:val="00382DAE"/>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E4E"/>
    <w:rsid w:val="003930EB"/>
    <w:rsid w:val="003931D8"/>
    <w:rsid w:val="003931F6"/>
    <w:rsid w:val="00393229"/>
    <w:rsid w:val="00393509"/>
    <w:rsid w:val="00393569"/>
    <w:rsid w:val="00393C42"/>
    <w:rsid w:val="00393E53"/>
    <w:rsid w:val="00393EFB"/>
    <w:rsid w:val="00394172"/>
    <w:rsid w:val="003942F1"/>
    <w:rsid w:val="00394705"/>
    <w:rsid w:val="0039480F"/>
    <w:rsid w:val="00394B28"/>
    <w:rsid w:val="00395151"/>
    <w:rsid w:val="0039525E"/>
    <w:rsid w:val="00395514"/>
    <w:rsid w:val="0039554E"/>
    <w:rsid w:val="003957BB"/>
    <w:rsid w:val="00395C25"/>
    <w:rsid w:val="00395C2B"/>
    <w:rsid w:val="00395C4B"/>
    <w:rsid w:val="00395C7A"/>
    <w:rsid w:val="00395CC6"/>
    <w:rsid w:val="00395DE4"/>
    <w:rsid w:val="00395E22"/>
    <w:rsid w:val="00395FEF"/>
    <w:rsid w:val="00396167"/>
    <w:rsid w:val="003961B5"/>
    <w:rsid w:val="0039638D"/>
    <w:rsid w:val="00396828"/>
    <w:rsid w:val="00396E02"/>
    <w:rsid w:val="00397119"/>
    <w:rsid w:val="0039723A"/>
    <w:rsid w:val="003975C0"/>
    <w:rsid w:val="00397C6E"/>
    <w:rsid w:val="00397D6F"/>
    <w:rsid w:val="003A0146"/>
    <w:rsid w:val="003A03F0"/>
    <w:rsid w:val="003A0743"/>
    <w:rsid w:val="003A0C86"/>
    <w:rsid w:val="003A0EBC"/>
    <w:rsid w:val="003A193D"/>
    <w:rsid w:val="003A21D7"/>
    <w:rsid w:val="003A24F9"/>
    <w:rsid w:val="003A25B0"/>
    <w:rsid w:val="003A270F"/>
    <w:rsid w:val="003A2D01"/>
    <w:rsid w:val="003A2E76"/>
    <w:rsid w:val="003A2EA3"/>
    <w:rsid w:val="003A309A"/>
    <w:rsid w:val="003A3237"/>
    <w:rsid w:val="003A3314"/>
    <w:rsid w:val="003A335C"/>
    <w:rsid w:val="003A36D3"/>
    <w:rsid w:val="003A3B8F"/>
    <w:rsid w:val="003A3EF6"/>
    <w:rsid w:val="003A420A"/>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32F5"/>
    <w:rsid w:val="003B38CD"/>
    <w:rsid w:val="003B3A56"/>
    <w:rsid w:val="003B3D10"/>
    <w:rsid w:val="003B3F0A"/>
    <w:rsid w:val="003B4383"/>
    <w:rsid w:val="003B44FE"/>
    <w:rsid w:val="003B46B5"/>
    <w:rsid w:val="003B4849"/>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22"/>
    <w:rsid w:val="003B6E55"/>
    <w:rsid w:val="003B7014"/>
    <w:rsid w:val="003B76BF"/>
    <w:rsid w:val="003B7716"/>
    <w:rsid w:val="003B7A53"/>
    <w:rsid w:val="003B7B24"/>
    <w:rsid w:val="003B7BB9"/>
    <w:rsid w:val="003B7BEB"/>
    <w:rsid w:val="003B7ECE"/>
    <w:rsid w:val="003C00AB"/>
    <w:rsid w:val="003C041C"/>
    <w:rsid w:val="003C0665"/>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325"/>
    <w:rsid w:val="003D34E8"/>
    <w:rsid w:val="003D3A0C"/>
    <w:rsid w:val="003D3E70"/>
    <w:rsid w:val="003D41F2"/>
    <w:rsid w:val="003D4937"/>
    <w:rsid w:val="003D4B9D"/>
    <w:rsid w:val="003D4E2B"/>
    <w:rsid w:val="003D4F92"/>
    <w:rsid w:val="003D576D"/>
    <w:rsid w:val="003D5CD5"/>
    <w:rsid w:val="003D6151"/>
    <w:rsid w:val="003D61CE"/>
    <w:rsid w:val="003D6235"/>
    <w:rsid w:val="003D6672"/>
    <w:rsid w:val="003D66B3"/>
    <w:rsid w:val="003D670E"/>
    <w:rsid w:val="003D684E"/>
    <w:rsid w:val="003D690B"/>
    <w:rsid w:val="003D69FF"/>
    <w:rsid w:val="003D6CA1"/>
    <w:rsid w:val="003D6EE8"/>
    <w:rsid w:val="003D6F6F"/>
    <w:rsid w:val="003D728F"/>
    <w:rsid w:val="003D746B"/>
    <w:rsid w:val="003D76CD"/>
    <w:rsid w:val="003D76F9"/>
    <w:rsid w:val="003D7B0C"/>
    <w:rsid w:val="003D7CF1"/>
    <w:rsid w:val="003E0176"/>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F01F6"/>
    <w:rsid w:val="003F020C"/>
    <w:rsid w:val="003F033C"/>
    <w:rsid w:val="003F03C4"/>
    <w:rsid w:val="003F04C5"/>
    <w:rsid w:val="003F066F"/>
    <w:rsid w:val="003F07C3"/>
    <w:rsid w:val="003F0C9B"/>
    <w:rsid w:val="003F110B"/>
    <w:rsid w:val="003F1299"/>
    <w:rsid w:val="003F1C0F"/>
    <w:rsid w:val="003F1F1D"/>
    <w:rsid w:val="003F232B"/>
    <w:rsid w:val="003F2A8C"/>
    <w:rsid w:val="003F2B72"/>
    <w:rsid w:val="003F2CEF"/>
    <w:rsid w:val="003F2DEE"/>
    <w:rsid w:val="003F307C"/>
    <w:rsid w:val="003F31AE"/>
    <w:rsid w:val="003F325F"/>
    <w:rsid w:val="003F3282"/>
    <w:rsid w:val="003F34C8"/>
    <w:rsid w:val="003F3650"/>
    <w:rsid w:val="003F3733"/>
    <w:rsid w:val="003F3919"/>
    <w:rsid w:val="003F39F1"/>
    <w:rsid w:val="003F3B8F"/>
    <w:rsid w:val="003F3CE3"/>
    <w:rsid w:val="003F3E62"/>
    <w:rsid w:val="003F416F"/>
    <w:rsid w:val="003F41F2"/>
    <w:rsid w:val="003F4302"/>
    <w:rsid w:val="003F441C"/>
    <w:rsid w:val="003F443F"/>
    <w:rsid w:val="003F44C8"/>
    <w:rsid w:val="003F45EB"/>
    <w:rsid w:val="003F46B8"/>
    <w:rsid w:val="003F4D21"/>
    <w:rsid w:val="003F4DA7"/>
    <w:rsid w:val="003F576C"/>
    <w:rsid w:val="003F57F4"/>
    <w:rsid w:val="003F5BB3"/>
    <w:rsid w:val="003F5C88"/>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D05"/>
    <w:rsid w:val="00401FCB"/>
    <w:rsid w:val="0040203A"/>
    <w:rsid w:val="00402B30"/>
    <w:rsid w:val="00402C69"/>
    <w:rsid w:val="0040305F"/>
    <w:rsid w:val="004030CE"/>
    <w:rsid w:val="004034C1"/>
    <w:rsid w:val="004034E5"/>
    <w:rsid w:val="00403504"/>
    <w:rsid w:val="00403633"/>
    <w:rsid w:val="00403812"/>
    <w:rsid w:val="00403959"/>
    <w:rsid w:val="00403A06"/>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12AE"/>
    <w:rsid w:val="00411903"/>
    <w:rsid w:val="00411CCB"/>
    <w:rsid w:val="00411E7E"/>
    <w:rsid w:val="00411F4F"/>
    <w:rsid w:val="00412042"/>
    <w:rsid w:val="004124B3"/>
    <w:rsid w:val="00412535"/>
    <w:rsid w:val="004126DB"/>
    <w:rsid w:val="00412A7B"/>
    <w:rsid w:val="00412B5E"/>
    <w:rsid w:val="00412C90"/>
    <w:rsid w:val="00412D0B"/>
    <w:rsid w:val="0041303A"/>
    <w:rsid w:val="00413097"/>
    <w:rsid w:val="004134C0"/>
    <w:rsid w:val="00413C08"/>
    <w:rsid w:val="00413FFE"/>
    <w:rsid w:val="0041417C"/>
    <w:rsid w:val="00414299"/>
    <w:rsid w:val="004145B4"/>
    <w:rsid w:val="00414967"/>
    <w:rsid w:val="00414B5B"/>
    <w:rsid w:val="00414C19"/>
    <w:rsid w:val="00414CAD"/>
    <w:rsid w:val="004150F4"/>
    <w:rsid w:val="00415563"/>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908"/>
    <w:rsid w:val="00424B6C"/>
    <w:rsid w:val="00424BC8"/>
    <w:rsid w:val="00424C9B"/>
    <w:rsid w:val="00424E78"/>
    <w:rsid w:val="00424F79"/>
    <w:rsid w:val="0042512E"/>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D09"/>
    <w:rsid w:val="00430012"/>
    <w:rsid w:val="004302B7"/>
    <w:rsid w:val="0043054F"/>
    <w:rsid w:val="00430567"/>
    <w:rsid w:val="0043063B"/>
    <w:rsid w:val="004308E5"/>
    <w:rsid w:val="004309E8"/>
    <w:rsid w:val="00430DFD"/>
    <w:rsid w:val="00431096"/>
    <w:rsid w:val="004322D4"/>
    <w:rsid w:val="00432570"/>
    <w:rsid w:val="0043269D"/>
    <w:rsid w:val="00432A76"/>
    <w:rsid w:val="00432F05"/>
    <w:rsid w:val="00432F76"/>
    <w:rsid w:val="004330BC"/>
    <w:rsid w:val="00433783"/>
    <w:rsid w:val="0043396B"/>
    <w:rsid w:val="00433AD1"/>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2DD"/>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0FC"/>
    <w:rsid w:val="00453106"/>
    <w:rsid w:val="00453314"/>
    <w:rsid w:val="0045334B"/>
    <w:rsid w:val="00453A19"/>
    <w:rsid w:val="00453B7D"/>
    <w:rsid w:val="0045437C"/>
    <w:rsid w:val="004543BB"/>
    <w:rsid w:val="00454739"/>
    <w:rsid w:val="004549E4"/>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77"/>
    <w:rsid w:val="00465A90"/>
    <w:rsid w:val="00465AEB"/>
    <w:rsid w:val="00465CC2"/>
    <w:rsid w:val="00466357"/>
    <w:rsid w:val="004665D2"/>
    <w:rsid w:val="0046689D"/>
    <w:rsid w:val="00466AB7"/>
    <w:rsid w:val="00466B35"/>
    <w:rsid w:val="00466C93"/>
    <w:rsid w:val="00466D14"/>
    <w:rsid w:val="00466DE0"/>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92"/>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402"/>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3FC7"/>
    <w:rsid w:val="00494097"/>
    <w:rsid w:val="0049439A"/>
    <w:rsid w:val="00494683"/>
    <w:rsid w:val="004949AD"/>
    <w:rsid w:val="00494E20"/>
    <w:rsid w:val="00494E3F"/>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713E"/>
    <w:rsid w:val="004A72C3"/>
    <w:rsid w:val="004A73E9"/>
    <w:rsid w:val="004A7680"/>
    <w:rsid w:val="004A77AA"/>
    <w:rsid w:val="004A77B4"/>
    <w:rsid w:val="004A79E6"/>
    <w:rsid w:val="004A7C4F"/>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2BC"/>
    <w:rsid w:val="004B277F"/>
    <w:rsid w:val="004B28A2"/>
    <w:rsid w:val="004B2BFD"/>
    <w:rsid w:val="004B33B9"/>
    <w:rsid w:val="004B340E"/>
    <w:rsid w:val="004B3420"/>
    <w:rsid w:val="004B37E4"/>
    <w:rsid w:val="004B399F"/>
    <w:rsid w:val="004B39D5"/>
    <w:rsid w:val="004B39F4"/>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C0571"/>
    <w:rsid w:val="004C093C"/>
    <w:rsid w:val="004C0BC9"/>
    <w:rsid w:val="004C0DF1"/>
    <w:rsid w:val="004C0DF8"/>
    <w:rsid w:val="004C0E96"/>
    <w:rsid w:val="004C0EF6"/>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F3E"/>
    <w:rsid w:val="004D05F3"/>
    <w:rsid w:val="004D08BF"/>
    <w:rsid w:val="004D0B9F"/>
    <w:rsid w:val="004D0C77"/>
    <w:rsid w:val="004D0DD6"/>
    <w:rsid w:val="004D0FF1"/>
    <w:rsid w:val="004D1027"/>
    <w:rsid w:val="004D12D2"/>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93D"/>
    <w:rsid w:val="004D5CD9"/>
    <w:rsid w:val="004D5E82"/>
    <w:rsid w:val="004D5F42"/>
    <w:rsid w:val="004D602D"/>
    <w:rsid w:val="004D6CF4"/>
    <w:rsid w:val="004D6E44"/>
    <w:rsid w:val="004D6EDA"/>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200"/>
    <w:rsid w:val="004E341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0EB"/>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0E02"/>
    <w:rsid w:val="00501282"/>
    <w:rsid w:val="005013AF"/>
    <w:rsid w:val="0050144E"/>
    <w:rsid w:val="005015B1"/>
    <w:rsid w:val="005016F1"/>
    <w:rsid w:val="00501B32"/>
    <w:rsid w:val="00501CE9"/>
    <w:rsid w:val="00501E42"/>
    <w:rsid w:val="00501E71"/>
    <w:rsid w:val="0050214A"/>
    <w:rsid w:val="00502387"/>
    <w:rsid w:val="005023E0"/>
    <w:rsid w:val="00502D0D"/>
    <w:rsid w:val="00502D67"/>
    <w:rsid w:val="00502F22"/>
    <w:rsid w:val="0050310D"/>
    <w:rsid w:val="0050345A"/>
    <w:rsid w:val="005035BF"/>
    <w:rsid w:val="0050397D"/>
    <w:rsid w:val="00504172"/>
    <w:rsid w:val="0050461E"/>
    <w:rsid w:val="005049A3"/>
    <w:rsid w:val="00504D5D"/>
    <w:rsid w:val="005052B3"/>
    <w:rsid w:val="005055E5"/>
    <w:rsid w:val="005057EA"/>
    <w:rsid w:val="00505A5D"/>
    <w:rsid w:val="00505B38"/>
    <w:rsid w:val="00505D76"/>
    <w:rsid w:val="00506159"/>
    <w:rsid w:val="005062A4"/>
    <w:rsid w:val="0050655D"/>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9CC"/>
    <w:rsid w:val="00512A6D"/>
    <w:rsid w:val="00512BA1"/>
    <w:rsid w:val="0051347D"/>
    <w:rsid w:val="0051349F"/>
    <w:rsid w:val="0051377A"/>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E9F"/>
    <w:rsid w:val="00516F49"/>
    <w:rsid w:val="00516FE4"/>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1ABB"/>
    <w:rsid w:val="0052209B"/>
    <w:rsid w:val="005221B2"/>
    <w:rsid w:val="005223A5"/>
    <w:rsid w:val="0052243A"/>
    <w:rsid w:val="0052299E"/>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995"/>
    <w:rsid w:val="00527B51"/>
    <w:rsid w:val="00527CA2"/>
    <w:rsid w:val="005300DA"/>
    <w:rsid w:val="00530157"/>
    <w:rsid w:val="00530208"/>
    <w:rsid w:val="00530472"/>
    <w:rsid w:val="005304E0"/>
    <w:rsid w:val="005308E1"/>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1F4"/>
    <w:rsid w:val="0054222B"/>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8A5"/>
    <w:rsid w:val="005459D3"/>
    <w:rsid w:val="00545A72"/>
    <w:rsid w:val="00545C38"/>
    <w:rsid w:val="00545D61"/>
    <w:rsid w:val="00545F99"/>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3D"/>
    <w:rsid w:val="00550CF4"/>
    <w:rsid w:val="00550F07"/>
    <w:rsid w:val="00550FC4"/>
    <w:rsid w:val="00551288"/>
    <w:rsid w:val="005513E0"/>
    <w:rsid w:val="005514EE"/>
    <w:rsid w:val="005516B2"/>
    <w:rsid w:val="0055194B"/>
    <w:rsid w:val="00551A60"/>
    <w:rsid w:val="00551B63"/>
    <w:rsid w:val="00551EB0"/>
    <w:rsid w:val="00551FED"/>
    <w:rsid w:val="00552C21"/>
    <w:rsid w:val="00552DB9"/>
    <w:rsid w:val="00553081"/>
    <w:rsid w:val="005535AA"/>
    <w:rsid w:val="0055362B"/>
    <w:rsid w:val="005536A7"/>
    <w:rsid w:val="005537A2"/>
    <w:rsid w:val="00553DAD"/>
    <w:rsid w:val="00554683"/>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19"/>
    <w:rsid w:val="005570F7"/>
    <w:rsid w:val="0055711F"/>
    <w:rsid w:val="00557270"/>
    <w:rsid w:val="00557359"/>
    <w:rsid w:val="00557827"/>
    <w:rsid w:val="00557B9E"/>
    <w:rsid w:val="00557DE4"/>
    <w:rsid w:val="00557F82"/>
    <w:rsid w:val="00560102"/>
    <w:rsid w:val="005606DA"/>
    <w:rsid w:val="005609D2"/>
    <w:rsid w:val="00560A3D"/>
    <w:rsid w:val="005610A0"/>
    <w:rsid w:val="00561233"/>
    <w:rsid w:val="005612D0"/>
    <w:rsid w:val="00561631"/>
    <w:rsid w:val="0056185C"/>
    <w:rsid w:val="00561E6D"/>
    <w:rsid w:val="00561F9C"/>
    <w:rsid w:val="00561FED"/>
    <w:rsid w:val="005621A6"/>
    <w:rsid w:val="005623E8"/>
    <w:rsid w:val="005625F4"/>
    <w:rsid w:val="005626BF"/>
    <w:rsid w:val="005629B1"/>
    <w:rsid w:val="00562BBA"/>
    <w:rsid w:val="0056371A"/>
    <w:rsid w:val="00563955"/>
    <w:rsid w:val="005639FD"/>
    <w:rsid w:val="00563B74"/>
    <w:rsid w:val="00563D08"/>
    <w:rsid w:val="00563DFF"/>
    <w:rsid w:val="00563E54"/>
    <w:rsid w:val="00563F16"/>
    <w:rsid w:val="00563F47"/>
    <w:rsid w:val="00563F55"/>
    <w:rsid w:val="00564021"/>
    <w:rsid w:val="0056431B"/>
    <w:rsid w:val="005643B1"/>
    <w:rsid w:val="005647DB"/>
    <w:rsid w:val="005648E4"/>
    <w:rsid w:val="00564B70"/>
    <w:rsid w:val="00565272"/>
    <w:rsid w:val="00565921"/>
    <w:rsid w:val="00565D02"/>
    <w:rsid w:val="00565F56"/>
    <w:rsid w:val="0056637F"/>
    <w:rsid w:val="00566394"/>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1B64"/>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944"/>
    <w:rsid w:val="00574D66"/>
    <w:rsid w:val="00574E2E"/>
    <w:rsid w:val="00575284"/>
    <w:rsid w:val="0057546D"/>
    <w:rsid w:val="0057554A"/>
    <w:rsid w:val="00575822"/>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664"/>
    <w:rsid w:val="005808B0"/>
    <w:rsid w:val="00580CC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BFE"/>
    <w:rsid w:val="00584D23"/>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CF9"/>
    <w:rsid w:val="00586E61"/>
    <w:rsid w:val="00586F26"/>
    <w:rsid w:val="00587122"/>
    <w:rsid w:val="00587D74"/>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3DE3"/>
    <w:rsid w:val="005940A3"/>
    <w:rsid w:val="00594376"/>
    <w:rsid w:val="00594451"/>
    <w:rsid w:val="0059465D"/>
    <w:rsid w:val="005949B6"/>
    <w:rsid w:val="00594A07"/>
    <w:rsid w:val="00594A50"/>
    <w:rsid w:val="005951D7"/>
    <w:rsid w:val="0059526A"/>
    <w:rsid w:val="005958A4"/>
    <w:rsid w:val="005958A8"/>
    <w:rsid w:val="00595993"/>
    <w:rsid w:val="00595CF0"/>
    <w:rsid w:val="00595ECA"/>
    <w:rsid w:val="0059622C"/>
    <w:rsid w:val="0059629E"/>
    <w:rsid w:val="00596376"/>
    <w:rsid w:val="005967D4"/>
    <w:rsid w:val="0059681A"/>
    <w:rsid w:val="00596B26"/>
    <w:rsid w:val="00596B65"/>
    <w:rsid w:val="00596CA5"/>
    <w:rsid w:val="00596DEF"/>
    <w:rsid w:val="0059701D"/>
    <w:rsid w:val="00597096"/>
    <w:rsid w:val="0059734D"/>
    <w:rsid w:val="00597394"/>
    <w:rsid w:val="0059741D"/>
    <w:rsid w:val="0059783C"/>
    <w:rsid w:val="00597C14"/>
    <w:rsid w:val="005A03EA"/>
    <w:rsid w:val="005A05F8"/>
    <w:rsid w:val="005A0983"/>
    <w:rsid w:val="005A0A80"/>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315"/>
    <w:rsid w:val="005A4487"/>
    <w:rsid w:val="005A4977"/>
    <w:rsid w:val="005A4A3A"/>
    <w:rsid w:val="005A4ECB"/>
    <w:rsid w:val="005A5135"/>
    <w:rsid w:val="005A54D4"/>
    <w:rsid w:val="005A5B14"/>
    <w:rsid w:val="005A5BDE"/>
    <w:rsid w:val="005A602F"/>
    <w:rsid w:val="005A60E0"/>
    <w:rsid w:val="005A633C"/>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AE3"/>
    <w:rsid w:val="005B1F12"/>
    <w:rsid w:val="005B20C7"/>
    <w:rsid w:val="005B215A"/>
    <w:rsid w:val="005B25EC"/>
    <w:rsid w:val="005B2820"/>
    <w:rsid w:val="005B2CBF"/>
    <w:rsid w:val="005B31C8"/>
    <w:rsid w:val="005B3204"/>
    <w:rsid w:val="005B363A"/>
    <w:rsid w:val="005B466D"/>
    <w:rsid w:val="005B4BB9"/>
    <w:rsid w:val="005B4E86"/>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A7E"/>
    <w:rsid w:val="005C5B7B"/>
    <w:rsid w:val="005C5BE0"/>
    <w:rsid w:val="005C5DF6"/>
    <w:rsid w:val="005C5EE0"/>
    <w:rsid w:val="005C5F3F"/>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07C9"/>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73A6"/>
    <w:rsid w:val="005D7574"/>
    <w:rsid w:val="005D77C7"/>
    <w:rsid w:val="005D790D"/>
    <w:rsid w:val="005D7951"/>
    <w:rsid w:val="005E018B"/>
    <w:rsid w:val="005E0660"/>
    <w:rsid w:val="005E0815"/>
    <w:rsid w:val="005E09A4"/>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7D"/>
    <w:rsid w:val="005F26B1"/>
    <w:rsid w:val="005F2EF6"/>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60003C"/>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908"/>
    <w:rsid w:val="00602987"/>
    <w:rsid w:val="00602BEF"/>
    <w:rsid w:val="00602E57"/>
    <w:rsid w:val="00603012"/>
    <w:rsid w:val="006030BB"/>
    <w:rsid w:val="006030BD"/>
    <w:rsid w:val="00603808"/>
    <w:rsid w:val="00603C02"/>
    <w:rsid w:val="00603C48"/>
    <w:rsid w:val="006047B1"/>
    <w:rsid w:val="006047D4"/>
    <w:rsid w:val="00604C70"/>
    <w:rsid w:val="00604DE8"/>
    <w:rsid w:val="006051F3"/>
    <w:rsid w:val="00605261"/>
    <w:rsid w:val="0060548A"/>
    <w:rsid w:val="006054D2"/>
    <w:rsid w:val="00605530"/>
    <w:rsid w:val="006055B8"/>
    <w:rsid w:val="0060563D"/>
    <w:rsid w:val="00605BE0"/>
    <w:rsid w:val="00605BE6"/>
    <w:rsid w:val="00605FAA"/>
    <w:rsid w:val="006064F1"/>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0DF8"/>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265"/>
    <w:rsid w:val="006163CF"/>
    <w:rsid w:val="0061668C"/>
    <w:rsid w:val="00616849"/>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34"/>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EB3"/>
    <w:rsid w:val="00630F9E"/>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A6B"/>
    <w:rsid w:val="00634C12"/>
    <w:rsid w:val="00634C5F"/>
    <w:rsid w:val="00634CB5"/>
    <w:rsid w:val="00634D24"/>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1C9"/>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E89"/>
    <w:rsid w:val="00660EFE"/>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5CEA"/>
    <w:rsid w:val="00666084"/>
    <w:rsid w:val="006661EA"/>
    <w:rsid w:val="00666215"/>
    <w:rsid w:val="00666499"/>
    <w:rsid w:val="0066655F"/>
    <w:rsid w:val="006665CB"/>
    <w:rsid w:val="0066661F"/>
    <w:rsid w:val="00666B90"/>
    <w:rsid w:val="00666C1E"/>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28F"/>
    <w:rsid w:val="0068775A"/>
    <w:rsid w:val="00687BC0"/>
    <w:rsid w:val="00687E54"/>
    <w:rsid w:val="00690013"/>
    <w:rsid w:val="0069026C"/>
    <w:rsid w:val="0069071A"/>
    <w:rsid w:val="00690823"/>
    <w:rsid w:val="00690A1B"/>
    <w:rsid w:val="00690BDE"/>
    <w:rsid w:val="00690C39"/>
    <w:rsid w:val="00690D30"/>
    <w:rsid w:val="00690F7C"/>
    <w:rsid w:val="00691180"/>
    <w:rsid w:val="0069140B"/>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7C7"/>
    <w:rsid w:val="006A7DBE"/>
    <w:rsid w:val="006A7E1C"/>
    <w:rsid w:val="006A7F52"/>
    <w:rsid w:val="006A7FF0"/>
    <w:rsid w:val="006B028F"/>
    <w:rsid w:val="006B0483"/>
    <w:rsid w:val="006B0992"/>
    <w:rsid w:val="006B09D4"/>
    <w:rsid w:val="006B0C5B"/>
    <w:rsid w:val="006B0DB4"/>
    <w:rsid w:val="006B130E"/>
    <w:rsid w:val="006B1587"/>
    <w:rsid w:val="006B1766"/>
    <w:rsid w:val="006B1AD0"/>
    <w:rsid w:val="006B1ED2"/>
    <w:rsid w:val="006B21BB"/>
    <w:rsid w:val="006B22C7"/>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84F"/>
    <w:rsid w:val="006C6D0C"/>
    <w:rsid w:val="006C6E6D"/>
    <w:rsid w:val="006C7242"/>
    <w:rsid w:val="006C74DD"/>
    <w:rsid w:val="006C79A8"/>
    <w:rsid w:val="006C7AE2"/>
    <w:rsid w:val="006C7CC7"/>
    <w:rsid w:val="006D077B"/>
    <w:rsid w:val="006D0974"/>
    <w:rsid w:val="006D09D2"/>
    <w:rsid w:val="006D0A72"/>
    <w:rsid w:val="006D0AD4"/>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D7FCA"/>
    <w:rsid w:val="006E0258"/>
    <w:rsid w:val="006E06B3"/>
    <w:rsid w:val="006E09ED"/>
    <w:rsid w:val="006E0BB8"/>
    <w:rsid w:val="006E0D37"/>
    <w:rsid w:val="006E0FB9"/>
    <w:rsid w:val="006E14B3"/>
    <w:rsid w:val="006E175D"/>
    <w:rsid w:val="006E191C"/>
    <w:rsid w:val="006E1963"/>
    <w:rsid w:val="006E1EAC"/>
    <w:rsid w:val="006E1F52"/>
    <w:rsid w:val="006E22E1"/>
    <w:rsid w:val="006E2554"/>
    <w:rsid w:val="006E2653"/>
    <w:rsid w:val="006E27DA"/>
    <w:rsid w:val="006E2875"/>
    <w:rsid w:val="006E2D3E"/>
    <w:rsid w:val="006E329A"/>
    <w:rsid w:val="006E3477"/>
    <w:rsid w:val="006E358D"/>
    <w:rsid w:val="006E3A90"/>
    <w:rsid w:val="006E3CC7"/>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9B9"/>
    <w:rsid w:val="006E7FF0"/>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40E6"/>
    <w:rsid w:val="007044BB"/>
    <w:rsid w:val="0070488F"/>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B7"/>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A05"/>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107F"/>
    <w:rsid w:val="0074122F"/>
    <w:rsid w:val="00741684"/>
    <w:rsid w:val="00741714"/>
    <w:rsid w:val="007417A9"/>
    <w:rsid w:val="0074185E"/>
    <w:rsid w:val="0074188B"/>
    <w:rsid w:val="007418E5"/>
    <w:rsid w:val="00741A20"/>
    <w:rsid w:val="00741B43"/>
    <w:rsid w:val="00741F41"/>
    <w:rsid w:val="00741FFB"/>
    <w:rsid w:val="00742016"/>
    <w:rsid w:val="007420EB"/>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AE"/>
    <w:rsid w:val="00746214"/>
    <w:rsid w:val="007463AA"/>
    <w:rsid w:val="00746512"/>
    <w:rsid w:val="007468D5"/>
    <w:rsid w:val="00746E89"/>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67"/>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D1B"/>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74C"/>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886"/>
    <w:rsid w:val="00775934"/>
    <w:rsid w:val="00775974"/>
    <w:rsid w:val="00775CBC"/>
    <w:rsid w:val="00775F0A"/>
    <w:rsid w:val="007762E2"/>
    <w:rsid w:val="00776B7F"/>
    <w:rsid w:val="00776DA5"/>
    <w:rsid w:val="0077711A"/>
    <w:rsid w:val="007773AE"/>
    <w:rsid w:val="0077747F"/>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3D83"/>
    <w:rsid w:val="00783E44"/>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CE9"/>
    <w:rsid w:val="00786D0E"/>
    <w:rsid w:val="00786D77"/>
    <w:rsid w:val="00787634"/>
    <w:rsid w:val="0078784E"/>
    <w:rsid w:val="00787999"/>
    <w:rsid w:val="0079035A"/>
    <w:rsid w:val="007906A1"/>
    <w:rsid w:val="007906F9"/>
    <w:rsid w:val="007907BA"/>
    <w:rsid w:val="00790A2B"/>
    <w:rsid w:val="00790A2F"/>
    <w:rsid w:val="00790E92"/>
    <w:rsid w:val="0079139D"/>
    <w:rsid w:val="0079141C"/>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C78"/>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0ACC"/>
    <w:rsid w:val="007B1265"/>
    <w:rsid w:val="007B1A21"/>
    <w:rsid w:val="007B1ACD"/>
    <w:rsid w:val="007B21B1"/>
    <w:rsid w:val="007B234D"/>
    <w:rsid w:val="007B2840"/>
    <w:rsid w:val="007B28B4"/>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551"/>
    <w:rsid w:val="007D67A4"/>
    <w:rsid w:val="007D69BC"/>
    <w:rsid w:val="007D6AFB"/>
    <w:rsid w:val="007D6BAA"/>
    <w:rsid w:val="007D6D5E"/>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16"/>
    <w:rsid w:val="007F10FC"/>
    <w:rsid w:val="007F142B"/>
    <w:rsid w:val="007F190C"/>
    <w:rsid w:val="007F19AA"/>
    <w:rsid w:val="007F2272"/>
    <w:rsid w:val="007F2306"/>
    <w:rsid w:val="007F26DB"/>
    <w:rsid w:val="007F2C18"/>
    <w:rsid w:val="007F2DF4"/>
    <w:rsid w:val="007F2F43"/>
    <w:rsid w:val="007F2F4D"/>
    <w:rsid w:val="007F37AD"/>
    <w:rsid w:val="007F37AE"/>
    <w:rsid w:val="007F38D3"/>
    <w:rsid w:val="007F3C73"/>
    <w:rsid w:val="007F42CF"/>
    <w:rsid w:val="007F4331"/>
    <w:rsid w:val="007F48BB"/>
    <w:rsid w:val="007F48ED"/>
    <w:rsid w:val="007F4D56"/>
    <w:rsid w:val="007F4D74"/>
    <w:rsid w:val="007F4F16"/>
    <w:rsid w:val="007F52C0"/>
    <w:rsid w:val="007F53A9"/>
    <w:rsid w:val="007F55F1"/>
    <w:rsid w:val="007F5C43"/>
    <w:rsid w:val="007F5D52"/>
    <w:rsid w:val="007F5EAD"/>
    <w:rsid w:val="007F5F33"/>
    <w:rsid w:val="007F6724"/>
    <w:rsid w:val="007F67A9"/>
    <w:rsid w:val="007F691E"/>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DE6"/>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11F2"/>
    <w:rsid w:val="0081147E"/>
    <w:rsid w:val="00812128"/>
    <w:rsid w:val="00812176"/>
    <w:rsid w:val="00812321"/>
    <w:rsid w:val="00812AAE"/>
    <w:rsid w:val="00812AF2"/>
    <w:rsid w:val="00812D5C"/>
    <w:rsid w:val="00812E06"/>
    <w:rsid w:val="00813274"/>
    <w:rsid w:val="00813288"/>
    <w:rsid w:val="00813315"/>
    <w:rsid w:val="008133B2"/>
    <w:rsid w:val="008136B2"/>
    <w:rsid w:val="00813804"/>
    <w:rsid w:val="00813855"/>
    <w:rsid w:val="00813888"/>
    <w:rsid w:val="00813B99"/>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6EE"/>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3E6"/>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7A8"/>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EFF"/>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094"/>
    <w:rsid w:val="0084226A"/>
    <w:rsid w:val="00842BB3"/>
    <w:rsid w:val="00842F90"/>
    <w:rsid w:val="0084310E"/>
    <w:rsid w:val="00843591"/>
    <w:rsid w:val="00843761"/>
    <w:rsid w:val="008438B6"/>
    <w:rsid w:val="00843AA6"/>
    <w:rsid w:val="00843E2B"/>
    <w:rsid w:val="00843FFE"/>
    <w:rsid w:val="0084406B"/>
    <w:rsid w:val="00844353"/>
    <w:rsid w:val="008443BA"/>
    <w:rsid w:val="0084458D"/>
    <w:rsid w:val="00844606"/>
    <w:rsid w:val="008446F6"/>
    <w:rsid w:val="00844AA5"/>
    <w:rsid w:val="008458D1"/>
    <w:rsid w:val="00845939"/>
    <w:rsid w:val="00845AEA"/>
    <w:rsid w:val="00845C2E"/>
    <w:rsid w:val="00845D3D"/>
    <w:rsid w:val="00845F26"/>
    <w:rsid w:val="00846069"/>
    <w:rsid w:val="008460AE"/>
    <w:rsid w:val="008462C7"/>
    <w:rsid w:val="0084644F"/>
    <w:rsid w:val="008464D2"/>
    <w:rsid w:val="008465E6"/>
    <w:rsid w:val="00846905"/>
    <w:rsid w:val="00846A7E"/>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58EF"/>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0FAE"/>
    <w:rsid w:val="00861272"/>
    <w:rsid w:val="00861477"/>
    <w:rsid w:val="008614CA"/>
    <w:rsid w:val="0086179E"/>
    <w:rsid w:val="00862226"/>
    <w:rsid w:val="00862902"/>
    <w:rsid w:val="00862C4F"/>
    <w:rsid w:val="00862CD3"/>
    <w:rsid w:val="00862DAC"/>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C52"/>
    <w:rsid w:val="00865D6C"/>
    <w:rsid w:val="00865DC7"/>
    <w:rsid w:val="00865FE9"/>
    <w:rsid w:val="00866341"/>
    <w:rsid w:val="0086637F"/>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1095"/>
    <w:rsid w:val="008714E6"/>
    <w:rsid w:val="0087151E"/>
    <w:rsid w:val="00871A9E"/>
    <w:rsid w:val="00871AF3"/>
    <w:rsid w:val="00871B95"/>
    <w:rsid w:val="00871C32"/>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A1"/>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66"/>
    <w:rsid w:val="008962CD"/>
    <w:rsid w:val="008963A5"/>
    <w:rsid w:val="00896575"/>
    <w:rsid w:val="00896612"/>
    <w:rsid w:val="008968D9"/>
    <w:rsid w:val="0089690E"/>
    <w:rsid w:val="00896A26"/>
    <w:rsid w:val="00896BC5"/>
    <w:rsid w:val="00896ED7"/>
    <w:rsid w:val="00897603"/>
    <w:rsid w:val="0089797E"/>
    <w:rsid w:val="00897A0E"/>
    <w:rsid w:val="00897ED1"/>
    <w:rsid w:val="00897F20"/>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3F8"/>
    <w:rsid w:val="008A56DC"/>
    <w:rsid w:val="008A5771"/>
    <w:rsid w:val="008A57FB"/>
    <w:rsid w:val="008A5E33"/>
    <w:rsid w:val="008A5ED4"/>
    <w:rsid w:val="008A63B0"/>
    <w:rsid w:val="008A65AB"/>
    <w:rsid w:val="008A6623"/>
    <w:rsid w:val="008A663D"/>
    <w:rsid w:val="008A680F"/>
    <w:rsid w:val="008A6A40"/>
    <w:rsid w:val="008A6BB5"/>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52F"/>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81E"/>
    <w:rsid w:val="008C0BCD"/>
    <w:rsid w:val="008C0E6B"/>
    <w:rsid w:val="008C1B54"/>
    <w:rsid w:val="008C20FE"/>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C7DF8"/>
    <w:rsid w:val="008D052F"/>
    <w:rsid w:val="008D06AC"/>
    <w:rsid w:val="008D06CF"/>
    <w:rsid w:val="008D0782"/>
    <w:rsid w:val="008D0833"/>
    <w:rsid w:val="008D0D2A"/>
    <w:rsid w:val="008D0DAA"/>
    <w:rsid w:val="008D115B"/>
    <w:rsid w:val="008D122C"/>
    <w:rsid w:val="008D1351"/>
    <w:rsid w:val="008D1B09"/>
    <w:rsid w:val="008D1B67"/>
    <w:rsid w:val="008D1DA5"/>
    <w:rsid w:val="008D1E46"/>
    <w:rsid w:val="008D204F"/>
    <w:rsid w:val="008D20E2"/>
    <w:rsid w:val="008D2521"/>
    <w:rsid w:val="008D2C41"/>
    <w:rsid w:val="008D3301"/>
    <w:rsid w:val="008D3347"/>
    <w:rsid w:val="008D394B"/>
    <w:rsid w:val="008D3AC8"/>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229"/>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8AC"/>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5DC"/>
    <w:rsid w:val="008E7B49"/>
    <w:rsid w:val="008E7B51"/>
    <w:rsid w:val="008E7CC6"/>
    <w:rsid w:val="008EE149"/>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96"/>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7BB"/>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0EF8"/>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3CD"/>
    <w:rsid w:val="009234A1"/>
    <w:rsid w:val="00923881"/>
    <w:rsid w:val="00923A7F"/>
    <w:rsid w:val="00923B39"/>
    <w:rsid w:val="00923CAC"/>
    <w:rsid w:val="00923D1C"/>
    <w:rsid w:val="00924208"/>
    <w:rsid w:val="009246EF"/>
    <w:rsid w:val="0092498B"/>
    <w:rsid w:val="009249A3"/>
    <w:rsid w:val="00924B8D"/>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F85"/>
    <w:rsid w:val="009365CF"/>
    <w:rsid w:val="00936658"/>
    <w:rsid w:val="00936CCE"/>
    <w:rsid w:val="00936CF4"/>
    <w:rsid w:val="00936E80"/>
    <w:rsid w:val="00937007"/>
    <w:rsid w:val="009370A1"/>
    <w:rsid w:val="00937175"/>
    <w:rsid w:val="00937760"/>
    <w:rsid w:val="009377E4"/>
    <w:rsid w:val="00937BB5"/>
    <w:rsid w:val="0094008E"/>
    <w:rsid w:val="00940266"/>
    <w:rsid w:val="00940537"/>
    <w:rsid w:val="009406DE"/>
    <w:rsid w:val="00940CDC"/>
    <w:rsid w:val="00940EBC"/>
    <w:rsid w:val="00940F49"/>
    <w:rsid w:val="0094112C"/>
    <w:rsid w:val="009412BE"/>
    <w:rsid w:val="009413F8"/>
    <w:rsid w:val="00941920"/>
    <w:rsid w:val="009419EE"/>
    <w:rsid w:val="00941D68"/>
    <w:rsid w:val="00941FAC"/>
    <w:rsid w:val="00942270"/>
    <w:rsid w:val="009427AB"/>
    <w:rsid w:val="00942926"/>
    <w:rsid w:val="009429B6"/>
    <w:rsid w:val="0094321B"/>
    <w:rsid w:val="00943A3D"/>
    <w:rsid w:val="00943DCF"/>
    <w:rsid w:val="00943DE2"/>
    <w:rsid w:val="00943E9A"/>
    <w:rsid w:val="009441E4"/>
    <w:rsid w:val="009441F5"/>
    <w:rsid w:val="0094425A"/>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2202"/>
    <w:rsid w:val="0095239B"/>
    <w:rsid w:val="009525CB"/>
    <w:rsid w:val="009529F3"/>
    <w:rsid w:val="00952A1B"/>
    <w:rsid w:val="00952CFE"/>
    <w:rsid w:val="00952E5F"/>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1EF"/>
    <w:rsid w:val="00956793"/>
    <w:rsid w:val="00956827"/>
    <w:rsid w:val="009568F4"/>
    <w:rsid w:val="00956C96"/>
    <w:rsid w:val="00956E87"/>
    <w:rsid w:val="00956FD3"/>
    <w:rsid w:val="009571A6"/>
    <w:rsid w:val="0095738D"/>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6E63"/>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0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785"/>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0BA"/>
    <w:rsid w:val="0099135D"/>
    <w:rsid w:val="0099168F"/>
    <w:rsid w:val="009918EC"/>
    <w:rsid w:val="00991D3C"/>
    <w:rsid w:val="00991D93"/>
    <w:rsid w:val="0099234E"/>
    <w:rsid w:val="00992394"/>
    <w:rsid w:val="0099261C"/>
    <w:rsid w:val="0099264F"/>
    <w:rsid w:val="009928FA"/>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B76"/>
    <w:rsid w:val="00994CA4"/>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B5C"/>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974"/>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28F"/>
    <w:rsid w:val="009B33C7"/>
    <w:rsid w:val="009B3615"/>
    <w:rsid w:val="009B3B3A"/>
    <w:rsid w:val="009B4268"/>
    <w:rsid w:val="009B433D"/>
    <w:rsid w:val="009B46AF"/>
    <w:rsid w:val="009B4797"/>
    <w:rsid w:val="009B47BE"/>
    <w:rsid w:val="009B4CFD"/>
    <w:rsid w:val="009B4D72"/>
    <w:rsid w:val="009B4E72"/>
    <w:rsid w:val="009B504B"/>
    <w:rsid w:val="009B53BD"/>
    <w:rsid w:val="009B57EC"/>
    <w:rsid w:val="009B5BA4"/>
    <w:rsid w:val="009B5E8D"/>
    <w:rsid w:val="009B5F42"/>
    <w:rsid w:val="009B5FC2"/>
    <w:rsid w:val="009B61B8"/>
    <w:rsid w:val="009B6596"/>
    <w:rsid w:val="009B65AD"/>
    <w:rsid w:val="009B6B3D"/>
    <w:rsid w:val="009B6DA1"/>
    <w:rsid w:val="009B6F81"/>
    <w:rsid w:val="009B7003"/>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15AE"/>
    <w:rsid w:val="009D17EA"/>
    <w:rsid w:val="009D17FA"/>
    <w:rsid w:val="009D18AC"/>
    <w:rsid w:val="009D1A01"/>
    <w:rsid w:val="009D1F0C"/>
    <w:rsid w:val="009D1F29"/>
    <w:rsid w:val="009D203F"/>
    <w:rsid w:val="009D268F"/>
    <w:rsid w:val="009D2740"/>
    <w:rsid w:val="009D292A"/>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0DB"/>
    <w:rsid w:val="009E0617"/>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409"/>
    <w:rsid w:val="009E276A"/>
    <w:rsid w:val="009E27E3"/>
    <w:rsid w:val="009E29A1"/>
    <w:rsid w:val="009E2D74"/>
    <w:rsid w:val="009E2FE1"/>
    <w:rsid w:val="009E2FF2"/>
    <w:rsid w:val="009E3297"/>
    <w:rsid w:val="009E3E52"/>
    <w:rsid w:val="009E3EBA"/>
    <w:rsid w:val="009E430F"/>
    <w:rsid w:val="009E449A"/>
    <w:rsid w:val="009E44BB"/>
    <w:rsid w:val="009E4A53"/>
    <w:rsid w:val="009E4C2D"/>
    <w:rsid w:val="009E4CA1"/>
    <w:rsid w:val="009E4CC5"/>
    <w:rsid w:val="009E4F89"/>
    <w:rsid w:val="009E5394"/>
    <w:rsid w:val="009E53D3"/>
    <w:rsid w:val="009E5549"/>
    <w:rsid w:val="009E55D5"/>
    <w:rsid w:val="009E560C"/>
    <w:rsid w:val="009E57AD"/>
    <w:rsid w:val="009E592A"/>
    <w:rsid w:val="009E595B"/>
    <w:rsid w:val="009E59B4"/>
    <w:rsid w:val="009E5B20"/>
    <w:rsid w:val="009E5B4D"/>
    <w:rsid w:val="009E5B90"/>
    <w:rsid w:val="009E5BF9"/>
    <w:rsid w:val="009E5DCF"/>
    <w:rsid w:val="009E5F36"/>
    <w:rsid w:val="009E5F3B"/>
    <w:rsid w:val="009E610E"/>
    <w:rsid w:val="009E634F"/>
    <w:rsid w:val="009E6426"/>
    <w:rsid w:val="009E6B48"/>
    <w:rsid w:val="009E6CDE"/>
    <w:rsid w:val="009E71AF"/>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10E"/>
    <w:rsid w:val="009F4261"/>
    <w:rsid w:val="009F4450"/>
    <w:rsid w:val="009F48C0"/>
    <w:rsid w:val="009F4955"/>
    <w:rsid w:val="009F4E2E"/>
    <w:rsid w:val="009F4E3D"/>
    <w:rsid w:val="009F4F1F"/>
    <w:rsid w:val="009F50A4"/>
    <w:rsid w:val="009F52C4"/>
    <w:rsid w:val="009F5447"/>
    <w:rsid w:val="009F557B"/>
    <w:rsid w:val="009F568B"/>
    <w:rsid w:val="009F5828"/>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AEA"/>
    <w:rsid w:val="009F7D59"/>
    <w:rsid w:val="009F7D5D"/>
    <w:rsid w:val="00A0010B"/>
    <w:rsid w:val="00A010DC"/>
    <w:rsid w:val="00A012C7"/>
    <w:rsid w:val="00A01677"/>
    <w:rsid w:val="00A01B12"/>
    <w:rsid w:val="00A01E2A"/>
    <w:rsid w:val="00A01E81"/>
    <w:rsid w:val="00A022D4"/>
    <w:rsid w:val="00A023B0"/>
    <w:rsid w:val="00A029F2"/>
    <w:rsid w:val="00A02A02"/>
    <w:rsid w:val="00A02BD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794"/>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3C2"/>
    <w:rsid w:val="00A148BF"/>
    <w:rsid w:val="00A14A24"/>
    <w:rsid w:val="00A15108"/>
    <w:rsid w:val="00A1521B"/>
    <w:rsid w:val="00A159F7"/>
    <w:rsid w:val="00A15C50"/>
    <w:rsid w:val="00A15CF5"/>
    <w:rsid w:val="00A15F89"/>
    <w:rsid w:val="00A1649C"/>
    <w:rsid w:val="00A1660F"/>
    <w:rsid w:val="00A16616"/>
    <w:rsid w:val="00A16B1D"/>
    <w:rsid w:val="00A16C9D"/>
    <w:rsid w:val="00A16EBB"/>
    <w:rsid w:val="00A1735A"/>
    <w:rsid w:val="00A1785B"/>
    <w:rsid w:val="00A1788E"/>
    <w:rsid w:val="00A178CF"/>
    <w:rsid w:val="00A17926"/>
    <w:rsid w:val="00A17DAE"/>
    <w:rsid w:val="00A203C1"/>
    <w:rsid w:val="00A203E2"/>
    <w:rsid w:val="00A20603"/>
    <w:rsid w:val="00A20925"/>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80A"/>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DE9"/>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752"/>
    <w:rsid w:val="00A60BFE"/>
    <w:rsid w:val="00A60DF7"/>
    <w:rsid w:val="00A60EEA"/>
    <w:rsid w:val="00A612B7"/>
    <w:rsid w:val="00A61D48"/>
    <w:rsid w:val="00A624EC"/>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677C7"/>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437"/>
    <w:rsid w:val="00A73621"/>
    <w:rsid w:val="00A73811"/>
    <w:rsid w:val="00A73D03"/>
    <w:rsid w:val="00A73F50"/>
    <w:rsid w:val="00A7428C"/>
    <w:rsid w:val="00A74790"/>
    <w:rsid w:val="00A749D2"/>
    <w:rsid w:val="00A74DB9"/>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8B6"/>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8D9"/>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48"/>
    <w:rsid w:val="00A878D1"/>
    <w:rsid w:val="00A87CC9"/>
    <w:rsid w:val="00A90154"/>
    <w:rsid w:val="00A90272"/>
    <w:rsid w:val="00A90657"/>
    <w:rsid w:val="00A906FA"/>
    <w:rsid w:val="00A90944"/>
    <w:rsid w:val="00A90A7F"/>
    <w:rsid w:val="00A90AAD"/>
    <w:rsid w:val="00A90B82"/>
    <w:rsid w:val="00A90FFA"/>
    <w:rsid w:val="00A91051"/>
    <w:rsid w:val="00A91215"/>
    <w:rsid w:val="00A9132A"/>
    <w:rsid w:val="00A9134F"/>
    <w:rsid w:val="00A91BCE"/>
    <w:rsid w:val="00A91E60"/>
    <w:rsid w:val="00A9216C"/>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3B"/>
    <w:rsid w:val="00AA13DA"/>
    <w:rsid w:val="00AA1532"/>
    <w:rsid w:val="00AA1757"/>
    <w:rsid w:val="00AA181B"/>
    <w:rsid w:val="00AA1907"/>
    <w:rsid w:val="00AA2221"/>
    <w:rsid w:val="00AA2801"/>
    <w:rsid w:val="00AA29BD"/>
    <w:rsid w:val="00AA2BE2"/>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612"/>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A47"/>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5FC"/>
    <w:rsid w:val="00AD7659"/>
    <w:rsid w:val="00AD7895"/>
    <w:rsid w:val="00AD79F1"/>
    <w:rsid w:val="00AD79F4"/>
    <w:rsid w:val="00AD7B8E"/>
    <w:rsid w:val="00AD7FC8"/>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C72"/>
    <w:rsid w:val="00AF0E17"/>
    <w:rsid w:val="00AF10B2"/>
    <w:rsid w:val="00AF112A"/>
    <w:rsid w:val="00AF11C4"/>
    <w:rsid w:val="00AF12A8"/>
    <w:rsid w:val="00AF1743"/>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07"/>
    <w:rsid w:val="00AF6681"/>
    <w:rsid w:val="00AF66A9"/>
    <w:rsid w:val="00AF67DD"/>
    <w:rsid w:val="00AF692A"/>
    <w:rsid w:val="00AF6CF2"/>
    <w:rsid w:val="00AF744E"/>
    <w:rsid w:val="00AF74C2"/>
    <w:rsid w:val="00AF76E1"/>
    <w:rsid w:val="00AF79E5"/>
    <w:rsid w:val="00AF7A9B"/>
    <w:rsid w:val="00AF7E92"/>
    <w:rsid w:val="00B00018"/>
    <w:rsid w:val="00B000BE"/>
    <w:rsid w:val="00B0030E"/>
    <w:rsid w:val="00B0037E"/>
    <w:rsid w:val="00B00879"/>
    <w:rsid w:val="00B00938"/>
    <w:rsid w:val="00B00C29"/>
    <w:rsid w:val="00B00D80"/>
    <w:rsid w:val="00B012CA"/>
    <w:rsid w:val="00B01369"/>
    <w:rsid w:val="00B01D56"/>
    <w:rsid w:val="00B01E3F"/>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696"/>
    <w:rsid w:val="00B05D68"/>
    <w:rsid w:val="00B05FEC"/>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48A"/>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4FE0"/>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16"/>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50F"/>
    <w:rsid w:val="00B37757"/>
    <w:rsid w:val="00B37D40"/>
    <w:rsid w:val="00B37DE1"/>
    <w:rsid w:val="00B37DFC"/>
    <w:rsid w:val="00B37EA2"/>
    <w:rsid w:val="00B37EF4"/>
    <w:rsid w:val="00B40760"/>
    <w:rsid w:val="00B409C0"/>
    <w:rsid w:val="00B409F4"/>
    <w:rsid w:val="00B40CD0"/>
    <w:rsid w:val="00B40E39"/>
    <w:rsid w:val="00B41263"/>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AFB"/>
    <w:rsid w:val="00B44C24"/>
    <w:rsid w:val="00B45079"/>
    <w:rsid w:val="00B4556A"/>
    <w:rsid w:val="00B45626"/>
    <w:rsid w:val="00B45AF9"/>
    <w:rsid w:val="00B45B79"/>
    <w:rsid w:val="00B45B7A"/>
    <w:rsid w:val="00B4687F"/>
    <w:rsid w:val="00B46B64"/>
    <w:rsid w:val="00B46BDD"/>
    <w:rsid w:val="00B46CC1"/>
    <w:rsid w:val="00B46DBE"/>
    <w:rsid w:val="00B470EA"/>
    <w:rsid w:val="00B47394"/>
    <w:rsid w:val="00B475A9"/>
    <w:rsid w:val="00B4799D"/>
    <w:rsid w:val="00B47A89"/>
    <w:rsid w:val="00B47D66"/>
    <w:rsid w:val="00B47F0C"/>
    <w:rsid w:val="00B5001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30DC"/>
    <w:rsid w:val="00B5313E"/>
    <w:rsid w:val="00B53267"/>
    <w:rsid w:val="00B532E2"/>
    <w:rsid w:val="00B53387"/>
    <w:rsid w:val="00B534F0"/>
    <w:rsid w:val="00B53AEF"/>
    <w:rsid w:val="00B53BC9"/>
    <w:rsid w:val="00B53D03"/>
    <w:rsid w:val="00B53E86"/>
    <w:rsid w:val="00B5407C"/>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670"/>
    <w:rsid w:val="00B6074F"/>
    <w:rsid w:val="00B60950"/>
    <w:rsid w:val="00B609BB"/>
    <w:rsid w:val="00B60D86"/>
    <w:rsid w:val="00B60DEB"/>
    <w:rsid w:val="00B6114D"/>
    <w:rsid w:val="00B612DE"/>
    <w:rsid w:val="00B6132E"/>
    <w:rsid w:val="00B61374"/>
    <w:rsid w:val="00B613EC"/>
    <w:rsid w:val="00B615D3"/>
    <w:rsid w:val="00B61650"/>
    <w:rsid w:val="00B61EB6"/>
    <w:rsid w:val="00B62148"/>
    <w:rsid w:val="00B62226"/>
    <w:rsid w:val="00B626A3"/>
    <w:rsid w:val="00B62746"/>
    <w:rsid w:val="00B62954"/>
    <w:rsid w:val="00B62DAF"/>
    <w:rsid w:val="00B62E1E"/>
    <w:rsid w:val="00B62F2A"/>
    <w:rsid w:val="00B62FE1"/>
    <w:rsid w:val="00B6392E"/>
    <w:rsid w:val="00B63BA9"/>
    <w:rsid w:val="00B63C03"/>
    <w:rsid w:val="00B64103"/>
    <w:rsid w:val="00B641A2"/>
    <w:rsid w:val="00B6429C"/>
    <w:rsid w:val="00B644F2"/>
    <w:rsid w:val="00B64AB2"/>
    <w:rsid w:val="00B651FC"/>
    <w:rsid w:val="00B65207"/>
    <w:rsid w:val="00B6522F"/>
    <w:rsid w:val="00B65343"/>
    <w:rsid w:val="00B654FC"/>
    <w:rsid w:val="00B65BE6"/>
    <w:rsid w:val="00B65C8F"/>
    <w:rsid w:val="00B65D39"/>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BC4"/>
    <w:rsid w:val="00B83E46"/>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9C0"/>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7E4"/>
    <w:rsid w:val="00B97A18"/>
    <w:rsid w:val="00B97B3D"/>
    <w:rsid w:val="00BA015D"/>
    <w:rsid w:val="00BA0229"/>
    <w:rsid w:val="00BA054A"/>
    <w:rsid w:val="00BA0860"/>
    <w:rsid w:val="00BA0A8E"/>
    <w:rsid w:val="00BA0ECC"/>
    <w:rsid w:val="00BA17E4"/>
    <w:rsid w:val="00BA1A10"/>
    <w:rsid w:val="00BA1B35"/>
    <w:rsid w:val="00BA1B99"/>
    <w:rsid w:val="00BA1C72"/>
    <w:rsid w:val="00BA1C8A"/>
    <w:rsid w:val="00BA2652"/>
    <w:rsid w:val="00BA2914"/>
    <w:rsid w:val="00BA2B6F"/>
    <w:rsid w:val="00BA2DD7"/>
    <w:rsid w:val="00BA3072"/>
    <w:rsid w:val="00BA30C7"/>
    <w:rsid w:val="00BA35C5"/>
    <w:rsid w:val="00BA3857"/>
    <w:rsid w:val="00BA3A00"/>
    <w:rsid w:val="00BA3CB8"/>
    <w:rsid w:val="00BA3CFD"/>
    <w:rsid w:val="00BA3D55"/>
    <w:rsid w:val="00BA409C"/>
    <w:rsid w:val="00BA4183"/>
    <w:rsid w:val="00BA449D"/>
    <w:rsid w:val="00BA45D8"/>
    <w:rsid w:val="00BA4E01"/>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9A6"/>
    <w:rsid w:val="00BC79B3"/>
    <w:rsid w:val="00BC7C7C"/>
    <w:rsid w:val="00BD0322"/>
    <w:rsid w:val="00BD059A"/>
    <w:rsid w:val="00BD05D8"/>
    <w:rsid w:val="00BD06E7"/>
    <w:rsid w:val="00BD0A2B"/>
    <w:rsid w:val="00BD0C7F"/>
    <w:rsid w:val="00BD0CAD"/>
    <w:rsid w:val="00BD1838"/>
    <w:rsid w:val="00BD1BAB"/>
    <w:rsid w:val="00BD1CFD"/>
    <w:rsid w:val="00BD20C3"/>
    <w:rsid w:val="00BD216D"/>
    <w:rsid w:val="00BD2C72"/>
    <w:rsid w:val="00BD2CF3"/>
    <w:rsid w:val="00BD2FA4"/>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EFF"/>
    <w:rsid w:val="00C05FFB"/>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21"/>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81"/>
    <w:rsid w:val="00C17DE5"/>
    <w:rsid w:val="00C17E68"/>
    <w:rsid w:val="00C17F3E"/>
    <w:rsid w:val="00C17FB2"/>
    <w:rsid w:val="00C208D5"/>
    <w:rsid w:val="00C209B9"/>
    <w:rsid w:val="00C20B43"/>
    <w:rsid w:val="00C20CAB"/>
    <w:rsid w:val="00C20F7A"/>
    <w:rsid w:val="00C21163"/>
    <w:rsid w:val="00C2128A"/>
    <w:rsid w:val="00C214C5"/>
    <w:rsid w:val="00C214E6"/>
    <w:rsid w:val="00C2151A"/>
    <w:rsid w:val="00C219FD"/>
    <w:rsid w:val="00C21A38"/>
    <w:rsid w:val="00C21C30"/>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79D"/>
    <w:rsid w:val="00C247BF"/>
    <w:rsid w:val="00C24BE2"/>
    <w:rsid w:val="00C24ED1"/>
    <w:rsid w:val="00C24F1D"/>
    <w:rsid w:val="00C24F6C"/>
    <w:rsid w:val="00C25159"/>
    <w:rsid w:val="00C253E2"/>
    <w:rsid w:val="00C2584C"/>
    <w:rsid w:val="00C25D5F"/>
    <w:rsid w:val="00C26040"/>
    <w:rsid w:val="00C267C6"/>
    <w:rsid w:val="00C26CC7"/>
    <w:rsid w:val="00C27030"/>
    <w:rsid w:val="00C271E2"/>
    <w:rsid w:val="00C27518"/>
    <w:rsid w:val="00C2784F"/>
    <w:rsid w:val="00C27D1D"/>
    <w:rsid w:val="00C27F24"/>
    <w:rsid w:val="00C301B8"/>
    <w:rsid w:val="00C3023F"/>
    <w:rsid w:val="00C30438"/>
    <w:rsid w:val="00C304C5"/>
    <w:rsid w:val="00C30873"/>
    <w:rsid w:val="00C30885"/>
    <w:rsid w:val="00C30902"/>
    <w:rsid w:val="00C30E82"/>
    <w:rsid w:val="00C3105A"/>
    <w:rsid w:val="00C31313"/>
    <w:rsid w:val="00C313F4"/>
    <w:rsid w:val="00C3143C"/>
    <w:rsid w:val="00C31810"/>
    <w:rsid w:val="00C3184B"/>
    <w:rsid w:val="00C318E5"/>
    <w:rsid w:val="00C31D95"/>
    <w:rsid w:val="00C31DE4"/>
    <w:rsid w:val="00C31FBA"/>
    <w:rsid w:val="00C323D1"/>
    <w:rsid w:val="00C32576"/>
    <w:rsid w:val="00C325F9"/>
    <w:rsid w:val="00C32AFA"/>
    <w:rsid w:val="00C32C12"/>
    <w:rsid w:val="00C32C39"/>
    <w:rsid w:val="00C32E32"/>
    <w:rsid w:val="00C33439"/>
    <w:rsid w:val="00C33DAD"/>
    <w:rsid w:val="00C348C9"/>
    <w:rsid w:val="00C349B8"/>
    <w:rsid w:val="00C34A49"/>
    <w:rsid w:val="00C34BAA"/>
    <w:rsid w:val="00C34F1C"/>
    <w:rsid w:val="00C35415"/>
    <w:rsid w:val="00C354E3"/>
    <w:rsid w:val="00C355EB"/>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F89"/>
    <w:rsid w:val="00C41695"/>
    <w:rsid w:val="00C41B04"/>
    <w:rsid w:val="00C41D69"/>
    <w:rsid w:val="00C41F7A"/>
    <w:rsid w:val="00C42042"/>
    <w:rsid w:val="00C4265D"/>
    <w:rsid w:val="00C42674"/>
    <w:rsid w:val="00C428A6"/>
    <w:rsid w:val="00C42D3F"/>
    <w:rsid w:val="00C43908"/>
    <w:rsid w:val="00C43ACE"/>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831"/>
    <w:rsid w:val="00C47A2C"/>
    <w:rsid w:val="00C47AA1"/>
    <w:rsid w:val="00C47C2D"/>
    <w:rsid w:val="00C50676"/>
    <w:rsid w:val="00C50A03"/>
    <w:rsid w:val="00C50B2A"/>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856"/>
    <w:rsid w:val="00C618C3"/>
    <w:rsid w:val="00C61916"/>
    <w:rsid w:val="00C619ED"/>
    <w:rsid w:val="00C61E6A"/>
    <w:rsid w:val="00C62091"/>
    <w:rsid w:val="00C62171"/>
    <w:rsid w:val="00C622F5"/>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80A72"/>
    <w:rsid w:val="00C80AF3"/>
    <w:rsid w:val="00C8110D"/>
    <w:rsid w:val="00C81331"/>
    <w:rsid w:val="00C81975"/>
    <w:rsid w:val="00C81BF0"/>
    <w:rsid w:val="00C82540"/>
    <w:rsid w:val="00C82624"/>
    <w:rsid w:val="00C82EBF"/>
    <w:rsid w:val="00C82ED3"/>
    <w:rsid w:val="00C82FB5"/>
    <w:rsid w:val="00C83405"/>
    <w:rsid w:val="00C83613"/>
    <w:rsid w:val="00C83958"/>
    <w:rsid w:val="00C83F9A"/>
    <w:rsid w:val="00C84324"/>
    <w:rsid w:val="00C8434D"/>
    <w:rsid w:val="00C84898"/>
    <w:rsid w:val="00C848A0"/>
    <w:rsid w:val="00C84A98"/>
    <w:rsid w:val="00C84AE5"/>
    <w:rsid w:val="00C84D61"/>
    <w:rsid w:val="00C850F8"/>
    <w:rsid w:val="00C85145"/>
    <w:rsid w:val="00C85608"/>
    <w:rsid w:val="00C8590D"/>
    <w:rsid w:val="00C85B6F"/>
    <w:rsid w:val="00C86183"/>
    <w:rsid w:val="00C861EB"/>
    <w:rsid w:val="00C86245"/>
    <w:rsid w:val="00C86370"/>
    <w:rsid w:val="00C867AE"/>
    <w:rsid w:val="00C867E1"/>
    <w:rsid w:val="00C86D7B"/>
    <w:rsid w:val="00C86EEC"/>
    <w:rsid w:val="00C87318"/>
    <w:rsid w:val="00C875F0"/>
    <w:rsid w:val="00C8771A"/>
    <w:rsid w:val="00C87C1D"/>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4"/>
    <w:rsid w:val="00C92F0A"/>
    <w:rsid w:val="00C92F77"/>
    <w:rsid w:val="00C930C9"/>
    <w:rsid w:val="00C9310B"/>
    <w:rsid w:val="00C93579"/>
    <w:rsid w:val="00C937E9"/>
    <w:rsid w:val="00C93A91"/>
    <w:rsid w:val="00C93C21"/>
    <w:rsid w:val="00C93CB0"/>
    <w:rsid w:val="00C941E2"/>
    <w:rsid w:val="00C942CD"/>
    <w:rsid w:val="00C945E1"/>
    <w:rsid w:val="00C949C3"/>
    <w:rsid w:val="00C95083"/>
    <w:rsid w:val="00C953CB"/>
    <w:rsid w:val="00C95639"/>
    <w:rsid w:val="00C95761"/>
    <w:rsid w:val="00C95ED5"/>
    <w:rsid w:val="00C9653E"/>
    <w:rsid w:val="00C966AC"/>
    <w:rsid w:val="00C969DE"/>
    <w:rsid w:val="00C96B91"/>
    <w:rsid w:val="00C96FEF"/>
    <w:rsid w:val="00C976DF"/>
    <w:rsid w:val="00C97969"/>
    <w:rsid w:val="00C97AB4"/>
    <w:rsid w:val="00C97ADC"/>
    <w:rsid w:val="00C97BE8"/>
    <w:rsid w:val="00C97D4F"/>
    <w:rsid w:val="00C97E64"/>
    <w:rsid w:val="00CA0104"/>
    <w:rsid w:val="00CA0188"/>
    <w:rsid w:val="00CA03B4"/>
    <w:rsid w:val="00CA0416"/>
    <w:rsid w:val="00CA04BA"/>
    <w:rsid w:val="00CA056D"/>
    <w:rsid w:val="00CA0576"/>
    <w:rsid w:val="00CA05D1"/>
    <w:rsid w:val="00CA0719"/>
    <w:rsid w:val="00CA07B2"/>
    <w:rsid w:val="00CA09D3"/>
    <w:rsid w:val="00CA0C34"/>
    <w:rsid w:val="00CA0D7E"/>
    <w:rsid w:val="00CA0E1E"/>
    <w:rsid w:val="00CA0FA1"/>
    <w:rsid w:val="00CA114E"/>
    <w:rsid w:val="00CA1440"/>
    <w:rsid w:val="00CA19B2"/>
    <w:rsid w:val="00CA1B6B"/>
    <w:rsid w:val="00CA1C94"/>
    <w:rsid w:val="00CA23ED"/>
    <w:rsid w:val="00CA24D9"/>
    <w:rsid w:val="00CA2EE2"/>
    <w:rsid w:val="00CA326D"/>
    <w:rsid w:val="00CA365E"/>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76F9"/>
    <w:rsid w:val="00CA7700"/>
    <w:rsid w:val="00CA7755"/>
    <w:rsid w:val="00CA776B"/>
    <w:rsid w:val="00CA777E"/>
    <w:rsid w:val="00CA7A40"/>
    <w:rsid w:val="00CA7AA0"/>
    <w:rsid w:val="00CA7BAC"/>
    <w:rsid w:val="00CA7D9A"/>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0E5"/>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9"/>
    <w:rsid w:val="00CC783C"/>
    <w:rsid w:val="00CC7E1E"/>
    <w:rsid w:val="00CC7E5C"/>
    <w:rsid w:val="00CC7FD7"/>
    <w:rsid w:val="00CD0113"/>
    <w:rsid w:val="00CD0127"/>
    <w:rsid w:val="00CD028A"/>
    <w:rsid w:val="00CD052F"/>
    <w:rsid w:val="00CD053E"/>
    <w:rsid w:val="00CD05A1"/>
    <w:rsid w:val="00CD0667"/>
    <w:rsid w:val="00CD06E4"/>
    <w:rsid w:val="00CD076C"/>
    <w:rsid w:val="00CD07A1"/>
    <w:rsid w:val="00CD087F"/>
    <w:rsid w:val="00CD0AD1"/>
    <w:rsid w:val="00CD0E95"/>
    <w:rsid w:val="00CD13A4"/>
    <w:rsid w:val="00CD1712"/>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C3B"/>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06"/>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CFD"/>
    <w:rsid w:val="00CE1EF2"/>
    <w:rsid w:val="00CE1FA2"/>
    <w:rsid w:val="00CE1FBD"/>
    <w:rsid w:val="00CE2001"/>
    <w:rsid w:val="00CE20D4"/>
    <w:rsid w:val="00CE2C4C"/>
    <w:rsid w:val="00CE2FEC"/>
    <w:rsid w:val="00CE3343"/>
    <w:rsid w:val="00CE3552"/>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572"/>
    <w:rsid w:val="00CE76EE"/>
    <w:rsid w:val="00CE7B52"/>
    <w:rsid w:val="00CE7E4D"/>
    <w:rsid w:val="00CE7E70"/>
    <w:rsid w:val="00CF0243"/>
    <w:rsid w:val="00CF02A7"/>
    <w:rsid w:val="00CF02FB"/>
    <w:rsid w:val="00CF0607"/>
    <w:rsid w:val="00CF0D39"/>
    <w:rsid w:val="00CF0E85"/>
    <w:rsid w:val="00CF0FAC"/>
    <w:rsid w:val="00CF0FFE"/>
    <w:rsid w:val="00CF101F"/>
    <w:rsid w:val="00CF132F"/>
    <w:rsid w:val="00CF1558"/>
    <w:rsid w:val="00CF1565"/>
    <w:rsid w:val="00CF162A"/>
    <w:rsid w:val="00CF177B"/>
    <w:rsid w:val="00CF192F"/>
    <w:rsid w:val="00CF194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CA5"/>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402"/>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3E"/>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2F"/>
    <w:rsid w:val="00D324FC"/>
    <w:rsid w:val="00D32558"/>
    <w:rsid w:val="00D325AB"/>
    <w:rsid w:val="00D32912"/>
    <w:rsid w:val="00D32A27"/>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0A"/>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B4A"/>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7C5"/>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57D65"/>
    <w:rsid w:val="00D60235"/>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2208"/>
    <w:rsid w:val="00D625F2"/>
    <w:rsid w:val="00D62AAF"/>
    <w:rsid w:val="00D62B8A"/>
    <w:rsid w:val="00D634A7"/>
    <w:rsid w:val="00D634E9"/>
    <w:rsid w:val="00D636AA"/>
    <w:rsid w:val="00D63CDA"/>
    <w:rsid w:val="00D643C5"/>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4F"/>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77C74"/>
    <w:rsid w:val="00D8040B"/>
    <w:rsid w:val="00D80512"/>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10"/>
    <w:rsid w:val="00D87A6E"/>
    <w:rsid w:val="00D87EAA"/>
    <w:rsid w:val="00D900EF"/>
    <w:rsid w:val="00D90555"/>
    <w:rsid w:val="00D907B3"/>
    <w:rsid w:val="00D9089A"/>
    <w:rsid w:val="00D90932"/>
    <w:rsid w:val="00D90C91"/>
    <w:rsid w:val="00D90CD2"/>
    <w:rsid w:val="00D912E6"/>
    <w:rsid w:val="00D913F5"/>
    <w:rsid w:val="00D91D74"/>
    <w:rsid w:val="00D91E52"/>
    <w:rsid w:val="00D91E68"/>
    <w:rsid w:val="00D9201D"/>
    <w:rsid w:val="00D923D1"/>
    <w:rsid w:val="00D925AB"/>
    <w:rsid w:val="00D92877"/>
    <w:rsid w:val="00D9294C"/>
    <w:rsid w:val="00D92A24"/>
    <w:rsid w:val="00D92BFF"/>
    <w:rsid w:val="00D92DE5"/>
    <w:rsid w:val="00D92F09"/>
    <w:rsid w:val="00D930B9"/>
    <w:rsid w:val="00D937F1"/>
    <w:rsid w:val="00D93D60"/>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53B"/>
    <w:rsid w:val="00D9784A"/>
    <w:rsid w:val="00D978E5"/>
    <w:rsid w:val="00D97D00"/>
    <w:rsid w:val="00D97EFE"/>
    <w:rsid w:val="00DA008F"/>
    <w:rsid w:val="00DA01BF"/>
    <w:rsid w:val="00DA08BB"/>
    <w:rsid w:val="00DA09AF"/>
    <w:rsid w:val="00DA09D2"/>
    <w:rsid w:val="00DA0B44"/>
    <w:rsid w:val="00DA14F6"/>
    <w:rsid w:val="00DA17E3"/>
    <w:rsid w:val="00DA1801"/>
    <w:rsid w:val="00DA1803"/>
    <w:rsid w:val="00DA1923"/>
    <w:rsid w:val="00DA19FD"/>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281"/>
    <w:rsid w:val="00DA5446"/>
    <w:rsid w:val="00DA5E4B"/>
    <w:rsid w:val="00DA6189"/>
    <w:rsid w:val="00DA681F"/>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2CF"/>
    <w:rsid w:val="00DC2492"/>
    <w:rsid w:val="00DC252C"/>
    <w:rsid w:val="00DC25B5"/>
    <w:rsid w:val="00DC26F6"/>
    <w:rsid w:val="00DC27BC"/>
    <w:rsid w:val="00DC2904"/>
    <w:rsid w:val="00DC2926"/>
    <w:rsid w:val="00DC2A35"/>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A8C"/>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47"/>
    <w:rsid w:val="00DD14EB"/>
    <w:rsid w:val="00DD1511"/>
    <w:rsid w:val="00DD168F"/>
    <w:rsid w:val="00DD16DB"/>
    <w:rsid w:val="00DD17AC"/>
    <w:rsid w:val="00DD1B07"/>
    <w:rsid w:val="00DD1CDB"/>
    <w:rsid w:val="00DD20D2"/>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4022"/>
    <w:rsid w:val="00DD419B"/>
    <w:rsid w:val="00DD42BA"/>
    <w:rsid w:val="00DD453D"/>
    <w:rsid w:val="00DD4556"/>
    <w:rsid w:val="00DD473F"/>
    <w:rsid w:val="00DD478F"/>
    <w:rsid w:val="00DD4901"/>
    <w:rsid w:val="00DD49C0"/>
    <w:rsid w:val="00DD49E2"/>
    <w:rsid w:val="00DD4BE6"/>
    <w:rsid w:val="00DD513E"/>
    <w:rsid w:val="00DD55DE"/>
    <w:rsid w:val="00DD577E"/>
    <w:rsid w:val="00DD5812"/>
    <w:rsid w:val="00DD58DE"/>
    <w:rsid w:val="00DD59C0"/>
    <w:rsid w:val="00DD5ABC"/>
    <w:rsid w:val="00DD60CD"/>
    <w:rsid w:val="00DD6C24"/>
    <w:rsid w:val="00DD70F4"/>
    <w:rsid w:val="00DD71C0"/>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678"/>
    <w:rsid w:val="00DE3740"/>
    <w:rsid w:val="00DE3825"/>
    <w:rsid w:val="00DE3A47"/>
    <w:rsid w:val="00DE4462"/>
    <w:rsid w:val="00DE4561"/>
    <w:rsid w:val="00DE4976"/>
    <w:rsid w:val="00DE4B61"/>
    <w:rsid w:val="00DE4C64"/>
    <w:rsid w:val="00DE4ED8"/>
    <w:rsid w:val="00DE5337"/>
    <w:rsid w:val="00DE534B"/>
    <w:rsid w:val="00DE5DAE"/>
    <w:rsid w:val="00DE5F9A"/>
    <w:rsid w:val="00DE6233"/>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9E8"/>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E5E"/>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476"/>
    <w:rsid w:val="00E06E26"/>
    <w:rsid w:val="00E0712A"/>
    <w:rsid w:val="00E07179"/>
    <w:rsid w:val="00E07511"/>
    <w:rsid w:val="00E07955"/>
    <w:rsid w:val="00E07B62"/>
    <w:rsid w:val="00E07DD8"/>
    <w:rsid w:val="00E07E21"/>
    <w:rsid w:val="00E07E9C"/>
    <w:rsid w:val="00E07EB8"/>
    <w:rsid w:val="00E07F78"/>
    <w:rsid w:val="00E1015B"/>
    <w:rsid w:val="00E10385"/>
    <w:rsid w:val="00E103F8"/>
    <w:rsid w:val="00E10DDF"/>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716E"/>
    <w:rsid w:val="00E273B6"/>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B67"/>
    <w:rsid w:val="00E51E55"/>
    <w:rsid w:val="00E52544"/>
    <w:rsid w:val="00E52569"/>
    <w:rsid w:val="00E53101"/>
    <w:rsid w:val="00E53182"/>
    <w:rsid w:val="00E533B0"/>
    <w:rsid w:val="00E53404"/>
    <w:rsid w:val="00E53541"/>
    <w:rsid w:val="00E5377C"/>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72E"/>
    <w:rsid w:val="00E637E2"/>
    <w:rsid w:val="00E63FEC"/>
    <w:rsid w:val="00E64107"/>
    <w:rsid w:val="00E6462F"/>
    <w:rsid w:val="00E64C05"/>
    <w:rsid w:val="00E64EF3"/>
    <w:rsid w:val="00E64F2A"/>
    <w:rsid w:val="00E65083"/>
    <w:rsid w:val="00E653A1"/>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357"/>
    <w:rsid w:val="00E674BF"/>
    <w:rsid w:val="00E67998"/>
    <w:rsid w:val="00E67BA0"/>
    <w:rsid w:val="00E67E01"/>
    <w:rsid w:val="00E70014"/>
    <w:rsid w:val="00E701EB"/>
    <w:rsid w:val="00E7034D"/>
    <w:rsid w:val="00E703D6"/>
    <w:rsid w:val="00E705A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5F9"/>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045"/>
    <w:rsid w:val="00E762C5"/>
    <w:rsid w:val="00E763A2"/>
    <w:rsid w:val="00E7641C"/>
    <w:rsid w:val="00E7642C"/>
    <w:rsid w:val="00E764AC"/>
    <w:rsid w:val="00E765E8"/>
    <w:rsid w:val="00E77057"/>
    <w:rsid w:val="00E771EC"/>
    <w:rsid w:val="00E7732E"/>
    <w:rsid w:val="00E773E4"/>
    <w:rsid w:val="00E7740C"/>
    <w:rsid w:val="00E77432"/>
    <w:rsid w:val="00E776BB"/>
    <w:rsid w:val="00E777E4"/>
    <w:rsid w:val="00E77B4C"/>
    <w:rsid w:val="00E77CAD"/>
    <w:rsid w:val="00E77FA8"/>
    <w:rsid w:val="00E80015"/>
    <w:rsid w:val="00E8026D"/>
    <w:rsid w:val="00E8030A"/>
    <w:rsid w:val="00E8033A"/>
    <w:rsid w:val="00E80500"/>
    <w:rsid w:val="00E8094F"/>
    <w:rsid w:val="00E80A2B"/>
    <w:rsid w:val="00E80C42"/>
    <w:rsid w:val="00E813C0"/>
    <w:rsid w:val="00E81459"/>
    <w:rsid w:val="00E81E0B"/>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5E5"/>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649"/>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2CAE"/>
    <w:rsid w:val="00E93126"/>
    <w:rsid w:val="00E93279"/>
    <w:rsid w:val="00E93799"/>
    <w:rsid w:val="00E93D4E"/>
    <w:rsid w:val="00E93FE0"/>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485"/>
    <w:rsid w:val="00E97584"/>
    <w:rsid w:val="00E9772C"/>
    <w:rsid w:val="00E97795"/>
    <w:rsid w:val="00E977AA"/>
    <w:rsid w:val="00E977DB"/>
    <w:rsid w:val="00E97864"/>
    <w:rsid w:val="00E97D5E"/>
    <w:rsid w:val="00E97E68"/>
    <w:rsid w:val="00EA0241"/>
    <w:rsid w:val="00EA045F"/>
    <w:rsid w:val="00EA04DA"/>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7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AAC"/>
    <w:rsid w:val="00EA4EA4"/>
    <w:rsid w:val="00EA4EA8"/>
    <w:rsid w:val="00EA50D8"/>
    <w:rsid w:val="00EA522B"/>
    <w:rsid w:val="00EA5A22"/>
    <w:rsid w:val="00EA5A4F"/>
    <w:rsid w:val="00EA5AFA"/>
    <w:rsid w:val="00EA5B6F"/>
    <w:rsid w:val="00EA5B73"/>
    <w:rsid w:val="00EA6602"/>
    <w:rsid w:val="00EA6ECA"/>
    <w:rsid w:val="00EA7007"/>
    <w:rsid w:val="00EA73A2"/>
    <w:rsid w:val="00EA75DC"/>
    <w:rsid w:val="00EA7828"/>
    <w:rsid w:val="00EA7A72"/>
    <w:rsid w:val="00EA7C4C"/>
    <w:rsid w:val="00EB0340"/>
    <w:rsid w:val="00EB077B"/>
    <w:rsid w:val="00EB0B6C"/>
    <w:rsid w:val="00EB0EB9"/>
    <w:rsid w:val="00EB0EEC"/>
    <w:rsid w:val="00EB183C"/>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AF8"/>
    <w:rsid w:val="00EB5B9D"/>
    <w:rsid w:val="00EB68EF"/>
    <w:rsid w:val="00EB6B54"/>
    <w:rsid w:val="00EB6BF9"/>
    <w:rsid w:val="00EB7333"/>
    <w:rsid w:val="00EB749E"/>
    <w:rsid w:val="00EB74A6"/>
    <w:rsid w:val="00EB76E7"/>
    <w:rsid w:val="00EB7788"/>
    <w:rsid w:val="00EB7AE0"/>
    <w:rsid w:val="00EB7C9A"/>
    <w:rsid w:val="00EB7EDD"/>
    <w:rsid w:val="00EB7EF5"/>
    <w:rsid w:val="00EB7F52"/>
    <w:rsid w:val="00EB7FF5"/>
    <w:rsid w:val="00EC01B0"/>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1AF"/>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632"/>
    <w:rsid w:val="00EE4A2C"/>
    <w:rsid w:val="00EE4AA2"/>
    <w:rsid w:val="00EE4BBF"/>
    <w:rsid w:val="00EE4EC1"/>
    <w:rsid w:val="00EE5154"/>
    <w:rsid w:val="00EE56C9"/>
    <w:rsid w:val="00EE5AAD"/>
    <w:rsid w:val="00EE5ADD"/>
    <w:rsid w:val="00EE5D24"/>
    <w:rsid w:val="00EE5F0D"/>
    <w:rsid w:val="00EE623A"/>
    <w:rsid w:val="00EE664D"/>
    <w:rsid w:val="00EE67DD"/>
    <w:rsid w:val="00EE6C68"/>
    <w:rsid w:val="00EE6F30"/>
    <w:rsid w:val="00EE7079"/>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357"/>
    <w:rsid w:val="00F009AF"/>
    <w:rsid w:val="00F00ABB"/>
    <w:rsid w:val="00F00AD5"/>
    <w:rsid w:val="00F00B17"/>
    <w:rsid w:val="00F0135A"/>
    <w:rsid w:val="00F01A65"/>
    <w:rsid w:val="00F02197"/>
    <w:rsid w:val="00F0219B"/>
    <w:rsid w:val="00F023D8"/>
    <w:rsid w:val="00F02440"/>
    <w:rsid w:val="00F02465"/>
    <w:rsid w:val="00F02500"/>
    <w:rsid w:val="00F02759"/>
    <w:rsid w:val="00F027C0"/>
    <w:rsid w:val="00F02862"/>
    <w:rsid w:val="00F02901"/>
    <w:rsid w:val="00F037F9"/>
    <w:rsid w:val="00F03837"/>
    <w:rsid w:val="00F03934"/>
    <w:rsid w:val="00F03A8E"/>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3C3"/>
    <w:rsid w:val="00F104E1"/>
    <w:rsid w:val="00F10541"/>
    <w:rsid w:val="00F10625"/>
    <w:rsid w:val="00F109AA"/>
    <w:rsid w:val="00F110EE"/>
    <w:rsid w:val="00F11159"/>
    <w:rsid w:val="00F11195"/>
    <w:rsid w:val="00F11230"/>
    <w:rsid w:val="00F11A18"/>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1F5A"/>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1"/>
    <w:rsid w:val="00F247D4"/>
    <w:rsid w:val="00F24A48"/>
    <w:rsid w:val="00F24A59"/>
    <w:rsid w:val="00F25012"/>
    <w:rsid w:val="00F25485"/>
    <w:rsid w:val="00F257E7"/>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B1"/>
    <w:rsid w:val="00F320E2"/>
    <w:rsid w:val="00F322A0"/>
    <w:rsid w:val="00F32307"/>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622"/>
    <w:rsid w:val="00F34AA8"/>
    <w:rsid w:val="00F34ADB"/>
    <w:rsid w:val="00F35160"/>
    <w:rsid w:val="00F351CA"/>
    <w:rsid w:val="00F35587"/>
    <w:rsid w:val="00F35A7F"/>
    <w:rsid w:val="00F35FE0"/>
    <w:rsid w:val="00F36149"/>
    <w:rsid w:val="00F3623A"/>
    <w:rsid w:val="00F36674"/>
    <w:rsid w:val="00F36729"/>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0BE"/>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2DA"/>
    <w:rsid w:val="00F564A3"/>
    <w:rsid w:val="00F564A4"/>
    <w:rsid w:val="00F56655"/>
    <w:rsid w:val="00F566D5"/>
    <w:rsid w:val="00F56B2A"/>
    <w:rsid w:val="00F56CFC"/>
    <w:rsid w:val="00F56E21"/>
    <w:rsid w:val="00F571FA"/>
    <w:rsid w:val="00F5741C"/>
    <w:rsid w:val="00F57574"/>
    <w:rsid w:val="00F575D2"/>
    <w:rsid w:val="00F575E0"/>
    <w:rsid w:val="00F578FC"/>
    <w:rsid w:val="00F57AA8"/>
    <w:rsid w:val="00F57ADE"/>
    <w:rsid w:val="00F57C34"/>
    <w:rsid w:val="00F60108"/>
    <w:rsid w:val="00F60127"/>
    <w:rsid w:val="00F603BA"/>
    <w:rsid w:val="00F61505"/>
    <w:rsid w:val="00F619A9"/>
    <w:rsid w:val="00F61CC0"/>
    <w:rsid w:val="00F61DDA"/>
    <w:rsid w:val="00F62114"/>
    <w:rsid w:val="00F623A6"/>
    <w:rsid w:val="00F623D5"/>
    <w:rsid w:val="00F624BA"/>
    <w:rsid w:val="00F62577"/>
    <w:rsid w:val="00F62583"/>
    <w:rsid w:val="00F62986"/>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6DD6"/>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B5"/>
    <w:rsid w:val="00F72DC8"/>
    <w:rsid w:val="00F72F1D"/>
    <w:rsid w:val="00F73277"/>
    <w:rsid w:val="00F73330"/>
    <w:rsid w:val="00F7381F"/>
    <w:rsid w:val="00F742FE"/>
    <w:rsid w:val="00F74427"/>
    <w:rsid w:val="00F7480D"/>
    <w:rsid w:val="00F74B21"/>
    <w:rsid w:val="00F74BC8"/>
    <w:rsid w:val="00F7520F"/>
    <w:rsid w:val="00F756D4"/>
    <w:rsid w:val="00F75F2B"/>
    <w:rsid w:val="00F76562"/>
    <w:rsid w:val="00F765D2"/>
    <w:rsid w:val="00F76BDA"/>
    <w:rsid w:val="00F76D01"/>
    <w:rsid w:val="00F770BE"/>
    <w:rsid w:val="00F773E1"/>
    <w:rsid w:val="00F776DF"/>
    <w:rsid w:val="00F77EAA"/>
    <w:rsid w:val="00F77F24"/>
    <w:rsid w:val="00F806AC"/>
    <w:rsid w:val="00F807CA"/>
    <w:rsid w:val="00F8088B"/>
    <w:rsid w:val="00F808E9"/>
    <w:rsid w:val="00F809B4"/>
    <w:rsid w:val="00F80D68"/>
    <w:rsid w:val="00F80D79"/>
    <w:rsid w:val="00F8102E"/>
    <w:rsid w:val="00F81434"/>
    <w:rsid w:val="00F81457"/>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D8D"/>
    <w:rsid w:val="00F84E62"/>
    <w:rsid w:val="00F84EA8"/>
    <w:rsid w:val="00F84EF1"/>
    <w:rsid w:val="00F8553A"/>
    <w:rsid w:val="00F858E4"/>
    <w:rsid w:val="00F859E6"/>
    <w:rsid w:val="00F85D02"/>
    <w:rsid w:val="00F8608E"/>
    <w:rsid w:val="00F861B8"/>
    <w:rsid w:val="00F8625C"/>
    <w:rsid w:val="00F864F0"/>
    <w:rsid w:val="00F86B80"/>
    <w:rsid w:val="00F86EDE"/>
    <w:rsid w:val="00F86F57"/>
    <w:rsid w:val="00F86F7B"/>
    <w:rsid w:val="00F875D2"/>
    <w:rsid w:val="00F8769A"/>
    <w:rsid w:val="00F8769C"/>
    <w:rsid w:val="00F876CC"/>
    <w:rsid w:val="00F876E5"/>
    <w:rsid w:val="00F87AA6"/>
    <w:rsid w:val="00F87F8A"/>
    <w:rsid w:val="00F90229"/>
    <w:rsid w:val="00F90345"/>
    <w:rsid w:val="00F9051C"/>
    <w:rsid w:val="00F90637"/>
    <w:rsid w:val="00F90788"/>
    <w:rsid w:val="00F909DD"/>
    <w:rsid w:val="00F90C44"/>
    <w:rsid w:val="00F90C5C"/>
    <w:rsid w:val="00F90D7F"/>
    <w:rsid w:val="00F90DA1"/>
    <w:rsid w:val="00F91322"/>
    <w:rsid w:val="00F919D6"/>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3F83"/>
    <w:rsid w:val="00F94395"/>
    <w:rsid w:val="00F945E0"/>
    <w:rsid w:val="00F94837"/>
    <w:rsid w:val="00F9484E"/>
    <w:rsid w:val="00F94BDC"/>
    <w:rsid w:val="00F954AB"/>
    <w:rsid w:val="00F95666"/>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2708"/>
    <w:rsid w:val="00FA2727"/>
    <w:rsid w:val="00FA2771"/>
    <w:rsid w:val="00FA2A3D"/>
    <w:rsid w:val="00FA2B96"/>
    <w:rsid w:val="00FA2E23"/>
    <w:rsid w:val="00FA31E3"/>
    <w:rsid w:val="00FA35E8"/>
    <w:rsid w:val="00FA3972"/>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3CE"/>
    <w:rsid w:val="00FB03F4"/>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DF"/>
    <w:rsid w:val="00FB6449"/>
    <w:rsid w:val="00FB6504"/>
    <w:rsid w:val="00FB6773"/>
    <w:rsid w:val="00FB69AB"/>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77B"/>
    <w:rsid w:val="00FC0D0E"/>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720C"/>
    <w:rsid w:val="00FC7332"/>
    <w:rsid w:val="00FC73EB"/>
    <w:rsid w:val="00FD01AF"/>
    <w:rsid w:val="00FD0BB7"/>
    <w:rsid w:val="00FD0CD2"/>
    <w:rsid w:val="00FD0E43"/>
    <w:rsid w:val="00FD0F39"/>
    <w:rsid w:val="00FD1555"/>
    <w:rsid w:val="00FD15B5"/>
    <w:rsid w:val="00FD1856"/>
    <w:rsid w:val="00FD1BD1"/>
    <w:rsid w:val="00FD1EA3"/>
    <w:rsid w:val="00FD1FBF"/>
    <w:rsid w:val="00FD2054"/>
    <w:rsid w:val="00FD20D6"/>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445"/>
    <w:rsid w:val="00FD7AF4"/>
    <w:rsid w:val="00FD7B19"/>
    <w:rsid w:val="00FD7FD1"/>
    <w:rsid w:val="00FE00A5"/>
    <w:rsid w:val="00FE00B6"/>
    <w:rsid w:val="00FE00BC"/>
    <w:rsid w:val="00FE03D6"/>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642"/>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5D2"/>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278"/>
    <w:rsid w:val="00FF1807"/>
    <w:rsid w:val="00FF184D"/>
    <w:rsid w:val="00FF1E31"/>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26"/>
    <w:rsid w:val="00FF3F55"/>
    <w:rsid w:val="00FF4044"/>
    <w:rsid w:val="00FF43F0"/>
    <w:rsid w:val="00FF4B3F"/>
    <w:rsid w:val="00FF4D84"/>
    <w:rsid w:val="00FF524E"/>
    <w:rsid w:val="00FF52B6"/>
    <w:rsid w:val="00FF561E"/>
    <w:rsid w:val="00FF562A"/>
    <w:rsid w:val="00FF57D9"/>
    <w:rsid w:val="00FF585E"/>
    <w:rsid w:val="00FF5975"/>
    <w:rsid w:val="00FF5B6B"/>
    <w:rsid w:val="00FF5C2A"/>
    <w:rsid w:val="00FF5E4C"/>
    <w:rsid w:val="00FF5EEB"/>
    <w:rsid w:val="00FF6037"/>
    <w:rsid w:val="00FF6664"/>
    <w:rsid w:val="00FF6832"/>
    <w:rsid w:val="00FF6A9D"/>
    <w:rsid w:val="00FF6BB9"/>
    <w:rsid w:val="00FF6DE6"/>
    <w:rsid w:val="00FF6F78"/>
    <w:rsid w:val="00FF6FBA"/>
    <w:rsid w:val="00FF7211"/>
    <w:rsid w:val="010FEC53"/>
    <w:rsid w:val="0118C1B6"/>
    <w:rsid w:val="016AABB5"/>
    <w:rsid w:val="020C1833"/>
    <w:rsid w:val="039A3BFE"/>
    <w:rsid w:val="04508F1D"/>
    <w:rsid w:val="04794B66"/>
    <w:rsid w:val="06538A0F"/>
    <w:rsid w:val="0656C684"/>
    <w:rsid w:val="06C65438"/>
    <w:rsid w:val="0800AB57"/>
    <w:rsid w:val="092C1B92"/>
    <w:rsid w:val="09BA8F9C"/>
    <w:rsid w:val="0A9AA21A"/>
    <w:rsid w:val="0AA3A727"/>
    <w:rsid w:val="0ABA5DD0"/>
    <w:rsid w:val="0B11DEEE"/>
    <w:rsid w:val="0B82B874"/>
    <w:rsid w:val="0BCEB318"/>
    <w:rsid w:val="0C5C5B44"/>
    <w:rsid w:val="0C76A989"/>
    <w:rsid w:val="0CA80989"/>
    <w:rsid w:val="0D46EE30"/>
    <w:rsid w:val="0D78C28C"/>
    <w:rsid w:val="0D8588BC"/>
    <w:rsid w:val="0DD027FB"/>
    <w:rsid w:val="0DDB19A6"/>
    <w:rsid w:val="0F07E03A"/>
    <w:rsid w:val="0F716EB4"/>
    <w:rsid w:val="0FBACDC1"/>
    <w:rsid w:val="102F984A"/>
    <w:rsid w:val="1104D6AA"/>
    <w:rsid w:val="11B931EA"/>
    <w:rsid w:val="129690AB"/>
    <w:rsid w:val="1312CC32"/>
    <w:rsid w:val="13ADA2FC"/>
    <w:rsid w:val="14D92BB6"/>
    <w:rsid w:val="14DE2EC8"/>
    <w:rsid w:val="14E60FAE"/>
    <w:rsid w:val="1597AAF1"/>
    <w:rsid w:val="15DD46F7"/>
    <w:rsid w:val="15F2DFD1"/>
    <w:rsid w:val="16183B65"/>
    <w:rsid w:val="16738136"/>
    <w:rsid w:val="17EF2446"/>
    <w:rsid w:val="182C648B"/>
    <w:rsid w:val="1871FC6E"/>
    <w:rsid w:val="187BDF13"/>
    <w:rsid w:val="18821B19"/>
    <w:rsid w:val="189E2279"/>
    <w:rsid w:val="18F70777"/>
    <w:rsid w:val="192F7E4E"/>
    <w:rsid w:val="19E22986"/>
    <w:rsid w:val="1A8C71D9"/>
    <w:rsid w:val="1AA40FB8"/>
    <w:rsid w:val="1ADA6BC8"/>
    <w:rsid w:val="1B1F0D2A"/>
    <w:rsid w:val="1BE97154"/>
    <w:rsid w:val="1C013DB2"/>
    <w:rsid w:val="1C154462"/>
    <w:rsid w:val="1C548E75"/>
    <w:rsid w:val="1C93A47D"/>
    <w:rsid w:val="1CB7EF7A"/>
    <w:rsid w:val="1D1CA1AD"/>
    <w:rsid w:val="1E747EA4"/>
    <w:rsid w:val="1ECE3339"/>
    <w:rsid w:val="1F22C7F1"/>
    <w:rsid w:val="1F4AB9DD"/>
    <w:rsid w:val="206D9EB8"/>
    <w:rsid w:val="20E67F3E"/>
    <w:rsid w:val="2126CE88"/>
    <w:rsid w:val="21856A2D"/>
    <w:rsid w:val="219C0123"/>
    <w:rsid w:val="21DBF543"/>
    <w:rsid w:val="238604BC"/>
    <w:rsid w:val="239B4FBB"/>
    <w:rsid w:val="243426F5"/>
    <w:rsid w:val="25214CDA"/>
    <w:rsid w:val="2597A914"/>
    <w:rsid w:val="26305EA2"/>
    <w:rsid w:val="26964240"/>
    <w:rsid w:val="269672B3"/>
    <w:rsid w:val="272BB816"/>
    <w:rsid w:val="2821E03B"/>
    <w:rsid w:val="28511041"/>
    <w:rsid w:val="2873C2A6"/>
    <w:rsid w:val="28863430"/>
    <w:rsid w:val="2947507E"/>
    <w:rsid w:val="29FB899C"/>
    <w:rsid w:val="2A0788C3"/>
    <w:rsid w:val="2A5C2BC6"/>
    <w:rsid w:val="2ADE827E"/>
    <w:rsid w:val="2B1D99DF"/>
    <w:rsid w:val="2BA95E5E"/>
    <w:rsid w:val="2C09728F"/>
    <w:rsid w:val="2D069AD8"/>
    <w:rsid w:val="2DB3040B"/>
    <w:rsid w:val="2E18F1C7"/>
    <w:rsid w:val="2E7F11C3"/>
    <w:rsid w:val="2EAC701F"/>
    <w:rsid w:val="2FFE2327"/>
    <w:rsid w:val="30496DCF"/>
    <w:rsid w:val="30A426D1"/>
    <w:rsid w:val="30CA1611"/>
    <w:rsid w:val="314B2BE1"/>
    <w:rsid w:val="3153DFFA"/>
    <w:rsid w:val="31B8CC4D"/>
    <w:rsid w:val="3210D9BD"/>
    <w:rsid w:val="323F515A"/>
    <w:rsid w:val="32535C7A"/>
    <w:rsid w:val="326AD648"/>
    <w:rsid w:val="328E9DA3"/>
    <w:rsid w:val="32A48655"/>
    <w:rsid w:val="32E95CA5"/>
    <w:rsid w:val="33CCD2E4"/>
    <w:rsid w:val="34682573"/>
    <w:rsid w:val="3475DCA1"/>
    <w:rsid w:val="34784139"/>
    <w:rsid w:val="351BE829"/>
    <w:rsid w:val="3562C52B"/>
    <w:rsid w:val="361656D1"/>
    <w:rsid w:val="36C04588"/>
    <w:rsid w:val="36C0CF03"/>
    <w:rsid w:val="373B72AD"/>
    <w:rsid w:val="37CA5DFF"/>
    <w:rsid w:val="38197E05"/>
    <w:rsid w:val="3877FBC4"/>
    <w:rsid w:val="3A1F48AB"/>
    <w:rsid w:val="3A43CDE6"/>
    <w:rsid w:val="3A89061B"/>
    <w:rsid w:val="3ACDE3B9"/>
    <w:rsid w:val="3ADA3EEE"/>
    <w:rsid w:val="3B1C814C"/>
    <w:rsid w:val="3BB7290C"/>
    <w:rsid w:val="3C42C957"/>
    <w:rsid w:val="3CC181F1"/>
    <w:rsid w:val="3DB6EC9C"/>
    <w:rsid w:val="3E0E69C1"/>
    <w:rsid w:val="3EB30B2D"/>
    <w:rsid w:val="3EC16D98"/>
    <w:rsid w:val="3F5F4E1D"/>
    <w:rsid w:val="404A781A"/>
    <w:rsid w:val="40B8B166"/>
    <w:rsid w:val="41487372"/>
    <w:rsid w:val="4149D9B4"/>
    <w:rsid w:val="41D19883"/>
    <w:rsid w:val="41D4412C"/>
    <w:rsid w:val="421064E1"/>
    <w:rsid w:val="432BBE1D"/>
    <w:rsid w:val="437D2B0C"/>
    <w:rsid w:val="4390D821"/>
    <w:rsid w:val="441F1086"/>
    <w:rsid w:val="44405776"/>
    <w:rsid w:val="4463FC5A"/>
    <w:rsid w:val="44888D67"/>
    <w:rsid w:val="449FFBF4"/>
    <w:rsid w:val="44CE9724"/>
    <w:rsid w:val="451535E0"/>
    <w:rsid w:val="457D626E"/>
    <w:rsid w:val="45DB1BA4"/>
    <w:rsid w:val="46621002"/>
    <w:rsid w:val="4681C61D"/>
    <w:rsid w:val="46AE4F48"/>
    <w:rsid w:val="47508CAA"/>
    <w:rsid w:val="4757D96F"/>
    <w:rsid w:val="47A30DF3"/>
    <w:rsid w:val="47C8EAF0"/>
    <w:rsid w:val="47D7721D"/>
    <w:rsid w:val="47DD7ED2"/>
    <w:rsid w:val="485C7BAC"/>
    <w:rsid w:val="48A91756"/>
    <w:rsid w:val="49051C32"/>
    <w:rsid w:val="49208D4D"/>
    <w:rsid w:val="499FC216"/>
    <w:rsid w:val="4A099945"/>
    <w:rsid w:val="4A31E287"/>
    <w:rsid w:val="4B14BE8E"/>
    <w:rsid w:val="4BF78A91"/>
    <w:rsid w:val="4C9EE250"/>
    <w:rsid w:val="4CCC1E17"/>
    <w:rsid w:val="4CD6D1DB"/>
    <w:rsid w:val="4CFFCB34"/>
    <w:rsid w:val="4D66AD72"/>
    <w:rsid w:val="4E58CBF8"/>
    <w:rsid w:val="4EE387B0"/>
    <w:rsid w:val="4F3D6EBF"/>
    <w:rsid w:val="4F988907"/>
    <w:rsid w:val="5032312B"/>
    <w:rsid w:val="50CFADAF"/>
    <w:rsid w:val="51071E28"/>
    <w:rsid w:val="51F63EAF"/>
    <w:rsid w:val="525B1F7A"/>
    <w:rsid w:val="526AC756"/>
    <w:rsid w:val="53DAF38D"/>
    <w:rsid w:val="547C87AF"/>
    <w:rsid w:val="54AB681D"/>
    <w:rsid w:val="54C6AD77"/>
    <w:rsid w:val="54CB4093"/>
    <w:rsid w:val="553DA1E2"/>
    <w:rsid w:val="5562064E"/>
    <w:rsid w:val="558291AB"/>
    <w:rsid w:val="562014B2"/>
    <w:rsid w:val="570C0B73"/>
    <w:rsid w:val="572147CC"/>
    <w:rsid w:val="57D2512E"/>
    <w:rsid w:val="589B9A1F"/>
    <w:rsid w:val="5978BD89"/>
    <w:rsid w:val="5A177A72"/>
    <w:rsid w:val="5A4C7B20"/>
    <w:rsid w:val="5A8B62D6"/>
    <w:rsid w:val="5AD59F13"/>
    <w:rsid w:val="5B72A515"/>
    <w:rsid w:val="5B9E967A"/>
    <w:rsid w:val="5BAB0202"/>
    <w:rsid w:val="5BB53019"/>
    <w:rsid w:val="5BE63946"/>
    <w:rsid w:val="5BF3D5C5"/>
    <w:rsid w:val="5C6EBCA2"/>
    <w:rsid w:val="5C9C0C48"/>
    <w:rsid w:val="5CF543C5"/>
    <w:rsid w:val="5D1000CB"/>
    <w:rsid w:val="5D3500E8"/>
    <w:rsid w:val="5D87BA82"/>
    <w:rsid w:val="5E41D330"/>
    <w:rsid w:val="5E536D6A"/>
    <w:rsid w:val="5E6AEAE3"/>
    <w:rsid w:val="5EA8D34F"/>
    <w:rsid w:val="5EBE8408"/>
    <w:rsid w:val="5EC105A0"/>
    <w:rsid w:val="5EFDCBEC"/>
    <w:rsid w:val="5F24C1DC"/>
    <w:rsid w:val="5F8B251A"/>
    <w:rsid w:val="5FB37D2F"/>
    <w:rsid w:val="6050DBE0"/>
    <w:rsid w:val="60E2EB0E"/>
    <w:rsid w:val="613E51E5"/>
    <w:rsid w:val="62DA1F81"/>
    <w:rsid w:val="6300FC25"/>
    <w:rsid w:val="63168007"/>
    <w:rsid w:val="63377068"/>
    <w:rsid w:val="64E659E0"/>
    <w:rsid w:val="662776CD"/>
    <w:rsid w:val="6650266B"/>
    <w:rsid w:val="669A5531"/>
    <w:rsid w:val="67914450"/>
    <w:rsid w:val="67A84AF0"/>
    <w:rsid w:val="67E095A2"/>
    <w:rsid w:val="6872BA44"/>
    <w:rsid w:val="68ABE2BB"/>
    <w:rsid w:val="692B7B2C"/>
    <w:rsid w:val="6932A5BA"/>
    <w:rsid w:val="6AE54EB0"/>
    <w:rsid w:val="6B059A66"/>
    <w:rsid w:val="6B1164DF"/>
    <w:rsid w:val="6B32F3F2"/>
    <w:rsid w:val="6BA00908"/>
    <w:rsid w:val="6BD2DD9D"/>
    <w:rsid w:val="6D4EED76"/>
    <w:rsid w:val="6E1DAFDD"/>
    <w:rsid w:val="6E549AF1"/>
    <w:rsid w:val="6E54E2C7"/>
    <w:rsid w:val="6EF5E640"/>
    <w:rsid w:val="6F1C2955"/>
    <w:rsid w:val="700A7079"/>
    <w:rsid w:val="701E5799"/>
    <w:rsid w:val="7065C4B6"/>
    <w:rsid w:val="709A9784"/>
    <w:rsid w:val="7123D4AB"/>
    <w:rsid w:val="71A3A7D2"/>
    <w:rsid w:val="71AEC5D2"/>
    <w:rsid w:val="71BCB392"/>
    <w:rsid w:val="7290C9B7"/>
    <w:rsid w:val="72B96609"/>
    <w:rsid w:val="730D03FE"/>
    <w:rsid w:val="73BC13F8"/>
    <w:rsid w:val="73D81343"/>
    <w:rsid w:val="7412A810"/>
    <w:rsid w:val="7479F45C"/>
    <w:rsid w:val="75BAF52C"/>
    <w:rsid w:val="75D7C9AC"/>
    <w:rsid w:val="76886CA4"/>
    <w:rsid w:val="779715EA"/>
    <w:rsid w:val="78337BCD"/>
    <w:rsid w:val="7894BEF9"/>
    <w:rsid w:val="7A2A5D62"/>
    <w:rsid w:val="7A863E1F"/>
    <w:rsid w:val="7B454A23"/>
    <w:rsid w:val="7B491162"/>
    <w:rsid w:val="7B8C59C0"/>
    <w:rsid w:val="7C16CEBC"/>
    <w:rsid w:val="7CBD479D"/>
    <w:rsid w:val="7CD53634"/>
    <w:rsid w:val="7D104CE2"/>
    <w:rsid w:val="7DD5F94F"/>
    <w:rsid w:val="7DF1A41D"/>
    <w:rsid w:val="7E46DE51"/>
    <w:rsid w:val="7E714A1B"/>
    <w:rsid w:val="7ED2B677"/>
    <w:rsid w:val="7F2D76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33143"/>
  <w15:docId w15:val="{4313E6CB-2984-4702-8D05-ADECBA6E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2"/>
      </w:numPr>
      <w:spacing w:before="240"/>
      <w:outlineLvl w:val="0"/>
    </w:pPr>
    <w:rPr>
      <w:b/>
      <w:smallCaps/>
    </w:rPr>
  </w:style>
  <w:style w:type="paragraph" w:styleId="Heading2">
    <w:name w:val="heading 2"/>
    <w:basedOn w:val="Normal"/>
    <w:next w:val="Text2"/>
    <w:qFormat/>
    <w:pPr>
      <w:keepNext/>
      <w:numPr>
        <w:ilvl w:val="1"/>
        <w:numId w:val="2"/>
      </w:numPr>
      <w:outlineLvl w:val="1"/>
    </w:pPr>
    <w:rPr>
      <w:b/>
    </w:rPr>
  </w:style>
  <w:style w:type="paragraph" w:styleId="Heading3">
    <w:name w:val="heading 3"/>
    <w:basedOn w:val="Normal"/>
    <w:next w:val="Text3"/>
    <w:link w:val="Heading3Char"/>
    <w:qFormat/>
    <w:pPr>
      <w:keepNext/>
      <w:numPr>
        <w:ilvl w:val="2"/>
        <w:numId w:val="2"/>
      </w:numPr>
      <w:outlineLvl w:val="2"/>
    </w:pPr>
    <w:rPr>
      <w:i/>
    </w:rPr>
  </w:style>
  <w:style w:type="paragraph" w:styleId="Heading4">
    <w:name w:val="heading 4"/>
    <w:basedOn w:val="Normal"/>
    <w:next w:val="Text4"/>
    <w:qFormat/>
    <w:pPr>
      <w:keepNext/>
      <w:numPr>
        <w:ilvl w:val="3"/>
        <w:numId w:val="2"/>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3"/>
      </w:numPr>
    </w:pPr>
  </w:style>
  <w:style w:type="paragraph" w:styleId="ListBullet2">
    <w:name w:val="List Bullet 2"/>
    <w:basedOn w:val="Text2"/>
    <w:uiPriority w:val="99"/>
    <w:pPr>
      <w:numPr>
        <w:numId w:val="5"/>
      </w:numPr>
      <w:tabs>
        <w:tab w:val="clear" w:pos="2160"/>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2"/>
      </w:numPr>
    </w:pPr>
    <w:rPr>
      <w:rFonts w:ascii="Times New Roman" w:hAnsi="Times New Roman"/>
    </w:rPr>
  </w:style>
  <w:style w:type="paragraph" w:styleId="ListNumber2">
    <w:name w:val="List Number 2"/>
    <w:basedOn w:val="Text2"/>
    <w:pPr>
      <w:numPr>
        <w:numId w:val="14"/>
      </w:numPr>
      <w:tabs>
        <w:tab w:val="clear" w:pos="2160"/>
      </w:tabs>
    </w:pPr>
  </w:style>
  <w:style w:type="paragraph" w:styleId="ListNumber3">
    <w:name w:val="List Number 3"/>
    <w:basedOn w:val="Text3"/>
    <w:pPr>
      <w:numPr>
        <w:numId w:val="15"/>
      </w:numPr>
      <w:tabs>
        <w:tab w:val="clear" w:pos="2302"/>
      </w:tabs>
    </w:pPr>
  </w:style>
  <w:style w:type="paragraph" w:styleId="ListNumber4">
    <w:name w:val="List Number 4"/>
    <w:basedOn w:val="Text4"/>
    <w:pPr>
      <w:numPr>
        <w:numId w:val="16"/>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4"/>
      </w:numPr>
    </w:pPr>
  </w:style>
  <w:style w:type="paragraph" w:customStyle="1" w:styleId="ListDash">
    <w:name w:val="List Dash"/>
    <w:basedOn w:val="Normal"/>
    <w:link w:val="ListDashChar"/>
    <w:pPr>
      <w:numPr>
        <w:numId w:val="19"/>
      </w:numPr>
    </w:pPr>
  </w:style>
  <w:style w:type="paragraph" w:customStyle="1" w:styleId="ListDash1">
    <w:name w:val="List Dash 1"/>
    <w:basedOn w:val="Text1"/>
    <w:pPr>
      <w:numPr>
        <w:numId w:val="8"/>
      </w:numPr>
    </w:pPr>
  </w:style>
  <w:style w:type="paragraph" w:customStyle="1" w:styleId="ListDash2">
    <w:name w:val="List Dash 2"/>
    <w:basedOn w:val="Text2"/>
    <w:pPr>
      <w:numPr>
        <w:numId w:val="9"/>
      </w:numPr>
      <w:tabs>
        <w:tab w:val="clear" w:pos="2160"/>
      </w:tabs>
    </w:pPr>
  </w:style>
  <w:style w:type="paragraph" w:customStyle="1" w:styleId="ListDash3">
    <w:name w:val="List Dash 3"/>
    <w:basedOn w:val="Text3"/>
    <w:pPr>
      <w:numPr>
        <w:numId w:val="10"/>
      </w:numPr>
      <w:tabs>
        <w:tab w:val="clear" w:pos="2302"/>
      </w:tabs>
    </w:pPr>
  </w:style>
  <w:style w:type="paragraph" w:customStyle="1" w:styleId="ListDash4">
    <w:name w:val="List Dash 4"/>
    <w:basedOn w:val="Text4"/>
    <w:pPr>
      <w:numPr>
        <w:numId w:val="11"/>
      </w:numPr>
    </w:pPr>
  </w:style>
  <w:style w:type="paragraph" w:customStyle="1" w:styleId="ListNumberLevel2">
    <w:name w:val="List Number (Level 2)"/>
    <w:basedOn w:val="Normal"/>
    <w:pPr>
      <w:numPr>
        <w:ilvl w:val="1"/>
        <w:numId w:val="12"/>
      </w:numPr>
    </w:pPr>
  </w:style>
  <w:style w:type="paragraph" w:customStyle="1" w:styleId="ListNumberLevel3">
    <w:name w:val="List Number (Level 3)"/>
    <w:basedOn w:val="Normal"/>
    <w:pPr>
      <w:numPr>
        <w:ilvl w:val="2"/>
        <w:numId w:val="12"/>
      </w:numPr>
    </w:pPr>
  </w:style>
  <w:style w:type="paragraph" w:customStyle="1" w:styleId="ListNumberLevel4">
    <w:name w:val="List Number (Level 4)"/>
    <w:basedOn w:val="Normal"/>
    <w:pPr>
      <w:numPr>
        <w:ilvl w:val="3"/>
        <w:numId w:val="12"/>
      </w:numPr>
    </w:pPr>
  </w:style>
  <w:style w:type="paragraph" w:customStyle="1" w:styleId="ListNumber1">
    <w:name w:val="List Number 1"/>
    <w:basedOn w:val="Text1"/>
    <w:pPr>
      <w:numPr>
        <w:numId w:val="13"/>
      </w:numPr>
    </w:pPr>
  </w:style>
  <w:style w:type="paragraph" w:customStyle="1" w:styleId="ListNumber1Level2">
    <w:name w:val="List Number 1 (Level 2)"/>
    <w:basedOn w:val="Text1"/>
    <w:pPr>
      <w:numPr>
        <w:ilvl w:val="1"/>
        <w:numId w:val="13"/>
      </w:numPr>
    </w:pPr>
  </w:style>
  <w:style w:type="paragraph" w:customStyle="1" w:styleId="ListNumber1Level3">
    <w:name w:val="List Number 1 (Level 3)"/>
    <w:basedOn w:val="Text1"/>
    <w:pPr>
      <w:numPr>
        <w:ilvl w:val="2"/>
        <w:numId w:val="13"/>
      </w:numPr>
    </w:pPr>
  </w:style>
  <w:style w:type="paragraph" w:customStyle="1" w:styleId="ListNumber1Level4">
    <w:name w:val="List Number 1 (Level 4)"/>
    <w:basedOn w:val="Text1"/>
    <w:pPr>
      <w:numPr>
        <w:ilvl w:val="3"/>
        <w:numId w:val="13"/>
      </w:numPr>
    </w:pPr>
  </w:style>
  <w:style w:type="paragraph" w:customStyle="1" w:styleId="ListNumber2Level2">
    <w:name w:val="List Number 2 (Level 2)"/>
    <w:basedOn w:val="Text2"/>
    <w:pPr>
      <w:numPr>
        <w:ilvl w:val="1"/>
        <w:numId w:val="14"/>
      </w:numPr>
      <w:tabs>
        <w:tab w:val="clear" w:pos="2160"/>
      </w:tabs>
    </w:pPr>
  </w:style>
  <w:style w:type="paragraph" w:customStyle="1" w:styleId="ListNumber2Level3">
    <w:name w:val="List Number 2 (Level 3)"/>
    <w:basedOn w:val="Text2"/>
    <w:pPr>
      <w:numPr>
        <w:ilvl w:val="2"/>
        <w:numId w:val="14"/>
      </w:numPr>
      <w:tabs>
        <w:tab w:val="clear" w:pos="2160"/>
      </w:tabs>
    </w:pPr>
  </w:style>
  <w:style w:type="paragraph" w:customStyle="1" w:styleId="ListNumber2Level4">
    <w:name w:val="List Number 2 (Level 4)"/>
    <w:basedOn w:val="Text2"/>
    <w:pPr>
      <w:numPr>
        <w:ilvl w:val="3"/>
        <w:numId w:val="14"/>
      </w:numPr>
      <w:tabs>
        <w:tab w:val="clear" w:pos="2160"/>
      </w:tabs>
    </w:pPr>
  </w:style>
  <w:style w:type="paragraph" w:customStyle="1" w:styleId="ListNumber3Level2">
    <w:name w:val="List Number 3 (Level 2)"/>
    <w:basedOn w:val="Text3"/>
    <w:pPr>
      <w:numPr>
        <w:ilvl w:val="1"/>
        <w:numId w:val="15"/>
      </w:numPr>
      <w:tabs>
        <w:tab w:val="clear" w:pos="2302"/>
      </w:tabs>
    </w:pPr>
  </w:style>
  <w:style w:type="paragraph" w:customStyle="1" w:styleId="ListNumber3Level3">
    <w:name w:val="List Number 3 (Level 3)"/>
    <w:basedOn w:val="Text3"/>
    <w:pPr>
      <w:numPr>
        <w:ilvl w:val="2"/>
        <w:numId w:val="15"/>
      </w:numPr>
      <w:tabs>
        <w:tab w:val="clear" w:pos="2302"/>
      </w:tabs>
    </w:pPr>
  </w:style>
  <w:style w:type="paragraph" w:customStyle="1" w:styleId="ListNumber3Level4">
    <w:name w:val="List Number 3 (Level 4)"/>
    <w:basedOn w:val="Text3"/>
    <w:pPr>
      <w:numPr>
        <w:ilvl w:val="3"/>
        <w:numId w:val="15"/>
      </w:numPr>
      <w:tabs>
        <w:tab w:val="clear" w:pos="2302"/>
      </w:tabs>
    </w:pPr>
  </w:style>
  <w:style w:type="paragraph" w:customStyle="1" w:styleId="ListNumber4Level2">
    <w:name w:val="List Number 4 (Level 2)"/>
    <w:basedOn w:val="Text4"/>
    <w:pPr>
      <w:numPr>
        <w:ilvl w:val="1"/>
        <w:numId w:val="16"/>
      </w:numPr>
    </w:pPr>
  </w:style>
  <w:style w:type="paragraph" w:customStyle="1" w:styleId="ListNumber4Level3">
    <w:name w:val="List Number 4 (Level 3)"/>
    <w:basedOn w:val="Text4"/>
    <w:pPr>
      <w:numPr>
        <w:ilvl w:val="2"/>
        <w:numId w:val="16"/>
      </w:numPr>
    </w:pPr>
  </w:style>
  <w:style w:type="paragraph" w:customStyle="1" w:styleId="ListNumber4Level4">
    <w:name w:val="List Number 4 (Level 4)"/>
    <w:basedOn w:val="Text4"/>
    <w:pPr>
      <w:numPr>
        <w:ilvl w:val="3"/>
        <w:numId w:val="16"/>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7"/>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val="en-US"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jc w:val="both"/>
    </w:pPr>
    <w:rPr>
      <w:spacing w:val="-3"/>
      <w:sz w:val="24"/>
      <w:lang w:val="en-US"/>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en-US"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8"/>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val="en-US"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val="en-US" w:eastAsia="en-US"/>
    </w:rPr>
  </w:style>
  <w:style w:type="paragraph" w:customStyle="1" w:styleId="normal12hanging0">
    <w:name w:val="normal12hanging"/>
    <w:basedOn w:val="Normal"/>
    <w:rsid w:val="00E709A0"/>
    <w:pPr>
      <w:ind w:left="357" w:hanging="357"/>
      <w:jc w:val="left"/>
    </w:pPr>
    <w:rPr>
      <w:rFonts w:ascii="Times New Roman" w:hAnsi="Times New Roman"/>
      <w:szCs w:val="24"/>
      <w:lang w:val="en-US" w:eastAsia="en-US"/>
    </w:rPr>
  </w:style>
  <w:style w:type="paragraph" w:customStyle="1" w:styleId="CharCharChar">
    <w:name w:val="Char Char Char"/>
    <w:basedOn w:val="Normal"/>
    <w:next w:val="Normal"/>
    <w:rsid w:val="00E709A0"/>
    <w:pPr>
      <w:spacing w:after="160" w:line="240" w:lineRule="exact"/>
      <w:jc w:val="left"/>
    </w:pPr>
    <w:rPr>
      <w:rFonts w:ascii="Tahoma" w:hAnsi="Tahoma"/>
      <w:lang w:val="en-US"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val="en-US" w:eastAsia="en-US"/>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val="en-US" w:eastAsia="en-US"/>
    </w:rPr>
  </w:style>
  <w:style w:type="paragraph" w:customStyle="1" w:styleId="Char1">
    <w:name w:val="Char1"/>
    <w:basedOn w:val="Normal"/>
    <w:rsid w:val="00F47B73"/>
    <w:pPr>
      <w:spacing w:after="160" w:line="240" w:lineRule="exact"/>
      <w:jc w:val="left"/>
    </w:pPr>
    <w:rPr>
      <w:rFonts w:ascii="Tahoma" w:hAnsi="Tahoma"/>
      <w:sz w:val="20"/>
      <w:lang w:val="en-US" w:eastAsia="en-US"/>
    </w:rPr>
  </w:style>
  <w:style w:type="paragraph" w:customStyle="1" w:styleId="Char">
    <w:name w:val="Char"/>
    <w:basedOn w:val="Normal"/>
    <w:rsid w:val="00124A7A"/>
    <w:pPr>
      <w:spacing w:after="160" w:line="240" w:lineRule="exact"/>
      <w:jc w:val="left"/>
    </w:pPr>
    <w:rPr>
      <w:rFonts w:ascii="Tahoma" w:hAnsi="Tahoma"/>
      <w:sz w:val="20"/>
      <w:lang w:val="en-US"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lang w:val="fr-FR"/>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val="en-US"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val="en-US" w:eastAsia="en-US"/>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val="en-US" w:eastAsia="en-US"/>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lang w:val="en-US" w:eastAsia="en-US"/>
    </w:rPr>
  </w:style>
  <w:style w:type="paragraph" w:customStyle="1" w:styleId="Car">
    <w:name w:val="Car"/>
    <w:basedOn w:val="Normal"/>
    <w:rsid w:val="00F02465"/>
    <w:pPr>
      <w:spacing w:after="160" w:line="240" w:lineRule="exact"/>
      <w:jc w:val="left"/>
    </w:pPr>
    <w:rPr>
      <w:rFonts w:ascii="Arial" w:hAnsi="Arial" w:cs="Arial"/>
      <w:sz w:val="28"/>
      <w:szCs w:val="28"/>
      <w:lang w:val="en-US"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val="en-US"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val="en-US" w:eastAsia="en-US"/>
    </w:rPr>
  </w:style>
  <w:style w:type="paragraph" w:customStyle="1" w:styleId="Znak">
    <w:name w:val="Znak"/>
    <w:basedOn w:val="Normal"/>
    <w:rsid w:val="00A76EE9"/>
    <w:pPr>
      <w:spacing w:after="160" w:line="240" w:lineRule="exact"/>
      <w:jc w:val="left"/>
    </w:pPr>
    <w:rPr>
      <w:rFonts w:ascii="Tahoma" w:hAnsi="Tahoma"/>
      <w:sz w:val="20"/>
      <w:lang w:val="en-US"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val="en-US" w:eastAsia="en-US"/>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val="en-US"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val="en-US" w:eastAsia="en-US"/>
    </w:rPr>
  </w:style>
  <w:style w:type="paragraph" w:customStyle="1" w:styleId="Considrant">
    <w:name w:val="Considérant"/>
    <w:basedOn w:val="Normal"/>
    <w:rsid w:val="009D3B39"/>
    <w:pPr>
      <w:numPr>
        <w:numId w:val="20"/>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1"/>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en-GB" w:eastAsia="en-US" w:bidi="ar-SA"/>
    </w:rPr>
  </w:style>
  <w:style w:type="numbering" w:styleId="111111">
    <w:name w:val="Outline List 2"/>
    <w:basedOn w:val="NoList"/>
    <w:rsid w:val="00BC35A6"/>
    <w:pPr>
      <w:numPr>
        <w:numId w:val="22"/>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val="fr-FR"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23"/>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val="en-US"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lang w:val="en-US"/>
    </w:rPr>
  </w:style>
  <w:style w:type="character" w:styleId="UnresolvedMention">
    <w:name w:val="Unresolved Mention"/>
    <w:uiPriority w:val="99"/>
    <w:semiHidden/>
    <w:unhideWhenUsed/>
    <w:rsid w:val="009E0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17193">
      <w:bodyDiv w:val="1"/>
      <w:marLeft w:val="0"/>
      <w:marRight w:val="0"/>
      <w:marTop w:val="0"/>
      <w:marBottom w:val="0"/>
      <w:divBdr>
        <w:top w:val="none" w:sz="0" w:space="0" w:color="auto"/>
        <w:left w:val="none" w:sz="0" w:space="0" w:color="auto"/>
        <w:bottom w:val="none" w:sz="0" w:space="0" w:color="auto"/>
        <w:right w:val="none" w:sz="0" w:space="0" w:color="auto"/>
      </w:divBdr>
    </w:div>
    <w:div w:id="524905513">
      <w:bodyDiv w:val="1"/>
      <w:marLeft w:val="0"/>
      <w:marRight w:val="0"/>
      <w:marTop w:val="0"/>
      <w:marBottom w:val="0"/>
      <w:divBdr>
        <w:top w:val="none" w:sz="0" w:space="0" w:color="auto"/>
        <w:left w:val="none" w:sz="0" w:space="0" w:color="auto"/>
        <w:bottom w:val="none" w:sz="0" w:space="0" w:color="auto"/>
        <w:right w:val="none" w:sz="0" w:space="0" w:color="auto"/>
      </w:divBdr>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1170950771">
      <w:bodyDiv w:val="1"/>
      <w:marLeft w:val="0"/>
      <w:marRight w:val="0"/>
      <w:marTop w:val="0"/>
      <w:marBottom w:val="0"/>
      <w:divBdr>
        <w:top w:val="none" w:sz="0" w:space="0" w:color="auto"/>
        <w:left w:val="none" w:sz="0" w:space="0" w:color="auto"/>
        <w:bottom w:val="none" w:sz="0" w:space="0" w:color="auto"/>
        <w:right w:val="none" w:sz="0" w:space="0" w:color="auto"/>
      </w:divBdr>
    </w:div>
    <w:div w:id="172159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uroparl.europa.eu/sides/getDoc.do?type=REPORT&amp;mode=XML&amp;reference=A8-2016-0345&amp;language=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uroparl.europa.eu/oeil/popups/ficheprocedure.do?lang=en&amp;reference=2016/2891(R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roparl.europa.eu/oeil/popups/ficheprocedure.do?lang=en&amp;reference=2016/2891(RS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524E2F-53A1-428E-A0C9-C070322F376B}">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2.xml><?xml version="1.0" encoding="utf-8"?>
<ds:datastoreItem xmlns:ds="http://schemas.openxmlformats.org/officeDocument/2006/customXml" ds:itemID="{8700459C-FDC6-4A45-B856-F1FCD291A0BE}">
  <ds:schemaRefs>
    <ds:schemaRef ds:uri="http://schemas.openxmlformats.org/officeDocument/2006/bibliography"/>
  </ds:schemaRefs>
</ds:datastoreItem>
</file>

<file path=customXml/itemProps3.xml><?xml version="1.0" encoding="utf-8"?>
<ds:datastoreItem xmlns:ds="http://schemas.openxmlformats.org/officeDocument/2006/customXml" ds:itemID="{5154A498-43A8-4475-86B8-2F7CF5F8AAB3}">
  <ds:schemaRefs>
    <ds:schemaRef ds:uri="http://schemas.microsoft.com/sharepoint/v3/contenttype/forms"/>
  </ds:schemaRefs>
</ds:datastoreItem>
</file>

<file path=customXml/itemProps4.xml><?xml version="1.0" encoding="utf-8"?>
<ds:datastoreItem xmlns:ds="http://schemas.openxmlformats.org/officeDocument/2006/customXml" ds:itemID="{81FE5883-8DEB-4309-A6F5-96AAB4538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TEL.DOTM</Template>
  <TotalTime>0</TotalTime>
  <Pages>4</Pages>
  <Words>1697</Words>
  <Characters>10558</Characters>
  <Application>Microsoft Office Word</Application>
  <DocSecurity>0</DocSecurity>
  <PresentationFormat>Microsoft Word 8.0b</PresentationFormat>
  <Lines>164</Lines>
  <Paragraphs>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DODEKOVA Gabriela (SG)</cp:lastModifiedBy>
  <cp:revision>2</cp:revision>
  <cp:lastPrinted>2017-11-25T23:27:00Z</cp:lastPrinted>
  <dcterms:created xsi:type="dcterms:W3CDTF">2025-08-14T07:21:00Z</dcterms:created>
  <dcterms:modified xsi:type="dcterms:W3CDTF">2025-08-14T07:21:00Z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2023-03-06T16:57:17Z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fed4ca29-9366-4f08-a0f8-47b4b7a2a3a2</vt:lpwstr>
  </property>
  <property fmtid="{D5CDD505-2E9C-101B-9397-08002B2CF9AE}" pid="19" name="MSIP_Label_6bd9ddd1-4d20-43f6-abfa-fc3c07406f94_ContentBits">
    <vt:lpwstr>0</vt:lpwstr>
  </property>
  <property fmtid="{D5CDD505-2E9C-101B-9397-08002B2CF9AE}" pid="20" name="ContentTypeId">
    <vt:lpwstr>0x010100271BB73A879EDE41AFDC9232B9EB1EA9</vt:lpwstr>
  </property>
  <property fmtid="{D5CDD505-2E9C-101B-9397-08002B2CF9AE}" pid="21" name="MediaServiceImageTags">
    <vt:lpwstr/>
  </property>
  <property fmtid="{D5CDD505-2E9C-101B-9397-08002B2CF9AE}" pid="22" name="APP0">
    <vt:lpwstr>28</vt:lpwstr>
  </property>
  <property fmtid="{D5CDD505-2E9C-101B-9397-08002B2CF9AE}" pid="23" name="EC_TX_All_World_Countries">
    <vt:lpwstr/>
  </property>
  <property fmtid="{D5CDD505-2E9C-101B-9397-08002B2CF9AE}" pid="24" name="EC_TX_Corporate_x0020_Body">
    <vt:lpwstr/>
  </property>
  <property fmtid="{D5CDD505-2E9C-101B-9397-08002B2CF9AE}" pid="25" name="EC_TX_EU_Political_Leader">
    <vt:lpwstr/>
  </property>
  <property fmtid="{D5CDD505-2E9C-101B-9397-08002B2CF9AE}" pid="26" name="k2c54712f93b47eb83e1835ba301b6c6">
    <vt:lpwstr/>
  </property>
  <property fmtid="{D5CDD505-2E9C-101B-9397-08002B2CF9AE}" pid="27" name="EC_TX_Strategic_Priority">
    <vt:lpwstr/>
  </property>
  <property fmtid="{D5CDD505-2E9C-101B-9397-08002B2CF9AE}" pid="28" name="i8c8ab8b63424c5d9f8c4a8434abf670">
    <vt:lpwstr/>
  </property>
  <property fmtid="{D5CDD505-2E9C-101B-9397-08002B2CF9AE}" pid="29" name="p26229aee9004b9f888149fd0449ec68">
    <vt:lpwstr/>
  </property>
  <property fmtid="{D5CDD505-2E9C-101B-9397-08002B2CF9AE}" pid="30" name="eff2cf69f10b4279bbb27215ca009b37">
    <vt:lpwstr/>
  </property>
  <property fmtid="{D5CDD505-2E9C-101B-9397-08002B2CF9AE}" pid="31" name="EC_TX_EU_Member_State">
    <vt:lpwstr/>
  </property>
  <property fmtid="{D5CDD505-2E9C-101B-9397-08002B2CF9AE}" pid="32" name="EC_TX_Resource_Type">
    <vt:lpwstr/>
  </property>
  <property fmtid="{D5CDD505-2E9C-101B-9397-08002B2CF9AE}" pid="33" name="j8309f8bc3e645d1a2f07391f8e5795a">
    <vt:lpwstr/>
  </property>
  <property fmtid="{D5CDD505-2E9C-101B-9397-08002B2CF9AE}" pid="34" name="g81cb4d17be94922847ce418ea81f55a">
    <vt:lpwstr/>
  </property>
  <property fmtid="{D5CDD505-2E9C-101B-9397-08002B2CF9AE}" pid="35" name="TaxCatchAll">
    <vt:lpwstr/>
  </property>
  <property fmtid="{D5CDD505-2E9C-101B-9397-08002B2CF9AE}" pid="36" name="EC_TX_Corporate Body">
    <vt:lpwstr/>
  </property>
</Properties>
</file>