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6B53" w14:textId="218E12CA" w:rsidR="00B666E3" w:rsidRPr="00C33439" w:rsidRDefault="00B666E3" w:rsidP="00B666E3">
      <w:pPr>
        <w:spacing w:after="720"/>
        <w:jc w:val="center"/>
        <w:rPr>
          <w:rFonts w:ascii="Times New Roman" w:hAnsi="Times New Roman"/>
          <w:b/>
          <w:bCs/>
          <w:szCs w:val="24"/>
        </w:rPr>
      </w:pPr>
      <w:r>
        <w:rPr>
          <w:rFonts w:ascii="Times New Roman" w:hAnsi="Times New Roman"/>
          <w:b/>
        </w:rPr>
        <w:t>Suite donnée à la résolution non législative du Parlement européen sur les rapports 2023 et 2024 de la Commission concernant la Bosnie-Herzégovine</w:t>
      </w:r>
    </w:p>
    <w:p w14:paraId="3EC4F8D0" w14:textId="1A9EBC6A" w:rsidR="00B666E3" w:rsidRPr="0084310E" w:rsidRDefault="00B666E3" w:rsidP="00B666E3">
      <w:pPr>
        <w:numPr>
          <w:ilvl w:val="0"/>
          <w:numId w:val="1"/>
        </w:numPr>
        <w:ind w:left="567" w:hanging="567"/>
        <w:rPr>
          <w:rFonts w:ascii="Times New Roman" w:hAnsi="Times New Roman"/>
        </w:rPr>
      </w:pPr>
      <w:proofErr w:type="gramStart"/>
      <w:r>
        <w:rPr>
          <w:rFonts w:ascii="Times New Roman" w:hAnsi="Times New Roman"/>
          <w:b/>
        </w:rPr>
        <w:t>Rapporteur:</w:t>
      </w:r>
      <w:proofErr w:type="gramEnd"/>
      <w:r>
        <w:rPr>
          <w:rFonts w:ascii="Times New Roman" w:hAnsi="Times New Roman"/>
        </w:rPr>
        <w:t xml:space="preserve"> </w:t>
      </w:r>
      <w:proofErr w:type="spellStart"/>
      <w:r>
        <w:rPr>
          <w:rFonts w:ascii="Times New Roman" w:hAnsi="Times New Roman"/>
        </w:rPr>
        <w:t>Ondřej</w:t>
      </w:r>
      <w:proofErr w:type="spellEnd"/>
      <w:r>
        <w:rPr>
          <w:rFonts w:ascii="Times New Roman" w:hAnsi="Times New Roman"/>
        </w:rPr>
        <w:t xml:space="preserve"> KOLÁŘ (PPE/CZ)</w:t>
      </w:r>
    </w:p>
    <w:p w14:paraId="258A1D1B" w14:textId="4BE172AE" w:rsidR="00B666E3" w:rsidRPr="00E73E9E" w:rsidRDefault="00B666E3" w:rsidP="00B666E3">
      <w:pPr>
        <w:pStyle w:val="Default"/>
        <w:numPr>
          <w:ilvl w:val="0"/>
          <w:numId w:val="1"/>
        </w:numPr>
        <w:spacing w:after="240"/>
        <w:ind w:left="567" w:hanging="567"/>
        <w:jc w:val="both"/>
        <w:rPr>
          <w:color w:val="auto"/>
        </w:rPr>
      </w:pPr>
      <w:r>
        <w:rPr>
          <w:b/>
          <w:color w:val="auto"/>
        </w:rPr>
        <w:t xml:space="preserve">Numéro de référence du </w:t>
      </w:r>
      <w:proofErr w:type="gramStart"/>
      <w:r>
        <w:rPr>
          <w:b/>
          <w:color w:val="auto"/>
        </w:rPr>
        <w:t>PE:</w:t>
      </w:r>
      <w:proofErr w:type="gramEnd"/>
      <w:r>
        <w:rPr>
          <w:b/>
          <w:color w:val="auto"/>
        </w:rPr>
        <w:t xml:space="preserve"> </w:t>
      </w:r>
      <w:r>
        <w:t>2025/2018(INI)</w:t>
      </w:r>
      <w:r>
        <w:rPr>
          <w:color w:val="auto"/>
        </w:rPr>
        <w:t xml:space="preserve"> / A10-0108/2025 / P10_TA(2025)0156</w:t>
      </w:r>
    </w:p>
    <w:p w14:paraId="3E8B619C" w14:textId="77777777" w:rsidR="00B666E3" w:rsidRDefault="00B666E3" w:rsidP="00B666E3">
      <w:pPr>
        <w:numPr>
          <w:ilvl w:val="0"/>
          <w:numId w:val="1"/>
        </w:numPr>
        <w:ind w:left="567" w:hanging="567"/>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9 juillet 2025</w:t>
      </w:r>
    </w:p>
    <w:p w14:paraId="042C7E7C" w14:textId="77777777" w:rsidR="00B666E3" w:rsidRPr="00412E3A" w:rsidRDefault="00B666E3" w:rsidP="00B666E3">
      <w:pPr>
        <w:numPr>
          <w:ilvl w:val="0"/>
          <w:numId w:val="1"/>
        </w:numPr>
        <w:ind w:left="567" w:hanging="567"/>
        <w:rPr>
          <w:rFonts w:ascii="Times New Roman" w:hAnsi="Times New Roman"/>
          <w:iCs/>
          <w:szCs w:val="24"/>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b/>
        </w:rPr>
        <w:t xml:space="preserve"> </w:t>
      </w:r>
      <w:r>
        <w:rPr>
          <w:rFonts w:ascii="Times New Roman" w:hAnsi="Times New Roman"/>
        </w:rPr>
        <w:t>Commission des</w:t>
      </w:r>
      <w:r>
        <w:rPr>
          <w:rFonts w:ascii="Times New Roman" w:hAnsi="Times New Roman"/>
          <w:i/>
        </w:rPr>
        <w:t xml:space="preserve"> </w:t>
      </w:r>
      <w:r>
        <w:rPr>
          <w:rFonts w:ascii="Times New Roman" w:hAnsi="Times New Roman"/>
        </w:rPr>
        <w:t>affaires étrangères (AFET)</w:t>
      </w:r>
    </w:p>
    <w:p w14:paraId="39FD023C" w14:textId="77777777" w:rsidR="00B666E3" w:rsidRDefault="00B666E3" w:rsidP="00B666E3">
      <w:pPr>
        <w:widowControl w:val="0"/>
        <w:numPr>
          <w:ilvl w:val="0"/>
          <w:numId w:val="1"/>
        </w:numPr>
        <w:ind w:left="567" w:hanging="567"/>
        <w:rPr>
          <w:rFonts w:ascii="Times New Roman" w:hAnsi="Times New Roman"/>
          <w:b/>
          <w:szCs w:val="24"/>
        </w:rPr>
      </w:pPr>
      <w:r>
        <w:rPr>
          <w:rFonts w:ascii="Times New Roman" w:hAnsi="Times New Roman"/>
          <w:b/>
        </w:rPr>
        <w:t>Analyse/évaluation succincte de la résolution et des demandes qu’elle contient</w:t>
      </w:r>
    </w:p>
    <w:p w14:paraId="3A4B9190" w14:textId="723CF73F" w:rsidR="00B666E3" w:rsidRPr="005D6D6F" w:rsidRDefault="00B666E3" w:rsidP="00B666E3">
      <w:pPr>
        <w:widowControl w:val="0"/>
        <w:ind w:left="567"/>
        <w:rPr>
          <w:rFonts w:ascii="Times New Roman" w:hAnsi="Times New Roman"/>
        </w:rPr>
      </w:pPr>
      <w:r>
        <w:rPr>
          <w:rFonts w:ascii="Times New Roman" w:hAnsi="Times New Roman"/>
        </w:rPr>
        <w:t xml:space="preserve">Le rapport soutient la démarche d’adhésion à l’UE de la Bosnie-Herzégovine et souligne la nécessité de réformes fondamentales, en particulier en vue de renforcer la démocratie et l’état de droit. Il demande instamment à la Bosnie-Herzégovine de coopérer plus étroitement avec l’UE dans la lutte contre la criminalité organisée et de promouvoir et défendre les droits de l’homme de toutes les minorités, ainsi que la protection des groupes vulnérables. Le rapport exprime de vives inquiétudes quant à l’évolution de la situation dans l’entité de la </w:t>
      </w:r>
      <w:r>
        <w:rPr>
          <w:rFonts w:ascii="Times New Roman" w:hAnsi="Times New Roman"/>
          <w:i/>
        </w:rPr>
        <w:t>Republika Srpska</w:t>
      </w:r>
      <w:r>
        <w:rPr>
          <w:rFonts w:ascii="Times New Roman" w:hAnsi="Times New Roman"/>
        </w:rPr>
        <w:t xml:space="preserve">, condamnant le recours répété à la rhétorique incendiaire et l’adoption de lois et de politiques sécessionnistes. Il appelle à un ajustement de la stratégie de l’UE et à une réponse décisive comprenant des mesures restrictives et un soutien de la part de la force de l’Union européenne en Bosnie-Herzégovine (EUFOR </w:t>
      </w:r>
      <w:proofErr w:type="spellStart"/>
      <w:r>
        <w:rPr>
          <w:rFonts w:ascii="Times New Roman" w:hAnsi="Times New Roman"/>
        </w:rPr>
        <w:t>Althea</w:t>
      </w:r>
      <w:proofErr w:type="spellEnd"/>
      <w:r>
        <w:rPr>
          <w:rFonts w:ascii="Times New Roman" w:hAnsi="Times New Roman"/>
        </w:rPr>
        <w:t>). Le rapport condamne toutes les formes d’obstruction et met en garde contre toute relation avec des acteurs qui portent atteinte à l’ordre constitutionnel.</w:t>
      </w:r>
    </w:p>
    <w:p w14:paraId="001C0C05" w14:textId="2A753173" w:rsidR="00B666E3" w:rsidRPr="005D6D6F" w:rsidRDefault="00B666E3" w:rsidP="00B666E3">
      <w:pPr>
        <w:widowControl w:val="0"/>
        <w:ind w:left="567"/>
        <w:rPr>
          <w:rFonts w:ascii="Times New Roman" w:hAnsi="Times New Roman"/>
        </w:rPr>
      </w:pPr>
      <w:r>
        <w:rPr>
          <w:rFonts w:ascii="Times New Roman" w:hAnsi="Times New Roman"/>
        </w:rPr>
        <w:t xml:space="preserve">Il dénonce les menaces extérieures émanant de pays tiers et souligne l’importance d’un alignement complet sur la politique étrangère et de sécurité commune (PESC) de l’UE. Il rappelle l’importance de la diversification des sources d’énergie, de la coopération régionale, de la poursuite des crimes de guerre, ainsi que de réformes juridiques visant à protéger les droits des victimes. Il se félicite des avancées concernant le programme de réformes dans le cadre du plan de croissance et demande son adoption rapide. Il affirme que le financement par l’UE de projets dans l’entité de la </w:t>
      </w:r>
      <w:r>
        <w:rPr>
          <w:rFonts w:ascii="Times New Roman" w:hAnsi="Times New Roman"/>
          <w:i/>
        </w:rPr>
        <w:t>Republika Srpska</w:t>
      </w:r>
      <w:r>
        <w:rPr>
          <w:rFonts w:ascii="Times New Roman" w:hAnsi="Times New Roman"/>
        </w:rPr>
        <w:t xml:space="preserve"> doit rester gelé et demande instamment la nomination rapide d’un coordinateur national pour l’instrument d’aide de préadhésion (IAP) III.</w:t>
      </w:r>
    </w:p>
    <w:p w14:paraId="4F05D2F7" w14:textId="6528E1A7" w:rsidR="00B666E3" w:rsidRPr="005D6D6F" w:rsidRDefault="00B666E3" w:rsidP="00B666E3">
      <w:pPr>
        <w:widowControl w:val="0"/>
        <w:numPr>
          <w:ilvl w:val="0"/>
          <w:numId w:val="1"/>
        </w:numPr>
        <w:ind w:left="567" w:hanging="567"/>
        <w:rPr>
          <w:rFonts w:ascii="Times New Roman" w:hAnsi="Times New Roman"/>
          <w:bCs/>
          <w:szCs w:val="24"/>
        </w:rPr>
      </w:pPr>
      <w:r>
        <w:rPr>
          <w:rFonts w:ascii="Times New Roman" w:hAnsi="Times New Roman"/>
          <w:b/>
        </w:rPr>
        <w:t>Réponse à ces demandes et aperçu des mesures que la Commission a prises ou envisage de prendre</w:t>
      </w:r>
    </w:p>
    <w:p w14:paraId="48FF6676" w14:textId="6C65A586" w:rsidR="009D6C65" w:rsidRDefault="009D6C65" w:rsidP="009D6C65">
      <w:pPr>
        <w:widowControl w:val="0"/>
        <w:ind w:left="567"/>
        <w:rPr>
          <w:rFonts w:ascii="Times New Roman" w:hAnsi="Times New Roman"/>
        </w:rPr>
      </w:pPr>
      <w:r>
        <w:rPr>
          <w:rFonts w:ascii="Times New Roman" w:hAnsi="Times New Roman"/>
        </w:rPr>
        <w:t xml:space="preserve">En ce qui concerne le </w:t>
      </w:r>
      <w:r>
        <w:rPr>
          <w:rFonts w:ascii="Times New Roman" w:hAnsi="Times New Roman"/>
          <w:b/>
        </w:rPr>
        <w:t>paragraphe 6</w:t>
      </w:r>
      <w:r>
        <w:rPr>
          <w:rFonts w:ascii="Times New Roman" w:hAnsi="Times New Roman"/>
        </w:rPr>
        <w:t>, l’Union maintient la possibilité d’imposer des sanctions aux acteurs qui portent atteinte à la souveraineté, à l’intégrité territoriale, à l’ordre constitutionnel et à la personnalité juridique internationale de la Bosnie-</w:t>
      </w:r>
      <w:proofErr w:type="gramStart"/>
      <w:r>
        <w:rPr>
          <w:rFonts w:ascii="Times New Roman" w:hAnsi="Times New Roman"/>
        </w:rPr>
        <w:t>Herzégovine;</w:t>
      </w:r>
      <w:proofErr w:type="gramEnd"/>
      <w:r>
        <w:rPr>
          <w:rFonts w:ascii="Times New Roman" w:hAnsi="Times New Roman"/>
        </w:rPr>
        <w:t xml:space="preserve"> qui menacent gravement la sécurité du pays; ou qui mettent à mal l’accord-cadre général pour la paix de Dayton/Paris, ainsi qu’aux personnes qui leur sont associées.  Une telle décision requiert l’unanimité de tous les États membres.</w:t>
      </w:r>
    </w:p>
    <w:p w14:paraId="41911A49" w14:textId="6E706598" w:rsidR="009D6C65" w:rsidRPr="00AA28C2" w:rsidRDefault="009D6C65" w:rsidP="009D6C65">
      <w:pPr>
        <w:widowControl w:val="0"/>
        <w:ind w:left="567"/>
        <w:rPr>
          <w:rFonts w:ascii="Times New Roman" w:hAnsi="Times New Roman"/>
          <w:b/>
          <w:bCs/>
        </w:rPr>
      </w:pPr>
      <w:r>
        <w:rPr>
          <w:rFonts w:ascii="Times New Roman" w:hAnsi="Times New Roman"/>
        </w:rPr>
        <w:t xml:space="preserve">En ce qui concerne le </w:t>
      </w:r>
      <w:r>
        <w:rPr>
          <w:rFonts w:ascii="Times New Roman" w:hAnsi="Times New Roman"/>
          <w:b/>
        </w:rPr>
        <w:t>paragraphe 7</w:t>
      </w:r>
      <w:r>
        <w:rPr>
          <w:rFonts w:ascii="Times New Roman" w:hAnsi="Times New Roman"/>
        </w:rPr>
        <w:t xml:space="preserve">, l’EUFOR </w:t>
      </w:r>
      <w:proofErr w:type="spellStart"/>
      <w:r>
        <w:rPr>
          <w:rFonts w:ascii="Times New Roman" w:hAnsi="Times New Roman"/>
        </w:rPr>
        <w:t>Althea</w:t>
      </w:r>
      <w:proofErr w:type="spellEnd"/>
      <w:r>
        <w:rPr>
          <w:rFonts w:ascii="Times New Roman" w:hAnsi="Times New Roman"/>
        </w:rPr>
        <w:t xml:space="preserve"> a pour mandat exécutif (au titre du chapitre VII de la charte des Nations unies) d’assurer la dissuasion, de veiller au respect permanent de l’obligation de remplir la mission définie aux annexes 1-A et 2 de l’accord-cadre général pour la paix ainsi que de contribuer à un climat de </w:t>
      </w:r>
      <w:r>
        <w:rPr>
          <w:rFonts w:ascii="Times New Roman" w:hAnsi="Times New Roman"/>
        </w:rPr>
        <w:lastRenderedPageBreak/>
        <w:t>sûreté et de sécurité en Bosnie-Herzégovine. L’Union rappelle que la souveraineté, l’intégrité territoriale, l’ordre constitutionnel et la personnalité juridique internationale de la Bosnie-Herzégovine doivent être respectés. Elle a confiance dans la mise en œuvre de l’état de droit par les autorités judiciaires et répressives compétentes de Bosnie-Herzégovine.</w:t>
      </w:r>
    </w:p>
    <w:p w14:paraId="6DD1212B" w14:textId="128BE810" w:rsidR="00B666E3" w:rsidRDefault="009626FF" w:rsidP="00E54D62">
      <w:pPr>
        <w:widowControl w:val="0"/>
        <w:ind w:left="567"/>
        <w:rPr>
          <w:rFonts w:ascii="Times New Roman" w:hAnsi="Times New Roman"/>
        </w:rPr>
      </w:pPr>
      <w:r>
        <w:rPr>
          <w:rFonts w:ascii="Times New Roman" w:hAnsi="Times New Roman"/>
        </w:rPr>
        <w:t xml:space="preserve">En ce qui concerne le </w:t>
      </w:r>
      <w:r>
        <w:rPr>
          <w:rFonts w:ascii="Times New Roman" w:hAnsi="Times New Roman"/>
          <w:b/>
        </w:rPr>
        <w:t>paragraphe 9</w:t>
      </w:r>
      <w:r>
        <w:rPr>
          <w:rFonts w:ascii="Times New Roman" w:hAnsi="Times New Roman"/>
        </w:rPr>
        <w:t xml:space="preserve">, la Commission se félicite du soutien apporté à la démarche d’adhésion à l’UE de la Bosnie-Herzégovine et souligne que le message adressé par l’UE à ce pays reste </w:t>
      </w:r>
      <w:proofErr w:type="gramStart"/>
      <w:r>
        <w:rPr>
          <w:rFonts w:ascii="Times New Roman" w:hAnsi="Times New Roman"/>
        </w:rPr>
        <w:t>clair:</w:t>
      </w:r>
      <w:proofErr w:type="gramEnd"/>
      <w:r>
        <w:rPr>
          <w:rFonts w:ascii="Times New Roman" w:hAnsi="Times New Roman"/>
        </w:rPr>
        <w:t xml:space="preserve"> la porte de l’UE lui est ouverte.</w:t>
      </w:r>
    </w:p>
    <w:p w14:paraId="0AF25C05" w14:textId="39E60549" w:rsidR="00B666E3" w:rsidRPr="003D2AD4" w:rsidRDefault="00B666E3" w:rsidP="006A5A88">
      <w:pPr>
        <w:widowControl w:val="0"/>
        <w:ind w:left="567"/>
        <w:rPr>
          <w:rFonts w:ascii="Times New Roman" w:hAnsi="Times New Roman"/>
        </w:rPr>
      </w:pPr>
      <w:r>
        <w:rPr>
          <w:rFonts w:ascii="Times New Roman" w:hAnsi="Times New Roman"/>
        </w:rPr>
        <w:t xml:space="preserve">Cela nécessite avant tout une désescalade de la part des dirigeants de la </w:t>
      </w:r>
      <w:r>
        <w:rPr>
          <w:rFonts w:ascii="Times New Roman" w:hAnsi="Times New Roman"/>
          <w:i/>
        </w:rPr>
        <w:t>Republika Srpska</w:t>
      </w:r>
      <w:r>
        <w:rPr>
          <w:rFonts w:ascii="Times New Roman" w:hAnsi="Times New Roman"/>
        </w:rPr>
        <w:t xml:space="preserve"> et l’achèvement du remaniement de la coalition, en vue de revenir à la mise en œuvre des réformes nécessaires à l’adhésion à l’UE. </w:t>
      </w:r>
    </w:p>
    <w:p w14:paraId="0EC0E6CA" w14:textId="4A7F1681" w:rsidR="00B666E3" w:rsidRPr="003D2AD4" w:rsidRDefault="00B666E3" w:rsidP="006A5A88">
      <w:pPr>
        <w:widowControl w:val="0"/>
        <w:ind w:left="567"/>
        <w:rPr>
          <w:rFonts w:ascii="Times New Roman" w:hAnsi="Times New Roman"/>
        </w:rPr>
      </w:pPr>
      <w:r>
        <w:rPr>
          <w:rFonts w:ascii="Times New Roman" w:hAnsi="Times New Roman"/>
        </w:rPr>
        <w:t xml:space="preserve">À cet égard, la Bosnie-Herzégovine devrait prendre toutes les mesures pertinentes énoncées dans la recommandation de la Commission de 2022, en vue de l’adoption du cadre de négociation par le Conseil de l’UE une fois que ces conditions seront remplies. Ces mesures comprennent notamment l’adoption de réformes judiciaires (loi sur les tribunaux et loi sur le Conseil supérieur des juges et des procureurs), en pleine conformité avec les recommandations de la Commission de Venise, la nomination d’un négociateur en chef et la finalisation d’un programme national pour l’adoption de l’acquis de l’Union (PNAA). La Bosnie-Herzégovine doit également finaliser et présenter d’urgence son programme de réformes, afin de bénéficier des fonds alloués au titre du plan de croissance pour les Balkans occidentaux.   </w:t>
      </w:r>
    </w:p>
    <w:p w14:paraId="7730BF9E" w14:textId="1C527453" w:rsidR="009626FF" w:rsidRPr="009D6C65" w:rsidRDefault="00B666E3" w:rsidP="006A5A88">
      <w:pPr>
        <w:ind w:left="567"/>
        <w:rPr>
          <w:rFonts w:ascii="Times New Roman" w:hAnsi="Times New Roman"/>
        </w:rPr>
      </w:pPr>
      <w:r>
        <w:rPr>
          <w:rFonts w:ascii="Times New Roman" w:hAnsi="Times New Roman"/>
        </w:rPr>
        <w:t>La mise en œuvre de toutes les mesures pertinentes devrait conduire à l’ouverture de négociations d’adhésion et à la tenue de la première conférence intergouvernementale, attendue de longue date, conformément aux conclusions du Conseil de l’UE de mars 2024.</w:t>
      </w:r>
    </w:p>
    <w:p w14:paraId="73949AD3" w14:textId="224544B5" w:rsidR="00B666E3" w:rsidRPr="00FB6CB3" w:rsidRDefault="00B666E3" w:rsidP="00B666E3">
      <w:pPr>
        <w:spacing w:line="252" w:lineRule="auto"/>
        <w:ind w:left="567"/>
        <w:rPr>
          <w:rFonts w:ascii="Times New Roman" w:hAnsi="Times New Roman"/>
        </w:rPr>
      </w:pPr>
      <w:r>
        <w:rPr>
          <w:rFonts w:ascii="Times New Roman" w:hAnsi="Times New Roman"/>
        </w:rPr>
        <w:t xml:space="preserve">En ce qui concerne le </w:t>
      </w:r>
      <w:r>
        <w:rPr>
          <w:rFonts w:ascii="Times New Roman" w:hAnsi="Times New Roman"/>
          <w:b/>
        </w:rPr>
        <w:t>paragraphe 21</w:t>
      </w:r>
      <w:r>
        <w:rPr>
          <w:rFonts w:ascii="Times New Roman" w:hAnsi="Times New Roman"/>
        </w:rPr>
        <w:t xml:space="preserve">, des efforts supplémentaires sont nécessaires pour atteindre les quatorze grandes priorités énoncées dans l’avis émis par la Commission en 2019. La Bosnie-Herzégovine doit adopter des réformes constitutionnelles et électorales afin que tous les citoyens puissent exercer leurs droits politiques de façon effective, notamment pour aligner la constitution sur la jurisprudence </w:t>
      </w:r>
      <w:proofErr w:type="spellStart"/>
      <w:r>
        <w:rPr>
          <w:rFonts w:ascii="Times New Roman" w:hAnsi="Times New Roman"/>
        </w:rPr>
        <w:t>Sejdić-Finci</w:t>
      </w:r>
      <w:proofErr w:type="spellEnd"/>
      <w:r>
        <w:rPr>
          <w:rFonts w:ascii="Times New Roman" w:hAnsi="Times New Roman"/>
        </w:rPr>
        <w:t xml:space="preserve"> de la Cour européenne des droits de l’homme (priorité essentielle énoncée dans l’avis, au paragraphe 4, point f). Les futures négociations d’adhésion à l’UE fourniront le cadre nécessaire pour traiter ces questions fondamentales en matière de fonctionnement des institutions démocratiques.</w:t>
      </w:r>
    </w:p>
    <w:p w14:paraId="32650D82" w14:textId="5669A234" w:rsidR="009D6C65" w:rsidRDefault="009D6C65" w:rsidP="009D6C65">
      <w:pPr>
        <w:widowControl w:val="0"/>
        <w:ind w:left="567"/>
        <w:rPr>
          <w:rFonts w:ascii="Times New Roman" w:hAnsi="Times New Roman"/>
        </w:rPr>
      </w:pPr>
      <w:r>
        <w:rPr>
          <w:rFonts w:ascii="Times New Roman" w:hAnsi="Times New Roman"/>
        </w:rPr>
        <w:t xml:space="preserve">En ce qui concerne le </w:t>
      </w:r>
      <w:r>
        <w:rPr>
          <w:rFonts w:ascii="Times New Roman" w:hAnsi="Times New Roman"/>
          <w:b/>
        </w:rPr>
        <w:t>paragraphe 42</w:t>
      </w:r>
      <w:r>
        <w:rPr>
          <w:rFonts w:ascii="Times New Roman" w:hAnsi="Times New Roman"/>
        </w:rPr>
        <w:t xml:space="preserve">, eu égard au contexte politique et à l’évolution de la situation dans l’entité de la </w:t>
      </w:r>
      <w:r>
        <w:rPr>
          <w:rFonts w:ascii="Times New Roman" w:hAnsi="Times New Roman"/>
          <w:i/>
        </w:rPr>
        <w:t>Republika Srpska</w:t>
      </w:r>
      <w:r>
        <w:rPr>
          <w:rFonts w:ascii="Times New Roman" w:hAnsi="Times New Roman"/>
        </w:rPr>
        <w:t xml:space="preserve">, l’UE a clairement indiqué, notamment par des déclarations répétées du porte-parole, que les acteurs politiques devaient mettre fin à toute escalade et centrer leurs efforts sur la mise en œuvre des réformes en vue d’une adhésion à l’UE. La Cour constitutionnelle de Bosnie-Herzégovine a suspendu (en mars 2025) puis abrogé (fin mai 2025) tous les actes juridiques adoptés par l’assemblée de l’entité de la </w:t>
      </w:r>
      <w:r>
        <w:rPr>
          <w:rFonts w:ascii="Times New Roman" w:hAnsi="Times New Roman"/>
          <w:i/>
        </w:rPr>
        <w:t>Republika Srpska</w:t>
      </w:r>
      <w:r>
        <w:rPr>
          <w:rFonts w:ascii="Times New Roman" w:hAnsi="Times New Roman"/>
        </w:rPr>
        <w:t xml:space="preserve"> le 27 février 2025. Les dirigeants de ladite entité doivent respecter la décision de la Cour constitutionnelle, reconnaître son indépendance et son impartialité et s’abstenir de toute action susceptible d’aggraver les divisions et d’accroître les tensions politiques.</w:t>
      </w:r>
    </w:p>
    <w:p w14:paraId="69C4110F" w14:textId="77777777" w:rsidR="009D6C65" w:rsidRDefault="009D6C65" w:rsidP="009D6C65">
      <w:pPr>
        <w:ind w:left="567"/>
        <w:rPr>
          <w:rFonts w:ascii="Times New Roman" w:hAnsi="Times New Roman"/>
          <w:szCs w:val="24"/>
        </w:rPr>
      </w:pPr>
      <w:r>
        <w:rPr>
          <w:rFonts w:ascii="Times New Roman" w:hAnsi="Times New Roman"/>
        </w:rPr>
        <w:t xml:space="preserve">Dans l’entité de la </w:t>
      </w:r>
      <w:r>
        <w:rPr>
          <w:rFonts w:ascii="Times New Roman" w:hAnsi="Times New Roman"/>
          <w:i/>
        </w:rPr>
        <w:t>Republika Srpska</w:t>
      </w:r>
      <w:r>
        <w:rPr>
          <w:rFonts w:ascii="Times New Roman" w:hAnsi="Times New Roman"/>
        </w:rPr>
        <w:t xml:space="preserve">, les sanctions pénales encourues pour diffamation continuent d’avoir de graves répercussions sur l’environnement dans lequel évolue la société civile, de restreindre la liberté d’expression et la liberté des médias et d’avoir </w:t>
      </w:r>
      <w:r>
        <w:rPr>
          <w:rFonts w:ascii="Times New Roman" w:hAnsi="Times New Roman"/>
        </w:rPr>
        <w:lastRenderedPageBreak/>
        <w:t>un effet dissuasif sur cette dernière. La diffamation doit encore être dépénalisée dans tout le pays.</w:t>
      </w:r>
    </w:p>
    <w:p w14:paraId="617C1DF4" w14:textId="2D80858D" w:rsidR="009D6C65" w:rsidRDefault="009D6C65" w:rsidP="009D6C65">
      <w:pPr>
        <w:spacing w:after="120"/>
        <w:ind w:left="567"/>
        <w:rPr>
          <w:rFonts w:ascii="Times New Roman" w:hAnsi="Times New Roman"/>
        </w:rPr>
      </w:pPr>
      <w:r>
        <w:rPr>
          <w:rFonts w:ascii="Times New Roman" w:hAnsi="Times New Roman"/>
        </w:rPr>
        <w:t>L’Union maintient la possibilité d’imposer des sanctions (</w:t>
      </w:r>
      <w:r>
        <w:rPr>
          <w:rFonts w:ascii="Times New Roman" w:hAnsi="Times New Roman"/>
          <w:b/>
        </w:rPr>
        <w:t>paragraphe 6</w:t>
      </w:r>
      <w:r>
        <w:rPr>
          <w:rFonts w:ascii="Times New Roman" w:hAnsi="Times New Roman"/>
        </w:rPr>
        <w:t>) aux acteurs qui portent atteinte à la souveraineté, à l’intégrité territoriale, à l’ordre constitutionnel et à la personnalité juridique internationale de la Bosnie-</w:t>
      </w:r>
      <w:proofErr w:type="gramStart"/>
      <w:r>
        <w:rPr>
          <w:rFonts w:ascii="Times New Roman" w:hAnsi="Times New Roman"/>
        </w:rPr>
        <w:t>Herzégovine;</w:t>
      </w:r>
      <w:proofErr w:type="gramEnd"/>
      <w:r>
        <w:rPr>
          <w:rFonts w:ascii="Times New Roman" w:hAnsi="Times New Roman"/>
        </w:rPr>
        <w:t xml:space="preserve"> qui menacent gravement la sécurité du pays; ou qui mettent à mal l’accord-cadre général pour la paix de Dayton/Paris, ainsi qu’aux personnes qui leur sont associées. Une telle décision requiert l’unanimité de tous les États membres de l’UE.</w:t>
      </w:r>
    </w:p>
    <w:p w14:paraId="7355E8D3" w14:textId="5EE02CB5" w:rsidR="00B666E3" w:rsidRPr="00FB6CB3" w:rsidRDefault="00B666E3" w:rsidP="009D6C65">
      <w:pPr>
        <w:spacing w:after="120"/>
        <w:ind w:left="567"/>
        <w:rPr>
          <w:rFonts w:ascii="Times New Roman" w:hAnsi="Times New Roman"/>
        </w:rPr>
      </w:pPr>
      <w:r>
        <w:rPr>
          <w:rFonts w:ascii="Times New Roman" w:hAnsi="Times New Roman"/>
        </w:rPr>
        <w:t xml:space="preserve">En ce qui concerne les </w:t>
      </w:r>
      <w:r>
        <w:rPr>
          <w:rFonts w:ascii="Times New Roman" w:hAnsi="Times New Roman"/>
          <w:b/>
        </w:rPr>
        <w:t>paragraphes 49 et 50</w:t>
      </w:r>
      <w:r>
        <w:rPr>
          <w:rFonts w:ascii="Times New Roman" w:hAnsi="Times New Roman"/>
        </w:rPr>
        <w:t>, la réconciliation demeure un élément essentiel de la trajectoire européenne des partenaires des Balkans occidentaux. La Commission attend de la Bosnie-Herzégovine qu’elle agisse de manière souveraine pour promouvoir un environnement propice à la réconciliation afin de surmonter les problèmes hérités de la guerre. Le projet</w:t>
      </w:r>
      <w:proofErr w:type="gramStart"/>
      <w:r>
        <w:rPr>
          <w:rFonts w:ascii="Times New Roman" w:hAnsi="Times New Roman"/>
        </w:rPr>
        <w:t xml:space="preserve"> «</w:t>
      </w:r>
      <w:proofErr w:type="spellStart"/>
      <w:r>
        <w:rPr>
          <w:rFonts w:ascii="Times New Roman" w:hAnsi="Times New Roman"/>
        </w:rPr>
        <w:t>Empowering</w:t>
      </w:r>
      <w:proofErr w:type="spellEnd"/>
      <w:proofErr w:type="gramEnd"/>
      <w:r>
        <w:rPr>
          <w:rFonts w:ascii="Times New Roman" w:hAnsi="Times New Roman"/>
        </w:rPr>
        <w:t xml:space="preserve"> Trust and </w:t>
      </w:r>
      <w:proofErr w:type="spellStart"/>
      <w:r>
        <w:rPr>
          <w:rFonts w:ascii="Times New Roman" w:hAnsi="Times New Roman"/>
        </w:rPr>
        <w:t>Cohesion</w:t>
      </w:r>
      <w:proofErr w:type="spellEnd"/>
      <w:r>
        <w:rPr>
          <w:rFonts w:ascii="Times New Roman" w:hAnsi="Times New Roman"/>
        </w:rPr>
        <w:t xml:space="preserve"> in </w:t>
      </w:r>
      <w:proofErr w:type="spellStart"/>
      <w:r>
        <w:rPr>
          <w:rFonts w:ascii="Times New Roman" w:hAnsi="Times New Roman"/>
        </w:rPr>
        <w:t>Bosnia</w:t>
      </w:r>
      <w:proofErr w:type="spellEnd"/>
      <w:r>
        <w:rPr>
          <w:rFonts w:ascii="Times New Roman" w:hAnsi="Times New Roman"/>
        </w:rPr>
        <w:t xml:space="preserve"> and </w:t>
      </w:r>
      <w:proofErr w:type="spellStart"/>
      <w:r>
        <w:rPr>
          <w:rFonts w:ascii="Times New Roman" w:hAnsi="Times New Roman"/>
        </w:rPr>
        <w:t>Herzegovina’s</w:t>
      </w:r>
      <w:proofErr w:type="spellEnd"/>
      <w:r>
        <w:rPr>
          <w:rFonts w:ascii="Times New Roman" w:hAnsi="Times New Roman"/>
        </w:rPr>
        <w:t xml:space="preserve"> </w:t>
      </w:r>
      <w:proofErr w:type="spellStart"/>
      <w:r>
        <w:rPr>
          <w:rFonts w:ascii="Times New Roman" w:hAnsi="Times New Roman"/>
        </w:rPr>
        <w:t>Communities</w:t>
      </w:r>
      <w:proofErr w:type="spellEnd"/>
      <w:r>
        <w:rPr>
          <w:rFonts w:ascii="Times New Roman" w:hAnsi="Times New Roman"/>
        </w:rPr>
        <w:t xml:space="preserve">» [Renforcer la confiance et la cohésion dans les communautés de Bosnie-Herzégovine – </w:t>
      </w:r>
      <w:proofErr w:type="spellStart"/>
      <w:r>
        <w:rPr>
          <w:rFonts w:ascii="Times New Roman" w:hAnsi="Times New Roman"/>
          <w:i/>
        </w:rPr>
        <w:t>Možemo</w:t>
      </w:r>
      <w:proofErr w:type="spellEnd"/>
      <w:r>
        <w:rPr>
          <w:rFonts w:ascii="Times New Roman" w:hAnsi="Times New Roman"/>
          <w:i/>
        </w:rPr>
        <w:t xml:space="preserve"> </w:t>
      </w:r>
      <w:proofErr w:type="spellStart"/>
      <w:r>
        <w:rPr>
          <w:rFonts w:ascii="Times New Roman" w:hAnsi="Times New Roman"/>
          <w:i/>
        </w:rPr>
        <w:t>bolje</w:t>
      </w:r>
      <w:proofErr w:type="spellEnd"/>
      <w:r>
        <w:rPr>
          <w:rFonts w:ascii="Times New Roman" w:hAnsi="Times New Roman"/>
        </w:rPr>
        <w:t xml:space="preserve"> (Nous pouvons faire mieux)], soutenu par l’UE, les Nations unies, l’OSCE et le Conseil de l’Europe, est un exemple de projet visant à promouvoir un environnement propice à une véritable réconciliation.</w:t>
      </w:r>
    </w:p>
    <w:p w14:paraId="4789BE1C" w14:textId="369031D6" w:rsidR="009D6C65" w:rsidRDefault="009D6C65" w:rsidP="009D6C65">
      <w:pPr>
        <w:ind w:left="567"/>
        <w:rPr>
          <w:rFonts w:ascii="Times New Roman" w:hAnsi="Times New Roman"/>
        </w:rPr>
      </w:pPr>
      <w:r>
        <w:rPr>
          <w:rFonts w:ascii="Times New Roman" w:hAnsi="Times New Roman"/>
        </w:rPr>
        <w:t xml:space="preserve">En ce qui concerne le </w:t>
      </w:r>
      <w:r>
        <w:rPr>
          <w:rFonts w:ascii="Times New Roman" w:hAnsi="Times New Roman"/>
          <w:b/>
        </w:rPr>
        <w:t>paragraphe 59</w:t>
      </w:r>
      <w:r>
        <w:rPr>
          <w:rFonts w:ascii="Times New Roman" w:hAnsi="Times New Roman"/>
        </w:rPr>
        <w:t>, la Commission salue l’accord politique auquel est parvenu le Conseil des ministres avant la réunion des dirigeants des Balkans occidentaux organisée à Skopje le 1</w:t>
      </w:r>
      <w:r>
        <w:rPr>
          <w:rFonts w:ascii="Times New Roman" w:hAnsi="Times New Roman"/>
          <w:vertAlign w:val="superscript"/>
        </w:rPr>
        <w:t>er</w:t>
      </w:r>
      <w:r>
        <w:rPr>
          <w:rFonts w:ascii="Times New Roman" w:hAnsi="Times New Roman"/>
        </w:rPr>
        <w:t> juillet 2025. Elle attend avec intérêt que la Bosnie-Herzégovine lui soumette sans plus tarder son programme de réformes. Une fois que la Commission l’aura reçu pour approbation, elle procédera à son évaluation, comme pour tous les autres partenaires.</w:t>
      </w:r>
    </w:p>
    <w:p w14:paraId="4C2F063A" w14:textId="54D4C0BF" w:rsidR="009D6C65" w:rsidRPr="00AA28C2" w:rsidRDefault="00E237C5" w:rsidP="009D6C65">
      <w:pPr>
        <w:ind w:left="567"/>
        <w:rPr>
          <w:rFonts w:ascii="Times New Roman" w:hAnsi="Times New Roman"/>
        </w:rPr>
      </w:pPr>
      <w:r>
        <w:rPr>
          <w:rFonts w:ascii="Times New Roman" w:hAnsi="Times New Roman"/>
        </w:rPr>
        <w:t xml:space="preserve">En ce qui concerne les deux investissements dans des infrastructures situées dans l’entité de la </w:t>
      </w:r>
      <w:r>
        <w:rPr>
          <w:rFonts w:ascii="Times New Roman" w:hAnsi="Times New Roman"/>
          <w:i/>
          <w:iCs/>
        </w:rPr>
        <w:t>Republika Srpska</w:t>
      </w:r>
      <w:r>
        <w:rPr>
          <w:rFonts w:ascii="Times New Roman" w:hAnsi="Times New Roman"/>
        </w:rPr>
        <w:t xml:space="preserve"> (corridor routier et ferroviaire </w:t>
      </w:r>
      <w:proofErr w:type="spellStart"/>
      <w:r>
        <w:rPr>
          <w:rFonts w:ascii="Times New Roman" w:hAnsi="Times New Roman"/>
        </w:rPr>
        <w:t>Vc</w:t>
      </w:r>
      <w:proofErr w:type="spellEnd"/>
      <w:r>
        <w:rPr>
          <w:rFonts w:ascii="Times New Roman" w:hAnsi="Times New Roman"/>
        </w:rPr>
        <w:t>), comme indiqué au début de l’année 2022, la Commission n’a l’intention de procéder à la signature des conventions de contribution qu’une fois que la crise politique aura pris fin et que le fonctionnement des institutions de l’État aura été pleinement rétabli.</w:t>
      </w:r>
    </w:p>
    <w:p w14:paraId="273D2FCB" w14:textId="00F34FB5" w:rsidR="009D6C65" w:rsidRPr="00FF7E63" w:rsidRDefault="009D6C65" w:rsidP="009D6C65">
      <w:pPr>
        <w:ind w:left="567"/>
        <w:rPr>
          <w:rFonts w:ascii="Times New Roman" w:hAnsi="Times New Roman"/>
        </w:rPr>
      </w:pPr>
      <w:r>
        <w:rPr>
          <w:rFonts w:ascii="Times New Roman" w:hAnsi="Times New Roman"/>
        </w:rPr>
        <w:t xml:space="preserve">En ce qui concerne le </w:t>
      </w:r>
      <w:r>
        <w:rPr>
          <w:rFonts w:ascii="Times New Roman" w:hAnsi="Times New Roman"/>
          <w:b/>
        </w:rPr>
        <w:t>paragraphe 60</w:t>
      </w:r>
      <w:r>
        <w:rPr>
          <w:rFonts w:ascii="Times New Roman" w:hAnsi="Times New Roman"/>
        </w:rPr>
        <w:t xml:space="preserve">, sur la conditionnalité des fonds de l’UE, la Commission surveille en permanence l’absorption effective, par le pays, de l’aide financière et technique visant à soutenir ses réformes démocratiques et </w:t>
      </w:r>
      <w:proofErr w:type="gramStart"/>
      <w:r>
        <w:rPr>
          <w:rFonts w:ascii="Times New Roman" w:hAnsi="Times New Roman"/>
        </w:rPr>
        <w:t>judiciaires;</w:t>
      </w:r>
      <w:proofErr w:type="gramEnd"/>
      <w:r>
        <w:rPr>
          <w:rFonts w:ascii="Times New Roman" w:hAnsi="Times New Roman"/>
        </w:rPr>
        <w:t xml:space="preserve"> 43,97 % des fonds de l’IAP III pour la période 2021-2024 ont été consacrés aux «fondamentaux» de l’adhésion à l’UE, à savoir la bonne gouvernance, l’état de droit et les droits de l’homme. En cas de régression significative ou d’absence persistante de progrès dans les domaines liés à l’état de droit et aux droits fondamentaux, aux institutions démocratiques et aux réformes de l’administration publique, ainsi qu’au développement économique et à la compétitivité, le principe de conditionnalité inscrit dans le règlement IAP III peut être appliqué.</w:t>
      </w:r>
    </w:p>
    <w:p w14:paraId="0F4FEF9D" w14:textId="114590F3" w:rsidR="00B666E3" w:rsidRDefault="00B666E3" w:rsidP="009D6C65">
      <w:pPr>
        <w:widowControl w:val="0"/>
        <w:ind w:left="567"/>
        <w:rPr>
          <w:rFonts w:ascii="Times New Roman" w:hAnsi="Times New Roman"/>
        </w:rPr>
      </w:pPr>
      <w:r>
        <w:rPr>
          <w:rFonts w:ascii="Times New Roman" w:hAnsi="Times New Roman"/>
        </w:rPr>
        <w:t xml:space="preserve">En ce qui concerne le </w:t>
      </w:r>
      <w:r>
        <w:rPr>
          <w:rFonts w:ascii="Times New Roman" w:hAnsi="Times New Roman"/>
          <w:b/>
        </w:rPr>
        <w:t>paragraphe 65</w:t>
      </w:r>
      <w:r>
        <w:rPr>
          <w:rFonts w:ascii="Times New Roman" w:hAnsi="Times New Roman"/>
        </w:rPr>
        <w:t>, la Commission continue de recommander à la Bosnie-Herzégovine de mettre en place des consultations constructives et systématiques de la société civile dans le cadre d’un dialogue inclusif ainsi que d’adopter un cadre pour le financement transparent des organisations de la société civile, garantissant ainsi un environnement favorable à la société civile. La Commission continue également de recommander la suppression de tous les obstacles à la mise en place d’un espace économique unique pour les travailleurs et les entreprises en Bosnie-Herzégovine. Elle recommande enfin de garantir l’accès de tous aux soins de santé, en particulier des catégories les plus vulnérables, et d’harmoniser dans l’ensemble du pays les critères d’admissibilité ainsi que les droits et les normes en matière de protection sociale.</w:t>
      </w:r>
    </w:p>
    <w:sectPr w:rsidR="00B666E3" w:rsidSect="00B666E3">
      <w:headerReference w:type="even" r:id="rId10"/>
      <w:headerReference w:type="default" r:id="rId11"/>
      <w:footerReference w:type="even" r:id="rId12"/>
      <w:footerReference w:type="default" r:id="rId13"/>
      <w:headerReference w:type="first" r:id="rId14"/>
      <w:footerReference w:type="first" r:id="rId15"/>
      <w:footnotePr>
        <w:pos w:val="beneathText"/>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F87E" w14:textId="77777777" w:rsidR="00130EFD" w:rsidRDefault="00130EFD">
      <w:pPr>
        <w:spacing w:after="0"/>
      </w:pPr>
      <w:r>
        <w:separator/>
      </w:r>
    </w:p>
  </w:endnote>
  <w:endnote w:type="continuationSeparator" w:id="0">
    <w:p w14:paraId="04C5DC6C" w14:textId="77777777" w:rsidR="00130EFD" w:rsidRDefault="00130EFD">
      <w:pPr>
        <w:spacing w:after="0"/>
      </w:pPr>
      <w:r>
        <w:continuationSeparator/>
      </w:r>
    </w:p>
  </w:endnote>
  <w:endnote w:type="continuationNotice" w:id="1">
    <w:p w14:paraId="340678A7" w14:textId="77777777" w:rsidR="00130EFD" w:rsidRDefault="00130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8D7A" w14:textId="77777777" w:rsidR="00B666E3" w:rsidRDefault="00B666E3"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F1E2AFC" w14:textId="77777777" w:rsidR="00B666E3" w:rsidRDefault="00B6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C583" w14:textId="77777777" w:rsidR="00B666E3" w:rsidRDefault="00B666E3"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38D9E9DA" w14:textId="77777777" w:rsidR="00B666E3" w:rsidRPr="008A6623" w:rsidRDefault="00B666E3"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A0BE" w14:textId="77777777" w:rsidR="00B666E3" w:rsidRDefault="00B666E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BE441D" w14:textId="77777777" w:rsidR="00B666E3" w:rsidRDefault="00B666E3"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C6C1" w14:textId="77777777" w:rsidR="00130EFD" w:rsidRDefault="00130EFD">
      <w:pPr>
        <w:spacing w:after="0"/>
      </w:pPr>
      <w:r>
        <w:separator/>
      </w:r>
    </w:p>
  </w:footnote>
  <w:footnote w:type="continuationSeparator" w:id="0">
    <w:p w14:paraId="56EFFD7C" w14:textId="77777777" w:rsidR="00130EFD" w:rsidRDefault="00130EFD">
      <w:pPr>
        <w:spacing w:after="0"/>
      </w:pPr>
      <w:r>
        <w:continuationSeparator/>
      </w:r>
    </w:p>
  </w:footnote>
  <w:footnote w:type="continuationNotice" w:id="1">
    <w:p w14:paraId="576E7FBC" w14:textId="77777777" w:rsidR="00130EFD" w:rsidRDefault="00130E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04B3" w14:textId="77777777" w:rsidR="0050785B" w:rsidRDefault="0050785B" w:rsidP="00110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5C24" w14:textId="77777777" w:rsidR="0050785B" w:rsidRDefault="0050785B" w:rsidP="00110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16AF" w14:textId="77777777" w:rsidR="0050785B" w:rsidRDefault="0050785B" w:rsidP="00110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num w:numId="1" w16cid:durableId="6453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666E3"/>
    <w:rsid w:val="00000587"/>
    <w:rsid w:val="0001056F"/>
    <w:rsid w:val="00061C6A"/>
    <w:rsid w:val="00066B8D"/>
    <w:rsid w:val="00072B15"/>
    <w:rsid w:val="00086D2D"/>
    <w:rsid w:val="00097AB2"/>
    <w:rsid w:val="000A0731"/>
    <w:rsid w:val="000D1EF4"/>
    <w:rsid w:val="000E7ACE"/>
    <w:rsid w:val="00110198"/>
    <w:rsid w:val="00130EFD"/>
    <w:rsid w:val="001563A3"/>
    <w:rsid w:val="00173AC4"/>
    <w:rsid w:val="00190547"/>
    <w:rsid w:val="001B18C5"/>
    <w:rsid w:val="001E55A6"/>
    <w:rsid w:val="00235296"/>
    <w:rsid w:val="002367E7"/>
    <w:rsid w:val="00237D7F"/>
    <w:rsid w:val="00262022"/>
    <w:rsid w:val="002B06B9"/>
    <w:rsid w:val="002D0041"/>
    <w:rsid w:val="002D19DB"/>
    <w:rsid w:val="00300CC1"/>
    <w:rsid w:val="00306AA5"/>
    <w:rsid w:val="00312557"/>
    <w:rsid w:val="00320C27"/>
    <w:rsid w:val="00356CBD"/>
    <w:rsid w:val="00373AB2"/>
    <w:rsid w:val="003B1071"/>
    <w:rsid w:val="003D2AD4"/>
    <w:rsid w:val="00450671"/>
    <w:rsid w:val="004702F9"/>
    <w:rsid w:val="00475518"/>
    <w:rsid w:val="004829FE"/>
    <w:rsid w:val="004B2378"/>
    <w:rsid w:val="004B745B"/>
    <w:rsid w:val="004C38EB"/>
    <w:rsid w:val="004C432B"/>
    <w:rsid w:val="0050785B"/>
    <w:rsid w:val="0053033C"/>
    <w:rsid w:val="00530763"/>
    <w:rsid w:val="00557DD8"/>
    <w:rsid w:val="005C4922"/>
    <w:rsid w:val="005C5CCE"/>
    <w:rsid w:val="005D2A89"/>
    <w:rsid w:val="005E7E8F"/>
    <w:rsid w:val="006004F1"/>
    <w:rsid w:val="00626DB0"/>
    <w:rsid w:val="00653441"/>
    <w:rsid w:val="006975ED"/>
    <w:rsid w:val="006A5A88"/>
    <w:rsid w:val="006B1651"/>
    <w:rsid w:val="006C741B"/>
    <w:rsid w:val="006E1EFC"/>
    <w:rsid w:val="006F1E42"/>
    <w:rsid w:val="006F3C85"/>
    <w:rsid w:val="00703229"/>
    <w:rsid w:val="0070683E"/>
    <w:rsid w:val="007157AF"/>
    <w:rsid w:val="00791D06"/>
    <w:rsid w:val="007D2CFC"/>
    <w:rsid w:val="007D78A7"/>
    <w:rsid w:val="0080548C"/>
    <w:rsid w:val="008250C6"/>
    <w:rsid w:val="00832E47"/>
    <w:rsid w:val="008331AB"/>
    <w:rsid w:val="00834E9E"/>
    <w:rsid w:val="008A72C5"/>
    <w:rsid w:val="00914541"/>
    <w:rsid w:val="00927EA8"/>
    <w:rsid w:val="009626FF"/>
    <w:rsid w:val="00993A57"/>
    <w:rsid w:val="009B1F2B"/>
    <w:rsid w:val="009D6C65"/>
    <w:rsid w:val="009F60E2"/>
    <w:rsid w:val="00A0279D"/>
    <w:rsid w:val="00A23EEF"/>
    <w:rsid w:val="00A81E1A"/>
    <w:rsid w:val="00AC1879"/>
    <w:rsid w:val="00AD001E"/>
    <w:rsid w:val="00B27329"/>
    <w:rsid w:val="00B666E3"/>
    <w:rsid w:val="00BE1233"/>
    <w:rsid w:val="00BF13A0"/>
    <w:rsid w:val="00C42D4A"/>
    <w:rsid w:val="00C71269"/>
    <w:rsid w:val="00CA5456"/>
    <w:rsid w:val="00CB427D"/>
    <w:rsid w:val="00CD55C4"/>
    <w:rsid w:val="00CD7A9E"/>
    <w:rsid w:val="00D15B6C"/>
    <w:rsid w:val="00D6124F"/>
    <w:rsid w:val="00D8151D"/>
    <w:rsid w:val="00DA23F5"/>
    <w:rsid w:val="00DD19E9"/>
    <w:rsid w:val="00DD51E0"/>
    <w:rsid w:val="00E21619"/>
    <w:rsid w:val="00E237C5"/>
    <w:rsid w:val="00E54D62"/>
    <w:rsid w:val="00E60380"/>
    <w:rsid w:val="00E62C02"/>
    <w:rsid w:val="00E73E9E"/>
    <w:rsid w:val="00EC6C55"/>
    <w:rsid w:val="00EE350C"/>
    <w:rsid w:val="00F13883"/>
    <w:rsid w:val="00F307C3"/>
    <w:rsid w:val="00F57871"/>
    <w:rsid w:val="00F84122"/>
    <w:rsid w:val="00F95629"/>
    <w:rsid w:val="00FD4539"/>
    <w:rsid w:val="00FE34A8"/>
    <w:rsid w:val="00FF3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7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GB"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65"/>
    <w:pPr>
      <w:spacing w:after="240" w:line="240" w:lineRule="auto"/>
      <w:jc w:val="both"/>
    </w:pPr>
    <w:rPr>
      <w:rFonts w:ascii="Courier New" w:eastAsia="Times New Roman" w:hAnsi="Courier New" w:cs="Times New Roman"/>
      <w:kern w:val="0"/>
      <w:sz w:val="24"/>
      <w:szCs w:val="20"/>
      <w:lang w:eastAsia="en-IE"/>
    </w:rPr>
  </w:style>
  <w:style w:type="paragraph" w:styleId="Heading1">
    <w:name w:val="heading 1"/>
    <w:basedOn w:val="Normal"/>
    <w:next w:val="Normal"/>
    <w:link w:val="Heading1Char"/>
    <w:uiPriority w:val="9"/>
    <w:qFormat/>
    <w:rsid w:val="00B66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6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66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66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66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66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66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66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66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E3"/>
    <w:rPr>
      <w:rFonts w:eastAsiaTheme="majorEastAsia" w:cstheme="majorBidi"/>
      <w:color w:val="272727" w:themeColor="text1" w:themeTint="D8"/>
    </w:rPr>
  </w:style>
  <w:style w:type="paragraph" w:styleId="Title">
    <w:name w:val="Title"/>
    <w:basedOn w:val="Normal"/>
    <w:next w:val="Normal"/>
    <w:link w:val="TitleChar"/>
    <w:uiPriority w:val="10"/>
    <w:qFormat/>
    <w:rsid w:val="00B66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6E3"/>
    <w:rPr>
      <w:i/>
      <w:iCs/>
      <w:color w:val="404040" w:themeColor="text1" w:themeTint="BF"/>
    </w:rPr>
  </w:style>
  <w:style w:type="paragraph" w:styleId="ListParagraph">
    <w:name w:val="List Paragraph"/>
    <w:basedOn w:val="Normal"/>
    <w:uiPriority w:val="34"/>
    <w:qFormat/>
    <w:rsid w:val="00B666E3"/>
    <w:pPr>
      <w:ind w:left="720"/>
      <w:contextualSpacing/>
    </w:pPr>
  </w:style>
  <w:style w:type="character" w:styleId="IntenseEmphasis">
    <w:name w:val="Intense Emphasis"/>
    <w:basedOn w:val="DefaultParagraphFont"/>
    <w:uiPriority w:val="21"/>
    <w:qFormat/>
    <w:rsid w:val="00B666E3"/>
    <w:rPr>
      <w:i/>
      <w:iCs/>
      <w:color w:val="365F91" w:themeColor="accent1" w:themeShade="BF"/>
    </w:rPr>
  </w:style>
  <w:style w:type="paragraph" w:styleId="IntenseQuote">
    <w:name w:val="Intense Quote"/>
    <w:basedOn w:val="Normal"/>
    <w:next w:val="Normal"/>
    <w:link w:val="IntenseQuoteChar"/>
    <w:uiPriority w:val="30"/>
    <w:qFormat/>
    <w:rsid w:val="00B66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66E3"/>
    <w:rPr>
      <w:i/>
      <w:iCs/>
      <w:color w:val="365F91" w:themeColor="accent1" w:themeShade="BF"/>
    </w:rPr>
  </w:style>
  <w:style w:type="character" w:styleId="IntenseReference">
    <w:name w:val="Intense Reference"/>
    <w:basedOn w:val="DefaultParagraphFont"/>
    <w:uiPriority w:val="32"/>
    <w:qFormat/>
    <w:rsid w:val="00B666E3"/>
    <w:rPr>
      <w:b/>
      <w:bCs/>
      <w:smallCaps/>
      <w:color w:val="365F91" w:themeColor="accent1" w:themeShade="BF"/>
      <w:spacing w:val="5"/>
    </w:rPr>
  </w:style>
  <w:style w:type="paragraph" w:styleId="CommentText">
    <w:name w:val="annotation text"/>
    <w:basedOn w:val="Normal"/>
    <w:link w:val="CommentTextChar"/>
    <w:rsid w:val="00B666E3"/>
    <w:rPr>
      <w:sz w:val="20"/>
    </w:rPr>
  </w:style>
  <w:style w:type="character" w:customStyle="1" w:styleId="CommentTextChar">
    <w:name w:val="Comment Text Char"/>
    <w:basedOn w:val="DefaultParagraphFont"/>
    <w:link w:val="CommentText"/>
    <w:rsid w:val="00B666E3"/>
    <w:rPr>
      <w:rFonts w:ascii="Courier New" w:eastAsia="Times New Roman" w:hAnsi="Courier New" w:cs="Times New Roman"/>
      <w:kern w:val="0"/>
      <w:sz w:val="20"/>
      <w:szCs w:val="20"/>
      <w:lang w:val="fr-FR" w:eastAsia="en-IE"/>
      <w14:ligatures w14:val="none"/>
    </w:rPr>
  </w:style>
  <w:style w:type="paragraph" w:styleId="Footer">
    <w:name w:val="footer"/>
    <w:basedOn w:val="Normal"/>
    <w:link w:val="FooterChar"/>
    <w:rsid w:val="00B666E3"/>
    <w:pPr>
      <w:spacing w:after="0"/>
      <w:ind w:right="-567"/>
      <w:jc w:val="left"/>
    </w:pPr>
    <w:rPr>
      <w:rFonts w:ascii="Arial" w:hAnsi="Arial"/>
      <w:sz w:val="16"/>
    </w:rPr>
  </w:style>
  <w:style w:type="character" w:customStyle="1" w:styleId="FooterChar">
    <w:name w:val="Footer Char"/>
    <w:basedOn w:val="DefaultParagraphFont"/>
    <w:link w:val="Footer"/>
    <w:rsid w:val="00B666E3"/>
    <w:rPr>
      <w:rFonts w:ascii="Arial" w:eastAsia="Times New Roman" w:hAnsi="Arial" w:cs="Times New Roman"/>
      <w:kern w:val="0"/>
      <w:sz w:val="16"/>
      <w:szCs w:val="20"/>
      <w:lang w:val="fr-FR" w:eastAsia="en-IE"/>
      <w14:ligatures w14:val="none"/>
    </w:rPr>
  </w:style>
  <w:style w:type="character" w:styleId="CommentReference">
    <w:name w:val="annotation reference"/>
    <w:rsid w:val="00B666E3"/>
    <w:rPr>
      <w:sz w:val="16"/>
    </w:rPr>
  </w:style>
  <w:style w:type="character" w:styleId="PageNumber">
    <w:name w:val="page number"/>
    <w:basedOn w:val="DefaultParagraphFont"/>
    <w:rsid w:val="00B666E3"/>
  </w:style>
  <w:style w:type="paragraph" w:customStyle="1" w:styleId="Default">
    <w:name w:val="Default"/>
    <w:rsid w:val="00B666E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FR"/>
      <w14:ligatures w14:val="none"/>
    </w:rPr>
  </w:style>
  <w:style w:type="paragraph" w:customStyle="1" w:styleId="ZnakZnak">
    <w:name w:val="Znak Znak"/>
    <w:basedOn w:val="Normal"/>
    <w:rsid w:val="00B666E3"/>
    <w:pPr>
      <w:spacing w:after="0" w:line="360" w:lineRule="auto"/>
    </w:pPr>
    <w:rPr>
      <w:rFonts w:ascii="Verdana" w:hAnsi="Verdana"/>
      <w:sz w:val="20"/>
      <w:lang w:eastAsia="pl-PL"/>
    </w:rPr>
  </w:style>
  <w:style w:type="paragraph" w:styleId="Revision">
    <w:name w:val="Revision"/>
    <w:hidden/>
    <w:uiPriority w:val="99"/>
    <w:semiHidden/>
    <w:rsid w:val="00066B8D"/>
    <w:pPr>
      <w:spacing w:after="0" w:line="240" w:lineRule="auto"/>
    </w:pPr>
    <w:rPr>
      <w:rFonts w:ascii="Courier New" w:eastAsia="Times New Roman" w:hAnsi="Courier New" w:cs="Times New Roman"/>
      <w:kern w:val="0"/>
      <w:sz w:val="24"/>
      <w:szCs w:val="20"/>
      <w:lang w:eastAsia="en-IE"/>
    </w:rPr>
  </w:style>
  <w:style w:type="paragraph" w:styleId="Header">
    <w:name w:val="header"/>
    <w:basedOn w:val="Normal"/>
    <w:link w:val="HeaderChar"/>
    <w:uiPriority w:val="99"/>
    <w:unhideWhenUsed/>
    <w:rsid w:val="0050785B"/>
    <w:pPr>
      <w:tabs>
        <w:tab w:val="center" w:pos="4513"/>
        <w:tab w:val="right" w:pos="9026"/>
      </w:tabs>
      <w:spacing w:after="0"/>
    </w:pPr>
  </w:style>
  <w:style w:type="character" w:customStyle="1" w:styleId="HeaderChar">
    <w:name w:val="Header Char"/>
    <w:basedOn w:val="DefaultParagraphFont"/>
    <w:link w:val="Header"/>
    <w:uiPriority w:val="99"/>
    <w:rsid w:val="0050785B"/>
    <w:rPr>
      <w:rFonts w:ascii="Courier New" w:eastAsia="Times New Roman" w:hAnsi="Courier New" w:cs="Times New Roman"/>
      <w:kern w:val="0"/>
      <w:sz w:val="24"/>
      <w:szCs w:val="20"/>
      <w:lang w:val="fr-FR" w:eastAsia="en-IE"/>
    </w:rPr>
  </w:style>
  <w:style w:type="paragraph" w:styleId="CommentSubject">
    <w:name w:val="annotation subject"/>
    <w:basedOn w:val="CommentText"/>
    <w:next w:val="CommentText"/>
    <w:link w:val="CommentSubjectChar"/>
    <w:uiPriority w:val="99"/>
    <w:semiHidden/>
    <w:unhideWhenUsed/>
    <w:rsid w:val="00D8151D"/>
    <w:rPr>
      <w:b/>
      <w:bCs/>
    </w:rPr>
  </w:style>
  <w:style w:type="character" w:customStyle="1" w:styleId="CommentSubjectChar">
    <w:name w:val="Comment Subject Char"/>
    <w:basedOn w:val="CommentTextChar"/>
    <w:link w:val="CommentSubject"/>
    <w:uiPriority w:val="99"/>
    <w:semiHidden/>
    <w:rsid w:val="00D8151D"/>
    <w:rPr>
      <w:rFonts w:ascii="Courier New" w:eastAsia="Times New Roman" w:hAnsi="Courier New" w:cs="Times New Roman"/>
      <w:b/>
      <w:bCs/>
      <w:kern w:val="0"/>
      <w:sz w:val="20"/>
      <w:szCs w:val="20"/>
      <w:lang w:val="fr-FR" w:eastAsia="en-IE"/>
      <w14:ligatures w14:val="none"/>
    </w:rPr>
  </w:style>
  <w:style w:type="paragraph" w:styleId="BalloonText">
    <w:name w:val="Balloon Text"/>
    <w:basedOn w:val="Normal"/>
    <w:link w:val="BalloonTextChar"/>
    <w:uiPriority w:val="99"/>
    <w:semiHidden/>
    <w:unhideWhenUsed/>
    <w:rsid w:val="00D815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1D"/>
    <w:rPr>
      <w:rFonts w:ascii="Segoe UI" w:eastAsia="Times New Roman" w:hAnsi="Segoe UI" w:cs="Segoe UI"/>
      <w:kern w:val="0"/>
      <w:sz w:val="18"/>
      <w:szCs w:val="18"/>
      <w:lang w:val="fr-FR"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9903">
      <w:bodyDiv w:val="1"/>
      <w:marLeft w:val="0"/>
      <w:marRight w:val="0"/>
      <w:marTop w:val="0"/>
      <w:marBottom w:val="0"/>
      <w:divBdr>
        <w:top w:val="none" w:sz="0" w:space="0" w:color="auto"/>
        <w:left w:val="none" w:sz="0" w:space="0" w:color="auto"/>
        <w:bottom w:val="none" w:sz="0" w:space="0" w:color="auto"/>
        <w:right w:val="none" w:sz="0" w:space="0" w:color="auto"/>
      </w:divBdr>
      <w:divsChild>
        <w:div w:id="353074853">
          <w:marLeft w:val="0"/>
          <w:marRight w:val="0"/>
          <w:marTop w:val="0"/>
          <w:marBottom w:val="0"/>
          <w:divBdr>
            <w:top w:val="none" w:sz="0" w:space="0" w:color="auto"/>
            <w:left w:val="none" w:sz="0" w:space="0" w:color="auto"/>
            <w:bottom w:val="none" w:sz="0" w:space="0" w:color="auto"/>
            <w:right w:val="none" w:sz="0" w:space="0" w:color="auto"/>
          </w:divBdr>
          <w:divsChild>
            <w:div w:id="4911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381A0ACA-AA6F-4A47-AC29-79654609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A82E-5576-43A5-B59D-B881F58CE349}">
  <ds:schemaRefs>
    <ds:schemaRef ds:uri="http://schemas.microsoft.com/sharepoint/v3/contenttype/forms"/>
  </ds:schemaRefs>
</ds:datastoreItem>
</file>

<file path=customXml/itemProps3.xml><?xml version="1.0" encoding="utf-8"?>
<ds:datastoreItem xmlns:ds="http://schemas.openxmlformats.org/officeDocument/2006/customXml" ds:itemID="{CB797308-F6A7-47F4-BF79-6FC7B677C343}">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1616</Words>
  <Characters>9118</Characters>
  <Application>Microsoft Office Word</Application>
  <DocSecurity>0</DocSecurity>
  <Lines>142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2025-09-10T07:26:00Z</dcterms:created>
  <dcterms:modified xsi:type="dcterms:W3CDTF">2025-09-10T07:30:00Z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2025-07-29T07:57:41Z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1946bd16-69da-4aa3-9379-5f84e28981aa</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