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3FBC" w14:textId="2B26CA11" w:rsidR="00331DB9" w:rsidRPr="00331DB9" w:rsidRDefault="004A6C66" w:rsidP="001E7F29">
      <w:pPr>
        <w:jc w:val="center"/>
        <w:rPr>
          <w:rFonts w:ascii="Times New Roman" w:hAnsi="Times New Roman"/>
          <w:b/>
        </w:rPr>
      </w:pPr>
      <w:r>
        <w:rPr>
          <w:rFonts w:ascii="Times New Roman" w:hAnsi="Times New Roman"/>
          <w:b/>
        </w:rPr>
        <w:t xml:space="preserve">Suite donnée à la résolution non législative du Parlement européen sur la préservation de la mémoire des victimes de la période communiste d’après-guerre en Slovénie </w:t>
      </w:r>
    </w:p>
    <w:p w14:paraId="2B2A5146" w14:textId="760AACC9" w:rsidR="005D439A" w:rsidRPr="003A4AF3" w:rsidRDefault="005D439A" w:rsidP="005D439A">
      <w:pPr>
        <w:numPr>
          <w:ilvl w:val="0"/>
          <w:numId w:val="33"/>
        </w:numPr>
        <w:rPr>
          <w:rFonts w:ascii="Times New Roman" w:hAnsi="Times New Roman"/>
          <w:b/>
          <w:szCs w:val="24"/>
          <w:lang w:val="nl-BE"/>
        </w:rPr>
      </w:pPr>
      <w:r w:rsidRPr="003A4AF3">
        <w:rPr>
          <w:rFonts w:ascii="Times New Roman" w:hAnsi="Times New Roman"/>
          <w:b/>
          <w:lang w:val="nl-BE"/>
        </w:rPr>
        <w:t xml:space="preserve">Rapporteur: </w:t>
      </w:r>
      <w:r w:rsidRPr="003A4AF3">
        <w:rPr>
          <w:rFonts w:ascii="Times New Roman" w:hAnsi="Times New Roman"/>
          <w:lang w:val="nl-BE"/>
        </w:rPr>
        <w:t>Bogdan RZOŃCA (ECR/PL)</w:t>
      </w:r>
    </w:p>
    <w:p w14:paraId="79C6ECC5" w14:textId="729C9BEB" w:rsidR="00804B84" w:rsidRPr="00092D4C" w:rsidRDefault="00535D4D" w:rsidP="006A76B3">
      <w:pPr>
        <w:pStyle w:val="Default"/>
        <w:numPr>
          <w:ilvl w:val="0"/>
          <w:numId w:val="33"/>
        </w:numPr>
        <w:spacing w:after="240"/>
        <w:jc w:val="both"/>
        <w:rPr>
          <w:i/>
          <w:iCs/>
        </w:rPr>
      </w:pPr>
      <w:r>
        <w:rPr>
          <w:b/>
        </w:rPr>
        <w:t xml:space="preserve">Numéro de référence du </w:t>
      </w:r>
      <w:proofErr w:type="gramStart"/>
      <w:r>
        <w:rPr>
          <w:b/>
        </w:rPr>
        <w:t>PE:</w:t>
      </w:r>
      <w:proofErr w:type="gramEnd"/>
      <w:r>
        <w:rPr>
          <w:b/>
        </w:rPr>
        <w:t xml:space="preserve"> </w:t>
      </w:r>
      <w:r>
        <w:t>2025/2575(RSP)</w:t>
      </w:r>
      <w:r>
        <w:rPr>
          <w:b/>
        </w:rPr>
        <w:t xml:space="preserve"> </w:t>
      </w:r>
      <w:r>
        <w:t>/</w:t>
      </w:r>
      <w:r>
        <w:rPr>
          <w:i/>
        </w:rPr>
        <w:t xml:space="preserve"> </w:t>
      </w:r>
      <w:r>
        <w:t>B10-0322/2025 / P10_TA(2025)0147</w:t>
      </w:r>
    </w:p>
    <w:p w14:paraId="0A458E87" w14:textId="6024F5F7" w:rsidR="005A00C3" w:rsidRPr="005D439A" w:rsidRDefault="004A6C66" w:rsidP="005D439A">
      <w:pPr>
        <w:numPr>
          <w:ilvl w:val="0"/>
          <w:numId w:val="33"/>
        </w:numPr>
        <w:rPr>
          <w:rFonts w:ascii="Times New Roman" w:hAnsi="Times New Roman"/>
          <w:szCs w:val="24"/>
        </w:rPr>
      </w:pPr>
      <w:r>
        <w:rPr>
          <w:rFonts w:ascii="Times New Roman" w:hAnsi="Times New Roman"/>
          <w:b/>
        </w:rPr>
        <w:t xml:space="preserve">Date d'adoption de la </w:t>
      </w:r>
      <w:proofErr w:type="gramStart"/>
      <w:r>
        <w:rPr>
          <w:rFonts w:ascii="Times New Roman" w:hAnsi="Times New Roman"/>
          <w:b/>
        </w:rPr>
        <w:t>résolution:</w:t>
      </w:r>
      <w:proofErr w:type="gramEnd"/>
      <w:r>
        <w:rPr>
          <w:rFonts w:ascii="Times New Roman" w:hAnsi="Times New Roman"/>
          <w:b/>
        </w:rPr>
        <w:t xml:space="preserve"> </w:t>
      </w:r>
      <w:r>
        <w:rPr>
          <w:rFonts w:ascii="Times New Roman" w:hAnsi="Times New Roman"/>
        </w:rPr>
        <w:t>8 juillet 2025</w:t>
      </w:r>
    </w:p>
    <w:p w14:paraId="29798771" w14:textId="5A99A3EF" w:rsidR="00EC0A27" w:rsidRPr="005D439A" w:rsidRDefault="00EC0A27" w:rsidP="005D439A">
      <w:pPr>
        <w:numPr>
          <w:ilvl w:val="0"/>
          <w:numId w:val="33"/>
        </w:numPr>
        <w:rPr>
          <w:rFonts w:ascii="Times New Roman" w:hAnsi="Times New Roman"/>
          <w:i/>
          <w:szCs w:val="24"/>
        </w:rPr>
      </w:pPr>
      <w:r>
        <w:rPr>
          <w:rFonts w:ascii="Times New Roman" w:hAnsi="Times New Roman"/>
          <w:b/>
        </w:rPr>
        <w:t xml:space="preserve">Commission parlementaire </w:t>
      </w:r>
      <w:proofErr w:type="gramStart"/>
      <w:r>
        <w:rPr>
          <w:rFonts w:ascii="Times New Roman" w:hAnsi="Times New Roman"/>
          <w:b/>
        </w:rPr>
        <w:t>compétente:</w:t>
      </w:r>
      <w:proofErr w:type="gramEnd"/>
      <w:r>
        <w:rPr>
          <w:rFonts w:ascii="Times New Roman" w:hAnsi="Times New Roman"/>
        </w:rPr>
        <w:t xml:space="preserve"> commission des pétitions (PETI)</w:t>
      </w:r>
    </w:p>
    <w:p w14:paraId="364DCEF2" w14:textId="3B81B4B2" w:rsidR="004A6C66" w:rsidRDefault="004A6C66" w:rsidP="005D439A">
      <w:pPr>
        <w:widowControl w:val="0"/>
        <w:numPr>
          <w:ilvl w:val="0"/>
          <w:numId w:val="33"/>
        </w:numPr>
        <w:rPr>
          <w:rFonts w:ascii="Times New Roman" w:hAnsi="Times New Roman"/>
          <w:szCs w:val="24"/>
        </w:rPr>
      </w:pPr>
      <w:r>
        <w:rPr>
          <w:rFonts w:ascii="Times New Roman" w:hAnsi="Times New Roman"/>
          <w:b/>
        </w:rPr>
        <w:t xml:space="preserve">Analyse/évaluation succincte de la résolution et des demandes qu’elle </w:t>
      </w:r>
      <w:proofErr w:type="gramStart"/>
      <w:r>
        <w:rPr>
          <w:rFonts w:ascii="Times New Roman" w:hAnsi="Times New Roman"/>
          <w:b/>
        </w:rPr>
        <w:t>contient:</w:t>
      </w:r>
      <w:proofErr w:type="gramEnd"/>
      <w:r>
        <w:rPr>
          <w:rFonts w:ascii="Times New Roman" w:hAnsi="Times New Roman"/>
        </w:rPr>
        <w:t xml:space="preserve"> </w:t>
      </w:r>
    </w:p>
    <w:p w14:paraId="74E4BBAE" w14:textId="04FCE0D2" w:rsidR="00B57C0C" w:rsidRDefault="00B57C0C" w:rsidP="00B57C0C">
      <w:pPr>
        <w:widowControl w:val="0"/>
        <w:rPr>
          <w:rFonts w:ascii="Times New Roman" w:hAnsi="Times New Roman"/>
          <w:szCs w:val="24"/>
        </w:rPr>
      </w:pPr>
      <w:r>
        <w:rPr>
          <w:rFonts w:ascii="Times New Roman" w:hAnsi="Times New Roman"/>
        </w:rPr>
        <w:t xml:space="preserve">La résolution du Parlement européen du 8 juillet 2025 a été adoptée en réponse à la pétition n° 0718/2023 de l’historien slovène </w:t>
      </w:r>
      <w:proofErr w:type="spellStart"/>
      <w:r>
        <w:rPr>
          <w:rFonts w:ascii="Times New Roman" w:hAnsi="Times New Roman"/>
        </w:rPr>
        <w:t>Mitja</w:t>
      </w:r>
      <w:proofErr w:type="spellEnd"/>
      <w:r>
        <w:rPr>
          <w:rFonts w:ascii="Times New Roman" w:hAnsi="Times New Roman"/>
        </w:rPr>
        <w:t xml:space="preserve"> Ferenc, qui appelait à préserver la mémoire des victimes des violences commises par le régime communiste d’après-guerre en Slovénie. La récente abolition de la Journée nationale de commémoration des victimes par le gouvernement slovène représente, selon la pétition, un déni de la vérité historique et un obstacle à la réconciliation. </w:t>
      </w:r>
    </w:p>
    <w:p w14:paraId="088FFCFF" w14:textId="744994D4" w:rsidR="00B57C0C" w:rsidRDefault="00B57C0C" w:rsidP="6841E0DA">
      <w:pPr>
        <w:widowControl w:val="0"/>
        <w:rPr>
          <w:rFonts w:ascii="Times New Roman" w:hAnsi="Times New Roman"/>
        </w:rPr>
      </w:pPr>
      <w:r>
        <w:rPr>
          <w:rFonts w:ascii="Times New Roman" w:hAnsi="Times New Roman"/>
        </w:rPr>
        <w:t>La Commission a réagi à la pétition en indiquant que si la préservation de la mémoire des crimes commis par les régimes totalitaires est essentielle pour la préservation des valeurs de l’Union, des droits fondamentaux, de l’état de droit et de la démocratie et, à ce titre, est au centre de la Journée européenne du souvenir du 23 août qui honore la mémoire des millions de victimes des régimes totalitaires, les politiques mémorielles relèvent de la compétence des États membres et que, par conséquent, la décision de la Slovénie d’abolir la Journée nationale ne relève pas du droit de l’Union. La Commission a également mentionné le soutien financier apporté à ce sujet dans le cadre du programme</w:t>
      </w:r>
      <w:proofErr w:type="gramStart"/>
      <w:r>
        <w:rPr>
          <w:rFonts w:ascii="Times New Roman" w:hAnsi="Times New Roman"/>
        </w:rPr>
        <w:t xml:space="preserve"> «Citoyens</w:t>
      </w:r>
      <w:proofErr w:type="gramEnd"/>
      <w:r>
        <w:rPr>
          <w:rFonts w:ascii="Times New Roman" w:hAnsi="Times New Roman"/>
        </w:rPr>
        <w:t xml:space="preserve">, égalité, droits et valeurs» (CERV). </w:t>
      </w:r>
    </w:p>
    <w:p w14:paraId="198AF189" w14:textId="45DF803A" w:rsidR="00EC652D" w:rsidRPr="00747D86" w:rsidRDefault="00B57C0C" w:rsidP="00EC652D">
      <w:pPr>
        <w:widowControl w:val="0"/>
        <w:rPr>
          <w:rFonts w:ascii="Times New Roman" w:hAnsi="Times New Roman"/>
          <w:szCs w:val="24"/>
        </w:rPr>
      </w:pPr>
      <w:r>
        <w:rPr>
          <w:rFonts w:ascii="Times New Roman" w:hAnsi="Times New Roman"/>
        </w:rPr>
        <w:t xml:space="preserve">Sur cette base, dans sa résolution, le Parlement condamne la suppression du programme de commémoration et demande aux autorités slovènes de veiller à ce qu’il soit procédé à des inhumations dignes et à ce que des sites commémoratifs à des fins de mémoire soient érigés; à faire figurer ces faits historiques dans les programmes éducatifs, ainsi qu’à poursuivre la mission d’enquête visant à mettre au jour les sites de fosses communes de grande ampleur et à documenter les crimes commis, garantissant ainsi la reconnaissance de ceux-ci et leur préservation dans la mémoire collective. </w:t>
      </w:r>
    </w:p>
    <w:p w14:paraId="5F59D19E" w14:textId="09E1E570" w:rsidR="00EC652D" w:rsidRPr="00EC652D" w:rsidRDefault="004A6C66" w:rsidP="005D439A">
      <w:pPr>
        <w:widowControl w:val="0"/>
        <w:numPr>
          <w:ilvl w:val="0"/>
          <w:numId w:val="33"/>
        </w:numPr>
        <w:rPr>
          <w:rFonts w:ascii="Times New Roman" w:hAnsi="Times New Roman"/>
          <w:bCs/>
          <w:iCs/>
          <w:szCs w:val="24"/>
        </w:rPr>
      </w:pPr>
      <w:r>
        <w:rPr>
          <w:rFonts w:ascii="Times New Roman" w:hAnsi="Times New Roman"/>
          <w:b/>
        </w:rPr>
        <w:t xml:space="preserve">Réponse à ces demandes et aperçu des mesures que la Commission a prises ou envisage de </w:t>
      </w:r>
      <w:proofErr w:type="gramStart"/>
      <w:r>
        <w:rPr>
          <w:rFonts w:ascii="Times New Roman" w:hAnsi="Times New Roman"/>
          <w:b/>
        </w:rPr>
        <w:t>prendre:</w:t>
      </w:r>
      <w:proofErr w:type="gramEnd"/>
      <w:r>
        <w:rPr>
          <w:rFonts w:ascii="Times New Roman" w:hAnsi="Times New Roman"/>
        </w:rPr>
        <w:t xml:space="preserve"> </w:t>
      </w:r>
    </w:p>
    <w:p w14:paraId="22ADA3DC" w14:textId="01C1A63B" w:rsidR="00EC652D" w:rsidRPr="001F1FE5" w:rsidRDefault="00EC652D" w:rsidP="00EC652D">
      <w:pPr>
        <w:widowControl w:val="0"/>
        <w:rPr>
          <w:rFonts w:ascii="Times New Roman" w:hAnsi="Times New Roman"/>
          <w:bCs/>
          <w:i/>
          <w:szCs w:val="24"/>
        </w:rPr>
      </w:pPr>
      <w:r>
        <w:rPr>
          <w:rFonts w:ascii="Times New Roman" w:hAnsi="Times New Roman"/>
          <w:i/>
        </w:rPr>
        <w:t>Paragraphe </w:t>
      </w:r>
      <w:proofErr w:type="gramStart"/>
      <w:r>
        <w:rPr>
          <w:rFonts w:ascii="Times New Roman" w:hAnsi="Times New Roman"/>
          <w:i/>
        </w:rPr>
        <w:t>12:</w:t>
      </w:r>
      <w:proofErr w:type="gramEnd"/>
      <w:r>
        <w:rPr>
          <w:rFonts w:ascii="Times New Roman" w:hAnsi="Times New Roman"/>
          <w:i/>
        </w:rPr>
        <w:t xml:space="preserve"> [le Parlement] rappelle que la Commission finance, dans le cadre du programme «Citoyens, égalité, droits et valeurs», des actions de commémoration et des projets éducatifs et de recherche qui se penchent sur les causes de l’émergence des régimes totalitaires, en particulier le nazisme, mais aussi le fascisme, le stalinisme et les régimes communistes, et qui rendent hommage aux victimes de leurs crimes;</w:t>
      </w:r>
    </w:p>
    <w:p w14:paraId="4DE01884" w14:textId="7D12C81F" w:rsidR="00EC652D" w:rsidRPr="001F1FE5" w:rsidRDefault="00EC652D" w:rsidP="00EC652D">
      <w:pPr>
        <w:widowControl w:val="0"/>
        <w:rPr>
          <w:rFonts w:ascii="Times New Roman" w:hAnsi="Times New Roman"/>
          <w:bCs/>
          <w:i/>
          <w:szCs w:val="24"/>
        </w:rPr>
      </w:pPr>
      <w:r>
        <w:rPr>
          <w:rFonts w:ascii="Times New Roman" w:hAnsi="Times New Roman"/>
          <w:i/>
        </w:rPr>
        <w:t xml:space="preserve">Paragraphe 14: [le Parlement] invite la Commission à poursuivre le programme de commémoration historique en prenant en considération toutes les tragédies, afin de soutenir dans toute l’Europe des projets qui se penchent sur l’histoire des crimes totalitaires, encouragent la culture de la mémoire et favorisent la réconciliation; rappelle que les crimes du régime communiste totalitaire yougoslave ne se limitent pas à la Slovénie et que ce régime a fait des victimes dans toutes les anciennes républiques et </w:t>
      </w:r>
      <w:r>
        <w:rPr>
          <w:rFonts w:ascii="Times New Roman" w:hAnsi="Times New Roman"/>
          <w:i/>
        </w:rPr>
        <w:lastRenderedPageBreak/>
        <w:t>régions autonomes de Yougoslavie;</w:t>
      </w:r>
    </w:p>
    <w:p w14:paraId="64423358" w14:textId="1A278B23" w:rsidR="00314345" w:rsidRPr="001F1FE5" w:rsidRDefault="00E26ACD" w:rsidP="00EC652D">
      <w:pPr>
        <w:widowControl w:val="0"/>
        <w:rPr>
          <w:rFonts w:ascii="Times New Roman" w:hAnsi="Times New Roman"/>
          <w:bCs/>
          <w:iCs/>
          <w:szCs w:val="24"/>
        </w:rPr>
      </w:pPr>
      <w:r>
        <w:rPr>
          <w:rFonts w:ascii="Times New Roman" w:hAnsi="Times New Roman"/>
        </w:rPr>
        <w:t xml:space="preserve">La Commission considère que le travail de mémoire et une réflexion critique sur la mémoire historique de l'Europe sont nécessaires pour sensibiliser les citoyens, en particulier les jeunes, à leur histoire et à leurs valeurs communes, qui sont le fondement d'un avenir commun. Le travail de mémoire devrait étudier les causes des régimes totalitaires de l’histoire moderne de l’Europe, en particulier le nazisme, qui a conduit à </w:t>
      </w:r>
      <w:proofErr w:type="gramStart"/>
      <w:r>
        <w:rPr>
          <w:rFonts w:ascii="Times New Roman" w:hAnsi="Times New Roman"/>
        </w:rPr>
        <w:t>l’Holocauste;</w:t>
      </w:r>
      <w:proofErr w:type="gramEnd"/>
      <w:r>
        <w:rPr>
          <w:rFonts w:ascii="Times New Roman" w:hAnsi="Times New Roman"/>
        </w:rPr>
        <w:t xml:space="preserve"> le fascisme; le stalinisme et des régimes communistes totalitaires, et devrait rendre hommage aux victimes de leurs crimes. </w:t>
      </w:r>
    </w:p>
    <w:p w14:paraId="5431E29F" w14:textId="77777777" w:rsidR="00314345" w:rsidRPr="001F1FE5" w:rsidRDefault="00314345" w:rsidP="00EC652D">
      <w:pPr>
        <w:widowControl w:val="0"/>
        <w:rPr>
          <w:rFonts w:ascii="Times New Roman" w:hAnsi="Times New Roman"/>
          <w:bCs/>
          <w:iCs/>
          <w:szCs w:val="24"/>
        </w:rPr>
      </w:pPr>
    </w:p>
    <w:p w14:paraId="54535280" w14:textId="036D1D24" w:rsidR="00314345" w:rsidRPr="001F1FE5" w:rsidRDefault="00314345" w:rsidP="6841E0DA">
      <w:pPr>
        <w:widowControl w:val="0"/>
        <w:rPr>
          <w:rFonts w:ascii="Times New Roman" w:hAnsi="Times New Roman"/>
        </w:rPr>
      </w:pPr>
      <w:r>
        <w:rPr>
          <w:rFonts w:ascii="Times New Roman" w:hAnsi="Times New Roman"/>
        </w:rPr>
        <w:t>C’est pourquoi la Commission s’engage sans réserve à soutenir les projets visant à remémorer les moments marquants de l’histoire moderne de l’Europe, tels que l’arrivée au pouvoir des régimes autoritaires et totalitaires, y compris les causes et les conséquences de ceux-ci. Cet engagement figure dans le règlement (UE) 2021/692 du Parlement européen et du Conseil du 28 avril 2021 établissant le programme CERV.</w:t>
      </w:r>
    </w:p>
    <w:p w14:paraId="284773C6" w14:textId="6A773002" w:rsidR="00314345" w:rsidRPr="001F1FE5" w:rsidRDefault="000443D4" w:rsidP="00EC652D">
      <w:pPr>
        <w:widowControl w:val="0"/>
        <w:rPr>
          <w:rFonts w:ascii="Times New Roman" w:hAnsi="Times New Roman"/>
          <w:bCs/>
          <w:iCs/>
          <w:szCs w:val="24"/>
        </w:rPr>
      </w:pPr>
      <w:r>
        <w:rPr>
          <w:rFonts w:ascii="Times New Roman" w:hAnsi="Times New Roman"/>
        </w:rPr>
        <w:t>Des actions spécifiques sont actuellement menées pour mettre en œuvre cet engagement. Un appel à propositions portant sur des subventions à l’action de l’UE dans le domaine du travail de mémoire européen dans le cadre du programme CERV est ouvert et les candidatures peuvent être introduites jusqu’au 1</w:t>
      </w:r>
      <w:r>
        <w:rPr>
          <w:rFonts w:ascii="Times New Roman" w:hAnsi="Times New Roman"/>
          <w:vertAlign w:val="superscript"/>
        </w:rPr>
        <w:t>er</w:t>
      </w:r>
      <w:r>
        <w:rPr>
          <w:rFonts w:ascii="Times New Roman" w:hAnsi="Times New Roman"/>
        </w:rPr>
        <w:t> octobre 2025. Le budget affecté à cet appel est de 2,4 millions d’euros pour cette priorité spécifique.</w:t>
      </w:r>
    </w:p>
    <w:sectPr w:rsidR="00314345" w:rsidRPr="001F1FE5" w:rsidSect="000A07D2">
      <w:footerReference w:type="even" r:id="rId11"/>
      <w:footerReference w:type="default" r:id="rId12"/>
      <w:footerReference w:type="first" r:id="rId13"/>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2A51" w14:textId="77777777" w:rsidR="000D3DA6" w:rsidRDefault="000D3DA6">
      <w:r>
        <w:separator/>
      </w:r>
    </w:p>
  </w:endnote>
  <w:endnote w:type="continuationSeparator" w:id="0">
    <w:p w14:paraId="6D3260E8" w14:textId="77777777" w:rsidR="000D3DA6" w:rsidRDefault="000D3DA6">
      <w:r>
        <w:continuationSeparator/>
      </w:r>
    </w:p>
  </w:endnote>
  <w:endnote w:type="continuationNotice" w:id="1">
    <w:p w14:paraId="1B9B0D4A" w14:textId="77777777" w:rsidR="000D3DA6" w:rsidRDefault="000D3D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1241"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4DFA29C5"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1E8F"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3721D28"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CEBF" w14:textId="77777777" w:rsidR="005E6EC2" w:rsidRDefault="005E6EC2" w:rsidP="00442B2E">
    <w:pPr>
      <w:pStyle w:val="Footer"/>
    </w:pPr>
    <w:r>
      <w:t xml:space="preserve">Commission européenne, 1049 Bruxelles – BELGIQUE </w:t>
    </w:r>
    <w:proofErr w:type="gramStart"/>
    <w:r>
      <w:t>Téléphone:</w:t>
    </w:r>
    <w:proofErr w:type="gramEnd"/>
    <w:r>
      <w:t xml:space="preserv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D368" w14:textId="77777777" w:rsidR="000D3DA6" w:rsidRDefault="000D3DA6">
      <w:r>
        <w:separator/>
      </w:r>
    </w:p>
  </w:footnote>
  <w:footnote w:type="continuationSeparator" w:id="0">
    <w:p w14:paraId="51012920" w14:textId="77777777" w:rsidR="000D3DA6" w:rsidRDefault="000D3DA6">
      <w:r>
        <w:continuationSeparator/>
      </w:r>
    </w:p>
  </w:footnote>
  <w:footnote w:type="continuationNotice" w:id="1">
    <w:p w14:paraId="19901BC9" w14:textId="77777777" w:rsidR="000D3DA6" w:rsidRDefault="000D3D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2F607F"/>
    <w:multiLevelType w:val="hybridMultilevel"/>
    <w:tmpl w:val="2EAE1878"/>
    <w:lvl w:ilvl="0" w:tplc="3228B35C">
      <w:start w:val="1"/>
      <w:numFmt w:val="bullet"/>
      <w:lvlText w:val="-"/>
      <w:lvlJc w:val="left"/>
      <w:pPr>
        <w:ind w:left="786" w:hanging="360"/>
      </w:pPr>
      <w:rPr>
        <w:rFonts w:ascii="Courier New" w:hAnsi="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B596461"/>
    <w:multiLevelType w:val="hybridMultilevel"/>
    <w:tmpl w:val="5726AA58"/>
    <w:lvl w:ilvl="0" w:tplc="94A62EB0">
      <w:start w:val="1"/>
      <w:numFmt w:val="decimal"/>
      <w:lvlText w:val="%1."/>
      <w:lvlJc w:val="left"/>
      <w:pPr>
        <w:ind w:left="360" w:hanging="360"/>
      </w:pPr>
      <w:rPr>
        <w:b/>
        <w:i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0"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3"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3"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834609195">
    <w:abstractNumId w:val="6"/>
  </w:num>
  <w:num w:numId="2" w16cid:durableId="171652927">
    <w:abstractNumId w:val="1"/>
  </w:num>
  <w:num w:numId="3" w16cid:durableId="569727697">
    <w:abstractNumId w:val="32"/>
  </w:num>
  <w:num w:numId="4" w16cid:durableId="761143288">
    <w:abstractNumId w:val="12"/>
  </w:num>
  <w:num w:numId="5" w16cid:durableId="11272722">
    <w:abstractNumId w:val="26"/>
  </w:num>
  <w:num w:numId="6" w16cid:durableId="782770010">
    <w:abstractNumId w:val="10"/>
  </w:num>
  <w:num w:numId="7" w16cid:durableId="1582178939">
    <w:abstractNumId w:val="5"/>
  </w:num>
  <w:num w:numId="8" w16cid:durableId="588390446">
    <w:abstractNumId w:val="15"/>
  </w:num>
  <w:num w:numId="9" w16cid:durableId="540169940">
    <w:abstractNumId w:val="31"/>
  </w:num>
  <w:num w:numId="10" w16cid:durableId="926959529">
    <w:abstractNumId w:val="22"/>
  </w:num>
  <w:num w:numId="11" w16cid:durableId="163055828">
    <w:abstractNumId w:val="24"/>
  </w:num>
  <w:num w:numId="12" w16cid:durableId="818498099">
    <w:abstractNumId w:val="11"/>
  </w:num>
  <w:num w:numId="13" w16cid:durableId="1476601677">
    <w:abstractNumId w:val="16"/>
  </w:num>
  <w:num w:numId="14" w16cid:durableId="346908523">
    <w:abstractNumId w:val="27"/>
  </w:num>
  <w:num w:numId="15" w16cid:durableId="1867909918">
    <w:abstractNumId w:val="14"/>
  </w:num>
  <w:num w:numId="16" w16cid:durableId="887691365">
    <w:abstractNumId w:val="33"/>
  </w:num>
  <w:num w:numId="17" w16cid:durableId="109052002">
    <w:abstractNumId w:val="30"/>
  </w:num>
  <w:num w:numId="18" w16cid:durableId="932930344">
    <w:abstractNumId w:val="20"/>
  </w:num>
  <w:num w:numId="19" w16cid:durableId="1815296700">
    <w:abstractNumId w:val="21"/>
  </w:num>
  <w:num w:numId="20" w16cid:durableId="1673946011">
    <w:abstractNumId w:val="25"/>
  </w:num>
  <w:num w:numId="21" w16cid:durableId="1719279227">
    <w:abstractNumId w:val="3"/>
  </w:num>
  <w:num w:numId="22" w16cid:durableId="895117912">
    <w:abstractNumId w:val="4"/>
  </w:num>
  <w:num w:numId="23" w16cid:durableId="942031350">
    <w:abstractNumId w:val="19"/>
  </w:num>
  <w:num w:numId="24" w16cid:durableId="586352541">
    <w:abstractNumId w:val="28"/>
  </w:num>
  <w:num w:numId="25" w16cid:durableId="76560440">
    <w:abstractNumId w:val="9"/>
  </w:num>
  <w:num w:numId="26" w16cid:durableId="709111737">
    <w:abstractNumId w:val="29"/>
  </w:num>
  <w:num w:numId="27" w16cid:durableId="487749275">
    <w:abstractNumId w:val="8"/>
  </w:num>
  <w:num w:numId="28" w16cid:durableId="266236028">
    <w:abstractNumId w:val="2"/>
  </w:num>
  <w:num w:numId="29" w16cid:durableId="905267234">
    <w:abstractNumId w:val="13"/>
  </w:num>
  <w:num w:numId="30" w16cid:durableId="1995910076">
    <w:abstractNumId w:val="23"/>
  </w:num>
  <w:num w:numId="31" w16cid:durableId="2021733199">
    <w:abstractNumId w:val="32"/>
  </w:num>
  <w:num w:numId="32" w16cid:durableId="493381111">
    <w:abstractNumId w:val="17"/>
  </w:num>
  <w:num w:numId="33" w16cid:durableId="1322079617">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6D4"/>
    <w:rsid w:val="000058C9"/>
    <w:rsid w:val="00005961"/>
    <w:rsid w:val="00005D46"/>
    <w:rsid w:val="00005DE3"/>
    <w:rsid w:val="0000613E"/>
    <w:rsid w:val="00006304"/>
    <w:rsid w:val="0000679D"/>
    <w:rsid w:val="000068F7"/>
    <w:rsid w:val="00006B10"/>
    <w:rsid w:val="00006C43"/>
    <w:rsid w:val="00006D49"/>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1BC"/>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658"/>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C65"/>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46D"/>
    <w:rsid w:val="000407AA"/>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3D4"/>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408"/>
    <w:rsid w:val="0009166A"/>
    <w:rsid w:val="000918B2"/>
    <w:rsid w:val="00091CE2"/>
    <w:rsid w:val="0009205D"/>
    <w:rsid w:val="00092442"/>
    <w:rsid w:val="0009257A"/>
    <w:rsid w:val="00092B44"/>
    <w:rsid w:val="00092C2D"/>
    <w:rsid w:val="00092D4C"/>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A3F"/>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3DA6"/>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3F"/>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34"/>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6E"/>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85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03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6D1"/>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1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64"/>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6F5F"/>
    <w:rsid w:val="001D72EF"/>
    <w:rsid w:val="001D7541"/>
    <w:rsid w:val="001D7715"/>
    <w:rsid w:val="001D7D0A"/>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F29"/>
    <w:rsid w:val="001F0008"/>
    <w:rsid w:val="001F00BC"/>
    <w:rsid w:val="001F04D8"/>
    <w:rsid w:val="001F08E5"/>
    <w:rsid w:val="001F09AF"/>
    <w:rsid w:val="001F0A12"/>
    <w:rsid w:val="001F0C8D"/>
    <w:rsid w:val="001F1458"/>
    <w:rsid w:val="001F1A7E"/>
    <w:rsid w:val="001F1ACF"/>
    <w:rsid w:val="001F1F32"/>
    <w:rsid w:val="001F1FE5"/>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4AA1"/>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3A"/>
    <w:rsid w:val="00262AC3"/>
    <w:rsid w:val="00262ACD"/>
    <w:rsid w:val="00262BA1"/>
    <w:rsid w:val="00262DD9"/>
    <w:rsid w:val="002630EB"/>
    <w:rsid w:val="002631AE"/>
    <w:rsid w:val="002633CF"/>
    <w:rsid w:val="00263439"/>
    <w:rsid w:val="002637D2"/>
    <w:rsid w:val="00263CF9"/>
    <w:rsid w:val="00263F17"/>
    <w:rsid w:val="002640CA"/>
    <w:rsid w:val="00264112"/>
    <w:rsid w:val="00264197"/>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14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637"/>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2C8"/>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55B"/>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45"/>
    <w:rsid w:val="00314397"/>
    <w:rsid w:val="003144BA"/>
    <w:rsid w:val="00314523"/>
    <w:rsid w:val="00314645"/>
    <w:rsid w:val="003149A3"/>
    <w:rsid w:val="00314B2A"/>
    <w:rsid w:val="00315000"/>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65"/>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0FFD"/>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AF3"/>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C2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9EB"/>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1E7C"/>
    <w:rsid w:val="004322D4"/>
    <w:rsid w:val="00432570"/>
    <w:rsid w:val="0043269D"/>
    <w:rsid w:val="00432A76"/>
    <w:rsid w:val="00432F05"/>
    <w:rsid w:val="004330BC"/>
    <w:rsid w:val="00433381"/>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36B"/>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49"/>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1EF5"/>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4F3E"/>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118"/>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48F"/>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BC0"/>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8B7"/>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CC9"/>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A40"/>
    <w:rsid w:val="00595CF0"/>
    <w:rsid w:val="00595ECA"/>
    <w:rsid w:val="0059622C"/>
    <w:rsid w:val="0059629E"/>
    <w:rsid w:val="005967D4"/>
    <w:rsid w:val="0059681A"/>
    <w:rsid w:val="00596B26"/>
    <w:rsid w:val="00596B65"/>
    <w:rsid w:val="00596CA5"/>
    <w:rsid w:val="00596DEF"/>
    <w:rsid w:val="00596E2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2E"/>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39A"/>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39B"/>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96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1EB3"/>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697"/>
    <w:rsid w:val="00666B90"/>
    <w:rsid w:val="006675B0"/>
    <w:rsid w:val="00667961"/>
    <w:rsid w:val="00667D30"/>
    <w:rsid w:val="0067002B"/>
    <w:rsid w:val="00670147"/>
    <w:rsid w:val="0067029D"/>
    <w:rsid w:val="00670403"/>
    <w:rsid w:val="006704C3"/>
    <w:rsid w:val="00670B0C"/>
    <w:rsid w:val="00670F2F"/>
    <w:rsid w:val="00671028"/>
    <w:rsid w:val="006711BD"/>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3D"/>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9759A"/>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6B3"/>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CFC"/>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584"/>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2F3A"/>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8A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518"/>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4D2"/>
    <w:rsid w:val="007B354B"/>
    <w:rsid w:val="007B3A86"/>
    <w:rsid w:val="007B3DE7"/>
    <w:rsid w:val="007B4246"/>
    <w:rsid w:val="007B43A1"/>
    <w:rsid w:val="007B4499"/>
    <w:rsid w:val="007B473D"/>
    <w:rsid w:val="007B4BFD"/>
    <w:rsid w:val="007B4D6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DD1"/>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648"/>
    <w:rsid w:val="007C59EB"/>
    <w:rsid w:val="007C5A14"/>
    <w:rsid w:val="007C5C83"/>
    <w:rsid w:val="007C5D8A"/>
    <w:rsid w:val="007C6321"/>
    <w:rsid w:val="007C6430"/>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B84"/>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1B90"/>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EE1"/>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16D"/>
    <w:rsid w:val="008443BA"/>
    <w:rsid w:val="0084458D"/>
    <w:rsid w:val="00844606"/>
    <w:rsid w:val="008446F6"/>
    <w:rsid w:val="00844AA5"/>
    <w:rsid w:val="008458D1"/>
    <w:rsid w:val="00845939"/>
    <w:rsid w:val="00845AEA"/>
    <w:rsid w:val="00845C2E"/>
    <w:rsid w:val="00845D3D"/>
    <w:rsid w:val="00845EF0"/>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42"/>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0CF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34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0D22"/>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45"/>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0CF"/>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415"/>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23B"/>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98D"/>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C6C"/>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870"/>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925"/>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D02"/>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3D"/>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0E"/>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EFA"/>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D8A"/>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A28"/>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6DB"/>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A95"/>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5E2"/>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5F2"/>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646"/>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0A"/>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1E"/>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0CC"/>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75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C0C"/>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337"/>
    <w:rsid w:val="00BA2652"/>
    <w:rsid w:val="00BA2914"/>
    <w:rsid w:val="00BA2B6F"/>
    <w:rsid w:val="00BA2CB1"/>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AF1"/>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284"/>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3C"/>
    <w:rsid w:val="00C16AB2"/>
    <w:rsid w:val="00C16C05"/>
    <w:rsid w:val="00C16F60"/>
    <w:rsid w:val="00C17036"/>
    <w:rsid w:val="00C17215"/>
    <w:rsid w:val="00C173AD"/>
    <w:rsid w:val="00C1758F"/>
    <w:rsid w:val="00C176CB"/>
    <w:rsid w:val="00C17B66"/>
    <w:rsid w:val="00C17DE5"/>
    <w:rsid w:val="00C17E68"/>
    <w:rsid w:val="00C17F3E"/>
    <w:rsid w:val="00C208D5"/>
    <w:rsid w:val="00C20B43"/>
    <w:rsid w:val="00C20CAB"/>
    <w:rsid w:val="00C20F7A"/>
    <w:rsid w:val="00C20FF5"/>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621"/>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97B"/>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950"/>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C"/>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97F96"/>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93A"/>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76"/>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0F2B"/>
    <w:rsid w:val="00D31170"/>
    <w:rsid w:val="00D311E7"/>
    <w:rsid w:val="00D31348"/>
    <w:rsid w:val="00D314AD"/>
    <w:rsid w:val="00D31582"/>
    <w:rsid w:val="00D31BDD"/>
    <w:rsid w:val="00D32151"/>
    <w:rsid w:val="00D324FC"/>
    <w:rsid w:val="00D32558"/>
    <w:rsid w:val="00D326B3"/>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8A5"/>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DD6"/>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50"/>
    <w:rsid w:val="00DB68DD"/>
    <w:rsid w:val="00DB6958"/>
    <w:rsid w:val="00DB6B9B"/>
    <w:rsid w:val="00DB6BDA"/>
    <w:rsid w:val="00DB6E0A"/>
    <w:rsid w:val="00DB6F45"/>
    <w:rsid w:val="00DB7168"/>
    <w:rsid w:val="00DB76E4"/>
    <w:rsid w:val="00DB77F0"/>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EA2"/>
    <w:rsid w:val="00E16F85"/>
    <w:rsid w:val="00E172CA"/>
    <w:rsid w:val="00E1738E"/>
    <w:rsid w:val="00E174D6"/>
    <w:rsid w:val="00E17545"/>
    <w:rsid w:val="00E17A6E"/>
    <w:rsid w:val="00E20190"/>
    <w:rsid w:val="00E2034C"/>
    <w:rsid w:val="00E20392"/>
    <w:rsid w:val="00E2040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ACD"/>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12"/>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CFF"/>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5A6"/>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7A"/>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1FF8"/>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2D"/>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55D"/>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B9C"/>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2F8"/>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058"/>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0C7"/>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90"/>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8BF"/>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297"/>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 w:val="0A9CCC0D"/>
    <w:rsid w:val="3412869B"/>
    <w:rsid w:val="59200B98"/>
    <w:rsid w:val="6841E0DA"/>
    <w:rsid w:val="750F2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0FEAE"/>
  <w15:docId w15:val="{108FB6DC-DE72-4D1A-A6DD-3147EEC3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B227B-992D-4541-849B-158134705C0B}">
  <ds:schemaRefs>
    <ds:schemaRef ds:uri="http://www.w3.org/XML/1998/namespace"/>
    <ds:schemaRef ds:uri="http://purl.org/dc/terms/"/>
    <ds:schemaRef ds:uri="af9dd6c6-cf8f-4aa4-be49-f1cc0da589a4"/>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1b1e5321-5d6d-40f3-a89c-b5482dd566c1"/>
    <ds:schemaRef ds:uri="http://schemas.microsoft.com/office/2006/metadata/properties"/>
  </ds:schemaRefs>
</ds:datastoreItem>
</file>

<file path=customXml/itemProps2.xml><?xml version="1.0" encoding="utf-8"?>
<ds:datastoreItem xmlns:ds="http://schemas.openxmlformats.org/officeDocument/2006/customXml" ds:itemID="{44DEAACB-59B4-4214-B149-5090E3DC30E3}">
  <ds:schemaRefs>
    <ds:schemaRef ds:uri="http://schemas.openxmlformats.org/officeDocument/2006/bibliography"/>
  </ds:schemaRefs>
</ds:datastoreItem>
</file>

<file path=customXml/itemProps3.xml><?xml version="1.0" encoding="utf-8"?>
<ds:datastoreItem xmlns:ds="http://schemas.openxmlformats.org/officeDocument/2006/customXml" ds:itemID="{D4D76292-0FA6-45E1-B267-6027DC266F05}">
  <ds:schemaRefs>
    <ds:schemaRef ds:uri="http://schemas.microsoft.com/sharepoint/v3/contenttype/forms"/>
  </ds:schemaRefs>
</ds:datastoreItem>
</file>

<file path=customXml/itemProps4.xml><?xml version="1.0" encoding="utf-8"?>
<ds:datastoreItem xmlns:ds="http://schemas.openxmlformats.org/officeDocument/2006/customXml" ds:itemID="{DFC7BE3C-014F-4153-A8FD-58D9B1B15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2</Pages>
  <Words>733</Words>
  <Characters>4001</Characters>
  <Application>Microsoft Office Word</Application>
  <DocSecurity>0</DocSecurity>
  <PresentationFormat>Microsoft Word 8.0b</PresentationFormat>
  <Lines>63</Lines>
  <Paragraphs>17</Paragraphs>
  <ScaleCrop>false</ScaleCrop>
  <Company>European Commission</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DODEKOVA Gabriela (SG)</cp:lastModifiedBy>
  <cp:revision>2</cp:revision>
  <cp:lastPrinted>2017-11-24T02:32:00Z</cp:lastPrinted>
  <dcterms:created xsi:type="dcterms:W3CDTF">2025-09-19T11:39:00Z</dcterms:created>
  <dcterms:modified xsi:type="dcterms:W3CDTF">2025-09-19T11:39:00Z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2023-02-09T16:17:08Z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0cc34465-c23b-45ab-a16d-3a3b8e9cf5a9</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