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C2523" w14:textId="71DDED2A" w:rsidR="00963420" w:rsidRPr="00C33439" w:rsidRDefault="00963420" w:rsidP="0084310E">
      <w:pPr>
        <w:spacing w:after="720"/>
        <w:jc w:val="center"/>
        <w:rPr>
          <w:rFonts w:ascii="Times New Roman" w:hAnsi="Times New Roman"/>
          <w:b/>
          <w:bCs/>
          <w:szCs w:val="24"/>
        </w:rPr>
      </w:pPr>
      <w:r w:rsidRPr="00C33439">
        <w:rPr>
          <w:rFonts w:ascii="Times New Roman" w:hAnsi="Times New Roman"/>
          <w:b/>
          <w:szCs w:val="24"/>
        </w:rPr>
        <w:t xml:space="preserve">Follow-up to the European Parliament non-legislative resolution </w:t>
      </w:r>
      <w:r w:rsidRPr="00C33439">
        <w:rPr>
          <w:rFonts w:ascii="Times New Roman" w:hAnsi="Times New Roman"/>
          <w:b/>
          <w:bCs/>
          <w:szCs w:val="24"/>
        </w:rPr>
        <w:t xml:space="preserve">on </w:t>
      </w:r>
      <w:r w:rsidR="007B1E9A" w:rsidRPr="007B1E9A">
        <w:rPr>
          <w:rFonts w:ascii="Times New Roman" w:hAnsi="Times New Roman"/>
          <w:b/>
          <w:bCs/>
          <w:szCs w:val="24"/>
        </w:rPr>
        <w:t>2023 and 2024 Commission reports on Albania </w:t>
      </w:r>
    </w:p>
    <w:p w14:paraId="16C965AB" w14:textId="609E30C3" w:rsidR="00963420" w:rsidRPr="007B1E9A" w:rsidRDefault="00963420" w:rsidP="0084310E">
      <w:pPr>
        <w:numPr>
          <w:ilvl w:val="0"/>
          <w:numId w:val="34"/>
        </w:numPr>
        <w:ind w:left="567" w:hanging="567"/>
        <w:rPr>
          <w:rFonts w:ascii="Times New Roman" w:hAnsi="Times New Roman"/>
          <w:iCs/>
          <w:szCs w:val="24"/>
          <w:lang w:val="en-IE"/>
        </w:rPr>
      </w:pPr>
      <w:r w:rsidRPr="00F669EB">
        <w:rPr>
          <w:rFonts w:ascii="Times New Roman" w:hAnsi="Times New Roman"/>
          <w:b/>
          <w:szCs w:val="24"/>
          <w:lang w:val="en-IE"/>
        </w:rPr>
        <w:t>Rapporteur:</w:t>
      </w:r>
      <w:r w:rsidRPr="00F669EB">
        <w:rPr>
          <w:rFonts w:ascii="Times New Roman" w:hAnsi="Times New Roman"/>
          <w:szCs w:val="24"/>
          <w:lang w:val="en-IE"/>
        </w:rPr>
        <w:t xml:space="preserve"> </w:t>
      </w:r>
      <w:r w:rsidR="00F669EB" w:rsidRPr="007B1E9A">
        <w:rPr>
          <w:rFonts w:ascii="Times New Roman" w:hAnsi="Times New Roman"/>
          <w:iCs/>
          <w:szCs w:val="24"/>
          <w:lang w:val="en-IE"/>
        </w:rPr>
        <w:t xml:space="preserve">Andreas SCHIEDER </w:t>
      </w:r>
      <w:r w:rsidRPr="007B1E9A">
        <w:rPr>
          <w:rFonts w:ascii="Times New Roman" w:hAnsi="Times New Roman"/>
          <w:iCs/>
          <w:szCs w:val="24"/>
          <w:lang w:val="en-IE"/>
        </w:rPr>
        <w:t>(</w:t>
      </w:r>
      <w:r w:rsidR="00F669EB" w:rsidRPr="007B1E9A">
        <w:rPr>
          <w:rFonts w:ascii="Times New Roman" w:hAnsi="Times New Roman"/>
          <w:iCs/>
          <w:szCs w:val="24"/>
          <w:lang w:val="en-IE"/>
        </w:rPr>
        <w:t>S&amp;D</w:t>
      </w:r>
      <w:r w:rsidR="00F12E19" w:rsidRPr="007B1E9A">
        <w:rPr>
          <w:rFonts w:ascii="Times New Roman" w:hAnsi="Times New Roman"/>
          <w:iCs/>
          <w:szCs w:val="24"/>
          <w:lang w:val="en-IE"/>
        </w:rPr>
        <w:t xml:space="preserve"> </w:t>
      </w:r>
      <w:r w:rsidRPr="007B1E9A">
        <w:rPr>
          <w:rFonts w:ascii="Times New Roman" w:hAnsi="Times New Roman"/>
          <w:b/>
          <w:iCs/>
          <w:szCs w:val="24"/>
          <w:lang w:val="en-IE"/>
        </w:rPr>
        <w:t>/</w:t>
      </w:r>
      <w:r w:rsidR="00F12E19" w:rsidRPr="007B1E9A">
        <w:rPr>
          <w:rFonts w:ascii="Times New Roman" w:hAnsi="Times New Roman"/>
          <w:b/>
          <w:iCs/>
          <w:szCs w:val="24"/>
          <w:lang w:val="en-IE"/>
        </w:rPr>
        <w:t xml:space="preserve"> </w:t>
      </w:r>
      <w:r w:rsidR="00F669EB" w:rsidRPr="007B1E9A">
        <w:rPr>
          <w:rFonts w:ascii="Times New Roman" w:hAnsi="Times New Roman"/>
          <w:iCs/>
          <w:szCs w:val="24"/>
          <w:lang w:val="en-IE"/>
        </w:rPr>
        <w:t>AT</w:t>
      </w:r>
      <w:r w:rsidRPr="007B1E9A">
        <w:rPr>
          <w:rFonts w:ascii="Times New Roman" w:hAnsi="Times New Roman"/>
          <w:iCs/>
          <w:szCs w:val="24"/>
          <w:lang w:val="en-IE"/>
        </w:rPr>
        <w:t>)</w:t>
      </w:r>
    </w:p>
    <w:p w14:paraId="474DFC34" w14:textId="20B286C7" w:rsidR="00963420" w:rsidRPr="00A0010B" w:rsidRDefault="00063DCE" w:rsidP="0084310E">
      <w:pPr>
        <w:pStyle w:val="Default"/>
        <w:numPr>
          <w:ilvl w:val="0"/>
          <w:numId w:val="34"/>
        </w:numPr>
        <w:spacing w:after="240"/>
        <w:ind w:left="567" w:hanging="567"/>
        <w:jc w:val="both"/>
        <w:rPr>
          <w:color w:val="auto"/>
          <w:lang w:val="en-US"/>
        </w:rPr>
      </w:pPr>
      <w:r>
        <w:rPr>
          <w:b/>
          <w:color w:val="auto"/>
          <w:lang w:val="en-GB"/>
        </w:rPr>
        <w:t>R</w:t>
      </w:r>
      <w:r w:rsidR="00963420" w:rsidRPr="001F0B89">
        <w:rPr>
          <w:b/>
          <w:color w:val="auto"/>
          <w:lang w:val="en-GB"/>
        </w:rPr>
        <w:t xml:space="preserve">eference number: </w:t>
      </w:r>
      <w:r w:rsidR="00DB3986" w:rsidRPr="007B1E9A">
        <w:rPr>
          <w:bCs/>
          <w:color w:val="auto"/>
          <w:lang w:val="en-GB"/>
        </w:rPr>
        <w:t>2025/2017(INI)</w:t>
      </w:r>
      <w:r w:rsidR="006E17E8">
        <w:rPr>
          <w:bCs/>
          <w:color w:val="auto"/>
          <w:lang w:val="en-GB"/>
        </w:rPr>
        <w:t xml:space="preserve"> </w:t>
      </w:r>
      <w:r w:rsidRPr="00F81748">
        <w:rPr>
          <w:rFonts w:eastAsia="Calibri"/>
          <w:bCs/>
          <w:iCs/>
          <w:lang w:val="en-GB" w:eastAsia="en-US"/>
        </w:rPr>
        <w:t>/</w:t>
      </w:r>
      <w:r w:rsidR="001F0B89" w:rsidRPr="00F81748">
        <w:rPr>
          <w:iCs/>
          <w:color w:val="auto"/>
          <w:lang w:val="en-GB"/>
        </w:rPr>
        <w:t xml:space="preserve"> </w:t>
      </w:r>
      <w:r w:rsidR="00F81748" w:rsidRPr="00F81748">
        <w:rPr>
          <w:iCs/>
          <w:color w:val="auto"/>
          <w:lang w:val="en-GB"/>
        </w:rPr>
        <w:t>A10-0106/2025</w:t>
      </w:r>
      <w:r w:rsidR="00CC2EC6">
        <w:rPr>
          <w:iCs/>
          <w:color w:val="auto"/>
          <w:lang w:val="en-GB"/>
        </w:rPr>
        <w:t xml:space="preserve"> </w:t>
      </w:r>
      <w:r w:rsidR="00F81748" w:rsidRPr="00F81748">
        <w:rPr>
          <w:iCs/>
          <w:color w:val="auto"/>
          <w:lang w:val="en-GB"/>
        </w:rPr>
        <w:t xml:space="preserve">/ </w:t>
      </w:r>
      <w:r w:rsidR="00FE7A13" w:rsidRPr="00FE7A13">
        <w:rPr>
          <w:iCs/>
          <w:color w:val="auto"/>
          <w:lang w:val="en-GB"/>
        </w:rPr>
        <w:t>P10</w:t>
      </w:r>
      <w:r w:rsidR="00F81748" w:rsidRPr="00514056">
        <w:rPr>
          <w:iCs/>
          <w:color w:val="auto"/>
          <w:lang w:val="en-GB"/>
        </w:rPr>
        <w:t>_</w:t>
      </w:r>
      <w:proofErr w:type="gramStart"/>
      <w:r w:rsidR="00FE7A13" w:rsidRPr="00514056">
        <w:rPr>
          <w:iCs/>
          <w:color w:val="auto"/>
          <w:lang w:val="en-GB"/>
        </w:rPr>
        <w:t>TA(</w:t>
      </w:r>
      <w:proofErr w:type="gramEnd"/>
      <w:r w:rsidR="00FE7A13" w:rsidRPr="00514056">
        <w:rPr>
          <w:iCs/>
          <w:color w:val="auto"/>
          <w:lang w:val="en-GB"/>
        </w:rPr>
        <w:t>2025</w:t>
      </w:r>
      <w:r w:rsidR="00FE7A13" w:rsidRPr="00FE7A13">
        <w:rPr>
          <w:iCs/>
          <w:color w:val="auto"/>
          <w:lang w:val="en-GB"/>
        </w:rPr>
        <w:t>)0155</w:t>
      </w:r>
    </w:p>
    <w:p w14:paraId="15D141BE" w14:textId="326E4C4D" w:rsidR="001F0B89" w:rsidRDefault="00963420" w:rsidP="0084310E">
      <w:pPr>
        <w:numPr>
          <w:ilvl w:val="0"/>
          <w:numId w:val="34"/>
        </w:numPr>
        <w:ind w:left="567" w:hanging="567"/>
        <w:rPr>
          <w:rFonts w:ascii="Times New Roman" w:hAnsi="Times New Roman"/>
          <w:szCs w:val="24"/>
        </w:rPr>
      </w:pPr>
      <w:r w:rsidRPr="001F0B89">
        <w:rPr>
          <w:rFonts w:ascii="Times New Roman" w:hAnsi="Times New Roman"/>
          <w:b/>
          <w:szCs w:val="24"/>
        </w:rPr>
        <w:t>Date of adoption of the resolution:</w:t>
      </w:r>
      <w:r w:rsidRPr="001F0B89">
        <w:rPr>
          <w:rFonts w:ascii="Times New Roman" w:hAnsi="Times New Roman"/>
          <w:szCs w:val="24"/>
        </w:rPr>
        <w:t xml:space="preserve"> </w:t>
      </w:r>
      <w:r w:rsidR="007B064E" w:rsidRPr="00A959FF">
        <w:rPr>
          <w:rFonts w:ascii="Times New Roman" w:hAnsi="Times New Roman"/>
          <w:iCs/>
          <w:szCs w:val="24"/>
        </w:rPr>
        <w:t>9 July 2025</w:t>
      </w:r>
    </w:p>
    <w:p w14:paraId="17D3CA40" w14:textId="5619A1FD" w:rsidR="00963420" w:rsidRPr="00A0010B" w:rsidRDefault="00963420" w:rsidP="0084310E">
      <w:pPr>
        <w:numPr>
          <w:ilvl w:val="0"/>
          <w:numId w:val="34"/>
        </w:numPr>
        <w:ind w:left="567" w:hanging="567"/>
        <w:rPr>
          <w:rFonts w:ascii="Times New Roman" w:hAnsi="Times New Roman"/>
          <w:i/>
          <w:szCs w:val="24"/>
        </w:rPr>
      </w:pPr>
      <w:r w:rsidRPr="001F0B89">
        <w:rPr>
          <w:rFonts w:ascii="Times New Roman" w:hAnsi="Times New Roman"/>
          <w:b/>
          <w:szCs w:val="24"/>
        </w:rPr>
        <w:t>Competent Parliamentary Committee:</w:t>
      </w:r>
      <w:r w:rsidRPr="00A0010B">
        <w:rPr>
          <w:rFonts w:ascii="Times New Roman" w:hAnsi="Times New Roman"/>
          <w:b/>
          <w:szCs w:val="24"/>
        </w:rPr>
        <w:t xml:space="preserve"> </w:t>
      </w:r>
      <w:r w:rsidR="00EA2741" w:rsidRPr="0014367F">
        <w:rPr>
          <w:rFonts w:ascii="Times New Roman" w:hAnsi="Times New Roman"/>
          <w:szCs w:val="24"/>
        </w:rPr>
        <w:t>Committee on</w:t>
      </w:r>
      <w:r w:rsidR="00EA2741" w:rsidRPr="00A0010B">
        <w:rPr>
          <w:rFonts w:ascii="Times New Roman" w:hAnsi="Times New Roman"/>
          <w:i/>
          <w:szCs w:val="24"/>
        </w:rPr>
        <w:t xml:space="preserve"> </w:t>
      </w:r>
      <w:r w:rsidR="00F81748" w:rsidRPr="00A959FF">
        <w:rPr>
          <w:rFonts w:ascii="Times New Roman" w:hAnsi="Times New Roman"/>
          <w:iCs/>
          <w:szCs w:val="24"/>
        </w:rPr>
        <w:t>Foreign Affairs</w:t>
      </w:r>
      <w:r w:rsidR="00A959FF" w:rsidRPr="00A959FF">
        <w:rPr>
          <w:rFonts w:ascii="Times New Roman" w:hAnsi="Times New Roman"/>
          <w:iCs/>
          <w:szCs w:val="24"/>
        </w:rPr>
        <w:t xml:space="preserve"> (AFET)</w:t>
      </w:r>
    </w:p>
    <w:p w14:paraId="3302C3E1" w14:textId="66729C03" w:rsidR="00963420" w:rsidRDefault="00963420" w:rsidP="0084310E">
      <w:pPr>
        <w:widowControl w:val="0"/>
        <w:numPr>
          <w:ilvl w:val="0"/>
          <w:numId w:val="34"/>
        </w:numPr>
        <w:ind w:left="567" w:hanging="567"/>
        <w:rPr>
          <w:rFonts w:ascii="Times New Roman" w:hAnsi="Times New Roman"/>
          <w:b/>
          <w:szCs w:val="24"/>
        </w:rPr>
      </w:pPr>
      <w:r w:rsidRPr="00C33439">
        <w:rPr>
          <w:rFonts w:ascii="Times New Roman" w:hAnsi="Times New Roman"/>
          <w:b/>
          <w:szCs w:val="24"/>
        </w:rPr>
        <w:t>Brief analysis/</w:t>
      </w:r>
      <w:r w:rsidR="00AB3960" w:rsidRPr="00C33439">
        <w:rPr>
          <w:rFonts w:ascii="Times New Roman" w:hAnsi="Times New Roman"/>
          <w:b/>
          <w:szCs w:val="24"/>
        </w:rPr>
        <w:t xml:space="preserve"> </w:t>
      </w:r>
      <w:r w:rsidRPr="00C33439">
        <w:rPr>
          <w:rFonts w:ascii="Times New Roman" w:hAnsi="Times New Roman"/>
          <w:b/>
          <w:szCs w:val="24"/>
        </w:rPr>
        <w:t>assessment of the resolution and requests made in it:</w:t>
      </w:r>
      <w:r w:rsidR="00146971">
        <w:rPr>
          <w:rFonts w:ascii="Times New Roman" w:hAnsi="Times New Roman"/>
          <w:b/>
          <w:szCs w:val="24"/>
        </w:rPr>
        <w:t xml:space="preserve"> </w:t>
      </w:r>
    </w:p>
    <w:p w14:paraId="5099F2B8" w14:textId="48D4858D" w:rsidR="00206A97" w:rsidRPr="00206A97" w:rsidRDefault="00206A97" w:rsidP="14B1D423">
      <w:pPr>
        <w:widowControl w:val="0"/>
        <w:rPr>
          <w:rFonts w:ascii="Times New Roman" w:hAnsi="Times New Roman"/>
        </w:rPr>
      </w:pPr>
      <w:r w:rsidRPr="793C5097">
        <w:rPr>
          <w:rFonts w:ascii="Times New Roman" w:hAnsi="Times New Roman"/>
        </w:rPr>
        <w:t>The report welcomes the Albania’s steadfast commitment to EU integration, highlighting the broad political and public support behind this goal. It commends Albania’s alignment with the EU’s Common Foreign and Security Policy and its role in upholding the international rules-based order. The report acknowledges Albania’s ambition to conclude accession negotiations by 2027</w:t>
      </w:r>
      <w:r w:rsidR="7BC5A1D6" w:rsidRPr="793C5097">
        <w:rPr>
          <w:rFonts w:ascii="Times New Roman" w:hAnsi="Times New Roman"/>
        </w:rPr>
        <w:t>,</w:t>
      </w:r>
      <w:r w:rsidRPr="793C5097">
        <w:rPr>
          <w:rFonts w:ascii="Times New Roman" w:hAnsi="Times New Roman"/>
        </w:rPr>
        <w:t xml:space="preserve"> and the progress made in opening multiple negotiating clusters. At the same time, it urges the country to accelerate reforms in key areas such as the rule of law, anti-corruption, media freedom, and protection of fundamental rights.</w:t>
      </w:r>
    </w:p>
    <w:p w14:paraId="794753A5" w14:textId="75F1674C" w:rsidR="00206A97" w:rsidRPr="00206A97" w:rsidRDefault="00206A97" w:rsidP="00206A97">
      <w:pPr>
        <w:widowControl w:val="0"/>
        <w:rPr>
          <w:rFonts w:ascii="Times New Roman" w:hAnsi="Times New Roman"/>
          <w:bCs/>
          <w:szCs w:val="24"/>
        </w:rPr>
      </w:pPr>
      <w:r w:rsidRPr="00206A97">
        <w:rPr>
          <w:rFonts w:ascii="Times New Roman" w:hAnsi="Times New Roman"/>
          <w:bCs/>
          <w:szCs w:val="24"/>
        </w:rPr>
        <w:t>The report underscores the importance of overcoming political polarisation and building inclusive political dialogue. It raises concerns over foreign malign influence, media freedom deterioration, and the use of strategic lawsuits</w:t>
      </w:r>
      <w:r w:rsidR="00E55BF4">
        <w:rPr>
          <w:rFonts w:ascii="Times New Roman" w:hAnsi="Times New Roman"/>
          <w:bCs/>
          <w:szCs w:val="24"/>
        </w:rPr>
        <w:t xml:space="preserve"> against public participation</w:t>
      </w:r>
      <w:r w:rsidRPr="00206A97">
        <w:rPr>
          <w:rFonts w:ascii="Times New Roman" w:hAnsi="Times New Roman"/>
          <w:bCs/>
          <w:szCs w:val="24"/>
        </w:rPr>
        <w:t xml:space="preserve"> (SLAPPs) against journalists and activists. </w:t>
      </w:r>
      <w:r>
        <w:rPr>
          <w:rFonts w:ascii="Times New Roman" w:hAnsi="Times New Roman"/>
          <w:bCs/>
          <w:szCs w:val="24"/>
        </w:rPr>
        <w:t xml:space="preserve">It </w:t>
      </w:r>
      <w:r w:rsidRPr="00206A97">
        <w:rPr>
          <w:rFonts w:ascii="Times New Roman" w:hAnsi="Times New Roman"/>
          <w:bCs/>
          <w:szCs w:val="24"/>
        </w:rPr>
        <w:t xml:space="preserve">calls for greater protections for journalists and a stronger role for civil society in the EU integration process. On fundamental rights, it stresses the need for Albania to enhance its legal and institutional response to gender-based violence, </w:t>
      </w:r>
      <w:r w:rsidR="00A32BC0">
        <w:rPr>
          <w:rFonts w:ascii="Times New Roman" w:hAnsi="Times New Roman"/>
          <w:bCs/>
          <w:szCs w:val="24"/>
        </w:rPr>
        <w:t>protect the rights of persons belonging to minorities</w:t>
      </w:r>
      <w:r w:rsidRPr="00206A97">
        <w:rPr>
          <w:rFonts w:ascii="Times New Roman" w:hAnsi="Times New Roman"/>
          <w:bCs/>
          <w:szCs w:val="24"/>
        </w:rPr>
        <w:t>, and combat discrimination.</w:t>
      </w:r>
    </w:p>
    <w:p w14:paraId="308F9A8F" w14:textId="4060E304" w:rsidR="00206A97" w:rsidRPr="00206A97" w:rsidRDefault="00206A97" w:rsidP="00206A97">
      <w:pPr>
        <w:widowControl w:val="0"/>
        <w:rPr>
          <w:rFonts w:ascii="Times New Roman" w:hAnsi="Times New Roman"/>
          <w:bCs/>
          <w:szCs w:val="24"/>
        </w:rPr>
      </w:pPr>
      <w:r w:rsidRPr="00206A97">
        <w:rPr>
          <w:rFonts w:ascii="Times New Roman" w:hAnsi="Times New Roman"/>
          <w:bCs/>
          <w:szCs w:val="24"/>
        </w:rPr>
        <w:t>In the areas of justice and the rule of law, the report highlights persistent political interference in the judiciary and calls for urgent action to guarantee its independence and integrity. It presses for continued alignment of Albanian legislation with the EU acquis, particularly in fighting organised crime, cyber threats, and human trafficking. On socio-economic matters, the report praises Albania’s commitment to EU-led growth plans and structural reforms, while urging improvements in social protection, education, and public services. It also stresses that significant efforts are still needed to align with EU environmental standards and to promote sustainable development and energy transition.</w:t>
      </w:r>
    </w:p>
    <w:p w14:paraId="0C216549" w14:textId="2D3D7CD0" w:rsidR="00963420" w:rsidRPr="00F32BDB" w:rsidRDefault="00963420" w:rsidP="0084310E">
      <w:pPr>
        <w:widowControl w:val="0"/>
        <w:numPr>
          <w:ilvl w:val="0"/>
          <w:numId w:val="34"/>
        </w:numPr>
        <w:ind w:left="567" w:hanging="567"/>
        <w:rPr>
          <w:rFonts w:ascii="Times New Roman" w:hAnsi="Times New Roman"/>
          <w:b/>
          <w:szCs w:val="24"/>
        </w:rPr>
      </w:pPr>
      <w:r w:rsidRPr="00C33439">
        <w:rPr>
          <w:rFonts w:ascii="Times New Roman" w:hAnsi="Times New Roman"/>
          <w:b/>
          <w:szCs w:val="24"/>
        </w:rPr>
        <w:t>Response to requests and overview of action taken, or intended to be taken, by the Commission:</w:t>
      </w:r>
      <w:r w:rsidR="00146971">
        <w:rPr>
          <w:rFonts w:ascii="Times New Roman" w:hAnsi="Times New Roman"/>
          <w:b/>
          <w:szCs w:val="24"/>
        </w:rPr>
        <w:t xml:space="preserve"> </w:t>
      </w:r>
    </w:p>
    <w:p w14:paraId="6FA4D9DB" w14:textId="09755452" w:rsidR="00F32BDB" w:rsidRPr="00AE75A7" w:rsidRDefault="00F32BDB" w:rsidP="793C5097">
      <w:pPr>
        <w:widowControl w:val="0"/>
        <w:spacing w:line="259" w:lineRule="auto"/>
        <w:rPr>
          <w:rFonts w:ascii="Times New Roman" w:hAnsi="Times New Roman"/>
          <w:lang w:val="en-IE"/>
        </w:rPr>
      </w:pPr>
      <w:r w:rsidRPr="793C5097">
        <w:rPr>
          <w:rFonts w:ascii="Times New Roman" w:hAnsi="Times New Roman"/>
        </w:rPr>
        <w:t xml:space="preserve">On </w:t>
      </w:r>
      <w:r w:rsidRPr="793C5097">
        <w:rPr>
          <w:rFonts w:ascii="Times New Roman" w:hAnsi="Times New Roman"/>
          <w:b/>
          <w:bCs/>
        </w:rPr>
        <w:t>paragraph 9</w:t>
      </w:r>
      <w:r w:rsidRPr="793C5097">
        <w:rPr>
          <w:rFonts w:ascii="Times New Roman" w:hAnsi="Times New Roman"/>
        </w:rPr>
        <w:t xml:space="preserve"> </w:t>
      </w:r>
      <w:r w:rsidRPr="793C5097">
        <w:rPr>
          <w:rFonts w:ascii="Times New Roman" w:hAnsi="Times New Roman"/>
          <w:b/>
          <w:bCs/>
        </w:rPr>
        <w:t xml:space="preserve">on </w:t>
      </w:r>
      <w:r w:rsidR="0063026D" w:rsidRPr="793C5097">
        <w:rPr>
          <w:rFonts w:ascii="Times New Roman" w:hAnsi="Times New Roman"/>
          <w:b/>
          <w:bCs/>
        </w:rPr>
        <w:t xml:space="preserve">monitoring </w:t>
      </w:r>
      <w:r w:rsidRPr="793C5097">
        <w:rPr>
          <w:rFonts w:ascii="Times New Roman" w:hAnsi="Times New Roman"/>
          <w:b/>
          <w:bCs/>
        </w:rPr>
        <w:t>Albania’s exposure to foreign malign influence</w:t>
      </w:r>
      <w:r w:rsidR="0063026D" w:rsidRPr="793C5097">
        <w:rPr>
          <w:rFonts w:ascii="Times New Roman" w:hAnsi="Times New Roman"/>
          <w:b/>
          <w:bCs/>
        </w:rPr>
        <w:t>,</w:t>
      </w:r>
      <w:r w:rsidR="00444308">
        <w:t xml:space="preserve"> </w:t>
      </w:r>
      <w:r w:rsidR="00444308" w:rsidRPr="793C5097">
        <w:rPr>
          <w:rFonts w:ascii="Times New Roman" w:hAnsi="Times New Roman"/>
        </w:rPr>
        <w:t xml:space="preserve">the Commission coordinates with the European External Action Service (EEAS) and </w:t>
      </w:r>
      <w:r w:rsidR="00444308" w:rsidRPr="793C5097">
        <w:rPr>
          <w:rFonts w:ascii="Times New Roman" w:hAnsi="Times New Roman"/>
          <w:lang w:val="en-IE"/>
        </w:rPr>
        <w:t xml:space="preserve">specifically the EU Hybrid Fusion Cell, which </w:t>
      </w:r>
      <w:r w:rsidR="0096305F" w:rsidRPr="793C5097">
        <w:rPr>
          <w:rFonts w:ascii="Times New Roman" w:hAnsi="Times New Roman"/>
          <w:lang w:val="en-IE"/>
        </w:rPr>
        <w:t>analyses</w:t>
      </w:r>
      <w:r w:rsidR="00444308" w:rsidRPr="793C5097">
        <w:rPr>
          <w:rFonts w:ascii="Times New Roman" w:hAnsi="Times New Roman"/>
          <w:lang w:val="en-IE"/>
        </w:rPr>
        <w:t xml:space="preserve"> hybrid </w:t>
      </w:r>
      <w:r w:rsidR="00444308" w:rsidRPr="00C928BD">
        <w:rPr>
          <w:rFonts w:ascii="Times New Roman" w:hAnsi="Times New Roman"/>
          <w:lang w:val="en-IE"/>
        </w:rPr>
        <w:t xml:space="preserve">threats, </w:t>
      </w:r>
      <w:r w:rsidR="00322D40" w:rsidRPr="00FE6357">
        <w:rPr>
          <w:rFonts w:ascii="Times New Roman" w:hAnsi="Times New Roman"/>
        </w:rPr>
        <w:t xml:space="preserve">and the </w:t>
      </w:r>
      <w:r w:rsidR="00782401" w:rsidRPr="00FE6357">
        <w:rPr>
          <w:rFonts w:ascii="Times New Roman" w:hAnsi="Times New Roman"/>
        </w:rPr>
        <w:t xml:space="preserve">EEAS </w:t>
      </w:r>
      <w:proofErr w:type="spellStart"/>
      <w:r w:rsidR="00322D40" w:rsidRPr="00FE6357">
        <w:rPr>
          <w:rFonts w:ascii="Times New Roman" w:hAnsi="Times New Roman"/>
        </w:rPr>
        <w:t>stratcom</w:t>
      </w:r>
      <w:proofErr w:type="spellEnd"/>
      <w:r w:rsidR="00322D40" w:rsidRPr="00FE6357">
        <w:rPr>
          <w:rFonts w:ascii="Times New Roman" w:hAnsi="Times New Roman"/>
        </w:rPr>
        <w:t xml:space="preserve"> Western Balkans Task Force (WBTF) </w:t>
      </w:r>
      <w:r w:rsidR="00322D40" w:rsidRPr="00C928BD">
        <w:rPr>
          <w:rFonts w:ascii="Times New Roman" w:hAnsi="Times New Roman"/>
        </w:rPr>
        <w:t xml:space="preserve">monitors Kremlin-aligned narratives and other state-sponsored propaganda targeting Western Balkans </w:t>
      </w:r>
      <w:r w:rsidR="00322D40" w:rsidRPr="00FE6357">
        <w:rPr>
          <w:rFonts w:ascii="Times New Roman" w:hAnsi="Times New Roman"/>
        </w:rPr>
        <w:t xml:space="preserve">partners </w:t>
      </w:r>
      <w:r w:rsidR="00322D40" w:rsidRPr="00C928BD">
        <w:rPr>
          <w:rFonts w:ascii="Times New Roman" w:hAnsi="Times New Roman"/>
        </w:rPr>
        <w:t>and work</w:t>
      </w:r>
      <w:r w:rsidR="00322D40" w:rsidRPr="00FE6357">
        <w:rPr>
          <w:rFonts w:ascii="Times New Roman" w:hAnsi="Times New Roman"/>
        </w:rPr>
        <w:t>s</w:t>
      </w:r>
      <w:r w:rsidR="00322D40" w:rsidRPr="00C928BD">
        <w:rPr>
          <w:rFonts w:ascii="Times New Roman" w:hAnsi="Times New Roman"/>
        </w:rPr>
        <w:t xml:space="preserve"> with </w:t>
      </w:r>
      <w:r w:rsidR="00322D40" w:rsidRPr="00FE6357">
        <w:rPr>
          <w:rFonts w:ascii="Times New Roman" w:hAnsi="Times New Roman"/>
        </w:rPr>
        <w:t>–</w:t>
      </w:r>
      <w:r w:rsidR="00BD45CB" w:rsidRPr="00FE6357">
        <w:rPr>
          <w:rFonts w:ascii="Times New Roman" w:hAnsi="Times New Roman"/>
        </w:rPr>
        <w:t xml:space="preserve"> </w:t>
      </w:r>
      <w:r w:rsidR="00322D40" w:rsidRPr="00FE6357">
        <w:rPr>
          <w:rFonts w:ascii="Times New Roman" w:hAnsi="Times New Roman"/>
        </w:rPr>
        <w:t>among others –</w:t>
      </w:r>
      <w:r w:rsidR="00322D40" w:rsidRPr="00C928BD">
        <w:rPr>
          <w:rFonts w:ascii="Times New Roman" w:hAnsi="Times New Roman"/>
        </w:rPr>
        <w:t xml:space="preserve">  </w:t>
      </w:r>
      <w:proofErr w:type="spellStart"/>
      <w:r w:rsidR="00322D40" w:rsidRPr="00C928BD">
        <w:rPr>
          <w:rFonts w:ascii="Times New Roman" w:hAnsi="Times New Roman"/>
        </w:rPr>
        <w:t>EUvsDisinfo</w:t>
      </w:r>
      <w:proofErr w:type="spellEnd"/>
      <w:r w:rsidR="00322D40" w:rsidRPr="00C928BD">
        <w:rPr>
          <w:rFonts w:ascii="Times New Roman" w:hAnsi="Times New Roman"/>
        </w:rPr>
        <w:t xml:space="preserve">, a platform that identifies and debunks disinformation, particularly of Russian origin. </w:t>
      </w:r>
      <w:r w:rsidR="00626AA6" w:rsidRPr="00C928BD">
        <w:rPr>
          <w:rFonts w:ascii="Times New Roman" w:hAnsi="Times New Roman"/>
          <w:lang w:val="en-IE"/>
        </w:rPr>
        <w:t xml:space="preserve">Albania adopted a </w:t>
      </w:r>
      <w:r w:rsidR="28A95CC9" w:rsidRPr="00C928BD">
        <w:rPr>
          <w:rFonts w:ascii="Times New Roman" w:hAnsi="Times New Roman"/>
          <w:lang w:val="en-IE"/>
        </w:rPr>
        <w:t>n</w:t>
      </w:r>
      <w:r w:rsidR="003C5C42" w:rsidRPr="00C928BD">
        <w:rPr>
          <w:rFonts w:ascii="Times New Roman" w:hAnsi="Times New Roman"/>
          <w:lang w:val="en-IE"/>
        </w:rPr>
        <w:t xml:space="preserve">ational strategy on all forms of interference in democratic </w:t>
      </w:r>
      <w:r w:rsidR="003C5C42" w:rsidRPr="793C5097">
        <w:rPr>
          <w:rFonts w:ascii="Times New Roman" w:hAnsi="Times New Roman"/>
          <w:lang w:val="en-IE"/>
        </w:rPr>
        <w:t xml:space="preserve">processes including disinformation </w:t>
      </w:r>
      <w:r w:rsidR="00492F72" w:rsidRPr="793C5097">
        <w:rPr>
          <w:rFonts w:ascii="Times New Roman" w:hAnsi="Times New Roman"/>
          <w:lang w:val="en-IE"/>
        </w:rPr>
        <w:t xml:space="preserve">on 3 July, which the Commission supported through </w:t>
      </w:r>
      <w:r w:rsidR="00BE20B4" w:rsidRPr="00BE20B4">
        <w:rPr>
          <w:rFonts w:ascii="Times New Roman" w:hAnsi="Times New Roman"/>
          <w:lang w:val="en-IE"/>
        </w:rPr>
        <w:t>Technical Assistance and Information Exchange</w:t>
      </w:r>
      <w:r w:rsidR="00BE20B4">
        <w:rPr>
          <w:rFonts w:ascii="Times New Roman" w:hAnsi="Times New Roman"/>
          <w:lang w:val="en-IE"/>
        </w:rPr>
        <w:t xml:space="preserve"> (</w:t>
      </w:r>
      <w:r w:rsidR="00492F72" w:rsidRPr="793C5097">
        <w:rPr>
          <w:rFonts w:ascii="Times New Roman" w:hAnsi="Times New Roman"/>
          <w:lang w:val="en-IE"/>
        </w:rPr>
        <w:t>TAIEX</w:t>
      </w:r>
      <w:r w:rsidR="00BE20B4">
        <w:rPr>
          <w:rFonts w:ascii="Times New Roman" w:hAnsi="Times New Roman"/>
          <w:lang w:val="en-IE"/>
        </w:rPr>
        <w:t>)</w:t>
      </w:r>
      <w:r w:rsidR="00492F72" w:rsidRPr="793C5097">
        <w:rPr>
          <w:rFonts w:ascii="Times New Roman" w:hAnsi="Times New Roman"/>
          <w:lang w:val="en-IE"/>
        </w:rPr>
        <w:t xml:space="preserve">. </w:t>
      </w:r>
      <w:r w:rsidR="003F2D3B" w:rsidRPr="793C5097">
        <w:rPr>
          <w:rFonts w:ascii="Times New Roman" w:hAnsi="Times New Roman"/>
          <w:lang w:val="en-IE"/>
        </w:rPr>
        <w:t>T</w:t>
      </w:r>
      <w:r w:rsidR="0096305F" w:rsidRPr="793C5097">
        <w:rPr>
          <w:rFonts w:ascii="Times New Roman" w:hAnsi="Times New Roman"/>
          <w:lang w:val="en-IE"/>
        </w:rPr>
        <w:t xml:space="preserve">he EU-Albania Security and Defence Partnership </w:t>
      </w:r>
      <w:r w:rsidR="003F2D3B" w:rsidRPr="793C5097">
        <w:rPr>
          <w:rFonts w:ascii="Times New Roman" w:hAnsi="Times New Roman"/>
          <w:lang w:val="en-IE"/>
        </w:rPr>
        <w:t xml:space="preserve">also </w:t>
      </w:r>
      <w:r w:rsidR="0096305F" w:rsidRPr="793C5097">
        <w:rPr>
          <w:rFonts w:ascii="Times New Roman" w:hAnsi="Times New Roman"/>
          <w:lang w:val="en-IE"/>
        </w:rPr>
        <w:t xml:space="preserve">includes cooperation on cybersecurity. In addition, </w:t>
      </w:r>
      <w:r w:rsidR="15EC68C5" w:rsidRPr="793C5097">
        <w:rPr>
          <w:rFonts w:ascii="Times New Roman" w:hAnsi="Times New Roman"/>
        </w:rPr>
        <w:t xml:space="preserve">through </w:t>
      </w:r>
      <w:r w:rsidR="0086473F">
        <w:rPr>
          <w:rFonts w:ascii="Times New Roman" w:hAnsi="Times New Roman"/>
        </w:rPr>
        <w:t>the Instrument for pre-Accession Assistance (</w:t>
      </w:r>
      <w:r w:rsidR="0096305F" w:rsidRPr="793C5097">
        <w:rPr>
          <w:rFonts w:ascii="Times New Roman" w:hAnsi="Times New Roman"/>
          <w:lang w:val="en-IE"/>
        </w:rPr>
        <w:t>IPA</w:t>
      </w:r>
      <w:r w:rsidR="0086473F">
        <w:rPr>
          <w:rFonts w:ascii="Times New Roman" w:hAnsi="Times New Roman"/>
          <w:lang w:val="en-IE"/>
        </w:rPr>
        <w:t>)</w:t>
      </w:r>
      <w:r w:rsidR="0096305F" w:rsidRPr="793C5097">
        <w:rPr>
          <w:rFonts w:ascii="Times New Roman" w:hAnsi="Times New Roman"/>
          <w:lang w:val="en-IE"/>
        </w:rPr>
        <w:t xml:space="preserve"> III funds </w:t>
      </w:r>
      <w:r w:rsidR="77C3DA8F" w:rsidRPr="793C5097">
        <w:rPr>
          <w:rFonts w:ascii="Times New Roman" w:hAnsi="Times New Roman"/>
          <w:lang w:val="en-IE"/>
        </w:rPr>
        <w:t xml:space="preserve">and the </w:t>
      </w:r>
      <w:r w:rsidR="00795366">
        <w:rPr>
          <w:rFonts w:ascii="Times New Roman" w:hAnsi="Times New Roman"/>
          <w:lang w:val="en-IE"/>
        </w:rPr>
        <w:t xml:space="preserve">Neighbourhood, </w:t>
      </w:r>
      <w:r w:rsidR="00795366">
        <w:rPr>
          <w:rFonts w:ascii="Times New Roman" w:hAnsi="Times New Roman"/>
          <w:lang w:val="en-IE"/>
        </w:rPr>
        <w:lastRenderedPageBreak/>
        <w:t xml:space="preserve">Development </w:t>
      </w:r>
      <w:r w:rsidR="00F258E5">
        <w:rPr>
          <w:rFonts w:ascii="Times New Roman" w:hAnsi="Times New Roman"/>
          <w:lang w:val="en-IE"/>
        </w:rPr>
        <w:t xml:space="preserve">International </w:t>
      </w:r>
      <w:r w:rsidR="00795366">
        <w:rPr>
          <w:rFonts w:ascii="Times New Roman" w:hAnsi="Times New Roman"/>
          <w:lang w:val="en-IE"/>
        </w:rPr>
        <w:t>Cooperation Instrument (</w:t>
      </w:r>
      <w:r w:rsidR="77C3DA8F" w:rsidRPr="793C5097">
        <w:rPr>
          <w:rFonts w:ascii="Times New Roman" w:hAnsi="Times New Roman"/>
          <w:lang w:val="en-IE"/>
        </w:rPr>
        <w:t>NDICI</w:t>
      </w:r>
      <w:r w:rsidR="00795366">
        <w:rPr>
          <w:rFonts w:ascii="Times New Roman" w:hAnsi="Times New Roman"/>
          <w:lang w:val="en-IE"/>
        </w:rPr>
        <w:t>)</w:t>
      </w:r>
      <w:r w:rsidR="77C3DA8F" w:rsidRPr="793C5097">
        <w:rPr>
          <w:rFonts w:ascii="Times New Roman" w:hAnsi="Times New Roman"/>
          <w:lang w:val="en-IE"/>
        </w:rPr>
        <w:t xml:space="preserve"> rapid response pillar, the EU </w:t>
      </w:r>
      <w:r w:rsidR="0096305F" w:rsidRPr="793C5097">
        <w:rPr>
          <w:rFonts w:ascii="Times New Roman" w:hAnsi="Times New Roman"/>
          <w:lang w:val="en-IE"/>
        </w:rPr>
        <w:t>support</w:t>
      </w:r>
      <w:r w:rsidR="2828C4BB" w:rsidRPr="793C5097">
        <w:rPr>
          <w:rFonts w:ascii="Times New Roman" w:hAnsi="Times New Roman"/>
          <w:lang w:val="en-IE"/>
        </w:rPr>
        <w:t>s</w:t>
      </w:r>
      <w:r w:rsidR="395020AB" w:rsidRPr="793C5097">
        <w:rPr>
          <w:rFonts w:ascii="Times New Roman" w:hAnsi="Times New Roman"/>
          <w:lang w:val="en-IE"/>
        </w:rPr>
        <w:t xml:space="preserve"> </w:t>
      </w:r>
      <w:r w:rsidR="31B3CBFB" w:rsidRPr="793C5097">
        <w:rPr>
          <w:rFonts w:ascii="Times New Roman" w:hAnsi="Times New Roman"/>
          <w:lang w:val="en-IE"/>
        </w:rPr>
        <w:t xml:space="preserve">Albania’s </w:t>
      </w:r>
      <w:r w:rsidR="0096305F" w:rsidRPr="793C5097">
        <w:rPr>
          <w:rFonts w:ascii="Times New Roman" w:hAnsi="Times New Roman"/>
          <w:lang w:val="en-IE"/>
        </w:rPr>
        <w:t>cybersecurity capabilities</w:t>
      </w:r>
      <w:r w:rsidR="0F54A4B0" w:rsidRPr="793C5097">
        <w:rPr>
          <w:rFonts w:ascii="Times New Roman" w:hAnsi="Times New Roman"/>
          <w:lang w:val="en-IE"/>
        </w:rPr>
        <w:t>,</w:t>
      </w:r>
      <w:r w:rsidR="00514056">
        <w:rPr>
          <w:rFonts w:ascii="Times New Roman" w:hAnsi="Times New Roman"/>
          <w:lang w:val="en-IE"/>
        </w:rPr>
        <w:t xml:space="preserve"> </w:t>
      </w:r>
      <w:r w:rsidR="0096305F" w:rsidRPr="793C5097">
        <w:rPr>
          <w:rFonts w:ascii="Times New Roman" w:hAnsi="Times New Roman"/>
          <w:lang w:val="en-IE"/>
        </w:rPr>
        <w:t>institutional framework</w:t>
      </w:r>
      <w:r w:rsidR="54FAA21B" w:rsidRPr="793C5097">
        <w:rPr>
          <w:rFonts w:ascii="Times New Roman" w:hAnsi="Times New Roman"/>
          <w:lang w:val="en-IE"/>
        </w:rPr>
        <w:t>, as well as its responsiveness and incident coordination.</w:t>
      </w:r>
    </w:p>
    <w:p w14:paraId="12F1C707" w14:textId="1238BABF" w:rsidR="0063026D" w:rsidRPr="00B35EED" w:rsidRDefault="0063026D" w:rsidP="00B35EED">
      <w:pPr>
        <w:widowControl w:val="0"/>
        <w:rPr>
          <w:rFonts w:ascii="Times New Roman" w:hAnsi="Times New Roman"/>
          <w:iCs/>
          <w:szCs w:val="24"/>
          <w:lang w:val="en-IE"/>
        </w:rPr>
      </w:pPr>
      <w:r w:rsidRPr="0063026D">
        <w:rPr>
          <w:rFonts w:ascii="Times New Roman" w:hAnsi="Times New Roman"/>
          <w:iCs/>
          <w:szCs w:val="24"/>
          <w:lang w:val="en-IE"/>
        </w:rPr>
        <w:t xml:space="preserve">On </w:t>
      </w:r>
      <w:r w:rsidRPr="0063026D">
        <w:rPr>
          <w:rFonts w:ascii="Times New Roman" w:hAnsi="Times New Roman"/>
          <w:b/>
          <w:bCs/>
          <w:iCs/>
          <w:szCs w:val="24"/>
          <w:lang w:val="en-IE"/>
        </w:rPr>
        <w:t>paragraph 41</w:t>
      </w:r>
      <w:r w:rsidRPr="0063026D">
        <w:rPr>
          <w:b/>
          <w:bCs/>
          <w:lang w:val="en-IE"/>
        </w:rPr>
        <w:t xml:space="preserve"> </w:t>
      </w:r>
      <w:r w:rsidRPr="0063026D">
        <w:rPr>
          <w:rFonts w:ascii="Times New Roman" w:hAnsi="Times New Roman"/>
          <w:b/>
          <w:bCs/>
          <w:lang w:val="en-IE"/>
        </w:rPr>
        <w:t>on the</w:t>
      </w:r>
      <w:r w:rsidRPr="0063026D">
        <w:rPr>
          <w:rFonts w:ascii="Times New Roman" w:hAnsi="Times New Roman"/>
          <w:lang w:val="en-IE"/>
        </w:rPr>
        <w:t xml:space="preserve"> </w:t>
      </w:r>
      <w:r w:rsidRPr="0063026D">
        <w:rPr>
          <w:rFonts w:ascii="Times New Roman" w:hAnsi="Times New Roman"/>
          <w:b/>
          <w:bCs/>
          <w:lang w:val="en-IE"/>
        </w:rPr>
        <w:t xml:space="preserve">establishment of </w:t>
      </w:r>
      <w:r w:rsidRPr="0063026D">
        <w:rPr>
          <w:rFonts w:ascii="Times New Roman" w:hAnsi="Times New Roman"/>
          <w:b/>
          <w:bCs/>
          <w:iCs/>
          <w:szCs w:val="24"/>
          <w:lang w:val="en-IE"/>
        </w:rPr>
        <w:t xml:space="preserve">a framework for effective cooperation between the European Public Prosecutor’s Office (EPPO) and the </w:t>
      </w:r>
      <w:r w:rsidR="00703B46">
        <w:rPr>
          <w:rFonts w:ascii="Times New Roman" w:hAnsi="Times New Roman"/>
          <w:b/>
          <w:bCs/>
          <w:iCs/>
          <w:szCs w:val="24"/>
          <w:lang w:val="en-IE"/>
        </w:rPr>
        <w:t>candidate</w:t>
      </w:r>
      <w:r w:rsidR="00703B46" w:rsidRPr="0063026D">
        <w:rPr>
          <w:rFonts w:ascii="Times New Roman" w:hAnsi="Times New Roman"/>
          <w:b/>
          <w:bCs/>
          <w:iCs/>
          <w:szCs w:val="24"/>
          <w:lang w:val="en-IE"/>
        </w:rPr>
        <w:t xml:space="preserve"> </w:t>
      </w:r>
      <w:r w:rsidRPr="0063026D">
        <w:rPr>
          <w:rFonts w:ascii="Times New Roman" w:hAnsi="Times New Roman"/>
          <w:b/>
          <w:bCs/>
          <w:iCs/>
          <w:szCs w:val="24"/>
          <w:lang w:val="en-IE"/>
        </w:rPr>
        <w:t>countries</w:t>
      </w:r>
      <w:r>
        <w:rPr>
          <w:rFonts w:ascii="Times New Roman" w:hAnsi="Times New Roman"/>
          <w:b/>
          <w:bCs/>
          <w:iCs/>
          <w:szCs w:val="24"/>
          <w:lang w:val="en-IE"/>
        </w:rPr>
        <w:t>,</w:t>
      </w:r>
      <w:r w:rsidR="00B35EED">
        <w:rPr>
          <w:rFonts w:ascii="Times New Roman" w:hAnsi="Times New Roman"/>
          <w:b/>
          <w:bCs/>
          <w:iCs/>
          <w:szCs w:val="24"/>
          <w:lang w:val="en-IE"/>
        </w:rPr>
        <w:t xml:space="preserve"> </w:t>
      </w:r>
      <w:r w:rsidR="00B35EED" w:rsidRPr="00B35EED">
        <w:rPr>
          <w:rFonts w:ascii="Times New Roman" w:hAnsi="Times New Roman"/>
          <w:iCs/>
          <w:szCs w:val="24"/>
          <w:lang w:val="en-IE"/>
        </w:rPr>
        <w:t xml:space="preserve">the Commission supports and encourages bilateral cooperation agreements between the EPPO and </w:t>
      </w:r>
      <w:r w:rsidR="00703B46">
        <w:rPr>
          <w:rFonts w:ascii="Times New Roman" w:hAnsi="Times New Roman"/>
          <w:iCs/>
          <w:szCs w:val="24"/>
          <w:lang w:val="en-IE"/>
        </w:rPr>
        <w:t>candidate</w:t>
      </w:r>
      <w:r w:rsidR="00703B46" w:rsidRPr="00B35EED">
        <w:rPr>
          <w:rFonts w:ascii="Times New Roman" w:hAnsi="Times New Roman"/>
          <w:iCs/>
          <w:szCs w:val="24"/>
          <w:lang w:val="en-IE"/>
        </w:rPr>
        <w:t xml:space="preserve"> </w:t>
      </w:r>
      <w:r w:rsidR="00B35EED" w:rsidRPr="00B35EED">
        <w:rPr>
          <w:rFonts w:ascii="Times New Roman" w:hAnsi="Times New Roman"/>
          <w:iCs/>
          <w:szCs w:val="24"/>
          <w:lang w:val="en-IE"/>
        </w:rPr>
        <w:t>countries like Albania. In this context, Albania signed a bilateral working arrangement with EPPO, which allows for exchange of information on criminal cases involving EU funds; coordination of investigations related to fraud, corruption, and misuse of EU pre-accession assistance (IPA III and the Reform and Growth Facility); operational contacts between EPPO prosecutors and Albanian authorities, including SPAK (Special Anti-Corruption Structure).</w:t>
      </w:r>
    </w:p>
    <w:p w14:paraId="64FE318C" w14:textId="3D52AF7C" w:rsidR="0063026D" w:rsidRPr="00B62EAA" w:rsidRDefault="0063026D" w:rsidP="00B62EAA">
      <w:pPr>
        <w:widowControl w:val="0"/>
        <w:rPr>
          <w:rFonts w:ascii="Times New Roman" w:hAnsi="Times New Roman"/>
          <w:b/>
          <w:bCs/>
          <w:iCs/>
          <w:szCs w:val="24"/>
          <w:lang w:val="en-IE"/>
        </w:rPr>
      </w:pPr>
      <w:r w:rsidRPr="0063026D">
        <w:rPr>
          <w:rFonts w:ascii="Times New Roman" w:hAnsi="Times New Roman"/>
          <w:iCs/>
          <w:szCs w:val="24"/>
          <w:lang w:val="en-IE"/>
        </w:rPr>
        <w:t xml:space="preserve">On </w:t>
      </w:r>
      <w:r w:rsidRPr="0063026D">
        <w:rPr>
          <w:rFonts w:ascii="Times New Roman" w:hAnsi="Times New Roman"/>
          <w:b/>
          <w:bCs/>
          <w:iCs/>
          <w:szCs w:val="24"/>
          <w:lang w:val="en-IE"/>
        </w:rPr>
        <w:t>paragraph 56</w:t>
      </w:r>
      <w:r w:rsidR="0032446E" w:rsidRPr="0032446E">
        <w:t xml:space="preserve"> </w:t>
      </w:r>
      <w:r w:rsidR="0032446E" w:rsidRPr="0032446E">
        <w:rPr>
          <w:rFonts w:ascii="Times New Roman" w:hAnsi="Times New Roman"/>
          <w:b/>
          <w:bCs/>
        </w:rPr>
        <w:t>on</w:t>
      </w:r>
      <w:r w:rsidR="0032446E">
        <w:t xml:space="preserve"> </w:t>
      </w:r>
      <w:r w:rsidR="0032446E" w:rsidRPr="0032446E">
        <w:rPr>
          <w:rFonts w:ascii="Times New Roman" w:hAnsi="Times New Roman"/>
          <w:b/>
          <w:bCs/>
          <w:iCs/>
          <w:szCs w:val="24"/>
          <w:lang w:val="en-IE"/>
        </w:rPr>
        <w:t>address</w:t>
      </w:r>
      <w:r w:rsidR="0032446E">
        <w:rPr>
          <w:rFonts w:ascii="Times New Roman" w:hAnsi="Times New Roman"/>
          <w:b/>
          <w:bCs/>
          <w:iCs/>
          <w:szCs w:val="24"/>
          <w:lang w:val="en-IE"/>
        </w:rPr>
        <w:t>ing</w:t>
      </w:r>
      <w:r w:rsidR="0032446E" w:rsidRPr="0032446E">
        <w:rPr>
          <w:rFonts w:ascii="Times New Roman" w:hAnsi="Times New Roman"/>
          <w:b/>
          <w:bCs/>
          <w:iCs/>
          <w:szCs w:val="24"/>
          <w:lang w:val="en-IE"/>
        </w:rPr>
        <w:t xml:space="preserve"> the Vlora airport issue as part of the environmental chapter in accession talks (Chapter 27)</w:t>
      </w:r>
      <w:r w:rsidR="00B41184">
        <w:rPr>
          <w:rFonts w:ascii="Times New Roman" w:hAnsi="Times New Roman"/>
          <w:b/>
          <w:bCs/>
          <w:iCs/>
          <w:szCs w:val="24"/>
          <w:lang w:val="en-IE"/>
        </w:rPr>
        <w:t>,</w:t>
      </w:r>
      <w:r w:rsidR="00B62EAA" w:rsidRPr="00B62EAA">
        <w:t xml:space="preserve"> </w:t>
      </w:r>
      <w:r w:rsidR="00B62EAA" w:rsidRPr="00B62EAA">
        <w:rPr>
          <w:rFonts w:ascii="Times New Roman" w:hAnsi="Times New Roman"/>
          <w:iCs/>
          <w:szCs w:val="24"/>
          <w:lang w:val="en-IE"/>
        </w:rPr>
        <w:t>the Commission recalled to the Albanian authorities that infrastructure investments in protected areas need to go through rigorous environmental assessments and public consultations well before taking the decision to implement them. The EU has raised the issue of large investments in protected areas in the last Annual Reports, and specifically the issue of the construction of the Vlora Airport within the Vjosa-Narta Protected Area. The Commission has likewise raised these environmental concerns within the framework of the EU-Albania Stabilisation and Association Agreement (SAA). The EU has reiterated in all its reports and meetings on this issue, that the industrial investments in protected areas should not be done in contradiction with existing national laws for protected areas and with international conventions on biodiversity protection that Albania has ratified (e.g. Bern Convention). Albania is not yet bound by EU legislation, and the Commission is thus unable to take any legal action regarding complaints of non-compliance with the EU acquis. However, under the EU-Albania SAA, it has committed to gradually align its legislation with the relevant environmental EU acquis, including provisions which relate to environmental impact assessments, water management and nature protection. This process is supported and monitored by the Commission. The Commission will continue to closely follow the developments in this area and to address these matters with the Albanian authorities.</w:t>
      </w:r>
    </w:p>
    <w:p w14:paraId="15E8D94E" w14:textId="6E240FF2" w:rsidR="0063026D" w:rsidRPr="00514056" w:rsidRDefault="006B43D6" w:rsidP="793C5097">
      <w:pPr>
        <w:widowControl w:val="0"/>
        <w:rPr>
          <w:rFonts w:ascii="Times New Roman" w:hAnsi="Times New Roman"/>
          <w:szCs w:val="24"/>
          <w:lang w:val="en-IE"/>
        </w:rPr>
      </w:pPr>
      <w:r w:rsidRPr="793C5097">
        <w:rPr>
          <w:rFonts w:ascii="Times New Roman" w:hAnsi="Times New Roman"/>
          <w:lang w:val="en-IE"/>
        </w:rPr>
        <w:t>Regarding</w:t>
      </w:r>
      <w:r w:rsidR="0063026D" w:rsidRPr="793C5097">
        <w:rPr>
          <w:rFonts w:ascii="Times New Roman" w:hAnsi="Times New Roman"/>
          <w:lang w:val="en-IE"/>
        </w:rPr>
        <w:t xml:space="preserve"> </w:t>
      </w:r>
      <w:r w:rsidR="0063026D" w:rsidRPr="793C5097">
        <w:rPr>
          <w:rFonts w:ascii="Times New Roman" w:hAnsi="Times New Roman"/>
          <w:b/>
          <w:bCs/>
          <w:lang w:val="en-IE"/>
        </w:rPr>
        <w:t>paragraph 59</w:t>
      </w:r>
      <w:r w:rsidRPr="793C5097">
        <w:rPr>
          <w:rFonts w:ascii="Times New Roman" w:hAnsi="Times New Roman"/>
          <w:b/>
          <w:bCs/>
          <w:lang w:val="en-IE"/>
        </w:rPr>
        <w:t xml:space="preserve"> on strengthened EU support for regional security initiatives</w:t>
      </w:r>
      <w:r w:rsidRPr="793C5097">
        <w:rPr>
          <w:rFonts w:ascii="Times New Roman" w:hAnsi="Times New Roman"/>
          <w:lang w:val="en-IE"/>
        </w:rPr>
        <w:t xml:space="preserve"> that enhance stability and resilience across the Western Balkans,</w:t>
      </w:r>
      <w:r w:rsidR="7F96142B" w:rsidRPr="793C5097">
        <w:rPr>
          <w:rFonts w:ascii="Times New Roman" w:hAnsi="Times New Roman"/>
          <w:lang w:val="en-IE"/>
        </w:rPr>
        <w:t xml:space="preserve"> the EU and Albania recently adopted a Security and Defence Partnership </w:t>
      </w:r>
      <w:r w:rsidR="00F258E5" w:rsidRPr="793C5097">
        <w:rPr>
          <w:rFonts w:ascii="Times New Roman" w:hAnsi="Times New Roman"/>
          <w:szCs w:val="24"/>
          <w:lang w:val="en-IE"/>
        </w:rPr>
        <w:t>establish</w:t>
      </w:r>
      <w:r w:rsidR="00F258E5">
        <w:rPr>
          <w:rFonts w:ascii="Times New Roman" w:hAnsi="Times New Roman"/>
          <w:szCs w:val="24"/>
          <w:lang w:val="en-IE"/>
        </w:rPr>
        <w:t>ing</w:t>
      </w:r>
      <w:r w:rsidR="00F258E5" w:rsidRPr="793C5097">
        <w:rPr>
          <w:rFonts w:ascii="Times New Roman" w:hAnsi="Times New Roman"/>
          <w:szCs w:val="24"/>
          <w:lang w:val="en-IE"/>
        </w:rPr>
        <w:t xml:space="preserve"> </w:t>
      </w:r>
      <w:r w:rsidR="7F96142B" w:rsidRPr="793C5097">
        <w:rPr>
          <w:rFonts w:ascii="Times New Roman" w:hAnsi="Times New Roman"/>
          <w:szCs w:val="24"/>
          <w:lang w:val="en-IE"/>
        </w:rPr>
        <w:t>a platform for enhanced dialogue and cooperation on security and defence issues.</w:t>
      </w:r>
      <w:r w:rsidRPr="793C5097">
        <w:rPr>
          <w:rFonts w:ascii="Times New Roman" w:hAnsi="Times New Roman"/>
          <w:lang w:val="en-IE"/>
        </w:rPr>
        <w:t xml:space="preserve"> </w:t>
      </w:r>
      <w:r w:rsidR="00322D40">
        <w:rPr>
          <w:rFonts w:ascii="Times New Roman" w:hAnsi="Times New Roman"/>
          <w:lang w:val="en-IE"/>
        </w:rPr>
        <w:t>B</w:t>
      </w:r>
      <w:r w:rsidR="004D6E28" w:rsidRPr="793C5097">
        <w:rPr>
          <w:rFonts w:ascii="Times New Roman" w:hAnsi="Times New Roman"/>
          <w:lang w:val="en-IE"/>
        </w:rPr>
        <w:t>uilding on first bilateral assistance measure under the European Peace Facility (EPF) worth EUR 13 million to support the Albanian Armed Forces and strengthen their operational effectiveness, mobility and protection</w:t>
      </w:r>
      <w:r w:rsidR="00322D40">
        <w:rPr>
          <w:rFonts w:ascii="Times New Roman" w:hAnsi="Times New Roman"/>
          <w:lang w:val="en-IE"/>
        </w:rPr>
        <w:t>, the EU has just approved a second bilateral measure worth EUR 15</w:t>
      </w:r>
      <w:r w:rsidR="00DB20D0">
        <w:rPr>
          <w:rFonts w:ascii="Times New Roman" w:hAnsi="Times New Roman"/>
          <w:lang w:val="en-IE"/>
        </w:rPr>
        <w:t xml:space="preserve"> million</w:t>
      </w:r>
      <w:r w:rsidR="11D0AAA4" w:rsidRPr="00514056">
        <w:rPr>
          <w:rFonts w:ascii="Times New Roman" w:hAnsi="Times New Roman"/>
          <w:lang w:val="en-IE"/>
        </w:rPr>
        <w:t xml:space="preserve"> EU-funded multi-country programmes benefiting Albania also aim to prepare for and implement policies to reintegrate Western Balkan returnees from conflict zones, promote regional peacebuilding and conflict prevention, including through EU4Security, support civil protection and disaster risk management, and reduce chemical, biological, radiological and nuclear (CBRN) risks. </w:t>
      </w:r>
    </w:p>
    <w:p w14:paraId="1DB1C0BD" w14:textId="77777777" w:rsidR="0063026D" w:rsidRPr="00514056" w:rsidRDefault="0063026D" w:rsidP="00F32BDB">
      <w:pPr>
        <w:widowControl w:val="0"/>
        <w:rPr>
          <w:rFonts w:ascii="Times New Roman" w:hAnsi="Times New Roman"/>
          <w:iCs/>
          <w:szCs w:val="24"/>
          <w:lang w:val="en-IE"/>
        </w:rPr>
      </w:pPr>
    </w:p>
    <w:sectPr w:rsidR="0063026D" w:rsidRPr="00514056" w:rsidSect="00812321">
      <w:footerReference w:type="even" r:id="rId11"/>
      <w:footerReference w:type="default" r:id="rId12"/>
      <w:footerReference w:type="first" r:id="rId13"/>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609AE" w14:textId="77777777" w:rsidR="009A2A33" w:rsidRDefault="009A2A33">
      <w:r>
        <w:separator/>
      </w:r>
    </w:p>
  </w:endnote>
  <w:endnote w:type="continuationSeparator" w:id="0">
    <w:p w14:paraId="43540E69" w14:textId="77777777" w:rsidR="009A2A33" w:rsidRDefault="009A2A33">
      <w:r>
        <w:continuationSeparator/>
      </w:r>
    </w:p>
  </w:endnote>
  <w:endnote w:type="continuationNotice" w:id="1">
    <w:p w14:paraId="10F9295C" w14:textId="77777777" w:rsidR="004620E9" w:rsidRDefault="004620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84594"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5E22111C"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7F082" w14:textId="453E3454"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1CE5">
      <w:rPr>
        <w:rStyle w:val="PageNumber"/>
        <w:noProof/>
      </w:rPr>
      <w:t>2</w:t>
    </w:r>
    <w:r>
      <w:rPr>
        <w:rStyle w:val="PageNumber"/>
      </w:rPr>
      <w:fldChar w:fldCharType="end"/>
    </w:r>
  </w:p>
  <w:p w14:paraId="12027A5B"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66DDB" w14:textId="333691E3"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1CE5">
      <w:rPr>
        <w:rStyle w:val="PageNumber"/>
        <w:noProof/>
      </w:rPr>
      <w:t>1</w:t>
    </w:r>
    <w:r>
      <w:rPr>
        <w:rStyle w:val="PageNumber"/>
      </w:rPr>
      <w:fldChar w:fldCharType="end"/>
    </w:r>
  </w:p>
  <w:p w14:paraId="49914FF0"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0AAB6" w14:textId="77777777" w:rsidR="009A2A33" w:rsidRDefault="009A2A33">
      <w:r>
        <w:separator/>
      </w:r>
    </w:p>
  </w:footnote>
  <w:footnote w:type="continuationSeparator" w:id="0">
    <w:p w14:paraId="1BA232E3" w14:textId="77777777" w:rsidR="009A2A33" w:rsidRDefault="009A2A33">
      <w:r>
        <w:continuationSeparator/>
      </w:r>
    </w:p>
  </w:footnote>
  <w:footnote w:type="continuationNotice" w:id="1">
    <w:p w14:paraId="2A460456" w14:textId="77777777" w:rsidR="004620E9" w:rsidRDefault="004620E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7"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8"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19"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4"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9"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2"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3"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417941864">
    <w:abstractNumId w:val="7"/>
  </w:num>
  <w:num w:numId="2" w16cid:durableId="628973650">
    <w:abstractNumId w:val="1"/>
  </w:num>
  <w:num w:numId="3" w16cid:durableId="1591961387">
    <w:abstractNumId w:val="32"/>
  </w:num>
  <w:num w:numId="4" w16cid:durableId="2084989358">
    <w:abstractNumId w:val="13"/>
  </w:num>
  <w:num w:numId="5" w16cid:durableId="1254581882">
    <w:abstractNumId w:val="28"/>
  </w:num>
  <w:num w:numId="6" w16cid:durableId="940605433">
    <w:abstractNumId w:val="10"/>
  </w:num>
  <w:num w:numId="7" w16cid:durableId="1856731028">
    <w:abstractNumId w:val="6"/>
  </w:num>
  <w:num w:numId="8" w16cid:durableId="975330561">
    <w:abstractNumId w:val="15"/>
  </w:num>
  <w:num w:numId="9" w16cid:durableId="1899241554">
    <w:abstractNumId w:val="31"/>
  </w:num>
  <w:num w:numId="10" w16cid:durableId="2114587065">
    <w:abstractNumId w:val="23"/>
  </w:num>
  <w:num w:numId="11" w16cid:durableId="1460953773">
    <w:abstractNumId w:val="25"/>
  </w:num>
  <w:num w:numId="12" w16cid:durableId="1825077925">
    <w:abstractNumId w:val="12"/>
  </w:num>
  <w:num w:numId="13" w16cid:durableId="1349482966">
    <w:abstractNumId w:val="16"/>
  </w:num>
  <w:num w:numId="14" w16cid:durableId="814296196">
    <w:abstractNumId w:val="29"/>
  </w:num>
  <w:num w:numId="15" w16cid:durableId="594284145">
    <w:abstractNumId w:val="14"/>
  </w:num>
  <w:num w:numId="16" w16cid:durableId="1963342291">
    <w:abstractNumId w:val="35"/>
  </w:num>
  <w:num w:numId="17" w16cid:durableId="364447201">
    <w:abstractNumId w:val="30"/>
  </w:num>
  <w:num w:numId="18" w16cid:durableId="1081488227">
    <w:abstractNumId w:val="21"/>
  </w:num>
  <w:num w:numId="19" w16cid:durableId="119737124">
    <w:abstractNumId w:val="22"/>
  </w:num>
  <w:num w:numId="20" w16cid:durableId="484853830">
    <w:abstractNumId w:val="27"/>
  </w:num>
  <w:num w:numId="21" w16cid:durableId="2136170417">
    <w:abstractNumId w:val="3"/>
  </w:num>
  <w:num w:numId="22" w16cid:durableId="2089304653">
    <w:abstractNumId w:val="4"/>
  </w:num>
  <w:num w:numId="23" w16cid:durableId="634527327">
    <w:abstractNumId w:val="5"/>
  </w:num>
  <w:num w:numId="24" w16cid:durableId="4169007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6974387">
    <w:abstractNumId w:val="33"/>
  </w:num>
  <w:num w:numId="26" w16cid:durableId="1355379327">
    <w:abstractNumId w:val="24"/>
  </w:num>
  <w:num w:numId="27" w16cid:durableId="1368991960">
    <w:abstractNumId w:val="17"/>
  </w:num>
  <w:num w:numId="28" w16cid:durableId="1070031975">
    <w:abstractNumId w:val="34"/>
  </w:num>
  <w:num w:numId="29" w16cid:durableId="523137305">
    <w:abstractNumId w:val="2"/>
  </w:num>
  <w:num w:numId="30" w16cid:durableId="1938906554">
    <w:abstractNumId w:val="20"/>
  </w:num>
  <w:num w:numId="31" w16cid:durableId="1300764451">
    <w:abstractNumId w:val="19"/>
  </w:num>
  <w:num w:numId="32" w16cid:durableId="206797143">
    <w:abstractNumId w:val="9"/>
  </w:num>
  <w:num w:numId="33" w16cid:durableId="192227539">
    <w:abstractNumId w:val="11"/>
  </w:num>
  <w:num w:numId="34" w16cid:durableId="637105243">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GB" w:vendorID="64" w:dllVersion="6" w:nlCheck="1" w:checkStyle="1"/>
  <w:activeWritingStyle w:appName="MSWord" w:lang="en-IE"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0ED"/>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ACD"/>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70C"/>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7DE"/>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A97"/>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31C"/>
    <w:rsid w:val="0024456F"/>
    <w:rsid w:val="00244969"/>
    <w:rsid w:val="00244EA6"/>
    <w:rsid w:val="00244EAE"/>
    <w:rsid w:val="002451E2"/>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EB5"/>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9B"/>
    <w:rsid w:val="003220F3"/>
    <w:rsid w:val="0032220B"/>
    <w:rsid w:val="0032238A"/>
    <w:rsid w:val="00322A19"/>
    <w:rsid w:val="00322B6A"/>
    <w:rsid w:val="00322C92"/>
    <w:rsid w:val="00322CD0"/>
    <w:rsid w:val="00322D40"/>
    <w:rsid w:val="00322ED9"/>
    <w:rsid w:val="00322FA3"/>
    <w:rsid w:val="00323450"/>
    <w:rsid w:val="00323BC5"/>
    <w:rsid w:val="00323BEB"/>
    <w:rsid w:val="0032446E"/>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4EF3"/>
    <w:rsid w:val="0033504D"/>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6A"/>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39"/>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5C42"/>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3B"/>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6B10"/>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08"/>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0A9"/>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0E9"/>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90D"/>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2F72"/>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5F64"/>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2E70"/>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28"/>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4F3"/>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0A"/>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56"/>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C10"/>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4B70"/>
    <w:rsid w:val="00565272"/>
    <w:rsid w:val="00565921"/>
    <w:rsid w:val="00565D02"/>
    <w:rsid w:val="00565F56"/>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231"/>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1C"/>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AA6"/>
    <w:rsid w:val="00626CEC"/>
    <w:rsid w:val="0062703F"/>
    <w:rsid w:val="006270A1"/>
    <w:rsid w:val="006270A7"/>
    <w:rsid w:val="006272A4"/>
    <w:rsid w:val="00627705"/>
    <w:rsid w:val="0062773E"/>
    <w:rsid w:val="0062796F"/>
    <w:rsid w:val="006279C8"/>
    <w:rsid w:val="00627D4A"/>
    <w:rsid w:val="006300E3"/>
    <w:rsid w:val="0063013E"/>
    <w:rsid w:val="0063026D"/>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3D6"/>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7E8"/>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B46"/>
    <w:rsid w:val="00703EFD"/>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A7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401"/>
    <w:rsid w:val="00782599"/>
    <w:rsid w:val="0078262A"/>
    <w:rsid w:val="0078267D"/>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C6B"/>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366"/>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64E"/>
    <w:rsid w:val="007B075C"/>
    <w:rsid w:val="007B083D"/>
    <w:rsid w:val="007B09B4"/>
    <w:rsid w:val="007B09D1"/>
    <w:rsid w:val="007B0ACC"/>
    <w:rsid w:val="007B1265"/>
    <w:rsid w:val="007B1A21"/>
    <w:rsid w:val="007B1ACD"/>
    <w:rsid w:val="007B1E9A"/>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028"/>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596"/>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6BF"/>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73F"/>
    <w:rsid w:val="00864B33"/>
    <w:rsid w:val="00864B88"/>
    <w:rsid w:val="0086511E"/>
    <w:rsid w:val="0086530E"/>
    <w:rsid w:val="008654CA"/>
    <w:rsid w:val="00865506"/>
    <w:rsid w:val="0086566F"/>
    <w:rsid w:val="008656F8"/>
    <w:rsid w:val="008658AA"/>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0F0"/>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B8D"/>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05F"/>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0FCE"/>
    <w:rsid w:val="009910BA"/>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A33"/>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4E8"/>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1E9C"/>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92A"/>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BC0"/>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9FF"/>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15"/>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A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5EED"/>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184"/>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EAA"/>
    <w:rsid w:val="00B62F2A"/>
    <w:rsid w:val="00B62FE1"/>
    <w:rsid w:val="00B6392E"/>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834"/>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5CB"/>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0B4"/>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1C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898"/>
    <w:rsid w:val="00C30902"/>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8BD"/>
    <w:rsid w:val="00C92957"/>
    <w:rsid w:val="00C92C0C"/>
    <w:rsid w:val="00C92CFA"/>
    <w:rsid w:val="00C92F0A"/>
    <w:rsid w:val="00C92F77"/>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2EC6"/>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B95"/>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AD8"/>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1D8D"/>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0D0"/>
    <w:rsid w:val="00DB2327"/>
    <w:rsid w:val="00DB24BC"/>
    <w:rsid w:val="00DB256C"/>
    <w:rsid w:val="00DB27C6"/>
    <w:rsid w:val="00DB28E3"/>
    <w:rsid w:val="00DB3507"/>
    <w:rsid w:val="00DB37CD"/>
    <w:rsid w:val="00DB3986"/>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58A"/>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9A5"/>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BF4"/>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2FDC"/>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1CE5"/>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5D1C"/>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6EF7"/>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90"/>
    <w:rsid w:val="00F03B2B"/>
    <w:rsid w:val="00F03B5F"/>
    <w:rsid w:val="00F03DB0"/>
    <w:rsid w:val="00F043AA"/>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1F"/>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8E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BD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9EB"/>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457"/>
    <w:rsid w:val="00F81509"/>
    <w:rsid w:val="00F815A4"/>
    <w:rsid w:val="00F81671"/>
    <w:rsid w:val="00F81748"/>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357"/>
    <w:rsid w:val="00FE6462"/>
    <w:rsid w:val="00FE6A92"/>
    <w:rsid w:val="00FE6B9A"/>
    <w:rsid w:val="00FE6FB2"/>
    <w:rsid w:val="00FE7026"/>
    <w:rsid w:val="00FE738E"/>
    <w:rsid w:val="00FE7614"/>
    <w:rsid w:val="00FE76B0"/>
    <w:rsid w:val="00FE7A13"/>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DE6"/>
    <w:rsid w:val="00FF6F78"/>
    <w:rsid w:val="00FF6FBA"/>
    <w:rsid w:val="00FF7211"/>
    <w:rsid w:val="0AE15770"/>
    <w:rsid w:val="0CFE6920"/>
    <w:rsid w:val="0E2361A2"/>
    <w:rsid w:val="0EE41108"/>
    <w:rsid w:val="0F54A4B0"/>
    <w:rsid w:val="10CFA1DE"/>
    <w:rsid w:val="11547FB5"/>
    <w:rsid w:val="11D0AAA4"/>
    <w:rsid w:val="14B1D423"/>
    <w:rsid w:val="15EC68C5"/>
    <w:rsid w:val="1A5276BD"/>
    <w:rsid w:val="1E35328A"/>
    <w:rsid w:val="20A7FE10"/>
    <w:rsid w:val="25AF70FB"/>
    <w:rsid w:val="26A79702"/>
    <w:rsid w:val="2828C4BB"/>
    <w:rsid w:val="28A95CC9"/>
    <w:rsid w:val="31B3CBFB"/>
    <w:rsid w:val="36982AD8"/>
    <w:rsid w:val="374F33A9"/>
    <w:rsid w:val="395020AB"/>
    <w:rsid w:val="3993F038"/>
    <w:rsid w:val="41B95DCC"/>
    <w:rsid w:val="4D37528D"/>
    <w:rsid w:val="54FAA21B"/>
    <w:rsid w:val="56886F75"/>
    <w:rsid w:val="58A5ABB6"/>
    <w:rsid w:val="5F118100"/>
    <w:rsid w:val="62B39994"/>
    <w:rsid w:val="6F6593C8"/>
    <w:rsid w:val="7521641F"/>
    <w:rsid w:val="752769A7"/>
    <w:rsid w:val="77C3DA8F"/>
    <w:rsid w:val="793C5097"/>
    <w:rsid w:val="7A380ACD"/>
    <w:rsid w:val="7BC5A1D6"/>
    <w:rsid w:val="7F961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7EB6F07"/>
  <w15:docId w15:val="{E15034B2-1450-411F-AA24-B4BD4F98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47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E75DADF7-D86D-42F2-8B61-85F43AAFE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50081-C0BF-4527-B1EA-715469937C79}">
  <ds:schemaRefs>
    <ds:schemaRef ds:uri="http://schemas.openxmlformats.org/officeDocument/2006/bibliography"/>
  </ds:schemaRefs>
</ds:datastoreItem>
</file>

<file path=customXml/itemProps3.xml><?xml version="1.0" encoding="utf-8"?>
<ds:datastoreItem xmlns:ds="http://schemas.openxmlformats.org/officeDocument/2006/customXml" ds:itemID="{9C06DC74-DC7B-4D6A-BB36-32E1C3FAAA48}">
  <ds:schemaRefs>
    <ds:schemaRef ds:uri="http://schemas.microsoft.com/sharepoint/v3/contenttype/forms"/>
  </ds:schemaRefs>
</ds:datastoreItem>
</file>

<file path=customXml/itemProps4.xml><?xml version="1.0" encoding="utf-8"?>
<ds:datastoreItem xmlns:ds="http://schemas.openxmlformats.org/officeDocument/2006/customXml" ds:itemID="{3D0BE811-95B5-401D-8930-C9BF3926AC33}">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TEL.DOTM</Template>
  <TotalTime>17</TotalTime>
  <Pages>2</Pages>
  <Words>969</Words>
  <Characters>5966</Characters>
  <Application>Microsoft Office Word</Application>
  <DocSecurity>0</DocSecurity>
  <PresentationFormat>Microsoft Word 8.0b</PresentationFormat>
  <Lines>84</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WERKER</dc:creator>
  <cp:keywords>EL4</cp:keywords>
  <cp:lastModifiedBy>OSTERBERG Mette (SG)</cp:lastModifiedBy>
  <cp:revision>18</cp:revision>
  <cp:lastPrinted>2017-11-23T08:27:00Z</cp:lastPrinted>
  <dcterms:created xsi:type="dcterms:W3CDTF">2025-08-01T12:18:00Z</dcterms:created>
  <dcterms:modified xsi:type="dcterms:W3CDTF">2025-09-09T14:05:00Z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2025-07-11T14:21:12Z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f440566a-1273-456a-9db5-a9b90720d265</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ies>
</file>