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C308B" w14:textId="77777777" w:rsidR="00963420" w:rsidRPr="00C33439" w:rsidRDefault="00963420" w:rsidP="1D9AD1BE">
      <w:pPr>
        <w:spacing w:after="720"/>
        <w:jc w:val="center"/>
        <w:rPr>
          <w:rFonts w:ascii="Times New Roman" w:hAnsi="Times New Roman"/>
          <w:b/>
          <w:bCs/>
        </w:rPr>
      </w:pPr>
      <w:r w:rsidRPr="1D9AD1BE">
        <w:rPr>
          <w:rFonts w:ascii="Times New Roman" w:hAnsi="Times New Roman"/>
          <w:b/>
          <w:bCs/>
        </w:rPr>
        <w:t xml:space="preserve">Follow-up to the European Parliament non-legislative resolution on </w:t>
      </w:r>
      <w:r w:rsidR="009340E4" w:rsidRPr="1D9AD1BE">
        <w:rPr>
          <w:rFonts w:ascii="Times New Roman" w:hAnsi="Times New Roman"/>
          <w:b/>
          <w:bCs/>
        </w:rPr>
        <w:t>the 2023 and 2024 Commission reports on Moldova</w:t>
      </w:r>
    </w:p>
    <w:p w14:paraId="078F1C51" w14:textId="0559F1DD" w:rsidR="00963420" w:rsidRPr="000258A4" w:rsidRDefault="00963420" w:rsidP="1D9AD1BE">
      <w:pPr>
        <w:numPr>
          <w:ilvl w:val="0"/>
          <w:numId w:val="34"/>
        </w:numPr>
        <w:ind w:left="567" w:hanging="567"/>
        <w:rPr>
          <w:rFonts w:ascii="Times New Roman" w:hAnsi="Times New Roman"/>
          <w:lang w:val="fr-BE"/>
        </w:rPr>
      </w:pPr>
      <w:r w:rsidRPr="1D9AD1BE">
        <w:rPr>
          <w:rFonts w:ascii="Times New Roman" w:hAnsi="Times New Roman"/>
          <w:b/>
          <w:bCs/>
          <w:lang w:val="fr-BE"/>
        </w:rPr>
        <w:t>Rapporteur:</w:t>
      </w:r>
      <w:r w:rsidRPr="1D9AD1BE">
        <w:rPr>
          <w:rFonts w:ascii="Times New Roman" w:hAnsi="Times New Roman"/>
          <w:lang w:val="fr-BE"/>
        </w:rPr>
        <w:t xml:space="preserve"> </w:t>
      </w:r>
      <w:r w:rsidR="00D22C87" w:rsidRPr="1D9AD1BE">
        <w:rPr>
          <w:rFonts w:ascii="Times New Roman" w:hAnsi="Times New Roman"/>
          <w:lang w:val="fr-BE"/>
        </w:rPr>
        <w:t>Sven MIKSER (S&amp;D/</w:t>
      </w:r>
      <w:r w:rsidR="00BB62BF" w:rsidRPr="1D9AD1BE">
        <w:rPr>
          <w:rFonts w:ascii="Times New Roman" w:hAnsi="Times New Roman"/>
          <w:lang w:val="fr-BE"/>
        </w:rPr>
        <w:t>ET</w:t>
      </w:r>
      <w:r w:rsidR="00D22C87" w:rsidRPr="1D9AD1BE">
        <w:rPr>
          <w:rFonts w:ascii="Times New Roman" w:hAnsi="Times New Roman"/>
          <w:lang w:val="fr-BE"/>
        </w:rPr>
        <w:t>)</w:t>
      </w:r>
    </w:p>
    <w:p w14:paraId="183DFE69" w14:textId="7E37983B" w:rsidR="00963420" w:rsidRPr="00A0010B" w:rsidRDefault="00063DCE" w:rsidP="1D9AD1BE">
      <w:pPr>
        <w:pStyle w:val="Default"/>
        <w:numPr>
          <w:ilvl w:val="0"/>
          <w:numId w:val="34"/>
        </w:numPr>
        <w:spacing w:after="240"/>
        <w:ind w:left="567" w:hanging="567"/>
        <w:jc w:val="both"/>
        <w:rPr>
          <w:color w:val="auto"/>
          <w:lang w:val="en-US"/>
        </w:rPr>
      </w:pPr>
      <w:r w:rsidRPr="1D9AD1BE">
        <w:rPr>
          <w:b/>
          <w:bCs/>
          <w:color w:val="auto"/>
          <w:lang w:val="en-GB"/>
        </w:rPr>
        <w:t>R</w:t>
      </w:r>
      <w:r w:rsidR="00963420" w:rsidRPr="1D9AD1BE">
        <w:rPr>
          <w:b/>
          <w:bCs/>
          <w:color w:val="auto"/>
          <w:lang w:val="en-GB"/>
        </w:rPr>
        <w:t xml:space="preserve">eference number: </w:t>
      </w:r>
      <w:r w:rsidR="00D22C87" w:rsidRPr="1D9AD1BE">
        <w:rPr>
          <w:color w:val="auto"/>
          <w:lang w:val="en-GB"/>
        </w:rPr>
        <w:t xml:space="preserve">2025/2025(INI) </w:t>
      </w:r>
      <w:r w:rsidRPr="000258A4">
        <w:rPr>
          <w:rFonts w:eastAsia="Calibri"/>
          <w:lang w:val="en-GB" w:eastAsia="en-US"/>
        </w:rPr>
        <w:t>/</w:t>
      </w:r>
      <w:r w:rsidR="00D07FA3" w:rsidRPr="000258A4">
        <w:rPr>
          <w:color w:val="auto"/>
          <w:lang w:val="en-GB"/>
        </w:rPr>
        <w:t xml:space="preserve"> </w:t>
      </w:r>
      <w:r w:rsidR="00B26D27" w:rsidRPr="1D9AD1BE">
        <w:rPr>
          <w:color w:val="auto"/>
          <w:lang w:val="en-GB"/>
        </w:rPr>
        <w:t>A10-0096/2025</w:t>
      </w:r>
      <w:r w:rsidR="00523032" w:rsidRPr="1D9AD1BE">
        <w:rPr>
          <w:color w:val="auto"/>
          <w:lang w:val="en-GB"/>
        </w:rPr>
        <w:t xml:space="preserve"> </w:t>
      </w:r>
      <w:r w:rsidR="00963420" w:rsidRPr="1D9AD1BE">
        <w:rPr>
          <w:color w:val="auto"/>
          <w:lang w:val="en-US"/>
        </w:rPr>
        <w:t xml:space="preserve">/ </w:t>
      </w:r>
      <w:r w:rsidR="00B26D27" w:rsidRPr="1D9AD1BE">
        <w:rPr>
          <w:color w:val="auto"/>
          <w:lang w:val="en-US"/>
        </w:rPr>
        <w:t>P10</w:t>
      </w:r>
      <w:r w:rsidR="00523032" w:rsidRPr="1D9AD1BE">
        <w:rPr>
          <w:color w:val="auto"/>
          <w:lang w:val="en-US"/>
        </w:rPr>
        <w:t>_</w:t>
      </w:r>
      <w:r w:rsidR="00B26D27" w:rsidRPr="1D9AD1BE">
        <w:rPr>
          <w:color w:val="auto"/>
          <w:lang w:val="en-US"/>
        </w:rPr>
        <w:t>TA(2025)0131</w:t>
      </w:r>
    </w:p>
    <w:p w14:paraId="1D55B15A" w14:textId="77777777" w:rsidR="001F0B89" w:rsidRDefault="00963420" w:rsidP="1D9AD1BE">
      <w:pPr>
        <w:numPr>
          <w:ilvl w:val="0"/>
          <w:numId w:val="34"/>
        </w:numPr>
        <w:ind w:left="567" w:hanging="567"/>
        <w:rPr>
          <w:rFonts w:ascii="Times New Roman" w:hAnsi="Times New Roman"/>
        </w:rPr>
      </w:pPr>
      <w:r w:rsidRPr="1D9AD1BE">
        <w:rPr>
          <w:rFonts w:ascii="Times New Roman" w:hAnsi="Times New Roman"/>
          <w:b/>
          <w:bCs/>
        </w:rPr>
        <w:t>Date of adoption of the resolution:</w:t>
      </w:r>
      <w:r w:rsidRPr="1D9AD1BE">
        <w:rPr>
          <w:rFonts w:ascii="Times New Roman" w:hAnsi="Times New Roman"/>
        </w:rPr>
        <w:t xml:space="preserve"> </w:t>
      </w:r>
      <w:r w:rsidR="00D22C87" w:rsidRPr="1D9AD1BE">
        <w:rPr>
          <w:rFonts w:ascii="Times New Roman" w:hAnsi="Times New Roman"/>
        </w:rPr>
        <w:t>18 June 2025</w:t>
      </w:r>
    </w:p>
    <w:p w14:paraId="7B818DCD" w14:textId="77777777" w:rsidR="00963420" w:rsidRPr="00514FC1" w:rsidRDefault="00963420" w:rsidP="1D9AD1BE">
      <w:pPr>
        <w:numPr>
          <w:ilvl w:val="0"/>
          <w:numId w:val="34"/>
        </w:numPr>
        <w:ind w:left="567" w:hanging="567"/>
        <w:rPr>
          <w:rFonts w:ascii="Times New Roman" w:hAnsi="Times New Roman"/>
        </w:rPr>
      </w:pPr>
      <w:r w:rsidRPr="1D9AD1BE">
        <w:rPr>
          <w:rFonts w:ascii="Times New Roman" w:hAnsi="Times New Roman"/>
          <w:b/>
          <w:bCs/>
        </w:rPr>
        <w:t xml:space="preserve">Competent Parliamentary Committee: </w:t>
      </w:r>
      <w:r w:rsidR="00EA2741" w:rsidRPr="1D9AD1BE">
        <w:rPr>
          <w:rFonts w:ascii="Times New Roman" w:hAnsi="Times New Roman"/>
        </w:rPr>
        <w:t>Committee on</w:t>
      </w:r>
      <w:r w:rsidRPr="1D9AD1BE">
        <w:rPr>
          <w:rFonts w:ascii="Times New Roman" w:hAnsi="Times New Roman"/>
        </w:rPr>
        <w:t xml:space="preserve"> </w:t>
      </w:r>
      <w:r w:rsidR="00D22C87" w:rsidRPr="1D9AD1BE">
        <w:rPr>
          <w:rFonts w:ascii="Times New Roman" w:hAnsi="Times New Roman"/>
        </w:rPr>
        <w:t>Foreign</w:t>
      </w:r>
      <w:r w:rsidRPr="1D9AD1BE">
        <w:rPr>
          <w:rFonts w:ascii="Times New Roman" w:hAnsi="Times New Roman"/>
        </w:rPr>
        <w:t xml:space="preserve"> Affairs (</w:t>
      </w:r>
      <w:r w:rsidR="00D22C87" w:rsidRPr="1D9AD1BE">
        <w:rPr>
          <w:rFonts w:ascii="Times New Roman" w:hAnsi="Times New Roman"/>
        </w:rPr>
        <w:t>AFET</w:t>
      </w:r>
      <w:r w:rsidRPr="1D9AD1BE">
        <w:rPr>
          <w:rFonts w:ascii="Times New Roman" w:hAnsi="Times New Roman"/>
        </w:rPr>
        <w:t>)</w:t>
      </w:r>
    </w:p>
    <w:p w14:paraId="3429F5F2" w14:textId="77777777" w:rsidR="00E75D1C" w:rsidRDefault="00963420" w:rsidP="1D9AD1BE">
      <w:pPr>
        <w:pStyle w:val="NormalWeb"/>
        <w:jc w:val="both"/>
      </w:pPr>
      <w:r w:rsidRPr="1D9AD1BE">
        <w:rPr>
          <w:b/>
          <w:bCs/>
        </w:rPr>
        <w:t>Brief analysis/</w:t>
      </w:r>
      <w:r w:rsidR="00AB3960" w:rsidRPr="1D9AD1BE">
        <w:rPr>
          <w:b/>
          <w:bCs/>
        </w:rPr>
        <w:t xml:space="preserve"> </w:t>
      </w:r>
      <w:r w:rsidRPr="1D9AD1BE">
        <w:rPr>
          <w:b/>
          <w:bCs/>
        </w:rPr>
        <w:t>assessment of the resolution and requests made in it:</w:t>
      </w:r>
      <w:r w:rsidR="00146971" w:rsidRPr="1D9AD1BE">
        <w:rPr>
          <w:b/>
          <w:bCs/>
        </w:rPr>
        <w:t xml:space="preserve"> </w:t>
      </w:r>
      <w:r w:rsidR="00E75D1C" w:rsidRPr="1D9AD1BE">
        <w:t>The resolution focuses on Moldova’s steady progress toward EU accession, praising its commitment to reforms despite challenges posed by Russia’s war against Ukraine. It underscores the significance of recent elections and the constitutional referendum, which confirmed strong public support for EU membership, despite Russian attempts to interfere through disinformation, cyberattacks, and illicit financing.</w:t>
      </w:r>
      <w:r w:rsidR="001E4ED2" w:rsidRPr="1D9AD1BE">
        <w:t xml:space="preserve"> </w:t>
      </w:r>
      <w:r w:rsidR="00E75D1C" w:rsidRPr="1D9AD1BE">
        <w:t>The resolution highlights growing concerns over Russian interference ahead of Moldova’s 2025 parliamentary elections. It calls on the EU to step up financial and technical support to help Moldova counter hybrid threats and safeguard its democratic processes.</w:t>
      </w:r>
    </w:p>
    <w:p w14:paraId="48CD2426" w14:textId="0AC0D245" w:rsidR="00963420" w:rsidRPr="00E75D1C" w:rsidRDefault="00E75D1C" w:rsidP="1D9AD1BE">
      <w:pPr>
        <w:pStyle w:val="NormalWeb"/>
        <w:jc w:val="both"/>
      </w:pPr>
      <w:r w:rsidRPr="1D9AD1BE">
        <w:t>The Parliament welcomes the Reform and Growth Facility</w:t>
      </w:r>
      <w:r w:rsidR="001E4ED2" w:rsidRPr="1D9AD1BE">
        <w:t xml:space="preserve"> for Moldova, </w:t>
      </w:r>
      <w:r w:rsidRPr="1D9AD1BE">
        <w:t xml:space="preserve">urges social policy reforms (poverty reduction, healthcare, education, </w:t>
      </w:r>
      <w:r w:rsidR="001E4ED2" w:rsidRPr="1D9AD1BE">
        <w:t>labour</w:t>
      </w:r>
      <w:r w:rsidRPr="1D9AD1BE">
        <w:t xml:space="preserve"> conditions) and calls for pre-accession funding in the next EU budget and deeper economic integration via the single market. Judicial and anti-corruption reforms are deemed essential for Moldova’s EU path.</w:t>
      </w:r>
      <w:r w:rsidR="001E4ED2" w:rsidRPr="1D9AD1BE">
        <w:t xml:space="preserve"> </w:t>
      </w:r>
      <w:r w:rsidRPr="1D9AD1BE">
        <w:t xml:space="preserve">In foreign and security policy, the resolution welcomes </w:t>
      </w:r>
      <w:r w:rsidR="00C15C22" w:rsidRPr="1D9AD1BE">
        <w:t>ever-</w:t>
      </w:r>
      <w:r w:rsidRPr="1D9AD1BE">
        <w:t>growing</w:t>
      </w:r>
      <w:r w:rsidR="00C15C22" w:rsidRPr="1D9AD1BE">
        <w:t xml:space="preserve"> cooperation between Moldova and the EU as well as the country’s significantly increased</w:t>
      </w:r>
      <w:r w:rsidRPr="1D9AD1BE">
        <w:t xml:space="preserve"> alignment with the EU</w:t>
      </w:r>
      <w:r w:rsidR="00C15C22" w:rsidRPr="1D9AD1BE">
        <w:t>’s CFSP positions and restrictive measures.</w:t>
      </w:r>
      <w:r w:rsidR="00CD5DB3" w:rsidRPr="1D9AD1BE">
        <w:t xml:space="preserve"> It also notes the EUR 50 million allocated</w:t>
      </w:r>
      <w:r w:rsidR="003379A1" w:rsidRPr="1D9AD1BE">
        <w:t xml:space="preserve"> in 2025</w:t>
      </w:r>
      <w:r w:rsidR="00CD5DB3" w:rsidRPr="1D9AD1BE">
        <w:t xml:space="preserve"> to strengthen Moldova’s defence capacities under the European Peace Facility. It</w:t>
      </w:r>
      <w:r w:rsidRPr="1D9AD1BE">
        <w:t xml:space="preserve"> </w:t>
      </w:r>
      <w:r w:rsidR="00B4451B" w:rsidRPr="1D9AD1BE">
        <w:t xml:space="preserve">reiterates the EU’s full commitment to Moldova’s territorial integrity and to the peaceful resolution of the Transnistrian conflict as well as welcomes the pro-active action by the European Commission to </w:t>
      </w:r>
      <w:r w:rsidR="00C15C22" w:rsidRPr="1D9AD1BE">
        <w:t xml:space="preserve">prevent energy crisis in the region. </w:t>
      </w:r>
    </w:p>
    <w:p w14:paraId="00F09A7A" w14:textId="77777777" w:rsidR="001E4ED2" w:rsidRDefault="00963420" w:rsidP="1D9AD1BE">
      <w:pPr>
        <w:widowControl w:val="0"/>
        <w:numPr>
          <w:ilvl w:val="0"/>
          <w:numId w:val="34"/>
        </w:numPr>
        <w:ind w:left="567" w:hanging="567"/>
        <w:rPr>
          <w:rFonts w:ascii="Times New Roman" w:hAnsi="Times New Roman"/>
          <w:b/>
          <w:bCs/>
        </w:rPr>
      </w:pPr>
      <w:r w:rsidRPr="1D9AD1BE">
        <w:rPr>
          <w:rFonts w:ascii="Times New Roman" w:hAnsi="Times New Roman"/>
          <w:b/>
          <w:bCs/>
        </w:rPr>
        <w:t>Response to requests and overview of action taken, or intended to be taken, by the Commission:</w:t>
      </w:r>
      <w:r w:rsidR="00146971" w:rsidRPr="1D9AD1BE">
        <w:rPr>
          <w:rFonts w:ascii="Times New Roman" w:hAnsi="Times New Roman"/>
          <w:b/>
          <w:bCs/>
        </w:rPr>
        <w:t xml:space="preserve"> </w:t>
      </w:r>
    </w:p>
    <w:p w14:paraId="2962F78A" w14:textId="77777777" w:rsidR="007D25BE" w:rsidRPr="001422D2" w:rsidRDefault="007D25BE" w:rsidP="1D9AD1BE">
      <w:pPr>
        <w:widowControl w:val="0"/>
        <w:rPr>
          <w:rFonts w:ascii="Times New Roman" w:hAnsi="Times New Roman"/>
        </w:rPr>
      </w:pPr>
      <w:r w:rsidRPr="1D9AD1BE">
        <w:rPr>
          <w:rFonts w:ascii="Times New Roman" w:hAnsi="Times New Roman"/>
          <w:b/>
          <w:bCs/>
        </w:rPr>
        <w:t xml:space="preserve">On paragraph 2 on enhancing support for advancing negotiations on accession clusters and completing the screening process, </w:t>
      </w:r>
      <w:r w:rsidR="001422D2" w:rsidRPr="1D9AD1BE">
        <w:rPr>
          <w:rFonts w:ascii="Times New Roman" w:hAnsi="Times New Roman"/>
        </w:rPr>
        <w:t>the Commission is committed to advancing Moldova’s accession process as swiftly as possible, without compromising the quality of reforms. Following the first intergovernmental conference in June 2024, the screening of the EU acquis is progressing smoothly, and it is set to finish in autumn 2025. Subject to Moldova meeting all the conditions, the Commission looks forward to the opening of negotiations on clusters, starting with the fundamentals, as soon as possible in 2025.</w:t>
      </w:r>
    </w:p>
    <w:p w14:paraId="54BF2BF8" w14:textId="0409E5C8" w:rsidR="007D25BE" w:rsidRPr="00C6374C" w:rsidRDefault="007D25BE" w:rsidP="1D9AD1BE">
      <w:pPr>
        <w:widowControl w:val="0"/>
        <w:rPr>
          <w:rFonts w:ascii="Times New Roman" w:hAnsi="Times New Roman"/>
        </w:rPr>
      </w:pPr>
      <w:r w:rsidRPr="1D9AD1BE">
        <w:rPr>
          <w:rFonts w:ascii="Times New Roman" w:hAnsi="Times New Roman"/>
          <w:b/>
          <w:bCs/>
        </w:rPr>
        <w:t xml:space="preserve">On paragraph 5 on </w:t>
      </w:r>
      <w:r w:rsidR="000C39B2" w:rsidRPr="1D9AD1BE">
        <w:rPr>
          <w:rFonts w:ascii="Times New Roman" w:hAnsi="Times New Roman"/>
          <w:b/>
          <w:bCs/>
        </w:rPr>
        <w:t xml:space="preserve">increasing resilience against destabilisation attempts, </w:t>
      </w:r>
      <w:r w:rsidRPr="1D9AD1BE">
        <w:rPr>
          <w:rFonts w:ascii="Times New Roman" w:hAnsi="Times New Roman"/>
          <w:b/>
          <w:bCs/>
        </w:rPr>
        <w:t>countering foreign interference in Moldova’s elections and supporting independent media and civil society,</w:t>
      </w:r>
      <w:r w:rsidR="00F671CE" w:rsidRPr="1D9AD1BE">
        <w:t xml:space="preserve"> </w:t>
      </w:r>
      <w:r w:rsidR="00C6374C" w:rsidRPr="1D9AD1BE">
        <w:rPr>
          <w:rFonts w:ascii="Times New Roman" w:hAnsi="Times New Roman"/>
        </w:rPr>
        <w:t xml:space="preserve">the EU will continue to </w:t>
      </w:r>
      <w:r w:rsidR="000C39B2" w:rsidRPr="1D9AD1BE">
        <w:rPr>
          <w:rFonts w:ascii="Times New Roman" w:hAnsi="Times New Roman"/>
        </w:rPr>
        <w:t xml:space="preserve">support </w:t>
      </w:r>
      <w:r w:rsidR="00F671CE" w:rsidRPr="1D9AD1BE">
        <w:rPr>
          <w:rFonts w:ascii="Times New Roman" w:hAnsi="Times New Roman"/>
        </w:rPr>
        <w:t>the country</w:t>
      </w:r>
      <w:r w:rsidR="000C39B2" w:rsidRPr="1D9AD1BE">
        <w:rPr>
          <w:rFonts w:ascii="Times New Roman" w:hAnsi="Times New Roman"/>
        </w:rPr>
        <w:t xml:space="preserve"> in building </w:t>
      </w:r>
      <w:r w:rsidR="00F671CE" w:rsidRPr="1D9AD1BE">
        <w:rPr>
          <w:rFonts w:ascii="Times New Roman" w:hAnsi="Times New Roman"/>
        </w:rPr>
        <w:t>the</w:t>
      </w:r>
      <w:r w:rsidR="000C39B2" w:rsidRPr="1D9AD1BE">
        <w:rPr>
          <w:rFonts w:ascii="Times New Roman" w:hAnsi="Times New Roman"/>
        </w:rPr>
        <w:t xml:space="preserve"> </w:t>
      </w:r>
      <w:r w:rsidR="00C6374C" w:rsidRPr="1D9AD1BE">
        <w:rPr>
          <w:rFonts w:ascii="Times New Roman" w:hAnsi="Times New Roman"/>
        </w:rPr>
        <w:t>resilience</w:t>
      </w:r>
      <w:r w:rsidR="000C39B2" w:rsidRPr="1D9AD1BE">
        <w:rPr>
          <w:rFonts w:ascii="Times New Roman" w:hAnsi="Times New Roman"/>
        </w:rPr>
        <w:t xml:space="preserve"> of its </w:t>
      </w:r>
      <w:r w:rsidR="00F671CE" w:rsidRPr="1D9AD1BE">
        <w:rPr>
          <w:rFonts w:ascii="Times New Roman" w:hAnsi="Times New Roman"/>
        </w:rPr>
        <w:t xml:space="preserve">democratic </w:t>
      </w:r>
      <w:r w:rsidR="000C39B2" w:rsidRPr="1D9AD1BE">
        <w:rPr>
          <w:rFonts w:ascii="Times New Roman" w:hAnsi="Times New Roman"/>
        </w:rPr>
        <w:t>institutions</w:t>
      </w:r>
      <w:r w:rsidR="00C6374C" w:rsidRPr="1D9AD1BE">
        <w:rPr>
          <w:rFonts w:ascii="Times New Roman" w:hAnsi="Times New Roman"/>
        </w:rPr>
        <w:t xml:space="preserve"> against hybrid threats </w:t>
      </w:r>
      <w:r w:rsidR="000C39B2" w:rsidRPr="1D9AD1BE">
        <w:rPr>
          <w:rFonts w:ascii="Times New Roman" w:hAnsi="Times New Roman"/>
        </w:rPr>
        <w:t>and</w:t>
      </w:r>
      <w:r w:rsidR="00C6374C" w:rsidRPr="1D9AD1BE">
        <w:rPr>
          <w:rFonts w:ascii="Times New Roman" w:hAnsi="Times New Roman"/>
        </w:rPr>
        <w:t xml:space="preserve"> foreign information manipulation and interference </w:t>
      </w:r>
      <w:r w:rsidR="000C39B2" w:rsidRPr="1D9AD1BE">
        <w:rPr>
          <w:rFonts w:ascii="Times New Roman" w:hAnsi="Times New Roman"/>
        </w:rPr>
        <w:t xml:space="preserve">(FIMI) by making available relevant instruments of support in this regard. </w:t>
      </w:r>
      <w:r w:rsidR="00F671CE" w:rsidRPr="1D9AD1BE">
        <w:rPr>
          <w:rFonts w:ascii="Times New Roman" w:hAnsi="Times New Roman"/>
        </w:rPr>
        <w:t xml:space="preserve">In July 2025, the EU imposed restrictive measures on seven more individuals and three entities for actions threatening Moldova’s sovereignty, democracy, and stability. As a result, a total of 23 individuals and five entities are now subject to restrictive measures for their role in </w:t>
      </w:r>
      <w:r w:rsidR="00F671CE" w:rsidRPr="1D9AD1BE">
        <w:rPr>
          <w:rFonts w:ascii="Times New Roman" w:hAnsi="Times New Roman"/>
        </w:rPr>
        <w:lastRenderedPageBreak/>
        <w:t xml:space="preserve">destabilising Moldova. In addition, to strengthen the societal resilience, the Commission has </w:t>
      </w:r>
      <w:r w:rsidR="00C6374C" w:rsidRPr="1D9AD1BE">
        <w:rPr>
          <w:rFonts w:ascii="Times New Roman" w:hAnsi="Times New Roman"/>
        </w:rPr>
        <w:t>increased funding for independent media, media literacy, and civil society initiatives.</w:t>
      </w:r>
    </w:p>
    <w:p w14:paraId="4506AF55" w14:textId="74BE1DF2" w:rsidR="007D25BE" w:rsidRPr="00F23288" w:rsidRDefault="007D25BE" w:rsidP="1D9AD1BE">
      <w:pPr>
        <w:widowControl w:val="0"/>
        <w:rPr>
          <w:rFonts w:ascii="Times New Roman" w:hAnsi="Times New Roman"/>
        </w:rPr>
      </w:pPr>
      <w:r w:rsidRPr="1D9AD1BE">
        <w:rPr>
          <w:rFonts w:ascii="Times New Roman" w:hAnsi="Times New Roman"/>
          <w:b/>
          <w:bCs/>
        </w:rPr>
        <w:t xml:space="preserve">As regards paragraph 6 on strategic communication to counter false narratives and promote EU benefits, </w:t>
      </w:r>
      <w:r w:rsidR="00F23288" w:rsidRPr="1D9AD1BE">
        <w:rPr>
          <w:rFonts w:ascii="Times New Roman" w:hAnsi="Times New Roman"/>
        </w:rPr>
        <w:t xml:space="preserve">the </w:t>
      </w:r>
      <w:r w:rsidR="004E4096" w:rsidRPr="1D9AD1BE">
        <w:rPr>
          <w:rFonts w:ascii="Times New Roman" w:hAnsi="Times New Roman"/>
        </w:rPr>
        <w:t>EU</w:t>
      </w:r>
      <w:r w:rsidR="00F23288" w:rsidRPr="1D9AD1BE">
        <w:rPr>
          <w:rFonts w:ascii="Times New Roman" w:hAnsi="Times New Roman"/>
        </w:rPr>
        <w:t>’s support focuses on three mutually reinforcing strands: Supporting the government’s strategic communication, notably stepping in to help fill the gap left by the U.S. in terms of strat</w:t>
      </w:r>
      <w:r w:rsidR="005D34E8" w:rsidRPr="1D9AD1BE">
        <w:rPr>
          <w:rFonts w:ascii="Times New Roman" w:hAnsi="Times New Roman"/>
        </w:rPr>
        <w:t xml:space="preserve">egic </w:t>
      </w:r>
      <w:r w:rsidR="00F23288" w:rsidRPr="1D9AD1BE">
        <w:rPr>
          <w:rFonts w:ascii="Times New Roman" w:hAnsi="Times New Roman"/>
        </w:rPr>
        <w:t>com</w:t>
      </w:r>
      <w:r w:rsidR="005D34E8" w:rsidRPr="1D9AD1BE">
        <w:rPr>
          <w:rFonts w:ascii="Times New Roman" w:hAnsi="Times New Roman"/>
        </w:rPr>
        <w:t>munication</w:t>
      </w:r>
      <w:r w:rsidR="00F23288" w:rsidRPr="1D9AD1BE">
        <w:rPr>
          <w:rFonts w:ascii="Times New Roman" w:hAnsi="Times New Roman"/>
        </w:rPr>
        <w:t xml:space="preserve"> advisory services; fighting disinformation, including through stepped</w:t>
      </w:r>
      <w:r w:rsidR="0090547E" w:rsidRPr="1D9AD1BE">
        <w:rPr>
          <w:rFonts w:ascii="Times New Roman" w:hAnsi="Times New Roman"/>
        </w:rPr>
        <w:t xml:space="preserve"> </w:t>
      </w:r>
      <w:r w:rsidR="00F23288" w:rsidRPr="1D9AD1BE">
        <w:rPr>
          <w:rFonts w:ascii="Times New Roman" w:hAnsi="Times New Roman"/>
        </w:rPr>
        <w:t xml:space="preserve">up support for the Moldovan Centre for Strategic Communication and Combatting Disinformation, independent media and civil society organisations and; strengthening EU communication in Moldova about the EU, the benefits of EU membership and EU support to the country. Certain actions are already underway linked to our energy support package, </w:t>
      </w:r>
      <w:r w:rsidR="00FD69D9" w:rsidRPr="1D9AD1BE">
        <w:rPr>
          <w:rFonts w:ascii="Times New Roman" w:hAnsi="Times New Roman"/>
        </w:rPr>
        <w:t>such as</w:t>
      </w:r>
      <w:r w:rsidR="00F23288" w:rsidRPr="1D9AD1BE">
        <w:rPr>
          <w:rFonts w:ascii="Times New Roman" w:hAnsi="Times New Roman"/>
        </w:rPr>
        <w:t xml:space="preserve"> EU visibility around the support that is alleviating energy bills for Moldovans. Campaigns are also being implemented through the EU Delegation to Chisinau focusing on the Moldova Growth Plan, and in explaining the enlargement process.</w:t>
      </w:r>
    </w:p>
    <w:p w14:paraId="2C813722" w14:textId="77777777" w:rsidR="007D25BE" w:rsidRDefault="007D25BE" w:rsidP="1D9AD1BE">
      <w:pPr>
        <w:widowControl w:val="0"/>
        <w:rPr>
          <w:rFonts w:ascii="Times New Roman" w:hAnsi="Times New Roman"/>
          <w:b/>
          <w:bCs/>
        </w:rPr>
      </w:pPr>
      <w:r w:rsidRPr="1D9AD1BE">
        <w:rPr>
          <w:rFonts w:ascii="Times New Roman" w:hAnsi="Times New Roman"/>
          <w:b/>
          <w:bCs/>
        </w:rPr>
        <w:t xml:space="preserve">On paragraph 7 on effective absorption of funds under the Reform and Growth Facility, </w:t>
      </w:r>
      <w:r w:rsidR="00180DA2" w:rsidRPr="1D9AD1BE">
        <w:rPr>
          <w:rFonts w:ascii="Times New Roman" w:hAnsi="Times New Roman"/>
        </w:rPr>
        <w:t>the Commission reiterates that the Moldova Growth Plan is the biggest EU financial package for Moldova since its independence. It has the potential to double Moldova’s economy and salaries over the coming decade and transform the lives of the Moldovan citizens.  With up to EUR 1.9 billion of EU funding, the Moldova Growth Plan will help prepare the country for EU membership by boosting economic growth, strengthen</w:t>
      </w:r>
      <w:r w:rsidR="003D0E6C" w:rsidRPr="1D9AD1BE">
        <w:rPr>
          <w:rFonts w:ascii="Times New Roman" w:hAnsi="Times New Roman"/>
        </w:rPr>
        <w:t>ing</w:t>
      </w:r>
      <w:r w:rsidR="00180DA2" w:rsidRPr="1D9AD1BE">
        <w:rPr>
          <w:rFonts w:ascii="Times New Roman" w:hAnsi="Times New Roman"/>
        </w:rPr>
        <w:t xml:space="preserve"> economic ties with the EU, and accelerat</w:t>
      </w:r>
      <w:r w:rsidR="003D0E6C" w:rsidRPr="1D9AD1BE">
        <w:rPr>
          <w:rFonts w:ascii="Times New Roman" w:hAnsi="Times New Roman"/>
        </w:rPr>
        <w:t>ing</w:t>
      </w:r>
      <w:r w:rsidR="00180DA2" w:rsidRPr="1D9AD1BE">
        <w:rPr>
          <w:rFonts w:ascii="Times New Roman" w:hAnsi="Times New Roman"/>
        </w:rPr>
        <w:t xml:space="preserve"> the reforms necessary for accession, including the fundamentals.</w:t>
      </w:r>
    </w:p>
    <w:p w14:paraId="742CD25D" w14:textId="5A28B35C" w:rsidR="007D25BE" w:rsidRDefault="007D25BE" w:rsidP="1D9AD1BE">
      <w:pPr>
        <w:widowControl w:val="0"/>
        <w:rPr>
          <w:rFonts w:ascii="Times New Roman" w:hAnsi="Times New Roman"/>
          <w:b/>
          <w:bCs/>
        </w:rPr>
      </w:pPr>
      <w:r w:rsidRPr="1D9AD1BE">
        <w:rPr>
          <w:rFonts w:ascii="Times New Roman" w:hAnsi="Times New Roman"/>
          <w:b/>
          <w:bCs/>
        </w:rPr>
        <w:t>On paragraph 8 regarding the use of adequate dedicated pre-accession funds for Moldova,</w:t>
      </w:r>
      <w:r w:rsidR="008F5240" w:rsidRPr="1D9AD1BE">
        <w:rPr>
          <w:rFonts w:ascii="Times New Roman" w:hAnsi="Times New Roman"/>
          <w:b/>
          <w:bCs/>
        </w:rPr>
        <w:t xml:space="preserve"> </w:t>
      </w:r>
      <w:r w:rsidR="008F5240" w:rsidRPr="1D9AD1BE">
        <w:rPr>
          <w:rFonts w:ascii="Times New Roman" w:hAnsi="Times New Roman"/>
        </w:rPr>
        <w:t>in the political guidelines for 2024-2029, President von der Leyen noted the “moral, political and geostrategic imperative to further complete our Union”. Moreover, all Members of the Commission are also asked in their mission letters “to play an active role in supporting candidate countries to prepare for joining our Union in your respective policy areas.” Therefore, enlargement is a key priority and, as such, feature</w:t>
      </w:r>
      <w:r w:rsidR="00BE7E75">
        <w:rPr>
          <w:rFonts w:ascii="Times New Roman" w:hAnsi="Times New Roman"/>
        </w:rPr>
        <w:t>s</w:t>
      </w:r>
      <w:r w:rsidR="008F5240" w:rsidRPr="1D9AD1BE">
        <w:rPr>
          <w:rFonts w:ascii="Times New Roman" w:hAnsi="Times New Roman"/>
        </w:rPr>
        <w:t xml:space="preserve"> prominently in the M</w:t>
      </w:r>
      <w:r w:rsidR="004A0EA9">
        <w:rPr>
          <w:rFonts w:ascii="Times New Roman" w:hAnsi="Times New Roman"/>
        </w:rPr>
        <w:t xml:space="preserve">ultiannual </w:t>
      </w:r>
      <w:r w:rsidR="00BB1A6F">
        <w:rPr>
          <w:rFonts w:ascii="Times New Roman" w:hAnsi="Times New Roman"/>
        </w:rPr>
        <w:t xml:space="preserve">Financial </w:t>
      </w:r>
      <w:r w:rsidR="008F5240" w:rsidRPr="1D9AD1BE">
        <w:rPr>
          <w:rFonts w:ascii="Times New Roman" w:hAnsi="Times New Roman"/>
        </w:rPr>
        <w:t>F</w:t>
      </w:r>
      <w:r w:rsidR="00BB1A6F">
        <w:rPr>
          <w:rFonts w:ascii="Times New Roman" w:hAnsi="Times New Roman"/>
        </w:rPr>
        <w:t>ramework 2028-2034</w:t>
      </w:r>
      <w:r w:rsidR="008F5240" w:rsidRPr="1D9AD1BE">
        <w:rPr>
          <w:rFonts w:ascii="Times New Roman" w:hAnsi="Times New Roman"/>
        </w:rPr>
        <w:t xml:space="preserve">, including through support to candidate countries </w:t>
      </w:r>
      <w:r w:rsidR="003D0E6C" w:rsidRPr="1D9AD1BE">
        <w:rPr>
          <w:rFonts w:ascii="Times New Roman" w:hAnsi="Times New Roman"/>
        </w:rPr>
        <w:t xml:space="preserve">such as </w:t>
      </w:r>
      <w:r w:rsidR="008F5240" w:rsidRPr="1D9AD1BE">
        <w:rPr>
          <w:rFonts w:ascii="Times New Roman" w:hAnsi="Times New Roman"/>
        </w:rPr>
        <w:t>Moldova.</w:t>
      </w:r>
    </w:p>
    <w:p w14:paraId="768F30C5" w14:textId="4984BB15" w:rsidR="003D4062" w:rsidRPr="005D34E8" w:rsidRDefault="007D25BE" w:rsidP="1D9AD1BE">
      <w:pPr>
        <w:widowControl w:val="0"/>
        <w:rPr>
          <w:rFonts w:ascii="Times New Roman" w:hAnsi="Times New Roman"/>
          <w:lang w:val="en-IE"/>
        </w:rPr>
      </w:pPr>
      <w:r w:rsidRPr="1D9AD1BE">
        <w:rPr>
          <w:rFonts w:ascii="Times New Roman" w:hAnsi="Times New Roman"/>
          <w:b/>
          <w:bCs/>
          <w:lang w:val="en-IE"/>
        </w:rPr>
        <w:t xml:space="preserve">On paragraph 15 on </w:t>
      </w:r>
      <w:r w:rsidR="003D4062" w:rsidRPr="1D9AD1BE">
        <w:rPr>
          <w:rFonts w:ascii="Times New Roman" w:hAnsi="Times New Roman"/>
          <w:b/>
          <w:bCs/>
          <w:lang w:val="en-IE"/>
        </w:rPr>
        <w:t>permanent trade liberali</w:t>
      </w:r>
      <w:r w:rsidR="00D41905" w:rsidRPr="1D9AD1BE">
        <w:rPr>
          <w:rFonts w:ascii="Times New Roman" w:hAnsi="Times New Roman"/>
          <w:b/>
          <w:bCs/>
          <w:lang w:val="en-IE"/>
        </w:rPr>
        <w:t>s</w:t>
      </w:r>
      <w:r w:rsidR="003D4062" w:rsidRPr="1D9AD1BE">
        <w:rPr>
          <w:rFonts w:ascii="Times New Roman" w:hAnsi="Times New Roman"/>
          <w:b/>
          <w:bCs/>
          <w:lang w:val="en-IE"/>
        </w:rPr>
        <w:t>ation for Moldovan goods,</w:t>
      </w:r>
      <w:r w:rsidR="005D34E8" w:rsidRPr="1D9AD1BE">
        <w:rPr>
          <w:rFonts w:ascii="Times New Roman" w:hAnsi="Times New Roman"/>
          <w:b/>
          <w:bCs/>
          <w:lang w:val="en-IE"/>
        </w:rPr>
        <w:t xml:space="preserve"> </w:t>
      </w:r>
      <w:r w:rsidR="005D34E8" w:rsidRPr="1D9AD1BE">
        <w:rPr>
          <w:rFonts w:ascii="Times New Roman" w:hAnsi="Times New Roman"/>
          <w:lang w:val="en-IE"/>
        </w:rPr>
        <w:t>the Commission recalls that</w:t>
      </w:r>
      <w:r w:rsidR="00D41905" w:rsidRPr="1D9AD1BE">
        <w:rPr>
          <w:rFonts w:ascii="Times New Roman" w:hAnsi="Times New Roman"/>
          <w:lang w:val="en-IE"/>
        </w:rPr>
        <w:t xml:space="preserve"> between July 2022 and July 2025 </w:t>
      </w:r>
      <w:r w:rsidR="005D34E8" w:rsidRPr="1D9AD1BE">
        <w:rPr>
          <w:rFonts w:ascii="Times New Roman" w:hAnsi="Times New Roman"/>
          <w:lang w:val="en-IE"/>
        </w:rPr>
        <w:t>Moldova benefit</w:t>
      </w:r>
      <w:r w:rsidR="00D41905" w:rsidRPr="1D9AD1BE">
        <w:rPr>
          <w:rFonts w:ascii="Times New Roman" w:hAnsi="Times New Roman"/>
          <w:lang w:val="en-IE"/>
        </w:rPr>
        <w:t>ed</w:t>
      </w:r>
      <w:r w:rsidR="005D34E8" w:rsidRPr="1D9AD1BE">
        <w:rPr>
          <w:rFonts w:ascii="Times New Roman" w:hAnsi="Times New Roman"/>
          <w:lang w:val="en-IE"/>
        </w:rPr>
        <w:t xml:space="preserve"> from </w:t>
      </w:r>
      <w:r w:rsidR="00D41905" w:rsidRPr="1D9AD1BE">
        <w:rPr>
          <w:rFonts w:ascii="Times New Roman" w:hAnsi="Times New Roman"/>
          <w:lang w:val="en-IE"/>
        </w:rPr>
        <w:t xml:space="preserve">unilateral EU </w:t>
      </w:r>
      <w:r w:rsidR="005D34E8" w:rsidRPr="1D9AD1BE">
        <w:rPr>
          <w:rFonts w:ascii="Times New Roman" w:hAnsi="Times New Roman"/>
          <w:lang w:val="en-IE"/>
        </w:rPr>
        <w:t>Autonomous Trade Measures (ATMs) which allow</w:t>
      </w:r>
      <w:r w:rsidR="00D41905" w:rsidRPr="1D9AD1BE">
        <w:rPr>
          <w:rFonts w:ascii="Times New Roman" w:hAnsi="Times New Roman"/>
          <w:lang w:val="en-IE"/>
        </w:rPr>
        <w:t>ed</w:t>
      </w:r>
      <w:r w:rsidR="005D34E8" w:rsidRPr="1D9AD1BE">
        <w:rPr>
          <w:rFonts w:ascii="Times New Roman" w:hAnsi="Times New Roman"/>
          <w:lang w:val="en-IE"/>
        </w:rPr>
        <w:t xml:space="preserve"> Moldova to export agricultural products to the EU tariff-free</w:t>
      </w:r>
      <w:r w:rsidR="00D41905" w:rsidRPr="1D9AD1BE">
        <w:rPr>
          <w:rFonts w:ascii="Times New Roman" w:hAnsi="Times New Roman"/>
          <w:lang w:val="en-IE"/>
        </w:rPr>
        <w:t>. As concluded</w:t>
      </w:r>
      <w:r w:rsidR="00D41905" w:rsidRPr="1D9AD1BE">
        <w:rPr>
          <w:rStyle w:val="FootnoteReference"/>
          <w:rFonts w:ascii="Times New Roman" w:hAnsi="Times New Roman"/>
          <w:lang w:val="en-IE"/>
        </w:rPr>
        <w:footnoteReference w:id="2"/>
      </w:r>
      <w:r w:rsidR="00D41905" w:rsidRPr="1D9AD1BE">
        <w:rPr>
          <w:rFonts w:ascii="Times New Roman" w:hAnsi="Times New Roman"/>
          <w:lang w:val="en-IE"/>
        </w:rPr>
        <w:t xml:space="preserve"> in the bilateral negotiations on the review of the </w:t>
      </w:r>
      <w:r w:rsidR="005D34E8" w:rsidRPr="1D9AD1BE">
        <w:rPr>
          <w:rFonts w:ascii="Times New Roman" w:hAnsi="Times New Roman"/>
          <w:lang w:val="en-IE"/>
        </w:rPr>
        <w:t>EU–Moldova Association Agreement</w:t>
      </w:r>
      <w:r w:rsidR="00800455" w:rsidRPr="1D9AD1BE">
        <w:rPr>
          <w:rFonts w:ascii="Times New Roman" w:hAnsi="Times New Roman"/>
          <w:lang w:val="en-IE"/>
        </w:rPr>
        <w:t xml:space="preserve"> </w:t>
      </w:r>
      <w:r w:rsidR="005D34E8" w:rsidRPr="1D9AD1BE">
        <w:rPr>
          <w:rFonts w:ascii="Times New Roman" w:hAnsi="Times New Roman"/>
          <w:lang w:val="en-IE"/>
        </w:rPr>
        <w:t xml:space="preserve">/ </w:t>
      </w:r>
      <w:r w:rsidR="009D6524" w:rsidRPr="1D9AD1BE">
        <w:rPr>
          <w:rFonts w:ascii="Times New Roman" w:hAnsi="Times New Roman"/>
          <w:lang w:val="en-IE"/>
        </w:rPr>
        <w:t>Deep and Comprehensive Free Trade Agreement (</w:t>
      </w:r>
      <w:r w:rsidR="005D34E8" w:rsidRPr="1D9AD1BE">
        <w:rPr>
          <w:rFonts w:ascii="Times New Roman" w:hAnsi="Times New Roman"/>
          <w:lang w:val="en-IE"/>
        </w:rPr>
        <w:t>DCFTA</w:t>
      </w:r>
      <w:r w:rsidR="009D6524" w:rsidRPr="1D9AD1BE">
        <w:rPr>
          <w:rFonts w:ascii="Times New Roman" w:hAnsi="Times New Roman"/>
          <w:lang w:val="en-IE"/>
        </w:rPr>
        <w:t>)</w:t>
      </w:r>
      <w:r w:rsidR="00D41905" w:rsidRPr="1D9AD1BE">
        <w:rPr>
          <w:rFonts w:ascii="Times New Roman" w:hAnsi="Times New Roman"/>
          <w:lang w:val="en-IE"/>
        </w:rPr>
        <w:t xml:space="preserve"> and announced on 24 July 2025, the EU agreed to liberalise some less sensitive products and substantially increase the volumes of the remaining duty-free tariff rate quotas. This will allow Moldova to level or even increase its exports in comparison to the high levels that took place under the ATMs</w:t>
      </w:r>
      <w:r w:rsidR="005D34E8" w:rsidRPr="1D9AD1BE">
        <w:rPr>
          <w:rFonts w:ascii="Times New Roman" w:hAnsi="Times New Roman"/>
          <w:lang w:val="en-IE"/>
        </w:rPr>
        <w:t>.</w:t>
      </w:r>
    </w:p>
    <w:p w14:paraId="6E4EE07D" w14:textId="0A52F7B2" w:rsidR="008F5240" w:rsidRPr="008F5240" w:rsidRDefault="007D25BE" w:rsidP="1D9AD1BE">
      <w:pPr>
        <w:widowControl w:val="0"/>
        <w:rPr>
          <w:rFonts w:ascii="Times New Roman" w:hAnsi="Times New Roman"/>
          <w:b/>
          <w:bCs/>
          <w:lang w:val="en-IE"/>
        </w:rPr>
      </w:pPr>
      <w:r w:rsidRPr="1D9AD1BE">
        <w:rPr>
          <w:rFonts w:ascii="Times New Roman" w:hAnsi="Times New Roman"/>
          <w:b/>
          <w:bCs/>
          <w:lang w:val="en-IE"/>
        </w:rPr>
        <w:t xml:space="preserve">On paragraph 16 </w:t>
      </w:r>
      <w:r w:rsidR="00F14388" w:rsidRPr="1D9AD1BE">
        <w:rPr>
          <w:rFonts w:ascii="Times New Roman" w:hAnsi="Times New Roman"/>
          <w:b/>
          <w:bCs/>
          <w:lang w:val="en-IE"/>
        </w:rPr>
        <w:t>on increasing funding for EU instruments that support democracy</w:t>
      </w:r>
      <w:r w:rsidR="008F5240" w:rsidRPr="1D9AD1BE">
        <w:rPr>
          <w:rFonts w:ascii="Times New Roman" w:hAnsi="Times New Roman"/>
          <w:b/>
          <w:bCs/>
          <w:lang w:val="en-IE"/>
        </w:rPr>
        <w:t xml:space="preserve">, </w:t>
      </w:r>
      <w:r w:rsidR="008F5240" w:rsidRPr="1D9AD1BE">
        <w:rPr>
          <w:rFonts w:ascii="Times New Roman" w:hAnsi="Times New Roman"/>
          <w:lang w:val="en-IE"/>
        </w:rPr>
        <w:t>the Commission recalls that the US administration's recent suspension of support for key projects in Moldova has created urgent funding gaps in critical areas like justice reforms, energy security, and independent media. While the EU cannot fully replace this funding, it is implementing short-</w:t>
      </w:r>
      <w:r w:rsidR="0090547E" w:rsidRPr="1D9AD1BE">
        <w:rPr>
          <w:rFonts w:ascii="Times New Roman" w:hAnsi="Times New Roman"/>
          <w:lang w:val="en-IE"/>
        </w:rPr>
        <w:t xml:space="preserve"> </w:t>
      </w:r>
      <w:r w:rsidR="008F5240" w:rsidRPr="1D9AD1BE">
        <w:rPr>
          <w:rFonts w:ascii="Times New Roman" w:hAnsi="Times New Roman"/>
          <w:lang w:val="en-IE"/>
        </w:rPr>
        <w:t>to</w:t>
      </w:r>
      <w:r w:rsidR="0090547E" w:rsidRPr="1D9AD1BE">
        <w:rPr>
          <w:rFonts w:ascii="Times New Roman" w:hAnsi="Times New Roman"/>
          <w:lang w:val="en-IE"/>
        </w:rPr>
        <w:t xml:space="preserve"> </w:t>
      </w:r>
      <w:r w:rsidR="008F5240" w:rsidRPr="1D9AD1BE">
        <w:rPr>
          <w:rFonts w:ascii="Times New Roman" w:hAnsi="Times New Roman"/>
          <w:lang w:val="en-IE"/>
        </w:rPr>
        <w:t>medium-term strategies to address these needs. The EU is also working with international financial institutions to support Moldova's progres</w:t>
      </w:r>
      <w:r w:rsidR="00831206" w:rsidRPr="1D9AD1BE">
        <w:rPr>
          <w:rFonts w:ascii="Times New Roman" w:hAnsi="Times New Roman"/>
          <w:lang w:val="en-IE"/>
        </w:rPr>
        <w:t>s</w:t>
      </w:r>
      <w:r w:rsidR="008F5240" w:rsidRPr="1D9AD1BE">
        <w:rPr>
          <w:rFonts w:ascii="Times New Roman" w:hAnsi="Times New Roman"/>
          <w:lang w:val="en-IE"/>
        </w:rPr>
        <w:t>.</w:t>
      </w:r>
    </w:p>
    <w:p w14:paraId="6306FD0A" w14:textId="77777777" w:rsidR="007D25BE" w:rsidRPr="00905DFB" w:rsidRDefault="007D25BE" w:rsidP="1D9AD1BE">
      <w:pPr>
        <w:widowControl w:val="0"/>
        <w:rPr>
          <w:rFonts w:ascii="Times New Roman" w:hAnsi="Times New Roman"/>
        </w:rPr>
      </w:pPr>
      <w:r w:rsidRPr="1D9AD1BE">
        <w:rPr>
          <w:rFonts w:ascii="Times New Roman" w:hAnsi="Times New Roman"/>
          <w:b/>
          <w:bCs/>
        </w:rPr>
        <w:lastRenderedPageBreak/>
        <w:t xml:space="preserve">On paragraph 23 </w:t>
      </w:r>
      <w:r w:rsidR="001B3612" w:rsidRPr="1D9AD1BE">
        <w:rPr>
          <w:rFonts w:ascii="Times New Roman" w:hAnsi="Times New Roman"/>
          <w:b/>
          <w:bCs/>
        </w:rPr>
        <w:t>on support for Moldova's energy sector in light of USAID’s withdrawal,</w:t>
      </w:r>
      <w:r w:rsidR="00905DFB" w:rsidRPr="1D9AD1BE">
        <w:t xml:space="preserve"> </w:t>
      </w:r>
      <w:r w:rsidR="00905DFB" w:rsidRPr="1D9AD1BE">
        <w:rPr>
          <w:rFonts w:ascii="Times New Roman" w:hAnsi="Times New Roman"/>
        </w:rPr>
        <w:t xml:space="preserve">the EU and Moldova have agreed on a two-year Comprehensive Strategy for Energy Independence and Resilience. It aims to end Moldova’s dependence on Russian energy and fully integrate Moldova into the EU energy market, so to ensure greater energy security and independence. Under this strategy, </w:t>
      </w:r>
      <w:r w:rsidR="003D0E6C" w:rsidRPr="1D9AD1BE">
        <w:rPr>
          <w:rFonts w:ascii="Times New Roman" w:hAnsi="Times New Roman"/>
        </w:rPr>
        <w:t xml:space="preserve">up to </w:t>
      </w:r>
      <w:r w:rsidR="00905DFB" w:rsidRPr="1D9AD1BE">
        <w:rPr>
          <w:rFonts w:ascii="Times New Roman" w:hAnsi="Times New Roman"/>
        </w:rPr>
        <w:t>EUR 250 million will be mobilised by the EU and its partners in 2025 alone. This support comes in addition to the extensive budget support, which the EU has provided for the energy sector in Moldova since 2021. This assistance has subsidised gas and electricity bills via grants and macro-financial assistance.</w:t>
      </w:r>
    </w:p>
    <w:p w14:paraId="1E265C8D" w14:textId="77777777" w:rsidR="00A50806" w:rsidRDefault="00A50806" w:rsidP="1D9AD1BE">
      <w:pPr>
        <w:widowControl w:val="0"/>
        <w:rPr>
          <w:rFonts w:ascii="Times New Roman" w:hAnsi="Times New Roman"/>
          <w:b/>
          <w:bCs/>
        </w:rPr>
      </w:pPr>
      <w:r w:rsidRPr="1D9AD1BE">
        <w:rPr>
          <w:rFonts w:ascii="Times New Roman" w:hAnsi="Times New Roman"/>
          <w:b/>
          <w:bCs/>
        </w:rPr>
        <w:t>On paragraph 26 on support for judicial reform and capacity building,</w:t>
      </w:r>
      <w:r w:rsidR="003F168E" w:rsidRPr="1D9AD1BE">
        <w:rPr>
          <w:rFonts w:ascii="Times New Roman" w:hAnsi="Times New Roman"/>
          <w:b/>
          <w:bCs/>
        </w:rPr>
        <w:t xml:space="preserve"> </w:t>
      </w:r>
      <w:r w:rsidR="003F168E" w:rsidRPr="1D9AD1BE">
        <w:rPr>
          <w:rFonts w:ascii="Times New Roman" w:hAnsi="Times New Roman"/>
        </w:rPr>
        <w:t>the Commission underlines that the ongoing vetting and appointments to top judicial and prosecutorial positions is advancing further and reiterates that Moldova should continue and reinforce its collaboration with EU and international institutions to fight international criminal networks.</w:t>
      </w:r>
    </w:p>
    <w:p w14:paraId="40B940A0" w14:textId="777B0FF6" w:rsidR="00A50806" w:rsidRPr="005B0A13" w:rsidRDefault="00A50806" w:rsidP="1D9AD1BE">
      <w:pPr>
        <w:widowControl w:val="0"/>
        <w:rPr>
          <w:rFonts w:ascii="Times New Roman" w:hAnsi="Times New Roman"/>
        </w:rPr>
      </w:pPr>
      <w:r w:rsidRPr="1D9AD1BE">
        <w:rPr>
          <w:rFonts w:ascii="Times New Roman" w:hAnsi="Times New Roman"/>
          <w:b/>
          <w:bCs/>
        </w:rPr>
        <w:t xml:space="preserve">On paragraph 33 on countering hybrid threats and enhancing Moldova’s security preparedness, </w:t>
      </w:r>
      <w:r w:rsidR="00035E23" w:rsidRPr="1D9AD1BE">
        <w:rPr>
          <w:rFonts w:ascii="Times New Roman" w:hAnsi="Times New Roman"/>
        </w:rPr>
        <w:t xml:space="preserve">it is recalled that the EU remains </w:t>
      </w:r>
      <w:r w:rsidR="003D0E6C" w:rsidRPr="1D9AD1BE">
        <w:rPr>
          <w:rFonts w:ascii="Times New Roman" w:hAnsi="Times New Roman"/>
        </w:rPr>
        <w:t xml:space="preserve">highly </w:t>
      </w:r>
      <w:r w:rsidR="00035E23" w:rsidRPr="1D9AD1BE">
        <w:rPr>
          <w:rFonts w:ascii="Times New Roman" w:hAnsi="Times New Roman"/>
        </w:rPr>
        <w:t>committed to deepen</w:t>
      </w:r>
      <w:r w:rsidR="003D0E6C" w:rsidRPr="1D9AD1BE">
        <w:rPr>
          <w:rFonts w:ascii="Times New Roman" w:hAnsi="Times New Roman"/>
        </w:rPr>
        <w:t>ing</w:t>
      </w:r>
      <w:r w:rsidR="00035E23" w:rsidRPr="1D9AD1BE">
        <w:rPr>
          <w:rFonts w:ascii="Times New Roman" w:hAnsi="Times New Roman"/>
        </w:rPr>
        <w:t xml:space="preserve"> cooperation with Moldova under the Common Foreign and Security Policy. In 2024, Moldova became the first country to sign a Security and Defence Partnership with the EU. Moreover, the EU Partnership Mission in Moldova (EUPM) provides</w:t>
      </w:r>
      <w:r w:rsidR="00267E9B" w:rsidRPr="1D9AD1BE">
        <w:rPr>
          <w:rFonts w:ascii="Times New Roman" w:hAnsi="Times New Roman"/>
        </w:rPr>
        <w:t xml:space="preserve"> strategic advice and</w:t>
      </w:r>
      <w:r w:rsidR="00035E23" w:rsidRPr="1D9AD1BE">
        <w:rPr>
          <w:rFonts w:ascii="Times New Roman" w:hAnsi="Times New Roman"/>
        </w:rPr>
        <w:t xml:space="preserve"> critical support to Moldovan institutions in the field of security to build resilience against cyber and hybrid threats. </w:t>
      </w:r>
      <w:r w:rsidR="00F23288" w:rsidRPr="1D9AD1BE">
        <w:rPr>
          <w:rFonts w:ascii="Times New Roman" w:hAnsi="Times New Roman"/>
        </w:rPr>
        <w:t>EUPM’s coordinated Specialist Team on Illicit Financing of Elections has been deployed to Moldova</w:t>
      </w:r>
      <w:r w:rsidR="00267E9B" w:rsidRPr="1D9AD1BE">
        <w:rPr>
          <w:rFonts w:ascii="Times New Roman" w:hAnsi="Times New Roman"/>
        </w:rPr>
        <w:t xml:space="preserve"> from February to</w:t>
      </w:r>
      <w:r w:rsidR="00F23288" w:rsidRPr="1D9AD1BE">
        <w:rPr>
          <w:rFonts w:ascii="Times New Roman" w:hAnsi="Times New Roman"/>
        </w:rPr>
        <w:t xml:space="preserve"> until </w:t>
      </w:r>
      <w:r w:rsidR="00267E9B" w:rsidRPr="1D9AD1BE">
        <w:rPr>
          <w:rFonts w:ascii="Times New Roman" w:hAnsi="Times New Roman"/>
        </w:rPr>
        <w:t>August 2025</w:t>
      </w:r>
      <w:r w:rsidR="00F23288" w:rsidRPr="1D9AD1BE">
        <w:rPr>
          <w:rFonts w:ascii="Times New Roman" w:hAnsi="Times New Roman"/>
        </w:rPr>
        <w:t>. As a short-term support measure</w:t>
      </w:r>
      <w:r w:rsidR="0037018E" w:rsidRPr="1D9AD1BE">
        <w:rPr>
          <w:rFonts w:ascii="Times New Roman" w:hAnsi="Times New Roman"/>
        </w:rPr>
        <w:t xml:space="preserve"> and at the request of Moldovan authorities,</w:t>
      </w:r>
      <w:r w:rsidR="00F23288" w:rsidRPr="1D9AD1BE">
        <w:rPr>
          <w:rFonts w:ascii="Times New Roman" w:hAnsi="Times New Roman"/>
        </w:rPr>
        <w:t xml:space="preserve"> the Hybrid Rapid Response Teams</w:t>
      </w:r>
      <w:r w:rsidR="00272732" w:rsidRPr="1D9AD1BE">
        <w:rPr>
          <w:rFonts w:ascii="Times New Roman" w:hAnsi="Times New Roman"/>
        </w:rPr>
        <w:t xml:space="preserve"> (HRRTs)</w:t>
      </w:r>
      <w:r w:rsidR="00F23288" w:rsidRPr="1D9AD1BE">
        <w:rPr>
          <w:rFonts w:ascii="Times New Roman" w:hAnsi="Times New Roman"/>
        </w:rPr>
        <w:t xml:space="preserve"> were deployed to Moldova </w:t>
      </w:r>
      <w:r w:rsidR="00272732" w:rsidRPr="1D9AD1BE">
        <w:rPr>
          <w:rFonts w:ascii="Times New Roman" w:hAnsi="Times New Roman"/>
        </w:rPr>
        <w:t>in spring 2025</w:t>
      </w:r>
      <w:r w:rsidR="00F23288" w:rsidRPr="1D9AD1BE">
        <w:rPr>
          <w:rFonts w:ascii="Times New Roman" w:hAnsi="Times New Roman"/>
        </w:rPr>
        <w:t xml:space="preserve">, </w:t>
      </w:r>
      <w:r w:rsidR="0037018E" w:rsidRPr="1D9AD1BE">
        <w:rPr>
          <w:rFonts w:ascii="Times New Roman" w:hAnsi="Times New Roman"/>
        </w:rPr>
        <w:t>to enhance Moldova’s preparedness and resilience against hybrid threats in particular regarding efforts to ensure the integrity of the electoral processes.</w:t>
      </w:r>
      <w:r w:rsidR="00272732" w:rsidRPr="1D9AD1BE">
        <w:rPr>
          <w:rFonts w:ascii="Times New Roman" w:hAnsi="Times New Roman"/>
        </w:rPr>
        <w:t xml:space="preserve"> </w:t>
      </w:r>
      <w:r w:rsidR="00F23288" w:rsidRPr="1D9AD1BE">
        <w:rPr>
          <w:rFonts w:ascii="Times New Roman" w:hAnsi="Times New Roman"/>
        </w:rPr>
        <w:t>Also</w:t>
      </w:r>
      <w:r w:rsidR="00035E23" w:rsidRPr="1D9AD1BE">
        <w:rPr>
          <w:rFonts w:ascii="Times New Roman" w:hAnsi="Times New Roman"/>
        </w:rPr>
        <w:t>, t</w:t>
      </w:r>
      <w:r w:rsidR="003D0E6C" w:rsidRPr="1D9AD1BE">
        <w:rPr>
          <w:rFonts w:ascii="Times New Roman" w:hAnsi="Times New Roman"/>
        </w:rPr>
        <w:t>h</w:t>
      </w:r>
      <w:r w:rsidR="00035E23" w:rsidRPr="1D9AD1BE">
        <w:rPr>
          <w:rFonts w:ascii="Times New Roman" w:hAnsi="Times New Roman"/>
        </w:rPr>
        <w:t xml:space="preserve">rough the European Peace Facility (EPF), the EU is supporting the modernisation of Moldova’s armed forces with close to </w:t>
      </w:r>
      <w:r w:rsidR="003379A1" w:rsidRPr="1D9AD1BE">
        <w:rPr>
          <w:rFonts w:ascii="Times New Roman" w:hAnsi="Times New Roman"/>
        </w:rPr>
        <w:t xml:space="preserve">EUR </w:t>
      </w:r>
      <w:r w:rsidR="00035E23" w:rsidRPr="1D9AD1BE">
        <w:rPr>
          <w:rFonts w:ascii="Times New Roman" w:hAnsi="Times New Roman"/>
        </w:rPr>
        <w:t>200 million for 2021-2025.</w:t>
      </w:r>
    </w:p>
    <w:p w14:paraId="1DF104D5" w14:textId="6E5B8EDE" w:rsidR="00103D17" w:rsidRPr="00103D17" w:rsidRDefault="00A50806" w:rsidP="1D9AD1BE">
      <w:pPr>
        <w:widowControl w:val="0"/>
        <w:rPr>
          <w:rFonts w:ascii="Times New Roman" w:hAnsi="Times New Roman"/>
          <w:b/>
          <w:bCs/>
        </w:rPr>
      </w:pPr>
      <w:r w:rsidRPr="1D9AD1BE">
        <w:rPr>
          <w:rFonts w:ascii="Times New Roman" w:hAnsi="Times New Roman"/>
          <w:b/>
          <w:bCs/>
        </w:rPr>
        <w:t xml:space="preserve">As regards paragraph 36 on </w:t>
      </w:r>
      <w:r w:rsidR="007326EF" w:rsidRPr="1D9AD1BE">
        <w:rPr>
          <w:rFonts w:ascii="Times New Roman" w:hAnsi="Times New Roman"/>
          <w:b/>
          <w:bCs/>
        </w:rPr>
        <w:t>the cooperation on the EU’s Common Security and Defence Policy (CSDP)</w:t>
      </w:r>
      <w:r w:rsidR="007326EF" w:rsidRPr="1D9AD1BE">
        <w:rPr>
          <w:rFonts w:ascii="Times New Roman" w:hAnsi="Times New Roman"/>
        </w:rPr>
        <w:t xml:space="preserve">, the EU </w:t>
      </w:r>
      <w:r w:rsidR="00103D17" w:rsidRPr="1D9AD1BE">
        <w:rPr>
          <w:rFonts w:ascii="Times New Roman" w:hAnsi="Times New Roman"/>
        </w:rPr>
        <w:t xml:space="preserve">welcomes Moldova’s proactive engagement in </w:t>
      </w:r>
      <w:r w:rsidR="007326EF" w:rsidRPr="1D9AD1BE">
        <w:rPr>
          <w:rFonts w:ascii="Times New Roman" w:hAnsi="Times New Roman"/>
        </w:rPr>
        <w:t xml:space="preserve">this policy area </w:t>
      </w:r>
      <w:r w:rsidR="00103D17" w:rsidRPr="1D9AD1BE">
        <w:rPr>
          <w:rFonts w:ascii="Times New Roman" w:hAnsi="Times New Roman"/>
        </w:rPr>
        <w:t xml:space="preserve">and its pioneering role as the first country to sign a </w:t>
      </w:r>
      <w:r w:rsidR="003D0E6C" w:rsidRPr="1D9AD1BE">
        <w:rPr>
          <w:rFonts w:ascii="Times New Roman" w:hAnsi="Times New Roman"/>
        </w:rPr>
        <w:t>S</w:t>
      </w:r>
      <w:r w:rsidR="00103D17" w:rsidRPr="1D9AD1BE">
        <w:rPr>
          <w:rFonts w:ascii="Times New Roman" w:hAnsi="Times New Roman"/>
        </w:rPr>
        <w:t xml:space="preserve">ecurity and </w:t>
      </w:r>
      <w:r w:rsidR="003D0E6C" w:rsidRPr="1D9AD1BE">
        <w:rPr>
          <w:rFonts w:ascii="Times New Roman" w:hAnsi="Times New Roman"/>
        </w:rPr>
        <w:t>D</w:t>
      </w:r>
      <w:r w:rsidR="00103D17" w:rsidRPr="1D9AD1BE">
        <w:rPr>
          <w:rFonts w:ascii="Times New Roman" w:hAnsi="Times New Roman"/>
        </w:rPr>
        <w:t xml:space="preserve">efence </w:t>
      </w:r>
      <w:r w:rsidR="003D0E6C" w:rsidRPr="1D9AD1BE">
        <w:rPr>
          <w:rFonts w:ascii="Times New Roman" w:hAnsi="Times New Roman"/>
        </w:rPr>
        <w:t>P</w:t>
      </w:r>
      <w:r w:rsidR="00103D17" w:rsidRPr="1D9AD1BE">
        <w:rPr>
          <w:rFonts w:ascii="Times New Roman" w:hAnsi="Times New Roman"/>
        </w:rPr>
        <w:t xml:space="preserve">artnership with the EU. This partnership, along with Moldova's participation </w:t>
      </w:r>
      <w:r w:rsidR="007326EF" w:rsidRPr="1D9AD1BE">
        <w:rPr>
          <w:rFonts w:ascii="Times New Roman" w:hAnsi="Times New Roman"/>
        </w:rPr>
        <w:t xml:space="preserve">in CSDP missions and operation, </w:t>
      </w:r>
      <w:r w:rsidR="00103D17" w:rsidRPr="1D9AD1BE">
        <w:rPr>
          <w:rFonts w:ascii="Times New Roman" w:hAnsi="Times New Roman"/>
        </w:rPr>
        <w:t xml:space="preserve">highlights its commitment to European security efforts. The EU is taking steps to enhance defence cooperation with Moldova, focusing on critical areas such as air defence and integrating Moldova into the European Defence Technological and Industrial Base. While Moldova cannot access loans through the </w:t>
      </w:r>
      <w:r w:rsidR="005C2003" w:rsidRPr="1D9AD1BE">
        <w:rPr>
          <w:rFonts w:ascii="Times New Roman" w:hAnsi="Times New Roman"/>
        </w:rPr>
        <w:t xml:space="preserve">Security Action for Europe </w:t>
      </w:r>
      <w:r w:rsidR="0090547E" w:rsidRPr="1D9AD1BE">
        <w:rPr>
          <w:rFonts w:ascii="Times New Roman" w:hAnsi="Times New Roman"/>
        </w:rPr>
        <w:t>(</w:t>
      </w:r>
      <w:r w:rsidR="00103D17" w:rsidRPr="1D9AD1BE">
        <w:rPr>
          <w:rFonts w:ascii="Times New Roman" w:hAnsi="Times New Roman"/>
        </w:rPr>
        <w:t>SAFE</w:t>
      </w:r>
      <w:r w:rsidR="0090547E" w:rsidRPr="1D9AD1BE">
        <w:rPr>
          <w:rFonts w:ascii="Times New Roman" w:hAnsi="Times New Roman"/>
        </w:rPr>
        <w:t>)</w:t>
      </w:r>
      <w:r w:rsidR="00103D17" w:rsidRPr="1D9AD1BE">
        <w:rPr>
          <w:rFonts w:ascii="Times New Roman" w:hAnsi="Times New Roman"/>
        </w:rPr>
        <w:t xml:space="preserve"> instrument, it can participate in joint procurement initiatives</w:t>
      </w:r>
      <w:r w:rsidR="00074B47" w:rsidRPr="1D9AD1BE">
        <w:rPr>
          <w:rFonts w:ascii="Times New Roman" w:hAnsi="Times New Roman"/>
        </w:rPr>
        <w:t>.</w:t>
      </w:r>
      <w:r w:rsidR="00074B47" w:rsidRPr="1D9AD1BE">
        <w:t xml:space="preserve"> </w:t>
      </w:r>
      <w:r w:rsidR="00074B47" w:rsidRPr="1D9AD1BE">
        <w:rPr>
          <w:rFonts w:ascii="Times New Roman" w:hAnsi="Times New Roman"/>
        </w:rPr>
        <w:t>Moldova’s defence industry could be part of the suppliers, subject to an additional bilateral agreement with the EU. This agreement will set the conditions of access of the Moldovan defence industry in the procurement contract including the adequate level of financial contribution and security of supply regime.</w:t>
      </w:r>
      <w:r w:rsidR="00103D17" w:rsidRPr="1D9AD1BE">
        <w:rPr>
          <w:rFonts w:ascii="Times New Roman" w:hAnsi="Times New Roman"/>
        </w:rPr>
        <w:t xml:space="preserve"> Furthermore, ongoing negotiations aim to align Moldova's legislation with EU standards, facilitating deeper cooperation. The EU is committed to exploring ways to include Moldova in security and defence programmes, enhancing its role alongside Member States in joint procurement and other initiatives.</w:t>
      </w:r>
    </w:p>
    <w:p w14:paraId="42531687" w14:textId="77777777" w:rsidR="00A50806" w:rsidRPr="001E4ED2" w:rsidRDefault="00A50806" w:rsidP="1D9AD1BE">
      <w:pPr>
        <w:widowControl w:val="0"/>
        <w:rPr>
          <w:rFonts w:ascii="Times New Roman" w:hAnsi="Times New Roman"/>
          <w:b/>
          <w:bCs/>
        </w:rPr>
      </w:pPr>
    </w:p>
    <w:sectPr w:rsidR="00A50806" w:rsidRPr="001E4ED2" w:rsidSect="00812321">
      <w:footerReference w:type="even" r:id="rId11"/>
      <w:footerReference w:type="default" r:id="rId12"/>
      <w:footerReference w:type="first" r:id="rId13"/>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21B5A" w14:textId="77777777" w:rsidR="009E0D36" w:rsidRDefault="009E0D36">
      <w:r>
        <w:separator/>
      </w:r>
    </w:p>
  </w:endnote>
  <w:endnote w:type="continuationSeparator" w:id="0">
    <w:p w14:paraId="3BBC3D82" w14:textId="77777777" w:rsidR="009E0D36" w:rsidRDefault="009E0D36">
      <w:r>
        <w:continuationSeparator/>
      </w:r>
    </w:p>
  </w:endnote>
  <w:endnote w:type="continuationNotice" w:id="1">
    <w:p w14:paraId="26AB6A8F" w14:textId="77777777" w:rsidR="009E0D36" w:rsidRDefault="009E0D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44F1"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67298F37"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6B7F" w14:textId="087733DC"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4549">
      <w:rPr>
        <w:rStyle w:val="PageNumber"/>
        <w:noProof/>
      </w:rPr>
      <w:t>2</w:t>
    </w:r>
    <w:r>
      <w:rPr>
        <w:rStyle w:val="PageNumber"/>
      </w:rPr>
      <w:fldChar w:fldCharType="end"/>
    </w:r>
  </w:p>
  <w:p w14:paraId="0339E851"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CBC4" w14:textId="083754EC"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4549">
      <w:rPr>
        <w:rStyle w:val="PageNumber"/>
        <w:noProof/>
      </w:rPr>
      <w:t>1</w:t>
    </w:r>
    <w:r>
      <w:rPr>
        <w:rStyle w:val="PageNumber"/>
      </w:rPr>
      <w:fldChar w:fldCharType="end"/>
    </w:r>
  </w:p>
  <w:p w14:paraId="0E9FE1F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535DD" w14:textId="77777777" w:rsidR="009E0D36" w:rsidRDefault="009E0D36">
      <w:r>
        <w:separator/>
      </w:r>
    </w:p>
  </w:footnote>
  <w:footnote w:type="continuationSeparator" w:id="0">
    <w:p w14:paraId="2199DA01" w14:textId="77777777" w:rsidR="009E0D36" w:rsidRDefault="009E0D36">
      <w:r>
        <w:continuationSeparator/>
      </w:r>
    </w:p>
  </w:footnote>
  <w:footnote w:type="continuationNotice" w:id="1">
    <w:p w14:paraId="749B2AF9" w14:textId="77777777" w:rsidR="009E0D36" w:rsidRDefault="009E0D36">
      <w:pPr>
        <w:spacing w:after="0"/>
      </w:pPr>
    </w:p>
  </w:footnote>
  <w:footnote w:id="2">
    <w:p w14:paraId="1F6EFFEE" w14:textId="1AD39043" w:rsidR="00D41905" w:rsidRPr="003B2DD7" w:rsidRDefault="00D41905">
      <w:pPr>
        <w:pStyle w:val="FootnoteText"/>
        <w:rPr>
          <w:rFonts w:ascii="Times New Roman" w:hAnsi="Times New Roman"/>
          <w:lang w:val="fr-FR"/>
        </w:rPr>
      </w:pPr>
      <w:r>
        <w:rPr>
          <w:rStyle w:val="FootnoteReference"/>
        </w:rPr>
        <w:footnoteRef/>
      </w:r>
      <w:r>
        <w:t xml:space="preserve"> </w:t>
      </w:r>
      <w:hyperlink r:id="rId1" w:history="1">
        <w:r w:rsidRPr="00DB7F28">
          <w:rPr>
            <w:rStyle w:val="Hyperlink"/>
            <w:rFonts w:ascii="Times New Roman" w:hAnsi="Times New Roman"/>
          </w:rPr>
          <w:t>https://ec.europa.eu/commission/presscorner/detail/en/ip_25_1904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7"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9"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4"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9"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2"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3"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208106102">
    <w:abstractNumId w:val="7"/>
  </w:num>
  <w:num w:numId="2" w16cid:durableId="1617903182">
    <w:abstractNumId w:val="1"/>
  </w:num>
  <w:num w:numId="3" w16cid:durableId="1442260340">
    <w:abstractNumId w:val="32"/>
  </w:num>
  <w:num w:numId="4" w16cid:durableId="1867673424">
    <w:abstractNumId w:val="13"/>
  </w:num>
  <w:num w:numId="5" w16cid:durableId="1869638882">
    <w:abstractNumId w:val="28"/>
  </w:num>
  <w:num w:numId="6" w16cid:durableId="610667547">
    <w:abstractNumId w:val="10"/>
  </w:num>
  <w:num w:numId="7" w16cid:durableId="1114136037">
    <w:abstractNumId w:val="6"/>
  </w:num>
  <w:num w:numId="8" w16cid:durableId="141625145">
    <w:abstractNumId w:val="15"/>
  </w:num>
  <w:num w:numId="9" w16cid:durableId="1237203124">
    <w:abstractNumId w:val="31"/>
  </w:num>
  <w:num w:numId="10" w16cid:durableId="1776904907">
    <w:abstractNumId w:val="23"/>
  </w:num>
  <w:num w:numId="11" w16cid:durableId="317151266">
    <w:abstractNumId w:val="25"/>
  </w:num>
  <w:num w:numId="12" w16cid:durableId="712771556">
    <w:abstractNumId w:val="12"/>
  </w:num>
  <w:num w:numId="13" w16cid:durableId="1088381953">
    <w:abstractNumId w:val="16"/>
  </w:num>
  <w:num w:numId="14" w16cid:durableId="867184199">
    <w:abstractNumId w:val="29"/>
  </w:num>
  <w:num w:numId="15" w16cid:durableId="1949771877">
    <w:abstractNumId w:val="14"/>
  </w:num>
  <w:num w:numId="16" w16cid:durableId="1403720055">
    <w:abstractNumId w:val="35"/>
  </w:num>
  <w:num w:numId="17" w16cid:durableId="953286993">
    <w:abstractNumId w:val="30"/>
  </w:num>
  <w:num w:numId="18" w16cid:durableId="1217085455">
    <w:abstractNumId w:val="21"/>
  </w:num>
  <w:num w:numId="19" w16cid:durableId="1789543685">
    <w:abstractNumId w:val="22"/>
  </w:num>
  <w:num w:numId="20" w16cid:durableId="1411658724">
    <w:abstractNumId w:val="27"/>
  </w:num>
  <w:num w:numId="21" w16cid:durableId="1191451533">
    <w:abstractNumId w:val="3"/>
  </w:num>
  <w:num w:numId="22" w16cid:durableId="1784760616">
    <w:abstractNumId w:val="4"/>
  </w:num>
  <w:num w:numId="23" w16cid:durableId="400058481">
    <w:abstractNumId w:val="5"/>
  </w:num>
  <w:num w:numId="24" w16cid:durableId="11717196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9482661">
    <w:abstractNumId w:val="33"/>
  </w:num>
  <w:num w:numId="26" w16cid:durableId="1702052933">
    <w:abstractNumId w:val="24"/>
  </w:num>
  <w:num w:numId="27" w16cid:durableId="932321348">
    <w:abstractNumId w:val="17"/>
  </w:num>
  <w:num w:numId="28" w16cid:durableId="1311249836">
    <w:abstractNumId w:val="34"/>
  </w:num>
  <w:num w:numId="29" w16cid:durableId="1086338457">
    <w:abstractNumId w:val="2"/>
  </w:num>
  <w:num w:numId="30" w16cid:durableId="2095394848">
    <w:abstractNumId w:val="20"/>
  </w:num>
  <w:num w:numId="31" w16cid:durableId="1433431682">
    <w:abstractNumId w:val="19"/>
  </w:num>
  <w:num w:numId="32" w16cid:durableId="1684090887">
    <w:abstractNumId w:val="9"/>
  </w:num>
  <w:num w:numId="33" w16cid:durableId="393896634">
    <w:abstractNumId w:val="11"/>
  </w:num>
  <w:num w:numId="34" w16cid:durableId="1960723486">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824"/>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8A4"/>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E2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B5"/>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28"/>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47"/>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9B2"/>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D91"/>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9F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17"/>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9E"/>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70C"/>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2D2"/>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A2"/>
    <w:rsid w:val="00180DB8"/>
    <w:rsid w:val="00180DD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84D"/>
    <w:rsid w:val="00194A0F"/>
    <w:rsid w:val="00195512"/>
    <w:rsid w:val="00196088"/>
    <w:rsid w:val="001962D1"/>
    <w:rsid w:val="00196902"/>
    <w:rsid w:val="00196B9F"/>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4F1"/>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612"/>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3D12"/>
    <w:rsid w:val="001E436A"/>
    <w:rsid w:val="001E44C6"/>
    <w:rsid w:val="001E45D5"/>
    <w:rsid w:val="001E462A"/>
    <w:rsid w:val="001E4C0D"/>
    <w:rsid w:val="001E4ED2"/>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7E"/>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725"/>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1FA0"/>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8F1"/>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67E9B"/>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32"/>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1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9A1"/>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18E"/>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97D70"/>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7AA"/>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DD7"/>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29"/>
    <w:rsid w:val="003C6FBE"/>
    <w:rsid w:val="003C6FFB"/>
    <w:rsid w:val="003C74C2"/>
    <w:rsid w:val="003C757F"/>
    <w:rsid w:val="003C75B1"/>
    <w:rsid w:val="003C75B4"/>
    <w:rsid w:val="003C7820"/>
    <w:rsid w:val="003C79A3"/>
    <w:rsid w:val="003D00D2"/>
    <w:rsid w:val="003D056E"/>
    <w:rsid w:val="003D0AFB"/>
    <w:rsid w:val="003D0BD2"/>
    <w:rsid w:val="003D0BE3"/>
    <w:rsid w:val="003D0E6C"/>
    <w:rsid w:val="003D1331"/>
    <w:rsid w:val="003D1730"/>
    <w:rsid w:val="003D1799"/>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062"/>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68E"/>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B5F"/>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0EA9"/>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1C5"/>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415"/>
    <w:rsid w:val="004E3543"/>
    <w:rsid w:val="004E366E"/>
    <w:rsid w:val="004E39FA"/>
    <w:rsid w:val="004E3AE0"/>
    <w:rsid w:val="004E3C70"/>
    <w:rsid w:val="004E3EFB"/>
    <w:rsid w:val="004E4096"/>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4FC1"/>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32"/>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159"/>
    <w:rsid w:val="00557270"/>
    <w:rsid w:val="00557359"/>
    <w:rsid w:val="00557827"/>
    <w:rsid w:val="00557B9E"/>
    <w:rsid w:val="00557DE4"/>
    <w:rsid w:val="00557F82"/>
    <w:rsid w:val="00560102"/>
    <w:rsid w:val="005606DA"/>
    <w:rsid w:val="005609D2"/>
    <w:rsid w:val="00560A3D"/>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4B70"/>
    <w:rsid w:val="00565272"/>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C63"/>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A1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00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4E8"/>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987"/>
    <w:rsid w:val="00602BEF"/>
    <w:rsid w:val="00602E57"/>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5D"/>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97D07"/>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017"/>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F73"/>
    <w:rsid w:val="00705306"/>
    <w:rsid w:val="007053A6"/>
    <w:rsid w:val="007054E5"/>
    <w:rsid w:val="00705812"/>
    <w:rsid w:val="00706076"/>
    <w:rsid w:val="007060FC"/>
    <w:rsid w:val="007065F5"/>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082"/>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6EF"/>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2FA"/>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5BE"/>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AA"/>
    <w:rsid w:val="007F2272"/>
    <w:rsid w:val="007F2306"/>
    <w:rsid w:val="007F26B7"/>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455"/>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B44"/>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206"/>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CDB"/>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84F"/>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2FE"/>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4F57"/>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8A6"/>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240"/>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162"/>
    <w:rsid w:val="00905201"/>
    <w:rsid w:val="00905396"/>
    <w:rsid w:val="0090547E"/>
    <w:rsid w:val="009054A3"/>
    <w:rsid w:val="00905775"/>
    <w:rsid w:val="00905939"/>
    <w:rsid w:val="0090594B"/>
    <w:rsid w:val="009059C1"/>
    <w:rsid w:val="00905A22"/>
    <w:rsid w:val="00905DB4"/>
    <w:rsid w:val="00905DFB"/>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0E4"/>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B81"/>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524"/>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0D36"/>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A8"/>
    <w:rsid w:val="009F3FB2"/>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83C"/>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7F"/>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0806"/>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D2"/>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549"/>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56A"/>
    <w:rsid w:val="00AF57F7"/>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6D27"/>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51B"/>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465E"/>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A6F"/>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4E9"/>
    <w:rsid w:val="00BB4AEA"/>
    <w:rsid w:val="00BB4B7E"/>
    <w:rsid w:val="00BB4F35"/>
    <w:rsid w:val="00BB5673"/>
    <w:rsid w:val="00BB5AAA"/>
    <w:rsid w:val="00BB5B80"/>
    <w:rsid w:val="00BB5EEC"/>
    <w:rsid w:val="00BB617F"/>
    <w:rsid w:val="00BB62B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E7E7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BF7F89"/>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5C22"/>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7D"/>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4C"/>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4CD"/>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77A6C"/>
    <w:rsid w:val="00C806E2"/>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4EDA"/>
    <w:rsid w:val="00C850F8"/>
    <w:rsid w:val="00C85145"/>
    <w:rsid w:val="00C85608"/>
    <w:rsid w:val="00C85B6F"/>
    <w:rsid w:val="00C86183"/>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76F9"/>
    <w:rsid w:val="00CA7700"/>
    <w:rsid w:val="00CA7755"/>
    <w:rsid w:val="00CA776B"/>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DB3"/>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07FA3"/>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C87"/>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905"/>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623"/>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43A"/>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781"/>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59A"/>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28"/>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195"/>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98"/>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2A9B"/>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438"/>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73"/>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D1C"/>
    <w:rsid w:val="00E75FC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5B73"/>
    <w:rsid w:val="00EA6602"/>
    <w:rsid w:val="00EA6ECA"/>
    <w:rsid w:val="00EA7007"/>
    <w:rsid w:val="00EA73A2"/>
    <w:rsid w:val="00EA75DC"/>
    <w:rsid w:val="00EA7828"/>
    <w:rsid w:val="00EA7A72"/>
    <w:rsid w:val="00EA7C4C"/>
    <w:rsid w:val="00EB02A7"/>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2F"/>
    <w:rsid w:val="00EF7E61"/>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6E0"/>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388"/>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1D7"/>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288"/>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39C"/>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3FFE"/>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1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110"/>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3F4"/>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40"/>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020"/>
    <w:rsid w:val="00FC720C"/>
    <w:rsid w:val="00FC73EB"/>
    <w:rsid w:val="00FD01AF"/>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9D9"/>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DE6"/>
    <w:rsid w:val="00FF6F78"/>
    <w:rsid w:val="00FF6FBA"/>
    <w:rsid w:val="00FF7211"/>
    <w:rsid w:val="1D9AD1BE"/>
    <w:rsid w:val="7A48F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20ED3"/>
  <w15:docId w15:val="{E15034B2-1450-411F-AA24-B4BD4F98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val="en-GB"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val="en-GB"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val="en-GB"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val="en-GB"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lang w:val="en-GB" w:eastAsia="en-GB"/>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val="en-US" w:eastAsia="en-GB"/>
    </w:rPr>
  </w:style>
  <w:style w:type="character" w:styleId="UnresolvedMention">
    <w:name w:val="Unresolved Mention"/>
    <w:basedOn w:val="DefaultParagraphFont"/>
    <w:uiPriority w:val="99"/>
    <w:semiHidden/>
    <w:unhideWhenUsed/>
    <w:rsid w:val="00DB7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69996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resscorner/detail/en/ip_25_19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75EF4-8A57-4371-B42B-BA3E89B4E17C}">
  <ds:schemaRefs>
    <ds:schemaRef ds:uri="http://schemas.microsoft.com/sharepoint/v3/contenttype/forms"/>
  </ds:schemaRefs>
</ds:datastoreItem>
</file>

<file path=customXml/itemProps2.xml><?xml version="1.0" encoding="utf-8"?>
<ds:datastoreItem xmlns:ds="http://schemas.openxmlformats.org/officeDocument/2006/customXml" ds:itemID="{E9DDF797-52F6-47C5-AD2A-635B99375877}">
  <ds:schemaRefs>
    <ds:schemaRef ds:uri="http://schemas.openxmlformats.org/officeDocument/2006/bibliography"/>
  </ds:schemaRefs>
</ds:datastoreItem>
</file>

<file path=customXml/itemProps3.xml><?xml version="1.0" encoding="utf-8"?>
<ds:datastoreItem xmlns:ds="http://schemas.openxmlformats.org/officeDocument/2006/customXml" ds:itemID="{A8FE6620-10A7-4133-A9B7-0D408F4D1F28}">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431886D3-37A5-470E-A119-A1ED23958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TEL.DOTM</Template>
  <TotalTime>3</TotalTime>
  <Pages>3</Pages>
  <Words>1568</Words>
  <Characters>9089</Characters>
  <Application>Microsoft Office Word</Application>
  <DocSecurity>0</DocSecurity>
  <PresentationFormat>Microsoft Word 8.0b</PresentationFormat>
  <Lines>128</Lines>
  <Paragraphs>22</Paragraphs>
  <ScaleCrop>false</ScaleCrop>
  <Company>European Commission</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WERKER</dc:creator>
  <cp:keywords>EL4</cp:keywords>
  <cp:lastModifiedBy>DELBAER Gerda (SG)</cp:lastModifiedBy>
  <cp:revision>3</cp:revision>
  <cp:lastPrinted>2017-11-23T08:27:00Z</cp:lastPrinted>
  <dcterms:created xsi:type="dcterms:W3CDTF">2025-10-14T08:05:00Z</dcterms:created>
  <dcterms:modified xsi:type="dcterms:W3CDTF">2025-10-14T08:08:00Z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2025-06-25T13:10:48Z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3c0a05b1-aa10-41dd-bbd6-489f5d7d00dd</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ies>
</file>