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184B6" w14:textId="77777777" w:rsidR="00D541E0" w:rsidRPr="00B47906" w:rsidRDefault="00D541E0" w:rsidP="00D541E0">
      <w:pPr>
        <w:spacing w:after="720"/>
        <w:jc w:val="center"/>
        <w:rPr>
          <w:rFonts w:ascii="Times New Roman" w:hAnsi="Times New Roman"/>
          <w:b/>
          <w:bCs/>
          <w:szCs w:val="24"/>
          <w:lang w:val="en-GB"/>
        </w:rPr>
      </w:pPr>
      <w:r w:rsidRPr="00B47906">
        <w:rPr>
          <w:rFonts w:ascii="Times New Roman" w:hAnsi="Times New Roman"/>
          <w:b/>
          <w:szCs w:val="24"/>
          <w:lang w:val="en-GB"/>
        </w:rPr>
        <w:t xml:space="preserve">Follow-up to the European Parliament non-legislative resolution </w:t>
      </w:r>
      <w:r w:rsidRPr="00B47906">
        <w:rPr>
          <w:rFonts w:ascii="Times New Roman" w:hAnsi="Times New Roman"/>
          <w:b/>
          <w:bCs/>
          <w:szCs w:val="24"/>
          <w:lang w:val="en-GB"/>
        </w:rPr>
        <w:t>on the Commission’s 2024 Rule of Law report</w:t>
      </w:r>
    </w:p>
    <w:p w14:paraId="75CD0BA3" w14:textId="4CF2FB29" w:rsidR="00D541E0" w:rsidRPr="00B47906" w:rsidRDefault="00D541E0" w:rsidP="00D541E0">
      <w:pPr>
        <w:numPr>
          <w:ilvl w:val="0"/>
          <w:numId w:val="34"/>
        </w:numPr>
        <w:ind w:left="567" w:hanging="567"/>
        <w:rPr>
          <w:rFonts w:ascii="Times New Roman" w:hAnsi="Times New Roman"/>
          <w:lang w:val="fr-BE"/>
        </w:rPr>
      </w:pPr>
      <w:r w:rsidRPr="00B47906">
        <w:rPr>
          <w:rFonts w:ascii="Times New Roman" w:hAnsi="Times New Roman"/>
          <w:b/>
          <w:bCs/>
          <w:lang w:val="fr-BE"/>
        </w:rPr>
        <w:t>Rapporteur:</w:t>
      </w:r>
      <w:r w:rsidRPr="00B47906">
        <w:rPr>
          <w:rFonts w:ascii="Times New Roman" w:hAnsi="Times New Roman"/>
          <w:lang w:val="fr-BE"/>
        </w:rPr>
        <w:t xml:space="preserve"> Ana Catarina </w:t>
      </w:r>
      <w:r w:rsidR="008A7516" w:rsidRPr="00B47906">
        <w:rPr>
          <w:rFonts w:ascii="Times New Roman" w:hAnsi="Times New Roman"/>
          <w:lang w:val="fr-BE"/>
        </w:rPr>
        <w:t>MENDES</w:t>
      </w:r>
      <w:r w:rsidRPr="00B47906">
        <w:rPr>
          <w:rFonts w:ascii="Times New Roman" w:hAnsi="Times New Roman"/>
          <w:lang w:val="fr-BE"/>
        </w:rPr>
        <w:t xml:space="preserve"> (S&amp;D/PT)</w:t>
      </w:r>
    </w:p>
    <w:p w14:paraId="56445E08" w14:textId="209A2232" w:rsidR="00D541E0" w:rsidRPr="00B47906" w:rsidRDefault="00D541E0" w:rsidP="00D541E0">
      <w:pPr>
        <w:pStyle w:val="Default"/>
        <w:numPr>
          <w:ilvl w:val="0"/>
          <w:numId w:val="34"/>
        </w:numPr>
        <w:spacing w:after="240"/>
        <w:ind w:left="567" w:hanging="567"/>
        <w:jc w:val="both"/>
        <w:rPr>
          <w:color w:val="auto"/>
          <w:lang w:val="en-GB"/>
        </w:rPr>
      </w:pPr>
      <w:r w:rsidRPr="00B47906">
        <w:rPr>
          <w:b/>
          <w:color w:val="auto"/>
          <w:lang w:val="en-GB"/>
        </w:rPr>
        <w:t xml:space="preserve">References: </w:t>
      </w:r>
      <w:r w:rsidRPr="00B47906">
        <w:rPr>
          <w:lang w:val="en-GB"/>
        </w:rPr>
        <w:t>2024/2078(INI)</w:t>
      </w:r>
      <w:r w:rsidR="008A7516" w:rsidRPr="00B47906">
        <w:rPr>
          <w:lang w:val="en-GB"/>
        </w:rPr>
        <w:t xml:space="preserve"> /</w:t>
      </w:r>
      <w:r w:rsidRPr="00B47906">
        <w:rPr>
          <w:lang w:val="en-GB"/>
        </w:rPr>
        <w:t xml:space="preserve"> A10-0100/2025</w:t>
      </w:r>
      <w:r w:rsidR="008A7516" w:rsidRPr="00B47906">
        <w:rPr>
          <w:lang w:val="en-GB"/>
        </w:rPr>
        <w:t xml:space="preserve"> </w:t>
      </w:r>
      <w:r w:rsidRPr="00B47906">
        <w:rPr>
          <w:lang w:val="en-GB"/>
        </w:rPr>
        <w:t>/ P10_TA(2025)0129</w:t>
      </w:r>
    </w:p>
    <w:p w14:paraId="17D82F74" w14:textId="77777777" w:rsidR="00D541E0" w:rsidRPr="00B47906" w:rsidRDefault="00D541E0" w:rsidP="00D541E0">
      <w:pPr>
        <w:numPr>
          <w:ilvl w:val="0"/>
          <w:numId w:val="34"/>
        </w:numPr>
        <w:ind w:left="567" w:hanging="567"/>
        <w:rPr>
          <w:rFonts w:ascii="Times New Roman" w:hAnsi="Times New Roman"/>
          <w:szCs w:val="24"/>
          <w:lang w:val="en-GB"/>
        </w:rPr>
      </w:pPr>
      <w:r w:rsidRPr="00B47906">
        <w:rPr>
          <w:rFonts w:ascii="Times New Roman" w:hAnsi="Times New Roman"/>
          <w:b/>
          <w:szCs w:val="24"/>
          <w:lang w:val="en-GB"/>
        </w:rPr>
        <w:t>Date of adoption of the resolution:</w:t>
      </w:r>
      <w:r w:rsidRPr="00B47906">
        <w:rPr>
          <w:rFonts w:ascii="Times New Roman" w:hAnsi="Times New Roman"/>
          <w:szCs w:val="24"/>
          <w:lang w:val="en-GB"/>
        </w:rPr>
        <w:t xml:space="preserve"> </w:t>
      </w:r>
      <w:r w:rsidRPr="00B47906">
        <w:rPr>
          <w:rFonts w:ascii="Times New Roman" w:hAnsi="Times New Roman"/>
          <w:iCs/>
          <w:szCs w:val="24"/>
          <w:lang w:val="en-GB"/>
        </w:rPr>
        <w:t>18 June 2025</w:t>
      </w:r>
    </w:p>
    <w:p w14:paraId="5BA120BF" w14:textId="77777777" w:rsidR="00D541E0" w:rsidRPr="00B47906" w:rsidRDefault="00D541E0" w:rsidP="00D541E0">
      <w:pPr>
        <w:numPr>
          <w:ilvl w:val="0"/>
          <w:numId w:val="34"/>
        </w:numPr>
        <w:ind w:left="567" w:hanging="567"/>
        <w:rPr>
          <w:rFonts w:ascii="Times New Roman" w:hAnsi="Times New Roman"/>
          <w:lang w:val="en-GB"/>
        </w:rPr>
      </w:pPr>
      <w:r w:rsidRPr="00B47906">
        <w:rPr>
          <w:rFonts w:ascii="Times New Roman" w:hAnsi="Times New Roman"/>
          <w:b/>
          <w:bCs/>
          <w:lang w:val="en-GB"/>
        </w:rPr>
        <w:t xml:space="preserve">Competent Parliamentary Committee: </w:t>
      </w:r>
      <w:r w:rsidRPr="00B47906">
        <w:rPr>
          <w:rFonts w:ascii="Times New Roman" w:hAnsi="Times New Roman"/>
          <w:lang w:val="en-GB"/>
        </w:rPr>
        <w:t>Committee on Civil Liberties, Justice and Home Affairs (LIBE)</w:t>
      </w:r>
    </w:p>
    <w:p w14:paraId="4F7234A6" w14:textId="77777777" w:rsidR="00D541E0" w:rsidRPr="00B47906" w:rsidRDefault="00D541E0" w:rsidP="00D541E0">
      <w:pPr>
        <w:widowControl w:val="0"/>
        <w:numPr>
          <w:ilvl w:val="0"/>
          <w:numId w:val="34"/>
        </w:numPr>
        <w:ind w:left="567" w:hanging="567"/>
        <w:rPr>
          <w:rFonts w:ascii="Times New Roman" w:hAnsi="Times New Roman"/>
          <w:b/>
          <w:szCs w:val="24"/>
          <w:lang w:val="en-GB"/>
        </w:rPr>
      </w:pPr>
      <w:r w:rsidRPr="00B47906">
        <w:rPr>
          <w:rFonts w:ascii="Times New Roman" w:hAnsi="Times New Roman"/>
          <w:b/>
          <w:szCs w:val="24"/>
          <w:lang w:val="en-GB"/>
        </w:rPr>
        <w:t xml:space="preserve">Brief analysis/ assessment of the resolution and requests made in it: </w:t>
      </w:r>
    </w:p>
    <w:p w14:paraId="070B3A30" w14:textId="77777777" w:rsidR="00AF1777" w:rsidRPr="00B47906" w:rsidRDefault="00D541E0" w:rsidP="00D541E0">
      <w:pPr>
        <w:widowControl w:val="0"/>
        <w:spacing w:line="259" w:lineRule="auto"/>
        <w:rPr>
          <w:rFonts w:ascii="Times New Roman" w:hAnsi="Times New Roman"/>
          <w:lang w:val="en-GB"/>
        </w:rPr>
      </w:pPr>
      <w:r w:rsidRPr="00B47906">
        <w:rPr>
          <w:rFonts w:ascii="Times New Roman" w:hAnsi="Times New Roman"/>
          <w:lang w:val="en-GB"/>
        </w:rPr>
        <w:t xml:space="preserve">The Resolution welcomes the preventive tools in the rule of law toolbox, such as the annual </w:t>
      </w:r>
      <w:r w:rsidR="0026035B" w:rsidRPr="00B47906">
        <w:rPr>
          <w:rFonts w:ascii="Times New Roman" w:hAnsi="Times New Roman"/>
          <w:lang w:val="en-GB"/>
        </w:rPr>
        <w:t>R</w:t>
      </w:r>
      <w:r w:rsidRPr="00B47906">
        <w:rPr>
          <w:rFonts w:ascii="Times New Roman" w:hAnsi="Times New Roman"/>
          <w:lang w:val="en-GB"/>
        </w:rPr>
        <w:t xml:space="preserve">ule of </w:t>
      </w:r>
      <w:r w:rsidR="0026035B" w:rsidRPr="00B47906">
        <w:rPr>
          <w:rFonts w:ascii="Times New Roman" w:hAnsi="Times New Roman"/>
          <w:lang w:val="en-GB"/>
        </w:rPr>
        <w:t>L</w:t>
      </w:r>
      <w:r w:rsidRPr="00B47906">
        <w:rPr>
          <w:rFonts w:ascii="Times New Roman" w:hAnsi="Times New Roman"/>
          <w:lang w:val="en-GB"/>
        </w:rPr>
        <w:t xml:space="preserve">aw </w:t>
      </w:r>
      <w:r w:rsidR="0026035B" w:rsidRPr="00B47906">
        <w:rPr>
          <w:rFonts w:ascii="Times New Roman" w:hAnsi="Times New Roman"/>
          <w:lang w:val="en-GB"/>
        </w:rPr>
        <w:t>C</w:t>
      </w:r>
      <w:r w:rsidRPr="00B47906">
        <w:rPr>
          <w:rFonts w:ascii="Times New Roman" w:hAnsi="Times New Roman"/>
          <w:lang w:val="en-GB"/>
        </w:rPr>
        <w:t>ycle, the EU justice scoreboard, the European Semester, EU funds to support civil society, judicial networks and media freedom and the rule of law milestones in the R</w:t>
      </w:r>
      <w:r w:rsidR="00CA1BA2" w:rsidRPr="00B47906">
        <w:rPr>
          <w:rFonts w:ascii="Times New Roman" w:hAnsi="Times New Roman"/>
          <w:lang w:val="en-GB"/>
        </w:rPr>
        <w:t xml:space="preserve">ecovery and </w:t>
      </w:r>
      <w:r w:rsidRPr="00B47906">
        <w:rPr>
          <w:rFonts w:ascii="Times New Roman" w:hAnsi="Times New Roman"/>
          <w:lang w:val="en-GB"/>
        </w:rPr>
        <w:t>R</w:t>
      </w:r>
      <w:r w:rsidR="00CA1BA2" w:rsidRPr="00B47906">
        <w:rPr>
          <w:rFonts w:ascii="Times New Roman" w:hAnsi="Times New Roman"/>
          <w:lang w:val="en-GB"/>
        </w:rPr>
        <w:t xml:space="preserve">esilience </w:t>
      </w:r>
      <w:r w:rsidRPr="00B47906">
        <w:rPr>
          <w:rFonts w:ascii="Times New Roman" w:hAnsi="Times New Roman"/>
          <w:lang w:val="en-GB"/>
        </w:rPr>
        <w:t>F</w:t>
      </w:r>
      <w:r w:rsidR="00CA1BA2" w:rsidRPr="00B47906">
        <w:rPr>
          <w:rFonts w:ascii="Times New Roman" w:hAnsi="Times New Roman"/>
          <w:lang w:val="en-GB"/>
        </w:rPr>
        <w:t>acility</w:t>
      </w:r>
      <w:r w:rsidRPr="00B47906">
        <w:rPr>
          <w:rFonts w:ascii="Times New Roman" w:hAnsi="Times New Roman"/>
          <w:lang w:val="en-GB"/>
        </w:rPr>
        <w:t xml:space="preserve"> (paragraph 75)</w:t>
      </w:r>
      <w:r w:rsidR="3F0CE03B" w:rsidRPr="00B47906">
        <w:rPr>
          <w:rFonts w:ascii="Times New Roman" w:hAnsi="Times New Roman"/>
          <w:lang w:val="en-GB"/>
        </w:rPr>
        <w:t>. It</w:t>
      </w:r>
      <w:r w:rsidR="00801975" w:rsidRPr="00B47906">
        <w:rPr>
          <w:rFonts w:ascii="Times New Roman" w:hAnsi="Times New Roman"/>
          <w:lang w:val="en-GB"/>
        </w:rPr>
        <w:t xml:space="preserve"> </w:t>
      </w:r>
      <w:r w:rsidRPr="00B47906">
        <w:rPr>
          <w:rFonts w:ascii="Times New Roman" w:hAnsi="Times New Roman"/>
          <w:lang w:val="en-GB"/>
        </w:rPr>
        <w:t>recognises the Commission’s Rule of Law Report as a key preventive tool for monitoring the state of the rule of law across the EU, facilitating dialogue between Member States, and guiding reforms in areas such as judicial independence, anti-corruption, media freedom</w:t>
      </w:r>
      <w:r w:rsidR="00565A61" w:rsidRPr="00B47906">
        <w:rPr>
          <w:rFonts w:ascii="Times New Roman" w:hAnsi="Times New Roman"/>
          <w:lang w:val="en-GB"/>
        </w:rPr>
        <w:t>,</w:t>
      </w:r>
      <w:r w:rsidRPr="00B47906">
        <w:rPr>
          <w:rFonts w:ascii="Times New Roman" w:hAnsi="Times New Roman"/>
          <w:lang w:val="en-GB"/>
        </w:rPr>
        <w:t xml:space="preserve"> and other checks and balances (paragraph 91) and acknowledges that the Commission’s Rule of Law Report has become more comprehensive since its inception in 2020 (paragraph 92). The Resolution calls for a comprehensive interinstitutional mechanism on democracy, the rule of law and fundamental rights based on an interinstitutional agreement (paragraphs 99, 100). It expresses support for the inclusion of a Single Market dimension </w:t>
      </w:r>
      <w:r w:rsidR="007951DE" w:rsidRPr="00B47906">
        <w:rPr>
          <w:rFonts w:ascii="Times New Roman" w:hAnsi="Times New Roman"/>
          <w:lang w:val="en-GB"/>
        </w:rPr>
        <w:t>in</w:t>
      </w:r>
      <w:r w:rsidRPr="00B47906">
        <w:rPr>
          <w:rFonts w:ascii="Times New Roman" w:hAnsi="Times New Roman"/>
          <w:lang w:val="en-GB"/>
        </w:rPr>
        <w:t xml:space="preserve"> the Rule of Law Report (paragraphs 66-72</w:t>
      </w:r>
      <w:r w:rsidR="00AF1777" w:rsidRPr="00B47906">
        <w:rPr>
          <w:rFonts w:ascii="Times New Roman" w:hAnsi="Times New Roman"/>
          <w:lang w:val="en-GB"/>
        </w:rPr>
        <w:t>) as</w:t>
      </w:r>
      <w:r w:rsidRPr="00B47906">
        <w:rPr>
          <w:rFonts w:ascii="Times New Roman" w:hAnsi="Times New Roman"/>
          <w:lang w:val="en-GB"/>
        </w:rPr>
        <w:t xml:space="preserve"> well as </w:t>
      </w:r>
      <w:r w:rsidR="007951DE" w:rsidRPr="00B47906">
        <w:rPr>
          <w:rFonts w:ascii="Times New Roman" w:hAnsi="Times New Roman"/>
          <w:lang w:val="en-GB"/>
        </w:rPr>
        <w:t xml:space="preserve">its </w:t>
      </w:r>
      <w:r w:rsidRPr="00B47906">
        <w:rPr>
          <w:rFonts w:ascii="Times New Roman" w:hAnsi="Times New Roman"/>
          <w:lang w:val="en-GB"/>
        </w:rPr>
        <w:t xml:space="preserve">extension to enlargement countries (paragraph 105). </w:t>
      </w:r>
      <w:r w:rsidR="002972E7" w:rsidRPr="00B47906">
        <w:rPr>
          <w:rFonts w:ascii="Times New Roman" w:hAnsi="Times New Roman"/>
          <w:lang w:val="en-GB"/>
        </w:rPr>
        <w:t>It welcomes the strengthened link with budgetary measures (paragraphs 73</w:t>
      </w:r>
      <w:r w:rsidR="00E278F2" w:rsidRPr="00B47906">
        <w:rPr>
          <w:rFonts w:ascii="Times New Roman" w:hAnsi="Times New Roman"/>
          <w:lang w:val="en-GB"/>
        </w:rPr>
        <w:t>, 75, 77</w:t>
      </w:r>
      <w:r w:rsidR="002972E7" w:rsidRPr="00B47906">
        <w:rPr>
          <w:rFonts w:ascii="Times New Roman" w:hAnsi="Times New Roman"/>
          <w:lang w:val="en-GB"/>
        </w:rPr>
        <w:t xml:space="preserve">-79). </w:t>
      </w:r>
      <w:r w:rsidRPr="00B47906">
        <w:rPr>
          <w:rFonts w:ascii="Times New Roman" w:hAnsi="Times New Roman"/>
          <w:lang w:val="en-GB"/>
        </w:rPr>
        <w:t xml:space="preserve">At the same time, the Resolution calls for the inclusion </w:t>
      </w:r>
      <w:r w:rsidR="0073781D" w:rsidRPr="00B47906">
        <w:rPr>
          <w:rFonts w:ascii="Times New Roman" w:hAnsi="Times New Roman"/>
          <w:lang w:val="en-GB"/>
        </w:rPr>
        <w:t xml:space="preserve">in the </w:t>
      </w:r>
      <w:r w:rsidR="00E608FC" w:rsidRPr="00B47906">
        <w:rPr>
          <w:rFonts w:ascii="Times New Roman" w:hAnsi="Times New Roman"/>
          <w:lang w:val="en-GB"/>
        </w:rPr>
        <w:t>Rule of Law Report</w:t>
      </w:r>
      <w:r w:rsidRPr="00B47906">
        <w:rPr>
          <w:rFonts w:ascii="Times New Roman" w:hAnsi="Times New Roman"/>
          <w:lang w:val="en-GB"/>
        </w:rPr>
        <w:t xml:space="preserve"> of a separate pillar on equality (</w:t>
      </w:r>
      <w:bookmarkStart w:id="0" w:name="_Hlk202173518"/>
      <w:r w:rsidRPr="00B47906">
        <w:rPr>
          <w:rFonts w:ascii="Times New Roman" w:hAnsi="Times New Roman"/>
          <w:lang w:val="en-GB"/>
        </w:rPr>
        <w:t>paragraphs 51-63, 92, 93</w:t>
      </w:r>
      <w:bookmarkEnd w:id="0"/>
      <w:r w:rsidRPr="00B47906">
        <w:rPr>
          <w:rFonts w:ascii="Times New Roman" w:hAnsi="Times New Roman"/>
          <w:lang w:val="en-GB"/>
        </w:rPr>
        <w:t xml:space="preserve">) and for the Report to cover adherence to the rule of law by EU institutions (paragraphs 22, 98). </w:t>
      </w:r>
      <w:bookmarkStart w:id="1" w:name="_Hlk202191808"/>
      <w:bookmarkStart w:id="2" w:name="_Hlk202184692"/>
    </w:p>
    <w:p w14:paraId="096FB058" w14:textId="7A681C1B" w:rsidR="00AF1777" w:rsidRPr="00B47906" w:rsidRDefault="00D541E0" w:rsidP="00D541E0">
      <w:pPr>
        <w:widowControl w:val="0"/>
        <w:spacing w:line="259" w:lineRule="auto"/>
        <w:rPr>
          <w:rFonts w:ascii="Times New Roman" w:hAnsi="Times New Roman"/>
          <w:lang w:val="en-GB"/>
        </w:rPr>
      </w:pPr>
      <w:r w:rsidRPr="00B47906">
        <w:rPr>
          <w:rFonts w:ascii="Times New Roman" w:hAnsi="Times New Roman"/>
          <w:lang w:val="en-GB"/>
        </w:rPr>
        <w:t xml:space="preserve">It discusses challenges to judicial independence, quality and efficiency (paragraphs 1-11) and calls for prison conditions to be covered by the Report (paragraph 18). </w:t>
      </w:r>
      <w:bookmarkEnd w:id="1"/>
      <w:r w:rsidRPr="00B47906">
        <w:rPr>
          <w:rFonts w:ascii="Times New Roman" w:hAnsi="Times New Roman"/>
          <w:lang w:val="en-GB"/>
        </w:rPr>
        <w:t>The Resolution regrets the lack of progress in tackling high-level corruption in certain Member States, while welcoming the proposed anti-</w:t>
      </w:r>
      <w:r w:rsidR="006E7BD8" w:rsidRPr="00B47906">
        <w:rPr>
          <w:rFonts w:ascii="Times New Roman" w:hAnsi="Times New Roman"/>
          <w:lang w:val="en-GB"/>
        </w:rPr>
        <w:t>c</w:t>
      </w:r>
      <w:r w:rsidRPr="00B47906">
        <w:rPr>
          <w:rFonts w:ascii="Times New Roman" w:hAnsi="Times New Roman"/>
          <w:lang w:val="en-GB"/>
        </w:rPr>
        <w:t xml:space="preserve">orruption Directive, calling for an accelerated revision of the EPPO Regulation and PIF Directive and for </w:t>
      </w:r>
      <w:r w:rsidR="00C97168" w:rsidRPr="00B47906">
        <w:rPr>
          <w:rFonts w:ascii="Times New Roman" w:hAnsi="Times New Roman"/>
          <w:lang w:val="en-GB"/>
        </w:rPr>
        <w:t xml:space="preserve">the </w:t>
      </w:r>
      <w:r w:rsidRPr="00B47906">
        <w:rPr>
          <w:rFonts w:ascii="Times New Roman" w:hAnsi="Times New Roman"/>
          <w:lang w:val="en-GB"/>
        </w:rPr>
        <w:t>EU</w:t>
      </w:r>
      <w:r w:rsidR="00C97168" w:rsidRPr="00B47906">
        <w:rPr>
          <w:rFonts w:ascii="Times New Roman" w:hAnsi="Times New Roman"/>
          <w:lang w:val="en-GB"/>
        </w:rPr>
        <w:t>’s</w:t>
      </w:r>
      <w:r w:rsidRPr="00B47906">
        <w:rPr>
          <w:rFonts w:ascii="Times New Roman" w:hAnsi="Times New Roman"/>
          <w:lang w:val="en-GB"/>
        </w:rPr>
        <w:t xml:space="preserve"> accession to GRECO (paragraphs 21-23, 25-27, 29). </w:t>
      </w:r>
      <w:bookmarkStart w:id="3" w:name="_Hlk202191739"/>
      <w:r w:rsidRPr="00B47906">
        <w:rPr>
          <w:rFonts w:ascii="Times New Roman" w:hAnsi="Times New Roman"/>
          <w:lang w:val="en-GB"/>
        </w:rPr>
        <w:t xml:space="preserve">It calls for a swift implementation of the European Media Freedom Act and Anti-SLAPP Directive (paragraphs 32, 35), </w:t>
      </w:r>
      <w:bookmarkStart w:id="4" w:name="_Hlk202260966"/>
      <w:r w:rsidRPr="00B47906">
        <w:rPr>
          <w:rFonts w:ascii="Times New Roman" w:hAnsi="Times New Roman"/>
          <w:lang w:val="en-GB"/>
        </w:rPr>
        <w:t xml:space="preserve">condemns state political interference in public service media (paragraph 39), calls for the banning of politically motivated surveillance (paragraph 40), condemns hate speech (paragraph 37) and calls for tackling foreign interference and manipulation, including via social media (paragraphs 38, 88). </w:t>
      </w:r>
      <w:bookmarkEnd w:id="3"/>
      <w:bookmarkEnd w:id="4"/>
      <w:r w:rsidRPr="00B47906">
        <w:rPr>
          <w:rFonts w:ascii="Times New Roman" w:hAnsi="Times New Roman"/>
          <w:lang w:val="en-GB"/>
        </w:rPr>
        <w:t xml:space="preserve">It expresses concern regarding CSOs facing legal restrictions, lack of funding and attacks (paragraph 45), calls on the Commission and Member States to improve funding mechanisms for CSOs (paragraph 47) and welcomes the Commissions’ plan to draft a strategy for the protection of civil society and human rights defenders (paragraph 50). Regarding the methodology, the Resolution calls for a structured civil dialogue framework to integrate civil society contributions into the annual Rule of Law </w:t>
      </w:r>
      <w:r w:rsidR="009732C1" w:rsidRPr="00B47906">
        <w:rPr>
          <w:rFonts w:ascii="Times New Roman" w:hAnsi="Times New Roman"/>
          <w:lang w:val="en-GB"/>
        </w:rPr>
        <w:t>C</w:t>
      </w:r>
      <w:r w:rsidRPr="00B47906">
        <w:rPr>
          <w:rFonts w:ascii="Times New Roman" w:hAnsi="Times New Roman"/>
          <w:lang w:val="en-GB"/>
        </w:rPr>
        <w:t>ycle, “as recommended by the EESC” (paragraph 44)</w:t>
      </w:r>
      <w:bookmarkEnd w:id="2"/>
      <w:r w:rsidRPr="00B47906">
        <w:rPr>
          <w:rFonts w:ascii="Times New Roman" w:hAnsi="Times New Roman"/>
          <w:lang w:val="en-GB"/>
        </w:rPr>
        <w:t xml:space="preserve">, for clearer language to evaluate compliance with EU values and for a greater focus on </w:t>
      </w:r>
      <w:r w:rsidRPr="00B47906">
        <w:rPr>
          <w:rFonts w:ascii="Times New Roman" w:hAnsi="Times New Roman"/>
          <w:lang w:val="en-GB"/>
        </w:rPr>
        <w:lastRenderedPageBreak/>
        <w:t xml:space="preserve">the implementation of recommendations with specific follow-up mechanisms and measurable benchmarks (paragraph 95). </w:t>
      </w:r>
    </w:p>
    <w:p w14:paraId="6B5AA868" w14:textId="0EE53004" w:rsidR="00D541E0" w:rsidRPr="00B47906" w:rsidRDefault="00D541E0" w:rsidP="00D541E0">
      <w:pPr>
        <w:widowControl w:val="0"/>
        <w:spacing w:line="259" w:lineRule="auto"/>
        <w:rPr>
          <w:rFonts w:ascii="Times New Roman" w:hAnsi="Times New Roman"/>
          <w:lang w:val="en-GB"/>
        </w:rPr>
      </w:pPr>
      <w:r w:rsidRPr="00B47906">
        <w:rPr>
          <w:rFonts w:ascii="Times New Roman" w:hAnsi="Times New Roman"/>
          <w:lang w:val="en-GB"/>
        </w:rPr>
        <w:t xml:space="preserve">The Resolution calls on Member States to promptly implement CJEU and national judgments (paragraphs 13,15) and for the Commission to further develop the link between the Report and reactive instruments in calling for stronger action regarding infringements, under the </w:t>
      </w:r>
      <w:r w:rsidR="00C97168" w:rsidRPr="00B47906">
        <w:rPr>
          <w:rFonts w:ascii="Times New Roman" w:hAnsi="Times New Roman"/>
          <w:lang w:val="en-GB"/>
        </w:rPr>
        <w:t>A</w:t>
      </w:r>
      <w:r w:rsidRPr="00B47906">
        <w:rPr>
          <w:rFonts w:ascii="Times New Roman" w:hAnsi="Times New Roman"/>
          <w:lang w:val="en-GB"/>
        </w:rPr>
        <w:t xml:space="preserve">rticle 7 TEU procedure (paragraphs 74-76) and in the application of the Conditionality Regulation. Finally, it calls for the embedding of rule of law milestones in budgetary </w:t>
      </w:r>
      <w:r w:rsidRPr="00EC0947">
        <w:rPr>
          <w:rFonts w:ascii="Times New Roman" w:hAnsi="Times New Roman"/>
          <w:lang w:val="en-GB"/>
        </w:rPr>
        <w:t xml:space="preserve">instruments, for the future </w:t>
      </w:r>
      <w:r w:rsidR="00900EF3" w:rsidRPr="00EC0947">
        <w:rPr>
          <w:rFonts w:ascii="Times New Roman" w:eastAsia="Calibri" w:hAnsi="Times New Roman"/>
          <w:lang w:val="en-GB"/>
        </w:rPr>
        <w:t>Multiannual Financial Framework</w:t>
      </w:r>
      <w:r w:rsidR="00900EF3" w:rsidRPr="00EC0947">
        <w:rPr>
          <w:rFonts w:ascii="Times New Roman" w:hAnsi="Times New Roman"/>
          <w:lang w:val="en-GB"/>
        </w:rPr>
        <w:t xml:space="preserve"> (MFF)</w:t>
      </w:r>
      <w:r w:rsidR="00AF1777" w:rsidRPr="00EC0947">
        <w:rPr>
          <w:rFonts w:ascii="Times New Roman" w:hAnsi="Times New Roman"/>
          <w:lang w:val="en-GB"/>
        </w:rPr>
        <w:t xml:space="preserve"> </w:t>
      </w:r>
      <w:r w:rsidRPr="00EC0947">
        <w:rPr>
          <w:rFonts w:ascii="Times New Roman" w:hAnsi="Times New Roman"/>
          <w:lang w:val="en-GB"/>
        </w:rPr>
        <w:t>to include robust rule of law safeguards applicable to all EU funds and for ‘smart conditionality’ allowing EU funds to bypass national governments</w:t>
      </w:r>
      <w:r w:rsidRPr="00B47906">
        <w:rPr>
          <w:rFonts w:ascii="Times New Roman" w:hAnsi="Times New Roman"/>
          <w:lang w:val="en-GB"/>
        </w:rPr>
        <w:t xml:space="preserve"> undermining the rule of law (paragraphs 73, 77-79).</w:t>
      </w:r>
    </w:p>
    <w:p w14:paraId="0FFB9166" w14:textId="77777777" w:rsidR="00D541E0" w:rsidRPr="00B47906" w:rsidRDefault="00D541E0" w:rsidP="00D541E0">
      <w:pPr>
        <w:rPr>
          <w:rFonts w:ascii="Times New Roman" w:hAnsi="Times New Roman"/>
          <w:iCs/>
          <w:szCs w:val="24"/>
          <w:lang w:val="en-GB"/>
        </w:rPr>
      </w:pPr>
    </w:p>
    <w:p w14:paraId="4105B405" w14:textId="77777777" w:rsidR="00D541E0" w:rsidRPr="00B47906" w:rsidRDefault="00D541E0" w:rsidP="00D541E0">
      <w:pPr>
        <w:widowControl w:val="0"/>
        <w:numPr>
          <w:ilvl w:val="0"/>
          <w:numId w:val="34"/>
        </w:numPr>
        <w:ind w:left="567" w:hanging="567"/>
        <w:rPr>
          <w:rFonts w:ascii="Times New Roman" w:hAnsi="Times New Roman"/>
          <w:lang w:val="en-GB"/>
        </w:rPr>
      </w:pPr>
      <w:r w:rsidRPr="00B47906">
        <w:rPr>
          <w:rFonts w:ascii="Times New Roman" w:hAnsi="Times New Roman"/>
          <w:b/>
          <w:bCs/>
          <w:lang w:val="en-GB"/>
        </w:rPr>
        <w:t>Response to requests and overview of actions taken, or intended to be taken by the Commission</w:t>
      </w:r>
    </w:p>
    <w:p w14:paraId="23FC62A5" w14:textId="6CF61D08" w:rsidR="00454882" w:rsidRPr="00B47906" w:rsidRDefault="00D541E0" w:rsidP="00454882">
      <w:pPr>
        <w:widowControl w:val="0"/>
        <w:spacing w:after="120" w:line="259" w:lineRule="auto"/>
        <w:rPr>
          <w:rFonts w:ascii="Times New Roman" w:hAnsi="Times New Roman"/>
          <w:lang w:val="en-GB"/>
        </w:rPr>
      </w:pPr>
      <w:r w:rsidRPr="00B47906">
        <w:rPr>
          <w:rFonts w:ascii="Times New Roman" w:hAnsi="Times New Roman"/>
          <w:lang w:val="en-GB"/>
        </w:rPr>
        <w:t>The Commission welcomes the European Parliament’s Resolution and fully shares its objectives for promoting, protecting, and reinforcing Union values, in accordance with Article 2 TEU. It has given the Resolution careful consideration. Many elements reflect the approach it is pursuing with its annual Rule of Law Report. The Commission looks forward to continuing the dialogue with the European Parliament based on the 2025 Rule of Law Report, which was adopted on 8 July 2025</w:t>
      </w:r>
      <w:r w:rsidRPr="00B47906">
        <w:rPr>
          <w:rStyle w:val="FootnoteReference"/>
          <w:rFonts w:ascii="Times New Roman" w:hAnsi="Times New Roman"/>
          <w:lang w:val="en-GB"/>
        </w:rPr>
        <w:footnoteReference w:id="2"/>
      </w:r>
      <w:r w:rsidRPr="00B47906">
        <w:rPr>
          <w:rFonts w:ascii="Times New Roman" w:hAnsi="Times New Roman"/>
          <w:lang w:val="en-GB"/>
        </w:rPr>
        <w:t>. The Commission appreciates the close cooperation with the European Parliament. Beyond Plenary debates, it has participated</w:t>
      </w:r>
      <w:r w:rsidRPr="00B47906" w:rsidDel="00322B64">
        <w:rPr>
          <w:rFonts w:ascii="Times New Roman" w:hAnsi="Times New Roman"/>
          <w:lang w:val="en-GB"/>
        </w:rPr>
        <w:t xml:space="preserve"> </w:t>
      </w:r>
      <w:r w:rsidRPr="00B47906">
        <w:rPr>
          <w:rFonts w:ascii="Times New Roman" w:hAnsi="Times New Roman"/>
          <w:lang w:val="en-GB"/>
        </w:rPr>
        <w:t xml:space="preserve">in various hearings and meetings organised by the LIBE Committee and its Working Group on Democracy, the Rule of Law and Fundamental Rights both on horizontal issues and concerning the rule of law situation in individual Member States. While an interinstitutional agreement (paragraphs 99, 100) could help to frame the discussion, it could be difficult to negotiate, with the risk that discussions focus on procedure rather than substance. </w:t>
      </w:r>
      <w:r w:rsidR="004D4AB8" w:rsidRPr="00B47906">
        <w:rPr>
          <w:rFonts w:ascii="Times New Roman" w:hAnsi="Times New Roman"/>
          <w:lang w:val="en-GB"/>
        </w:rPr>
        <w:t>At this stage</w:t>
      </w:r>
      <w:r w:rsidRPr="00B47906">
        <w:rPr>
          <w:rFonts w:ascii="Times New Roman" w:hAnsi="Times New Roman"/>
          <w:lang w:val="en-GB"/>
        </w:rPr>
        <w:t xml:space="preserve">, the Commission </w:t>
      </w:r>
      <w:r w:rsidR="004D4AB8" w:rsidRPr="00B47906">
        <w:rPr>
          <w:rFonts w:ascii="Times New Roman" w:hAnsi="Times New Roman"/>
          <w:lang w:val="en-GB"/>
        </w:rPr>
        <w:t>would favour</w:t>
      </w:r>
      <w:r w:rsidRPr="00B47906">
        <w:rPr>
          <w:rFonts w:ascii="Times New Roman" w:hAnsi="Times New Roman"/>
          <w:lang w:val="en-GB"/>
        </w:rPr>
        <w:t xml:space="preserve"> mak</w:t>
      </w:r>
      <w:r w:rsidR="00680854" w:rsidRPr="00B47906">
        <w:rPr>
          <w:rFonts w:ascii="Times New Roman" w:hAnsi="Times New Roman"/>
          <w:lang w:val="en-GB"/>
        </w:rPr>
        <w:t>ing</w:t>
      </w:r>
      <w:r w:rsidRPr="00B47906">
        <w:rPr>
          <w:rFonts w:ascii="Times New Roman" w:hAnsi="Times New Roman"/>
          <w:lang w:val="en-GB"/>
        </w:rPr>
        <w:t xml:space="preserve"> the most of the </w:t>
      </w:r>
      <w:r w:rsidRPr="002F5538">
        <w:rPr>
          <w:rFonts w:ascii="Times New Roman" w:hAnsi="Times New Roman"/>
          <w:lang w:val="en-GB"/>
        </w:rPr>
        <w:t>interinstitutional cooperation framework as it stands, fully using its potential for further development. The Commission is open to setting up an informal contact group, where Commission representatives would be available to conduct regular discussions with Members of Parliament and where the Presidency of the Council and relevant Member States could also be invited.</w:t>
      </w:r>
      <w:r w:rsidRPr="00B47906">
        <w:rPr>
          <w:rFonts w:ascii="Times New Roman" w:hAnsi="Times New Roman"/>
          <w:lang w:val="en-GB"/>
        </w:rPr>
        <w:t xml:space="preserve">  </w:t>
      </w:r>
    </w:p>
    <w:p w14:paraId="4F93533B" w14:textId="6238D817" w:rsidR="00454882" w:rsidRPr="00B47906" w:rsidRDefault="00D541E0" w:rsidP="00454882">
      <w:pPr>
        <w:widowControl w:val="0"/>
        <w:spacing w:after="120" w:line="259" w:lineRule="auto"/>
        <w:rPr>
          <w:rFonts w:ascii="Times New Roman" w:hAnsi="Times New Roman"/>
          <w:lang w:val="en-GB"/>
        </w:rPr>
      </w:pPr>
      <w:r w:rsidRPr="00B47906">
        <w:rPr>
          <w:rFonts w:ascii="Times New Roman" w:eastAsia="Calibri" w:hAnsi="Times New Roman"/>
          <w:lang w:val="en-GB"/>
        </w:rPr>
        <w:t>The Commission welcomes the European Parliament’s support for the inclusion</w:t>
      </w:r>
      <w:r w:rsidR="00251286" w:rsidRPr="00B47906">
        <w:rPr>
          <w:rFonts w:ascii="Times New Roman" w:hAnsi="Times New Roman"/>
          <w:lang w:val="en-GB"/>
        </w:rPr>
        <w:t>, in the Rule of Law Report,</w:t>
      </w:r>
      <w:r w:rsidRPr="00B47906">
        <w:rPr>
          <w:rFonts w:ascii="Times New Roman" w:eastAsia="Calibri" w:hAnsi="Times New Roman"/>
          <w:lang w:val="en-GB"/>
        </w:rPr>
        <w:t xml:space="preserve"> of a Single Market dimension (paragraphs 66-72</w:t>
      </w:r>
      <w:r w:rsidR="00AF1777" w:rsidRPr="00B47906">
        <w:rPr>
          <w:rFonts w:ascii="Times New Roman" w:eastAsia="Calibri" w:hAnsi="Times New Roman"/>
          <w:lang w:val="en-GB"/>
        </w:rPr>
        <w:t>), and</w:t>
      </w:r>
      <w:r w:rsidRPr="00B47906">
        <w:rPr>
          <w:rFonts w:ascii="Times New Roman" w:eastAsia="Calibri" w:hAnsi="Times New Roman"/>
          <w:lang w:val="en-GB"/>
        </w:rPr>
        <w:t xml:space="preserve"> </w:t>
      </w:r>
      <w:r w:rsidR="00F9753E" w:rsidRPr="00B47906">
        <w:rPr>
          <w:rFonts w:ascii="Times New Roman" w:hAnsi="Times New Roman"/>
          <w:lang w:val="en-GB"/>
        </w:rPr>
        <w:t>its</w:t>
      </w:r>
      <w:r w:rsidR="00F9753E" w:rsidRPr="00B47906">
        <w:rPr>
          <w:rFonts w:ascii="Times New Roman" w:eastAsia="Calibri" w:hAnsi="Times New Roman"/>
          <w:lang w:val="en-GB"/>
        </w:rPr>
        <w:t xml:space="preserve"> </w:t>
      </w:r>
      <w:r w:rsidRPr="00B47906">
        <w:rPr>
          <w:rFonts w:ascii="Times New Roman" w:eastAsia="Calibri" w:hAnsi="Times New Roman"/>
          <w:lang w:val="en-GB"/>
        </w:rPr>
        <w:t>extension to enlargement countries (paragraph 105). Rule of law and good governance are essential to create an overall stable economic environment and the necessary conditions for economic operators to take full advantage of the opportunities offered by the Single Market.</w:t>
      </w:r>
      <w:r w:rsidR="00F85D63" w:rsidRPr="00B47906">
        <w:rPr>
          <w:rFonts w:ascii="Times New Roman" w:eastAsia="Calibri" w:hAnsi="Times New Roman"/>
          <w:lang w:val="en-GB"/>
        </w:rPr>
        <w:t xml:space="preserve"> </w:t>
      </w:r>
      <w:r w:rsidR="00F85D63" w:rsidRPr="00B47906">
        <w:rPr>
          <w:rFonts w:ascii="Times New Roman" w:hAnsi="Times New Roman"/>
          <w:lang w:val="en-GB"/>
        </w:rPr>
        <w:t xml:space="preserve">The inclusion of enlargement countries alongside Member States will support rule of law reforms aiming to firmly and irreversibly anchor democracy and the rule of law in enlargement countries ahead of and after their accession. This approach </w:t>
      </w:r>
      <w:r w:rsidR="00537270" w:rsidRPr="00B47906">
        <w:rPr>
          <w:rFonts w:ascii="Times New Roman" w:hAnsi="Times New Roman"/>
          <w:lang w:val="en-GB"/>
        </w:rPr>
        <w:t>is</w:t>
      </w:r>
      <w:r w:rsidR="00F85D63" w:rsidRPr="00B47906">
        <w:rPr>
          <w:rFonts w:ascii="Times New Roman" w:hAnsi="Times New Roman"/>
          <w:lang w:val="en-GB"/>
        </w:rPr>
        <w:t xml:space="preserve"> fully coherent with the existing enlargement process</w:t>
      </w:r>
      <w:r w:rsidR="000D51D1" w:rsidRPr="00B47906">
        <w:rPr>
          <w:rFonts w:ascii="Times New Roman" w:hAnsi="Times New Roman"/>
          <w:lang w:val="en-GB"/>
        </w:rPr>
        <w:t>,</w:t>
      </w:r>
      <w:r w:rsidR="00F85D63" w:rsidRPr="00B47906">
        <w:rPr>
          <w:rFonts w:ascii="Times New Roman" w:hAnsi="Times New Roman"/>
          <w:lang w:val="en-GB"/>
        </w:rPr>
        <w:t xml:space="preserve"> in particular</w:t>
      </w:r>
      <w:r w:rsidR="000D51D1" w:rsidRPr="00B47906">
        <w:rPr>
          <w:rFonts w:ascii="Times New Roman" w:hAnsi="Times New Roman"/>
          <w:lang w:val="en-GB"/>
        </w:rPr>
        <w:t>,</w:t>
      </w:r>
      <w:r w:rsidR="00F85D63" w:rsidRPr="00B47906">
        <w:rPr>
          <w:rFonts w:ascii="Times New Roman" w:hAnsi="Times New Roman"/>
          <w:lang w:val="en-GB"/>
        </w:rPr>
        <w:t xml:space="preserve"> as recommendations to enlargement countries will continue to be issued in the annual enlargement reports. The rule of law is at the heart of the enlargement process, in line with the revised enlargement methodology agreed in 2020, and both progress and state of play in this field continue to be closely evaluated in this context. Another aspect of an evolving EU is to further extend the inclusion of other enlargement </w:t>
      </w:r>
      <w:r w:rsidR="00F85D63" w:rsidRPr="00B47906">
        <w:rPr>
          <w:rFonts w:ascii="Times New Roman" w:hAnsi="Times New Roman"/>
          <w:lang w:val="en-GB"/>
        </w:rPr>
        <w:lastRenderedPageBreak/>
        <w:t xml:space="preserve">countries in the Rule of Law Report in the future as and when they are ready. </w:t>
      </w:r>
    </w:p>
    <w:p w14:paraId="1392E307" w14:textId="2094CFE9" w:rsidR="00454882" w:rsidRPr="00B47906" w:rsidRDefault="00F85D63" w:rsidP="00D541E0">
      <w:pPr>
        <w:widowControl w:val="0"/>
        <w:spacing w:after="120" w:line="259" w:lineRule="auto"/>
        <w:rPr>
          <w:rFonts w:ascii="Times New Roman" w:hAnsi="Times New Roman"/>
          <w:lang w:val="en-GB"/>
        </w:rPr>
      </w:pPr>
      <w:r w:rsidRPr="00B47906">
        <w:rPr>
          <w:rFonts w:ascii="Times New Roman" w:hAnsi="Times New Roman"/>
          <w:lang w:val="en-GB"/>
        </w:rPr>
        <w:t xml:space="preserve">As for the strengthened link </w:t>
      </w:r>
      <w:r w:rsidR="00892EE0" w:rsidRPr="00B47906">
        <w:rPr>
          <w:rFonts w:ascii="Times New Roman" w:hAnsi="Times New Roman"/>
          <w:lang w:val="en-GB"/>
        </w:rPr>
        <w:t>between the rule of law and EU funds</w:t>
      </w:r>
      <w:r w:rsidRPr="00B47906">
        <w:rPr>
          <w:rFonts w:ascii="Times New Roman" w:hAnsi="Times New Roman"/>
          <w:lang w:val="en-GB"/>
        </w:rPr>
        <w:t xml:space="preserve"> (paragraphs 73</w:t>
      </w:r>
      <w:r w:rsidR="00FD243D" w:rsidRPr="00B47906">
        <w:rPr>
          <w:rFonts w:ascii="Times New Roman" w:hAnsi="Times New Roman"/>
          <w:lang w:val="en-GB"/>
        </w:rPr>
        <w:t xml:space="preserve">, </w:t>
      </w:r>
      <w:r w:rsidR="0058271C" w:rsidRPr="00B47906">
        <w:rPr>
          <w:rFonts w:ascii="Times New Roman" w:hAnsi="Times New Roman"/>
          <w:lang w:val="en-GB"/>
        </w:rPr>
        <w:t>75</w:t>
      </w:r>
      <w:r w:rsidR="00FD243D" w:rsidRPr="00B47906">
        <w:rPr>
          <w:rFonts w:ascii="Times New Roman" w:hAnsi="Times New Roman"/>
          <w:lang w:val="en-GB"/>
        </w:rPr>
        <w:t xml:space="preserve">, </w:t>
      </w:r>
      <w:r w:rsidRPr="00B47906">
        <w:rPr>
          <w:rFonts w:ascii="Times New Roman" w:hAnsi="Times New Roman"/>
          <w:lang w:val="en-GB"/>
        </w:rPr>
        <w:t>7</w:t>
      </w:r>
      <w:r w:rsidR="00FD243D" w:rsidRPr="00B47906">
        <w:rPr>
          <w:rFonts w:ascii="Times New Roman" w:hAnsi="Times New Roman"/>
          <w:lang w:val="en-GB"/>
        </w:rPr>
        <w:t>7</w:t>
      </w:r>
      <w:r w:rsidR="00CA5A3C" w:rsidRPr="00B47906">
        <w:rPr>
          <w:rFonts w:ascii="Times New Roman" w:hAnsi="Times New Roman"/>
          <w:lang w:val="en-GB"/>
        </w:rPr>
        <w:t xml:space="preserve"> - 79</w:t>
      </w:r>
      <w:r w:rsidRPr="00B47906">
        <w:rPr>
          <w:rFonts w:ascii="Times New Roman" w:hAnsi="Times New Roman"/>
          <w:lang w:val="en-GB"/>
        </w:rPr>
        <w:t>)</w:t>
      </w:r>
      <w:r w:rsidR="00D541E0" w:rsidRPr="00B47906">
        <w:rPr>
          <w:rFonts w:ascii="Times New Roman" w:eastAsia="Calibri" w:hAnsi="Times New Roman"/>
          <w:lang w:val="en-GB"/>
        </w:rPr>
        <w:t xml:space="preserve">, as set out in President von der Leyen’s Political Guidelines, respect for the rule of law is a must for EU funds. On 16 July 2025, the Commission adopted </w:t>
      </w:r>
      <w:r w:rsidR="00D358EF" w:rsidRPr="00B47906">
        <w:rPr>
          <w:rFonts w:ascii="Times New Roman" w:eastAsia="Calibri" w:hAnsi="Times New Roman"/>
          <w:lang w:val="en-GB"/>
        </w:rPr>
        <w:t xml:space="preserve">its </w:t>
      </w:r>
      <w:r w:rsidR="00AA0892" w:rsidRPr="00B47906">
        <w:rPr>
          <w:rFonts w:ascii="Times New Roman" w:eastAsia="Calibri" w:hAnsi="Times New Roman"/>
          <w:lang w:val="en-GB"/>
        </w:rPr>
        <w:t xml:space="preserve">proposal </w:t>
      </w:r>
      <w:r w:rsidR="00F17D11" w:rsidRPr="00B47906">
        <w:rPr>
          <w:rFonts w:ascii="Times New Roman" w:eastAsia="Calibri" w:hAnsi="Times New Roman"/>
          <w:lang w:val="en-GB"/>
        </w:rPr>
        <w:t>for</w:t>
      </w:r>
      <w:r w:rsidR="00D358EF" w:rsidRPr="00B47906">
        <w:rPr>
          <w:rFonts w:ascii="Times New Roman" w:eastAsia="Calibri" w:hAnsi="Times New Roman"/>
          <w:lang w:val="en-GB"/>
        </w:rPr>
        <w:t xml:space="preserve"> </w:t>
      </w:r>
      <w:r w:rsidR="004114BE" w:rsidRPr="00B47906">
        <w:rPr>
          <w:rFonts w:ascii="Times New Roman" w:eastAsia="Calibri" w:hAnsi="Times New Roman"/>
          <w:lang w:val="en-GB"/>
        </w:rPr>
        <w:t>the 2028-2034</w:t>
      </w:r>
      <w:r w:rsidR="00D541E0" w:rsidRPr="00B47906">
        <w:rPr>
          <w:rFonts w:ascii="Times New Roman" w:eastAsia="Calibri" w:hAnsi="Times New Roman"/>
          <w:lang w:val="en-GB"/>
        </w:rPr>
        <w:t xml:space="preserve"> </w:t>
      </w:r>
      <w:r w:rsidR="001A53FD" w:rsidRPr="00B47906">
        <w:rPr>
          <w:rFonts w:ascii="Times New Roman" w:hAnsi="Times New Roman"/>
          <w:lang w:val="en-GB"/>
        </w:rPr>
        <w:t>MFF</w:t>
      </w:r>
      <w:r w:rsidR="00D541E0" w:rsidRPr="00B47906">
        <w:rPr>
          <w:rStyle w:val="FootnoteReference"/>
          <w:rFonts w:ascii="Times New Roman" w:eastAsia="Calibri" w:hAnsi="Times New Roman"/>
          <w:lang w:val="en-GB"/>
        </w:rPr>
        <w:footnoteReference w:id="3"/>
      </w:r>
      <w:r w:rsidR="00C97168" w:rsidRPr="00B47906">
        <w:rPr>
          <w:rFonts w:ascii="Times New Roman" w:eastAsia="Calibri" w:hAnsi="Times New Roman"/>
          <w:lang w:val="en-GB"/>
        </w:rPr>
        <w:t>,</w:t>
      </w:r>
      <w:r w:rsidR="00D541E0" w:rsidRPr="00B47906">
        <w:rPr>
          <w:rFonts w:ascii="Times New Roman" w:eastAsia="Calibri" w:hAnsi="Times New Roman"/>
          <w:lang w:val="en-GB"/>
        </w:rPr>
        <w:t xml:space="preserve"> in which </w:t>
      </w:r>
      <w:r w:rsidR="002843E7" w:rsidRPr="00B47906">
        <w:rPr>
          <w:rFonts w:ascii="Times New Roman" w:eastAsia="Calibri" w:hAnsi="Times New Roman"/>
          <w:lang w:val="en-GB"/>
        </w:rPr>
        <w:t>it</w:t>
      </w:r>
      <w:r w:rsidR="00B9228D" w:rsidRPr="00B47906">
        <w:rPr>
          <w:rFonts w:ascii="Times New Roman" w:eastAsia="Calibri" w:hAnsi="Times New Roman"/>
          <w:lang w:val="en-GB"/>
        </w:rPr>
        <w:t xml:space="preserve"> makes clear that </w:t>
      </w:r>
      <w:r w:rsidR="0091510F" w:rsidRPr="00B47906">
        <w:rPr>
          <w:rFonts w:ascii="Times New Roman" w:eastAsia="Calibri" w:hAnsi="Times New Roman"/>
          <w:lang w:val="en-GB"/>
        </w:rPr>
        <w:t xml:space="preserve">the principles of the rule </w:t>
      </w:r>
      <w:r w:rsidR="00FA3D26" w:rsidRPr="00B47906">
        <w:rPr>
          <w:rFonts w:ascii="Times New Roman" w:eastAsia="Calibri" w:hAnsi="Times New Roman"/>
          <w:lang w:val="en-GB"/>
        </w:rPr>
        <w:t xml:space="preserve">of law </w:t>
      </w:r>
      <w:r w:rsidR="00D541E0" w:rsidRPr="00B47906">
        <w:rPr>
          <w:rFonts w:ascii="Times New Roman" w:eastAsia="Calibri" w:hAnsi="Times New Roman"/>
          <w:lang w:val="en-GB"/>
        </w:rPr>
        <w:t xml:space="preserve">and </w:t>
      </w:r>
      <w:r w:rsidR="00FA3D26" w:rsidRPr="00B47906">
        <w:rPr>
          <w:rFonts w:ascii="Times New Roman" w:eastAsia="Calibri" w:hAnsi="Times New Roman"/>
          <w:lang w:val="en-GB"/>
        </w:rPr>
        <w:t>the Charter of Fundamental Rights are non-negotiable</w:t>
      </w:r>
      <w:r w:rsidR="00803471" w:rsidRPr="00B47906">
        <w:rPr>
          <w:rFonts w:ascii="Times New Roman" w:eastAsia="Calibri" w:hAnsi="Times New Roman"/>
          <w:lang w:val="en-GB"/>
        </w:rPr>
        <w:t xml:space="preserve">. </w:t>
      </w:r>
      <w:r w:rsidR="000A29A9" w:rsidRPr="00B47906">
        <w:rPr>
          <w:rFonts w:ascii="Times New Roman" w:eastAsia="Calibri" w:hAnsi="Times New Roman"/>
          <w:lang w:val="en-GB"/>
        </w:rPr>
        <w:t xml:space="preserve">It is essential that EU spending has strong safeguards on the rule of law to guarantee the protection of the EU’s financial interests. </w:t>
      </w:r>
      <w:r w:rsidR="004D14CC" w:rsidRPr="00B47906">
        <w:rPr>
          <w:rFonts w:ascii="Times New Roman" w:eastAsia="Calibri" w:hAnsi="Times New Roman"/>
          <w:lang w:val="en-GB"/>
        </w:rPr>
        <w:t>Therefore, it confirms that the Conditionality Regulation</w:t>
      </w:r>
      <w:r w:rsidR="004D14CC" w:rsidRPr="00B47906">
        <w:rPr>
          <w:rStyle w:val="FootnoteReference"/>
          <w:rFonts w:ascii="Times New Roman" w:eastAsia="Calibri" w:hAnsi="Times New Roman"/>
          <w:lang w:val="en-GB"/>
        </w:rPr>
        <w:footnoteReference w:id="4"/>
      </w:r>
      <w:r w:rsidR="004D14CC" w:rsidRPr="00B47906">
        <w:rPr>
          <w:rFonts w:ascii="Times New Roman" w:eastAsia="Calibri" w:hAnsi="Times New Roman"/>
          <w:lang w:val="en-GB"/>
        </w:rPr>
        <w:t xml:space="preserve"> will continue to apply to the whole of the EU budget.</w:t>
      </w:r>
      <w:r w:rsidR="00454882" w:rsidRPr="00B47906">
        <w:rPr>
          <w:rFonts w:ascii="Times New Roman" w:hAnsi="Times New Roman"/>
          <w:lang w:val="en-GB"/>
        </w:rPr>
        <w:t xml:space="preserve"> </w:t>
      </w:r>
      <w:r w:rsidR="000A29A9" w:rsidRPr="00B47906">
        <w:rPr>
          <w:rFonts w:ascii="Times New Roman" w:eastAsia="Calibri" w:hAnsi="Times New Roman"/>
          <w:lang w:val="en-GB"/>
        </w:rPr>
        <w:t xml:space="preserve">At the same time, experience with the current financing instruments shows that EU financial support for investments and reforms that strengthen the rule of law can offer real added value. The national and regional partnership plans </w:t>
      </w:r>
      <w:r w:rsidR="00F56DE5" w:rsidRPr="00B47906">
        <w:rPr>
          <w:rFonts w:ascii="TimesNewRomanPSMT" w:hAnsi="TimesNewRomanPSMT" w:cs="TimesNewRomanPSMT"/>
          <w:lang w:val="en-GB"/>
        </w:rPr>
        <w:t>ensure a strong link between the recommendations in the Rule of Law Report and financial support for targeted reforms</w:t>
      </w:r>
      <w:r w:rsidR="00A22CF4" w:rsidRPr="00B47906">
        <w:rPr>
          <w:rFonts w:ascii="TimesNewRomanPSMT" w:hAnsi="TimesNewRomanPSMT" w:cs="TimesNewRomanPSMT"/>
          <w:lang w:val="en-GB"/>
        </w:rPr>
        <w:t xml:space="preserve"> and</w:t>
      </w:r>
      <w:r w:rsidR="00D85E34" w:rsidRPr="00B47906">
        <w:rPr>
          <w:rFonts w:ascii="TimesNewRomanPSMT" w:hAnsi="TimesNewRomanPSMT" w:cs="TimesNewRomanPSMT"/>
          <w:lang w:val="en-GB"/>
        </w:rPr>
        <w:t xml:space="preserve"> measures</w:t>
      </w:r>
      <w:r w:rsidR="00D541E0" w:rsidRPr="00B47906" w:rsidDel="00BE3647">
        <w:rPr>
          <w:rFonts w:ascii="TimesNewRomanPSMT" w:eastAsia="Calibri" w:hAnsi="TimesNewRomanPSMT" w:cs="TimesNewRomanPSMT"/>
          <w:lang w:val="en-GB"/>
        </w:rPr>
        <w:t xml:space="preserve"> </w:t>
      </w:r>
      <w:r w:rsidR="005C3025" w:rsidRPr="00B47906">
        <w:rPr>
          <w:rFonts w:ascii="TimesNewRomanPSMT" w:hAnsi="TimesNewRomanPSMT" w:cs="TimesNewRomanPSMT"/>
          <w:lang w:val="en-GB"/>
        </w:rPr>
        <w:t>that boost</w:t>
      </w:r>
      <w:r w:rsidR="00D541E0" w:rsidRPr="00B47906" w:rsidDel="00BE3647">
        <w:rPr>
          <w:rFonts w:ascii="TimesNewRomanPSMT" w:eastAsia="Calibri" w:hAnsi="TimesNewRomanPSMT" w:cs="TimesNewRomanPSMT"/>
          <w:lang w:val="en-GB"/>
        </w:rPr>
        <w:t xml:space="preserve"> </w:t>
      </w:r>
      <w:r w:rsidR="00185928" w:rsidRPr="00B47906">
        <w:rPr>
          <w:rFonts w:ascii="TimesNewRomanPSMT" w:hAnsi="TimesNewRomanPSMT" w:cs="TimesNewRomanPSMT"/>
          <w:lang w:val="en-GB"/>
        </w:rPr>
        <w:t>institutional</w:t>
      </w:r>
      <w:r w:rsidR="00D541E0" w:rsidRPr="00B47906">
        <w:rPr>
          <w:rFonts w:ascii="TimesNewRomanPSMT" w:eastAsia="Calibri" w:hAnsi="TimesNewRomanPSMT" w:cs="TimesNewRomanPSMT"/>
          <w:lang w:val="en-GB"/>
        </w:rPr>
        <w:t xml:space="preserve"> and </w:t>
      </w:r>
      <w:r w:rsidR="00185928" w:rsidRPr="00B47906">
        <w:rPr>
          <w:rFonts w:ascii="TimesNewRomanPSMT" w:hAnsi="TimesNewRomanPSMT" w:cs="TimesNewRomanPSMT"/>
          <w:lang w:val="en-GB"/>
        </w:rPr>
        <w:t xml:space="preserve">civil </w:t>
      </w:r>
      <w:r w:rsidR="002A2FB9" w:rsidRPr="00B47906">
        <w:rPr>
          <w:rFonts w:ascii="TimesNewRomanPSMT" w:hAnsi="TimesNewRomanPSMT" w:cs="TimesNewRomanPSMT"/>
          <w:lang w:val="en-GB"/>
        </w:rPr>
        <w:t>society capacities</w:t>
      </w:r>
      <w:r w:rsidR="00D541E0" w:rsidRPr="00B47906">
        <w:rPr>
          <w:rFonts w:ascii="TimesNewRomanPSMT" w:eastAsia="Calibri" w:hAnsi="TimesNewRomanPSMT" w:cs="TimesNewRomanPSMT"/>
          <w:lang w:val="en-GB"/>
        </w:rPr>
        <w:t xml:space="preserve"> in </w:t>
      </w:r>
      <w:r w:rsidR="002A2FB9" w:rsidRPr="00B47906">
        <w:rPr>
          <w:rFonts w:ascii="TimesNewRomanPSMT" w:hAnsi="TimesNewRomanPSMT" w:cs="TimesNewRomanPSMT"/>
          <w:lang w:val="en-GB"/>
        </w:rPr>
        <w:t>upholding the rule of law</w:t>
      </w:r>
      <w:r w:rsidR="000B647F" w:rsidRPr="00B47906">
        <w:rPr>
          <w:rFonts w:ascii="TimesNewRomanPSMT" w:eastAsia="Calibri" w:hAnsi="TimesNewRomanPSMT" w:cs="TimesNewRomanPSMT"/>
          <w:lang w:val="en-GB"/>
        </w:rPr>
        <w:t>.</w:t>
      </w:r>
      <w:r w:rsidR="00A22CF4" w:rsidRPr="00B47906">
        <w:rPr>
          <w:rFonts w:ascii="Times New Roman" w:eastAsia="Calibri" w:hAnsi="Times New Roman"/>
          <w:lang w:val="en-GB"/>
        </w:rPr>
        <w:t xml:space="preserve"> </w:t>
      </w:r>
      <w:r w:rsidR="000B647F" w:rsidRPr="00B47906">
        <w:rPr>
          <w:rFonts w:ascii="Times New Roman" w:eastAsia="Calibri" w:hAnsi="Times New Roman"/>
          <w:lang w:val="en-GB"/>
        </w:rPr>
        <w:t xml:space="preserve">These plans </w:t>
      </w:r>
      <w:r w:rsidR="005E27B6" w:rsidRPr="00B47906">
        <w:rPr>
          <w:rFonts w:ascii="TimesNewRomanPS-BoldMT" w:hAnsi="TimesNewRomanPS-BoldMT" w:cs="TimesNewRomanPS-BoldMT"/>
          <w:lang w:val="en-GB"/>
        </w:rPr>
        <w:t>require that Member States respect the principles of the rule of law and the Charter of Fundamental Rights</w:t>
      </w:r>
      <w:r w:rsidR="00DF7CA6" w:rsidRPr="00B47906">
        <w:rPr>
          <w:rFonts w:ascii="TimesNewRomanPSMT" w:hAnsi="TimesNewRomanPSMT" w:cs="TimesNewRomanPSMT"/>
          <w:lang w:val="en-GB"/>
        </w:rPr>
        <w:t>, b</w:t>
      </w:r>
      <w:r w:rsidR="005E27B6" w:rsidRPr="00B47906">
        <w:rPr>
          <w:rFonts w:ascii="TimesNewRomanPSMT" w:hAnsi="TimesNewRomanPSMT" w:cs="TimesNewRomanPSMT"/>
          <w:lang w:val="en-GB"/>
        </w:rPr>
        <w:t xml:space="preserve">uilding on features of the Common Provisions Regulation and the Recovery and Resilience </w:t>
      </w:r>
      <w:r w:rsidR="005E27B6" w:rsidRPr="00A51691">
        <w:rPr>
          <w:rFonts w:ascii="TimesNewRomanPSMT" w:hAnsi="TimesNewRomanPSMT" w:cs="TimesNewRomanPSMT"/>
          <w:lang w:val="en-GB"/>
        </w:rPr>
        <w:t>Facility.</w:t>
      </w:r>
      <w:r w:rsidR="009431B7" w:rsidRPr="00A51691">
        <w:rPr>
          <w:rFonts w:ascii="TimesNewRomanPSMT" w:eastAsia="Calibri" w:hAnsi="TimesNewRomanPSMT" w:cs="TimesNewRomanPSMT"/>
          <w:lang w:val="en-GB"/>
        </w:rPr>
        <w:t xml:space="preserve"> </w:t>
      </w:r>
      <w:r w:rsidR="00441D02" w:rsidRPr="00A51691">
        <w:rPr>
          <w:rFonts w:ascii="TimesNewRomanPSMT" w:eastAsia="Calibri" w:hAnsi="TimesNewRomanPSMT" w:cs="TimesNewRomanPSMT"/>
          <w:lang w:val="en-GB"/>
        </w:rPr>
        <w:t xml:space="preserve">In </w:t>
      </w:r>
      <w:r w:rsidR="00441D02" w:rsidRPr="00A51691">
        <w:rPr>
          <w:rFonts w:ascii="Times New Roman" w:eastAsia="Calibri" w:hAnsi="Times New Roman"/>
          <w:lang w:val="en-GB"/>
        </w:rPr>
        <w:t>t</w:t>
      </w:r>
      <w:r w:rsidR="00D541E0" w:rsidRPr="00A51691">
        <w:rPr>
          <w:rFonts w:ascii="Times New Roman" w:eastAsia="Calibri" w:hAnsi="Times New Roman"/>
          <w:lang w:val="en-GB"/>
        </w:rPr>
        <w:t xml:space="preserve">he </w:t>
      </w:r>
      <w:r w:rsidR="00156208" w:rsidRPr="00A51691">
        <w:rPr>
          <w:rFonts w:ascii="Times New Roman" w:eastAsia="Calibri" w:hAnsi="Times New Roman"/>
          <w:lang w:val="en-GB"/>
        </w:rPr>
        <w:t xml:space="preserve">next financial framework, there should be, as today in </w:t>
      </w:r>
      <w:proofErr w:type="spellStart"/>
      <w:r w:rsidR="00156208" w:rsidRPr="00A51691">
        <w:rPr>
          <w:rFonts w:ascii="Times New Roman" w:eastAsia="Calibri" w:hAnsi="Times New Roman"/>
          <w:lang w:val="en-GB"/>
        </w:rPr>
        <w:t>NextGenerationEU</w:t>
      </w:r>
      <w:proofErr w:type="spellEnd"/>
      <w:r w:rsidR="00156208" w:rsidRPr="00A51691">
        <w:rPr>
          <w:rFonts w:ascii="Times New Roman" w:eastAsia="Calibri" w:hAnsi="Times New Roman"/>
          <w:lang w:val="en-GB"/>
        </w:rPr>
        <w:t>, a possibility to block payments in case of systemic deficiencies linked to the rule of law.</w:t>
      </w:r>
      <w:r w:rsidR="00D541E0" w:rsidRPr="00B47906">
        <w:rPr>
          <w:rFonts w:ascii="Times New Roman" w:eastAsia="Calibri" w:hAnsi="Times New Roman"/>
          <w:lang w:val="en-GB"/>
        </w:rPr>
        <w:t xml:space="preserve"> </w:t>
      </w:r>
    </w:p>
    <w:p w14:paraId="521F3663" w14:textId="7F0C3D26" w:rsidR="00D541E0" w:rsidRPr="00057144" w:rsidRDefault="00D541E0" w:rsidP="00D541E0">
      <w:pPr>
        <w:widowControl w:val="0"/>
        <w:spacing w:after="120" w:line="259" w:lineRule="auto"/>
        <w:rPr>
          <w:rFonts w:ascii="Times New Roman" w:hAnsi="Times New Roman"/>
          <w:lang w:val="en-GB"/>
        </w:rPr>
      </w:pPr>
      <w:r w:rsidRPr="00B47906">
        <w:rPr>
          <w:rFonts w:ascii="Times New Roman" w:eastAsia="Calibri" w:hAnsi="Times New Roman"/>
          <w:lang w:val="en-GB"/>
        </w:rPr>
        <w:t xml:space="preserve">As regards the call to expand the scope of the Report to all values under Article 2 TEU (paragraphs </w:t>
      </w:r>
      <w:r w:rsidR="000863F0" w:rsidRPr="00B47906">
        <w:rPr>
          <w:rFonts w:ascii="Times New Roman" w:eastAsia="Calibri" w:hAnsi="Times New Roman"/>
          <w:lang w:val="en-GB"/>
        </w:rPr>
        <w:t>93</w:t>
      </w:r>
      <w:r w:rsidRPr="00B47906">
        <w:rPr>
          <w:rFonts w:ascii="Times New Roman" w:eastAsia="Calibri" w:hAnsi="Times New Roman"/>
          <w:lang w:val="en-GB"/>
        </w:rPr>
        <w:t xml:space="preserve">), the Commission points out that the Report </w:t>
      </w:r>
      <w:r w:rsidR="00E3513F" w:rsidRPr="00B47906">
        <w:rPr>
          <w:rFonts w:ascii="Times New Roman" w:eastAsia="Calibri" w:hAnsi="Times New Roman"/>
          <w:lang w:val="en-GB"/>
        </w:rPr>
        <w:t xml:space="preserve">is only </w:t>
      </w:r>
      <w:r w:rsidRPr="00B47906">
        <w:rPr>
          <w:rFonts w:ascii="Times New Roman" w:eastAsia="Calibri" w:hAnsi="Times New Roman"/>
          <w:lang w:val="en-GB"/>
        </w:rPr>
        <w:t xml:space="preserve">one element of a broader endeavour at EU level to strengthen the founding EU values, including democracy, equality, and respect for human rights. This includes the </w:t>
      </w:r>
      <w:r w:rsidR="00426F11" w:rsidRPr="00B47906">
        <w:rPr>
          <w:rFonts w:ascii="Times New Roman" w:eastAsia="Calibri" w:hAnsi="Times New Roman"/>
          <w:lang w:val="en-GB"/>
        </w:rPr>
        <w:t>measures</w:t>
      </w:r>
      <w:r w:rsidR="00D579EC" w:rsidRPr="00B47906">
        <w:rPr>
          <w:rFonts w:ascii="Times New Roman" w:eastAsia="Calibri" w:hAnsi="Times New Roman"/>
          <w:lang w:val="en-GB"/>
        </w:rPr>
        <w:t>, including legislation</w:t>
      </w:r>
      <w:r w:rsidR="00D579EC" w:rsidRPr="00B47906">
        <w:rPr>
          <w:rStyle w:val="FootnoteReference"/>
          <w:rFonts w:ascii="Times New Roman" w:eastAsia="Calibri" w:hAnsi="Times New Roman"/>
          <w:lang w:val="en-GB"/>
        </w:rPr>
        <w:footnoteReference w:id="5"/>
      </w:r>
      <w:r w:rsidR="00D579EC" w:rsidRPr="00B47906">
        <w:rPr>
          <w:rFonts w:ascii="Times New Roman" w:eastAsia="Calibri" w:hAnsi="Times New Roman"/>
          <w:lang w:val="en-GB"/>
        </w:rPr>
        <w:t>,</w:t>
      </w:r>
      <w:r w:rsidR="00426F11" w:rsidRPr="00B47906">
        <w:rPr>
          <w:rFonts w:ascii="Times New Roman" w:eastAsia="Calibri" w:hAnsi="Times New Roman"/>
          <w:lang w:val="en-GB"/>
        </w:rPr>
        <w:t xml:space="preserve"> already </w:t>
      </w:r>
      <w:r w:rsidR="00E86D56" w:rsidRPr="00B47906">
        <w:rPr>
          <w:rFonts w:ascii="Times New Roman" w:eastAsia="Calibri" w:hAnsi="Times New Roman"/>
          <w:lang w:val="en-GB"/>
        </w:rPr>
        <w:t>in place</w:t>
      </w:r>
      <w:r w:rsidR="00426F11" w:rsidRPr="00B47906">
        <w:rPr>
          <w:rFonts w:ascii="Times New Roman" w:eastAsia="Calibri" w:hAnsi="Times New Roman"/>
          <w:lang w:val="en-GB"/>
        </w:rPr>
        <w:t xml:space="preserve"> </w:t>
      </w:r>
      <w:r w:rsidR="006949AC" w:rsidRPr="00B47906">
        <w:rPr>
          <w:rFonts w:ascii="Times New Roman" w:eastAsia="Calibri" w:hAnsi="Times New Roman"/>
          <w:lang w:val="en-GB"/>
        </w:rPr>
        <w:t>following</w:t>
      </w:r>
      <w:r w:rsidRPr="00B47906">
        <w:rPr>
          <w:rFonts w:ascii="Times New Roman" w:eastAsia="Calibri" w:hAnsi="Times New Roman"/>
          <w:lang w:val="en-GB"/>
        </w:rPr>
        <w:t xml:space="preserve"> the European Democracy Action Plan</w:t>
      </w:r>
      <w:r w:rsidR="008B2515" w:rsidRPr="00B47906">
        <w:rPr>
          <w:rFonts w:ascii="Times New Roman" w:eastAsia="Calibri" w:hAnsi="Times New Roman"/>
          <w:lang w:val="en-GB"/>
        </w:rPr>
        <w:t xml:space="preserve"> and </w:t>
      </w:r>
      <w:r w:rsidRPr="00B47906">
        <w:rPr>
          <w:rFonts w:ascii="Times New Roman" w:eastAsia="Calibri" w:hAnsi="Times New Roman"/>
          <w:lang w:val="en-GB"/>
        </w:rPr>
        <w:t xml:space="preserve">the Defence of Democracy Package, </w:t>
      </w:r>
      <w:r w:rsidR="0027039E" w:rsidRPr="00B47906">
        <w:rPr>
          <w:rFonts w:ascii="Times New Roman" w:eastAsia="Calibri" w:hAnsi="Times New Roman"/>
          <w:lang w:val="en-GB"/>
        </w:rPr>
        <w:t xml:space="preserve">and as </w:t>
      </w:r>
      <w:r w:rsidR="001C79EE" w:rsidRPr="00B47906">
        <w:rPr>
          <w:rFonts w:ascii="Times New Roman" w:eastAsia="Calibri" w:hAnsi="Times New Roman"/>
          <w:lang w:val="en-GB"/>
        </w:rPr>
        <w:t>reviewed</w:t>
      </w:r>
      <w:r w:rsidR="00C30BFF" w:rsidRPr="00B47906">
        <w:rPr>
          <w:rFonts w:ascii="Times New Roman" w:eastAsia="Calibri" w:hAnsi="Times New Roman"/>
          <w:lang w:val="en-GB"/>
        </w:rPr>
        <w:t xml:space="preserve">, inter alia, in the 2024 report on the </w:t>
      </w:r>
      <w:r w:rsidR="00C866EB" w:rsidRPr="00B47906">
        <w:rPr>
          <w:rFonts w:ascii="Times New Roman" w:eastAsia="Calibri" w:hAnsi="Times New Roman"/>
          <w:lang w:val="en-GB"/>
        </w:rPr>
        <w:t>Elections to the European Parliament</w:t>
      </w:r>
      <w:r w:rsidR="00360FBA" w:rsidRPr="00B47906">
        <w:rPr>
          <w:rStyle w:val="FootnoteReference"/>
          <w:rFonts w:ascii="Times New Roman" w:eastAsia="Calibri" w:hAnsi="Times New Roman"/>
          <w:lang w:val="en-GB"/>
        </w:rPr>
        <w:footnoteReference w:id="6"/>
      </w:r>
      <w:r w:rsidR="00C866EB" w:rsidRPr="00057144">
        <w:rPr>
          <w:rFonts w:ascii="Times New Roman" w:eastAsia="Calibri" w:hAnsi="Times New Roman"/>
          <w:lang w:val="en-GB"/>
        </w:rPr>
        <w:t xml:space="preserve">. </w:t>
      </w:r>
      <w:r w:rsidR="00AC37F5" w:rsidRPr="00057144">
        <w:rPr>
          <w:rFonts w:ascii="Times New Roman" w:eastAsia="Calibri" w:hAnsi="Times New Roman"/>
          <w:lang w:val="en-GB"/>
        </w:rPr>
        <w:t>These will be further developed</w:t>
      </w:r>
      <w:r w:rsidR="006864C8" w:rsidRPr="00057144">
        <w:rPr>
          <w:rFonts w:ascii="Times New Roman" w:eastAsia="Calibri" w:hAnsi="Times New Roman"/>
          <w:lang w:val="en-GB"/>
        </w:rPr>
        <w:t xml:space="preserve">, including </w:t>
      </w:r>
      <w:r w:rsidR="00F26EEF" w:rsidRPr="00057144">
        <w:rPr>
          <w:rFonts w:ascii="Times New Roman" w:eastAsia="Calibri" w:hAnsi="Times New Roman"/>
          <w:lang w:val="en-GB"/>
        </w:rPr>
        <w:t xml:space="preserve">in 2025 </w:t>
      </w:r>
      <w:r w:rsidR="00692F5F" w:rsidRPr="00057144">
        <w:rPr>
          <w:rFonts w:ascii="Times New Roman" w:eastAsia="Calibri" w:hAnsi="Times New Roman"/>
          <w:lang w:val="en-GB"/>
        </w:rPr>
        <w:t>when</w:t>
      </w:r>
      <w:r w:rsidR="00AC37F5" w:rsidRPr="00057144">
        <w:rPr>
          <w:rFonts w:ascii="Times New Roman" w:eastAsia="Calibri" w:hAnsi="Times New Roman"/>
          <w:lang w:val="en-GB"/>
        </w:rPr>
        <w:t xml:space="preserve"> </w:t>
      </w:r>
      <w:r w:rsidR="00692F5F" w:rsidRPr="00057144">
        <w:rPr>
          <w:rFonts w:ascii="Times New Roman" w:eastAsia="Calibri" w:hAnsi="Times New Roman"/>
          <w:lang w:val="en-GB"/>
        </w:rPr>
        <w:t>t</w:t>
      </w:r>
      <w:r w:rsidR="001734D5" w:rsidRPr="00057144">
        <w:rPr>
          <w:rFonts w:ascii="Times New Roman" w:eastAsia="Calibri" w:hAnsi="Times New Roman"/>
          <w:lang w:val="en-GB"/>
        </w:rPr>
        <w:t xml:space="preserve">he </w:t>
      </w:r>
      <w:r w:rsidR="001734D5" w:rsidRPr="00A51691">
        <w:rPr>
          <w:rFonts w:ascii="Times New Roman" w:eastAsia="Calibri" w:hAnsi="Times New Roman"/>
          <w:lang w:val="en-GB"/>
        </w:rPr>
        <w:t xml:space="preserve">Commission </w:t>
      </w:r>
      <w:r w:rsidR="00692F5F" w:rsidRPr="00A51691">
        <w:rPr>
          <w:rFonts w:ascii="Times New Roman" w:eastAsia="Calibri" w:hAnsi="Times New Roman"/>
          <w:lang w:val="en-GB"/>
        </w:rPr>
        <w:t>will</w:t>
      </w:r>
      <w:r w:rsidR="001734D5" w:rsidRPr="00A51691">
        <w:rPr>
          <w:rFonts w:ascii="Times New Roman" w:eastAsia="Calibri" w:hAnsi="Times New Roman"/>
          <w:lang w:val="en-GB"/>
        </w:rPr>
        <w:t xml:space="preserve"> propose a European Democracy Shield, which will provide a strategic approach to safeguard, strengthen and promote democracy in the EU, reinforcing public trust. </w:t>
      </w:r>
      <w:r w:rsidR="00900485" w:rsidRPr="00A51691">
        <w:rPr>
          <w:rFonts w:ascii="Times New Roman" w:eastAsia="Calibri" w:hAnsi="Times New Roman"/>
          <w:lang w:val="en-GB"/>
        </w:rPr>
        <w:t xml:space="preserve">It also includes </w:t>
      </w:r>
      <w:r w:rsidRPr="00A51691">
        <w:rPr>
          <w:rFonts w:ascii="Times New Roman" w:eastAsia="Calibri" w:hAnsi="Times New Roman"/>
          <w:lang w:val="en-GB"/>
        </w:rPr>
        <w:t>the</w:t>
      </w:r>
      <w:r w:rsidRPr="00057144">
        <w:rPr>
          <w:rFonts w:ascii="Times New Roman" w:eastAsia="Calibri" w:hAnsi="Times New Roman"/>
          <w:lang w:val="en-GB"/>
        </w:rPr>
        <w:t xml:space="preserve"> 2020 Strategy to strengthen the application of the Charter of Fundamental Rights in the EU (“Charter </w:t>
      </w:r>
      <w:r w:rsidR="00321C83" w:rsidRPr="00057144">
        <w:rPr>
          <w:rFonts w:ascii="Times New Roman" w:eastAsia="Calibri" w:hAnsi="Times New Roman"/>
          <w:lang w:val="en-GB"/>
        </w:rPr>
        <w:t>s</w:t>
      </w:r>
      <w:r w:rsidRPr="00057144">
        <w:rPr>
          <w:rFonts w:ascii="Times New Roman" w:eastAsia="Calibri" w:hAnsi="Times New Roman"/>
          <w:lang w:val="en-GB"/>
        </w:rPr>
        <w:t xml:space="preserve">trategy”) with its thematic annual reports, and targeted strategies </w:t>
      </w:r>
      <w:r w:rsidR="00F278CF" w:rsidRPr="00057144">
        <w:rPr>
          <w:rFonts w:ascii="Times New Roman" w:eastAsia="Calibri" w:hAnsi="Times New Roman"/>
          <w:lang w:val="en-GB"/>
        </w:rPr>
        <w:t xml:space="preserve">and measures </w:t>
      </w:r>
      <w:r w:rsidRPr="00057144">
        <w:rPr>
          <w:rFonts w:ascii="Times New Roman" w:eastAsia="Calibri" w:hAnsi="Times New Roman"/>
          <w:lang w:val="en-GB"/>
        </w:rPr>
        <w:t xml:space="preserve">to address the needs and challenges of specific groups of rights holders.  </w:t>
      </w:r>
      <w:r w:rsidR="00B927AA" w:rsidRPr="00057144">
        <w:rPr>
          <w:rFonts w:ascii="Times New Roman" w:eastAsia="Calibri" w:hAnsi="Times New Roman"/>
          <w:lang w:val="en-GB"/>
        </w:rPr>
        <w:t xml:space="preserve">Furthermore, the Commission monitors the respect of EU law, including the EU Charter of the fundamental rights, </w:t>
      </w:r>
      <w:r w:rsidR="000A4F76" w:rsidRPr="00057144">
        <w:rPr>
          <w:rFonts w:ascii="Times New Roman" w:eastAsia="Calibri" w:hAnsi="Times New Roman"/>
          <w:lang w:val="en-GB"/>
        </w:rPr>
        <w:t xml:space="preserve">as part of its role as guardian of the treaties </w:t>
      </w:r>
      <w:r w:rsidR="00B927AA" w:rsidRPr="00057144">
        <w:rPr>
          <w:rFonts w:ascii="Times New Roman" w:eastAsia="Calibri" w:hAnsi="Times New Roman"/>
          <w:lang w:val="en-GB"/>
        </w:rPr>
        <w:t xml:space="preserve">and launches infringement procedures as appropriate. </w:t>
      </w:r>
      <w:r w:rsidRPr="00057144">
        <w:rPr>
          <w:rFonts w:ascii="Times New Roman" w:eastAsia="Calibri" w:hAnsi="Times New Roman"/>
          <w:lang w:val="en-GB"/>
        </w:rPr>
        <w:t>As regards the potential release of all reports related to EU values at the same time</w:t>
      </w:r>
      <w:r w:rsidR="00315F13" w:rsidRPr="00057144">
        <w:rPr>
          <w:rFonts w:ascii="Times New Roman" w:eastAsia="Calibri" w:hAnsi="Times New Roman"/>
          <w:lang w:val="en-GB"/>
        </w:rPr>
        <w:t xml:space="preserve"> (paragraph 92)</w:t>
      </w:r>
      <w:r w:rsidRPr="00057144">
        <w:rPr>
          <w:rFonts w:ascii="Times New Roman" w:eastAsia="Calibri" w:hAnsi="Times New Roman"/>
          <w:lang w:val="en-GB"/>
        </w:rPr>
        <w:t xml:space="preserve">, the Commission notes that the </w:t>
      </w:r>
      <w:r w:rsidR="00E24E83" w:rsidRPr="00057144">
        <w:rPr>
          <w:rFonts w:ascii="Times New Roman" w:eastAsia="Calibri" w:hAnsi="Times New Roman"/>
          <w:lang w:val="en-GB"/>
        </w:rPr>
        <w:t>EU Agency for Fundamental Rights’ (</w:t>
      </w:r>
      <w:r w:rsidRPr="00057144">
        <w:rPr>
          <w:rFonts w:ascii="Times New Roman" w:eastAsia="Calibri" w:hAnsi="Times New Roman"/>
          <w:lang w:val="en-GB"/>
        </w:rPr>
        <w:t>FRA</w:t>
      </w:r>
      <w:r w:rsidR="00E24E83" w:rsidRPr="00057144">
        <w:rPr>
          <w:rFonts w:ascii="Times New Roman" w:eastAsia="Calibri" w:hAnsi="Times New Roman"/>
          <w:lang w:val="en-GB"/>
        </w:rPr>
        <w:t>)</w:t>
      </w:r>
      <w:r w:rsidRPr="00057144">
        <w:rPr>
          <w:rFonts w:ascii="Times New Roman" w:eastAsia="Calibri" w:hAnsi="Times New Roman"/>
          <w:lang w:val="en-GB"/>
        </w:rPr>
        <w:t xml:space="preserve"> Fundamental Rights Report is already published in summer as is the Commission’s Rule of Law Report. The mid-term review of the Charter strategy is scheduled for publication in December 2025. </w:t>
      </w:r>
    </w:p>
    <w:p w14:paraId="4B3D6C1E" w14:textId="77777777" w:rsidR="00454882" w:rsidRPr="00057144" w:rsidRDefault="00D541E0" w:rsidP="00D541E0">
      <w:pPr>
        <w:widowControl w:val="0"/>
        <w:spacing w:after="120" w:line="259" w:lineRule="auto"/>
        <w:rPr>
          <w:rFonts w:ascii="Times New Roman" w:eastAsia="Calibri" w:hAnsi="Times New Roman"/>
          <w:lang w:val="en-GB"/>
        </w:rPr>
      </w:pPr>
      <w:r w:rsidRPr="00057144">
        <w:rPr>
          <w:rFonts w:ascii="Times New Roman" w:eastAsia="Calibri" w:hAnsi="Times New Roman"/>
          <w:lang w:val="en-GB"/>
        </w:rPr>
        <w:lastRenderedPageBreak/>
        <w:t xml:space="preserve">Concerning the call to add a </w:t>
      </w:r>
      <w:r w:rsidR="12F39D02" w:rsidRPr="00057144">
        <w:rPr>
          <w:rFonts w:ascii="Times New Roman" w:eastAsia="Calibri" w:hAnsi="Times New Roman"/>
          <w:lang w:val="en-GB"/>
        </w:rPr>
        <w:t xml:space="preserve">dedicated </w:t>
      </w:r>
      <w:r w:rsidRPr="00057144">
        <w:rPr>
          <w:rFonts w:ascii="Times New Roman" w:eastAsia="Calibri" w:hAnsi="Times New Roman"/>
          <w:lang w:val="en-GB"/>
        </w:rPr>
        <w:t>pillar on equality</w:t>
      </w:r>
      <w:r w:rsidR="65D0636E" w:rsidRPr="00057144">
        <w:rPr>
          <w:rFonts w:ascii="Times New Roman" w:eastAsia="Calibri" w:hAnsi="Times New Roman"/>
          <w:lang w:val="en-GB"/>
        </w:rPr>
        <w:t xml:space="preserve"> </w:t>
      </w:r>
      <w:r w:rsidRPr="00057144">
        <w:rPr>
          <w:rFonts w:ascii="Times New Roman" w:eastAsia="Calibri" w:hAnsi="Times New Roman"/>
          <w:lang w:val="en-GB"/>
        </w:rPr>
        <w:t xml:space="preserve">(paragraphs 63, 92), </w:t>
      </w:r>
      <w:r w:rsidR="39FA9030" w:rsidRPr="00057144">
        <w:rPr>
          <w:rFonts w:ascii="Times New Roman" w:eastAsia="Calibri" w:hAnsi="Times New Roman"/>
          <w:lang w:val="en-GB"/>
        </w:rPr>
        <w:t>as st</w:t>
      </w:r>
      <w:r w:rsidR="294FBFA5" w:rsidRPr="00057144">
        <w:rPr>
          <w:rFonts w:ascii="Times New Roman" w:eastAsia="Calibri" w:hAnsi="Times New Roman"/>
          <w:lang w:val="en-GB"/>
        </w:rPr>
        <w:t xml:space="preserve">ated above, the </w:t>
      </w:r>
      <w:r w:rsidR="4959B55B" w:rsidRPr="00057144">
        <w:rPr>
          <w:rFonts w:ascii="Times New Roman" w:eastAsia="Calibri" w:hAnsi="Times New Roman"/>
          <w:lang w:val="en-GB"/>
        </w:rPr>
        <w:t>Commission</w:t>
      </w:r>
      <w:r w:rsidR="294FBFA5" w:rsidRPr="00057144">
        <w:rPr>
          <w:rFonts w:ascii="Times New Roman" w:eastAsia="Calibri" w:hAnsi="Times New Roman"/>
          <w:lang w:val="en-GB"/>
        </w:rPr>
        <w:t xml:space="preserve"> </w:t>
      </w:r>
      <w:r w:rsidR="4959B55B" w:rsidRPr="00057144">
        <w:rPr>
          <w:rFonts w:ascii="Times New Roman" w:eastAsia="Calibri" w:hAnsi="Times New Roman"/>
          <w:lang w:val="en-GB"/>
        </w:rPr>
        <w:t>developed</w:t>
      </w:r>
      <w:r w:rsidR="294FBFA5" w:rsidRPr="00057144">
        <w:rPr>
          <w:rFonts w:ascii="Times New Roman" w:eastAsia="Calibri" w:hAnsi="Times New Roman"/>
          <w:lang w:val="en-GB"/>
        </w:rPr>
        <w:t xml:space="preserve"> </w:t>
      </w:r>
      <w:r w:rsidR="39FA9030" w:rsidRPr="00057144">
        <w:rPr>
          <w:rFonts w:ascii="Times New Roman" w:eastAsia="Calibri" w:hAnsi="Times New Roman"/>
          <w:lang w:val="en-GB"/>
        </w:rPr>
        <w:t>targeted strategies and measures to address the needs and challenges of specific groups of rights holders</w:t>
      </w:r>
      <w:r w:rsidR="4959B55B" w:rsidRPr="00057144">
        <w:rPr>
          <w:rFonts w:ascii="Times New Roman" w:eastAsia="Calibri" w:hAnsi="Times New Roman"/>
          <w:lang w:val="en-GB"/>
        </w:rPr>
        <w:t>. T</w:t>
      </w:r>
      <w:r w:rsidRPr="00057144">
        <w:rPr>
          <w:rFonts w:ascii="Times New Roman" w:eastAsia="Calibri" w:hAnsi="Times New Roman"/>
          <w:lang w:val="en-GB"/>
        </w:rPr>
        <w:t xml:space="preserve">he Commission would like to point in </w:t>
      </w:r>
      <w:r w:rsidR="4959B55B" w:rsidRPr="00057144">
        <w:rPr>
          <w:rFonts w:ascii="Times New Roman" w:eastAsia="Calibri" w:hAnsi="Times New Roman"/>
          <w:lang w:val="en-GB"/>
        </w:rPr>
        <w:t xml:space="preserve">particular </w:t>
      </w:r>
      <w:r w:rsidRPr="00057144">
        <w:rPr>
          <w:rFonts w:ascii="Times New Roman" w:eastAsia="Calibri" w:hAnsi="Times New Roman"/>
          <w:lang w:val="en-GB"/>
        </w:rPr>
        <w:t xml:space="preserve">to the publication of the progress report on the EU anti-racism action plan, which provides an overview of </w:t>
      </w:r>
      <w:r w:rsidR="77EDC9D3" w:rsidRPr="00057144">
        <w:rPr>
          <w:rFonts w:ascii="Times New Roman" w:eastAsia="Calibri" w:hAnsi="Times New Roman"/>
          <w:lang w:val="en-GB"/>
        </w:rPr>
        <w:t>progress</w:t>
      </w:r>
      <w:r w:rsidRPr="00057144">
        <w:rPr>
          <w:rFonts w:ascii="Times New Roman" w:eastAsia="Calibri" w:hAnsi="Times New Roman"/>
          <w:lang w:val="en-GB"/>
        </w:rPr>
        <w:t xml:space="preserve"> achieved in the first three years of its implementation</w:t>
      </w:r>
      <w:r w:rsidRPr="00057144">
        <w:rPr>
          <w:rStyle w:val="FootnoteReference"/>
          <w:rFonts w:ascii="Times New Roman" w:eastAsia="Calibri" w:hAnsi="Times New Roman"/>
          <w:lang w:val="en-GB"/>
        </w:rPr>
        <w:footnoteReference w:id="7"/>
      </w:r>
      <w:r w:rsidRPr="00057144">
        <w:rPr>
          <w:rFonts w:ascii="Times New Roman" w:eastAsia="Calibri" w:hAnsi="Times New Roman"/>
          <w:lang w:val="en-GB"/>
        </w:rPr>
        <w:t>. Furthermore, the Commission published its report on the LGB</w:t>
      </w:r>
      <w:r w:rsidR="0A8915A8" w:rsidRPr="00057144">
        <w:rPr>
          <w:rFonts w:ascii="Times New Roman" w:eastAsia="Calibri" w:hAnsi="Times New Roman"/>
          <w:lang w:val="en-GB"/>
        </w:rPr>
        <w:t>T</w:t>
      </w:r>
      <w:r w:rsidRPr="00057144">
        <w:rPr>
          <w:rFonts w:ascii="Times New Roman" w:eastAsia="Calibri" w:hAnsi="Times New Roman"/>
          <w:lang w:val="en-GB"/>
        </w:rPr>
        <w:t>IQ strategy</w:t>
      </w:r>
      <w:r w:rsidRPr="00057144">
        <w:rPr>
          <w:rStyle w:val="FootnoteReference"/>
          <w:rFonts w:ascii="Times New Roman" w:eastAsia="Calibri" w:hAnsi="Times New Roman"/>
          <w:lang w:val="en-GB"/>
        </w:rPr>
        <w:footnoteReference w:id="8"/>
      </w:r>
      <w:r w:rsidRPr="00057144">
        <w:rPr>
          <w:rFonts w:ascii="Times New Roman" w:eastAsia="Calibri" w:hAnsi="Times New Roman"/>
          <w:lang w:val="en-GB"/>
        </w:rPr>
        <w:t xml:space="preserve">, which analysed how the situation of LGBTIQ people has evolved in the EU, what progress has been made, and which areas require greater focus to fully implement the strategy by 2025. Moreover, the Commission publishes an annual report on gender equality, which takes stock of where the EU and its Member States stand on gender equality. It highlights the EU’s achievements in the five key areas covered by the Gender Equality Strategy and gives inspiring examples from the Member States and EU-funded projects in these areas. The Commission takes note of the European Parliament’s call for enshrining the right to access to safe, legal abortion in the Charter. It </w:t>
      </w:r>
      <w:r w:rsidR="0527E402" w:rsidRPr="00057144">
        <w:rPr>
          <w:rFonts w:ascii="Times New Roman" w:eastAsia="Calibri" w:hAnsi="Times New Roman"/>
          <w:lang w:val="en-GB"/>
        </w:rPr>
        <w:t>recalls</w:t>
      </w:r>
      <w:r w:rsidRPr="00057144">
        <w:rPr>
          <w:rFonts w:ascii="Times New Roman" w:eastAsia="Calibri" w:hAnsi="Times New Roman"/>
          <w:lang w:val="en-GB"/>
        </w:rPr>
        <w:t xml:space="preserve"> that any revision of the Charter would have to follow the same procedure as a revision of the Treaties </w:t>
      </w:r>
      <w:r w:rsidR="0A97958B" w:rsidRPr="00057144">
        <w:rPr>
          <w:rFonts w:ascii="Times New Roman" w:eastAsia="Calibri" w:hAnsi="Times New Roman"/>
          <w:lang w:val="en-GB"/>
        </w:rPr>
        <w:t>and require</w:t>
      </w:r>
      <w:r w:rsidRPr="00057144">
        <w:rPr>
          <w:rFonts w:ascii="Times New Roman" w:eastAsia="Calibri" w:hAnsi="Times New Roman"/>
          <w:lang w:val="en-GB"/>
        </w:rPr>
        <w:t xml:space="preserve"> </w:t>
      </w:r>
      <w:r w:rsidR="0A97958B" w:rsidRPr="00057144">
        <w:rPr>
          <w:rFonts w:ascii="Times New Roman" w:eastAsia="Calibri" w:hAnsi="Times New Roman"/>
          <w:lang w:val="en-GB"/>
        </w:rPr>
        <w:t>a unanimous</w:t>
      </w:r>
      <w:r w:rsidRPr="00057144">
        <w:rPr>
          <w:rFonts w:ascii="Times New Roman" w:eastAsia="Calibri" w:hAnsi="Times New Roman"/>
          <w:lang w:val="en-GB"/>
        </w:rPr>
        <w:t xml:space="preserve"> vote of </w:t>
      </w:r>
      <w:r w:rsidR="0A97958B" w:rsidRPr="00057144">
        <w:rPr>
          <w:rFonts w:ascii="Times New Roman" w:eastAsia="Calibri" w:hAnsi="Times New Roman"/>
          <w:lang w:val="en-GB"/>
        </w:rPr>
        <w:t>all</w:t>
      </w:r>
      <w:r w:rsidRPr="00057144">
        <w:rPr>
          <w:rFonts w:ascii="Times New Roman" w:eastAsia="Calibri" w:hAnsi="Times New Roman"/>
          <w:lang w:val="en-GB"/>
        </w:rPr>
        <w:t xml:space="preserve"> Member States in favour of such a revision. </w:t>
      </w:r>
      <w:r w:rsidR="4BD3CBE8" w:rsidRPr="00057144">
        <w:rPr>
          <w:rFonts w:ascii="Times New Roman" w:eastAsia="Calibri" w:hAnsi="Times New Roman"/>
          <w:lang w:val="en-GB"/>
        </w:rPr>
        <w:t>The</w:t>
      </w:r>
      <w:r w:rsidRPr="00057144">
        <w:rPr>
          <w:rFonts w:ascii="Times New Roman" w:eastAsia="Calibri" w:hAnsi="Times New Roman"/>
          <w:lang w:val="en-GB"/>
        </w:rPr>
        <w:t xml:space="preserve"> Commission </w:t>
      </w:r>
      <w:r w:rsidR="444D425A" w:rsidRPr="00057144">
        <w:rPr>
          <w:rFonts w:ascii="Times New Roman" w:eastAsia="Calibri" w:hAnsi="Times New Roman"/>
          <w:lang w:val="en-GB"/>
        </w:rPr>
        <w:t>remains</w:t>
      </w:r>
      <w:r w:rsidRPr="00057144">
        <w:rPr>
          <w:rFonts w:ascii="Times New Roman" w:eastAsia="Calibri" w:hAnsi="Times New Roman"/>
          <w:lang w:val="en-GB"/>
        </w:rPr>
        <w:t xml:space="preserve"> committed to do</w:t>
      </w:r>
      <w:r w:rsidR="00321C83" w:rsidRPr="00057144">
        <w:rPr>
          <w:rFonts w:ascii="Times New Roman" w:eastAsia="Calibri" w:hAnsi="Times New Roman"/>
          <w:lang w:val="en-GB"/>
        </w:rPr>
        <w:t>ing</w:t>
      </w:r>
      <w:r w:rsidRPr="00057144">
        <w:rPr>
          <w:rFonts w:ascii="Times New Roman" w:eastAsia="Calibri" w:hAnsi="Times New Roman"/>
          <w:lang w:val="en-GB"/>
        </w:rPr>
        <w:t xml:space="preserve"> all it can within the remit of </w:t>
      </w:r>
      <w:r w:rsidR="7B719E03" w:rsidRPr="00057144">
        <w:rPr>
          <w:rFonts w:ascii="Times New Roman" w:eastAsia="Calibri" w:hAnsi="Times New Roman"/>
          <w:lang w:val="en-GB"/>
        </w:rPr>
        <w:t>its</w:t>
      </w:r>
      <w:r w:rsidRPr="00057144">
        <w:rPr>
          <w:rFonts w:ascii="Times New Roman" w:eastAsia="Calibri" w:hAnsi="Times New Roman"/>
          <w:lang w:val="en-GB"/>
        </w:rPr>
        <w:t xml:space="preserve"> competence to advance fundamental rights and gender equality. In this respect, the Roadmap for Women’s Rights</w:t>
      </w:r>
      <w:r w:rsidRPr="00057144">
        <w:rPr>
          <w:rStyle w:val="FootnoteReference"/>
          <w:rFonts w:ascii="Times New Roman" w:eastAsia="Calibri" w:hAnsi="Times New Roman"/>
          <w:lang w:val="en-GB"/>
        </w:rPr>
        <w:footnoteReference w:id="9"/>
      </w:r>
      <w:r w:rsidRPr="00057144">
        <w:rPr>
          <w:rFonts w:ascii="Times New Roman" w:eastAsia="Calibri" w:hAnsi="Times New Roman"/>
          <w:lang w:val="en-GB"/>
        </w:rPr>
        <w:t xml:space="preserve"> </w:t>
      </w:r>
      <w:r w:rsidR="0CEE3471" w:rsidRPr="00057144">
        <w:rPr>
          <w:rFonts w:ascii="Times New Roman" w:eastAsia="Calibri" w:hAnsi="Times New Roman"/>
          <w:lang w:val="en-GB"/>
        </w:rPr>
        <w:t>strengthens the</w:t>
      </w:r>
      <w:r w:rsidRPr="00057144">
        <w:rPr>
          <w:rFonts w:ascii="Times New Roman" w:eastAsia="Calibri" w:hAnsi="Times New Roman"/>
          <w:lang w:val="en-GB"/>
        </w:rPr>
        <w:t xml:space="preserve"> </w:t>
      </w:r>
      <w:r w:rsidR="0CEE3471" w:rsidRPr="00057144">
        <w:rPr>
          <w:rFonts w:ascii="Times New Roman" w:eastAsia="Calibri" w:hAnsi="Times New Roman"/>
          <w:lang w:val="en-GB"/>
        </w:rPr>
        <w:t>protection of</w:t>
      </w:r>
      <w:r w:rsidRPr="00057144">
        <w:rPr>
          <w:rFonts w:ascii="Times New Roman" w:eastAsia="Calibri" w:hAnsi="Times New Roman"/>
          <w:lang w:val="en-GB"/>
        </w:rPr>
        <w:t xml:space="preserve"> women’s health by supporting and complementing action</w:t>
      </w:r>
      <w:r w:rsidR="79DB52E4" w:rsidRPr="00057144">
        <w:rPr>
          <w:rFonts w:ascii="Times New Roman" w:eastAsia="Calibri" w:hAnsi="Times New Roman"/>
          <w:lang w:val="en-GB"/>
        </w:rPr>
        <w:t>s</w:t>
      </w:r>
      <w:r w:rsidRPr="00057144">
        <w:rPr>
          <w:rFonts w:ascii="Times New Roman" w:eastAsia="Calibri" w:hAnsi="Times New Roman"/>
          <w:lang w:val="en-GB"/>
        </w:rPr>
        <w:t xml:space="preserve"> by the Member States regarding women’s access to sexual and reproductive health and rights, in full respect of the Treaties. The Commission welcomes the European Parliament’s condemnation of gender-based violence and remains committed to building a Union where women and men</w:t>
      </w:r>
      <w:r w:rsidR="49ADEDF9" w:rsidRPr="00057144">
        <w:rPr>
          <w:rFonts w:ascii="Times New Roman" w:eastAsia="Calibri" w:hAnsi="Times New Roman"/>
          <w:lang w:val="en-GB"/>
        </w:rPr>
        <w:t>,</w:t>
      </w:r>
      <w:r w:rsidRPr="00057144">
        <w:rPr>
          <w:rFonts w:ascii="Times New Roman" w:eastAsia="Calibri" w:hAnsi="Times New Roman"/>
          <w:lang w:val="en-GB"/>
        </w:rPr>
        <w:t xml:space="preserve"> in all their diversity</w:t>
      </w:r>
      <w:r w:rsidR="49ADEDF9" w:rsidRPr="00057144">
        <w:rPr>
          <w:rFonts w:ascii="Times New Roman" w:eastAsia="Calibri" w:hAnsi="Times New Roman"/>
          <w:lang w:val="en-GB"/>
        </w:rPr>
        <w:t>,</w:t>
      </w:r>
      <w:r w:rsidRPr="00057144">
        <w:rPr>
          <w:rFonts w:ascii="Times New Roman" w:eastAsia="Calibri" w:hAnsi="Times New Roman"/>
          <w:lang w:val="en-GB"/>
        </w:rPr>
        <w:t xml:space="preserve"> can live free from violence and stereotypes. In this respect, the Commission is determined in ensuring a swift implementation of Directive (EU) 2024/1385 (‘Violence Against Women Directive’) in all Member States given its importance in preventing and combating violence against women and domestic violence.</w:t>
      </w:r>
    </w:p>
    <w:p w14:paraId="62230C05" w14:textId="27C4FD7D" w:rsidR="00D541E0" w:rsidRPr="00057144" w:rsidRDefault="00D541E0" w:rsidP="00D541E0">
      <w:pPr>
        <w:widowControl w:val="0"/>
        <w:spacing w:after="120" w:line="259" w:lineRule="auto"/>
        <w:rPr>
          <w:rFonts w:ascii="Times New Roman" w:eastAsia="Calibri" w:hAnsi="Times New Roman"/>
          <w:lang w:val="en-GB"/>
        </w:rPr>
      </w:pPr>
      <w:r w:rsidRPr="00057144">
        <w:rPr>
          <w:rFonts w:ascii="Times New Roman" w:eastAsia="Calibri" w:hAnsi="Times New Roman"/>
          <w:lang w:val="en-GB"/>
        </w:rPr>
        <w:t xml:space="preserve">The rule of law is a founding value of the European Union, which EU Member States, institutions and bodies </w:t>
      </w:r>
      <w:r w:rsidR="002F4E6F" w:rsidRPr="00057144">
        <w:rPr>
          <w:rFonts w:ascii="Times New Roman" w:eastAsia="Calibri" w:hAnsi="Times New Roman"/>
          <w:lang w:val="en-GB"/>
        </w:rPr>
        <w:t>must</w:t>
      </w:r>
      <w:r w:rsidRPr="00057144">
        <w:rPr>
          <w:rFonts w:ascii="Times New Roman" w:eastAsia="Calibri" w:hAnsi="Times New Roman"/>
          <w:lang w:val="en-GB"/>
        </w:rPr>
        <w:t xml:space="preserve"> respect. The Commission is not planning to add a dedicated chapter on Union institutions (paragraphs 22, 98) to the Commission’s Rule of Law Report. </w:t>
      </w:r>
      <w:r w:rsidR="00F55E7D" w:rsidRPr="00057144">
        <w:rPr>
          <w:rFonts w:ascii="Times New Roman" w:eastAsia="Calibri" w:hAnsi="Times New Roman"/>
          <w:lang w:val="en-GB"/>
        </w:rPr>
        <w:t xml:space="preserve">The powers of </w:t>
      </w:r>
      <w:r w:rsidRPr="00057144">
        <w:rPr>
          <w:rFonts w:ascii="Times New Roman" w:eastAsia="Calibri" w:hAnsi="Times New Roman"/>
          <w:lang w:val="en-GB"/>
        </w:rPr>
        <w:t xml:space="preserve">EU institutions are </w:t>
      </w:r>
      <w:r w:rsidR="00F55E7D" w:rsidRPr="00057144">
        <w:rPr>
          <w:rFonts w:ascii="Times New Roman" w:eastAsia="Calibri" w:hAnsi="Times New Roman"/>
          <w:lang w:val="en-GB"/>
        </w:rPr>
        <w:t>clearly determined in EU Treaties and the legality of EU institutions acts can be reviewed by</w:t>
      </w:r>
      <w:r w:rsidRPr="00057144">
        <w:rPr>
          <w:rFonts w:ascii="Times New Roman" w:eastAsia="Calibri" w:hAnsi="Times New Roman"/>
          <w:lang w:val="en-GB"/>
        </w:rPr>
        <w:t xml:space="preserve"> the Court of Justice. The decisions of the Court of Justice are binding on all </w:t>
      </w:r>
      <w:r w:rsidR="009E0475" w:rsidRPr="00057144">
        <w:rPr>
          <w:rFonts w:ascii="Times New Roman" w:eastAsia="Calibri" w:hAnsi="Times New Roman"/>
          <w:lang w:val="en-GB"/>
        </w:rPr>
        <w:t xml:space="preserve">EU </w:t>
      </w:r>
      <w:r w:rsidRPr="00057144">
        <w:rPr>
          <w:rFonts w:ascii="Times New Roman" w:eastAsia="Calibri" w:hAnsi="Times New Roman"/>
          <w:lang w:val="en-GB"/>
        </w:rPr>
        <w:t xml:space="preserve">institutions. In addition, the European Anti-Fraud Office and the European Court of Auditors make sure that EU institutions follow the rules when disbursing EU funds, while the European Public Prosecutor’s Office (EPPO) is competent to investigate and prosecute criminal offences affecting the Union’s financial interests. Also, the independent European Ombudsman investigates complaints about maladministration by EU institutions. Furthermore, including a chapter on Union institutions would require the Commission to report on itself, which would raise concerns in terms of </w:t>
      </w:r>
      <w:r w:rsidR="00CB63B4" w:rsidRPr="00057144">
        <w:rPr>
          <w:rFonts w:ascii="Times New Roman" w:eastAsia="Calibri" w:hAnsi="Times New Roman"/>
          <w:lang w:val="en-GB"/>
        </w:rPr>
        <w:t xml:space="preserve">impartiality </w:t>
      </w:r>
      <w:r w:rsidRPr="00057144">
        <w:rPr>
          <w:rFonts w:ascii="Times New Roman" w:eastAsia="Calibri" w:hAnsi="Times New Roman"/>
          <w:lang w:val="en-GB"/>
        </w:rPr>
        <w:t>and conflict of interest.</w:t>
      </w:r>
    </w:p>
    <w:p w14:paraId="759108AF" w14:textId="6F4889A7" w:rsidR="00D541E0" w:rsidRPr="00057144" w:rsidRDefault="00D541E0" w:rsidP="00D541E0">
      <w:pPr>
        <w:widowControl w:val="0"/>
        <w:spacing w:before="240" w:after="120" w:line="259" w:lineRule="auto"/>
        <w:rPr>
          <w:rFonts w:ascii="Times New Roman" w:eastAsia="Calibri" w:hAnsi="Times New Roman"/>
          <w:lang w:val="en-GB"/>
        </w:rPr>
      </w:pPr>
      <w:r w:rsidRPr="00057144">
        <w:rPr>
          <w:rFonts w:ascii="Times New Roman" w:eastAsia="Calibri" w:hAnsi="Times New Roman"/>
          <w:lang w:val="en-GB"/>
        </w:rPr>
        <w:t>The Report already covers four areas of systemic importance: national justice systems, anti-corruption frameworks, media pluralism and media freedom and other checks and balances</w:t>
      </w:r>
      <w:r w:rsidR="00732489" w:rsidRPr="00057144">
        <w:rPr>
          <w:rFonts w:ascii="Times New Roman" w:eastAsia="Calibri" w:hAnsi="Times New Roman"/>
          <w:lang w:val="en-GB"/>
        </w:rPr>
        <w:t xml:space="preserve">, </w:t>
      </w:r>
      <w:r w:rsidR="00732489" w:rsidRPr="00057144">
        <w:rPr>
          <w:rFonts w:ascii="Times New Roman" w:eastAsia="Calibri" w:hAnsi="Times New Roman"/>
          <w:lang w:val="en-GB"/>
        </w:rPr>
        <w:lastRenderedPageBreak/>
        <w:t xml:space="preserve">such as the </w:t>
      </w:r>
      <w:r w:rsidR="00070202" w:rsidRPr="00057144">
        <w:rPr>
          <w:rFonts w:ascii="Times New Roman" w:eastAsia="Calibri" w:hAnsi="Times New Roman"/>
          <w:lang w:val="en-GB"/>
        </w:rPr>
        <w:t>civic space</w:t>
      </w:r>
      <w:r w:rsidRPr="00057144">
        <w:rPr>
          <w:rFonts w:ascii="Times New Roman" w:eastAsia="Calibri" w:hAnsi="Times New Roman"/>
          <w:lang w:val="en-GB"/>
        </w:rPr>
        <w:t>. The Commission has taken due note of the European Parliament’s detailed comments on its findings and recommendations in these areas. The Commission underlines that efficient, well-functioning, and fully independent justice systems are essential for applying and enforcing both EU and national laws (paragraphs 1-11). Regarding the call for prison conditions to be covered by the Report (paragraph 18), it should be noted that</w:t>
      </w:r>
      <w:r w:rsidR="00321C83" w:rsidRPr="00057144">
        <w:rPr>
          <w:rFonts w:ascii="Times New Roman" w:eastAsia="Calibri" w:hAnsi="Times New Roman"/>
          <w:lang w:val="en-GB"/>
        </w:rPr>
        <w:t>,</w:t>
      </w:r>
      <w:r w:rsidRPr="00057144">
        <w:rPr>
          <w:rFonts w:ascii="Times New Roman" w:eastAsia="Calibri" w:hAnsi="Times New Roman"/>
          <w:lang w:val="en-GB"/>
        </w:rPr>
        <w:t xml:space="preserve"> on</w:t>
      </w:r>
      <w:r w:rsidRPr="00057144">
        <w:rPr>
          <w:rFonts w:ascii="Times New Roman" w:hAnsi="Times New Roman"/>
          <w:color w:val="000000"/>
          <w:lang w:val="en-GB"/>
        </w:rPr>
        <w:t xml:space="preserve"> 8 December 2022, the Commission adopted</w:t>
      </w:r>
      <w:r w:rsidRPr="00057144">
        <w:rPr>
          <w:rFonts w:ascii="Times New Roman" w:hAnsi="Times New Roman"/>
          <w:lang w:val="en-GB"/>
        </w:rPr>
        <w:t xml:space="preserve"> Recommendation (EU) 2023/681 on procedural rights of suspects and accused persons subject to pre-trial detention and on material detention conditions</w:t>
      </w:r>
      <w:r w:rsidRPr="00057144">
        <w:rPr>
          <w:rFonts w:ascii="Times New Roman" w:hAnsi="Times New Roman"/>
          <w:color w:val="000000"/>
          <w:lang w:val="en-GB"/>
        </w:rPr>
        <w:t>. T</w:t>
      </w:r>
      <w:r w:rsidRPr="00057144">
        <w:rPr>
          <w:rFonts w:ascii="Times New Roman" w:hAnsi="Times New Roman"/>
          <w:lang w:val="en-GB"/>
        </w:rPr>
        <w:t>he minimum standards laid down in the Recommendation are not legally binding on the Member States. However, they serve as a reference point to improve the situation in prisons within the EU.</w:t>
      </w:r>
      <w:r w:rsidR="00454882" w:rsidRPr="00057144">
        <w:rPr>
          <w:rFonts w:ascii="Times New Roman" w:hAnsi="Times New Roman"/>
          <w:lang w:val="en-GB"/>
        </w:rPr>
        <w:t xml:space="preserve"> </w:t>
      </w:r>
      <w:r w:rsidRPr="00057144">
        <w:rPr>
          <w:rFonts w:ascii="Times New Roman" w:hAnsi="Times New Roman"/>
          <w:lang w:val="en-GB"/>
        </w:rPr>
        <w:t xml:space="preserve">The Commission is currently assessing the replies provided by Member States </w:t>
      </w:r>
      <w:r w:rsidR="00C649C6" w:rsidRPr="00057144">
        <w:rPr>
          <w:rFonts w:ascii="Times New Roman" w:hAnsi="Times New Roman"/>
          <w:lang w:val="en-GB"/>
        </w:rPr>
        <w:t xml:space="preserve">on their follow-up to the Recommendation </w:t>
      </w:r>
      <w:r w:rsidRPr="00057144">
        <w:rPr>
          <w:rFonts w:ascii="Times New Roman" w:hAnsi="Times New Roman"/>
          <w:lang w:val="en-GB"/>
        </w:rPr>
        <w:t xml:space="preserve">and plans to submit a Report by the end </w:t>
      </w:r>
      <w:r w:rsidR="00321C83" w:rsidRPr="00057144">
        <w:rPr>
          <w:rFonts w:ascii="Times New Roman" w:hAnsi="Times New Roman"/>
          <w:lang w:val="en-GB"/>
        </w:rPr>
        <w:t xml:space="preserve">of </w:t>
      </w:r>
      <w:r w:rsidRPr="00057144">
        <w:rPr>
          <w:rFonts w:ascii="Times New Roman" w:hAnsi="Times New Roman"/>
          <w:lang w:val="en-GB"/>
        </w:rPr>
        <w:t>2025.</w:t>
      </w:r>
    </w:p>
    <w:p w14:paraId="58071EDA" w14:textId="102E1616" w:rsidR="00D541E0" w:rsidRPr="00057144" w:rsidRDefault="00D541E0" w:rsidP="00D541E0">
      <w:pPr>
        <w:widowControl w:val="0"/>
        <w:spacing w:after="120" w:line="259" w:lineRule="auto"/>
        <w:rPr>
          <w:rFonts w:ascii="Times New Roman" w:eastAsia="Calibri" w:hAnsi="Times New Roman"/>
          <w:lang w:val="en-GB"/>
        </w:rPr>
      </w:pPr>
      <w:r w:rsidRPr="00057144">
        <w:rPr>
          <w:rFonts w:ascii="Times New Roman" w:eastAsia="Calibri" w:hAnsi="Times New Roman"/>
          <w:lang w:val="en-GB"/>
        </w:rPr>
        <w:t xml:space="preserve">The Commission welcomes the European Parliament’s support and commitment for its proposal for a Directive on combating corruption and the constructive efforts made so far to advance the negotiations. It urges the co-legislators to swiftly resolve the remaining issues and conclude their discussions by the end of 2025. The Commission will continue to support the co-legislators in their efforts, aiming for a balanced and meaningful outcome that preserves the Commission’s original objective to prevent and combat corruption effectively and efficiently across the EU. The Commission will also continue to monitor and assess the effectiveness of the anti-corruption frameworks in the Member States in its annual </w:t>
      </w:r>
      <w:r w:rsidR="000963C9" w:rsidRPr="00057144">
        <w:rPr>
          <w:rFonts w:ascii="Times New Roman" w:eastAsia="Calibri" w:hAnsi="Times New Roman"/>
          <w:lang w:val="en-GB"/>
        </w:rPr>
        <w:t>R</w:t>
      </w:r>
      <w:r w:rsidRPr="00057144">
        <w:rPr>
          <w:rFonts w:ascii="Times New Roman" w:eastAsia="Calibri" w:hAnsi="Times New Roman"/>
          <w:lang w:val="en-GB"/>
        </w:rPr>
        <w:t xml:space="preserve">ule of </w:t>
      </w:r>
      <w:r w:rsidR="000963C9" w:rsidRPr="00057144">
        <w:rPr>
          <w:rFonts w:ascii="Times New Roman" w:eastAsia="Calibri" w:hAnsi="Times New Roman"/>
          <w:lang w:val="en-GB"/>
        </w:rPr>
        <w:t>L</w:t>
      </w:r>
      <w:r w:rsidRPr="00057144">
        <w:rPr>
          <w:rFonts w:ascii="Times New Roman" w:eastAsia="Calibri" w:hAnsi="Times New Roman"/>
          <w:lang w:val="en-GB"/>
        </w:rPr>
        <w:t xml:space="preserve">aw </w:t>
      </w:r>
      <w:r w:rsidR="000963C9" w:rsidRPr="00057144">
        <w:rPr>
          <w:rFonts w:ascii="Times New Roman" w:eastAsia="Calibri" w:hAnsi="Times New Roman"/>
          <w:lang w:val="en-GB"/>
        </w:rPr>
        <w:t>C</w:t>
      </w:r>
      <w:r w:rsidRPr="00057144">
        <w:rPr>
          <w:rFonts w:ascii="Times New Roman" w:eastAsia="Calibri" w:hAnsi="Times New Roman"/>
          <w:lang w:val="en-GB"/>
        </w:rPr>
        <w:t>ycle (paragraph 29). Furthermore, the Commission continues discussing with the other institutions the possibility of moving towards full participation of the EU in GRECO (paragraph</w:t>
      </w:r>
      <w:r w:rsidR="00CB63B4" w:rsidRPr="00057144">
        <w:rPr>
          <w:rFonts w:ascii="Times New Roman" w:eastAsia="Calibri" w:hAnsi="Times New Roman"/>
          <w:lang w:val="en-GB"/>
        </w:rPr>
        <w:t>s</w:t>
      </w:r>
      <w:r w:rsidRPr="00057144">
        <w:rPr>
          <w:rFonts w:ascii="Times New Roman" w:eastAsia="Calibri" w:hAnsi="Times New Roman"/>
          <w:lang w:val="en-GB"/>
        </w:rPr>
        <w:t xml:space="preserve"> 22-23)</w:t>
      </w:r>
      <w:r w:rsidRPr="00057144">
        <w:rPr>
          <w:rFonts w:ascii="Times New Roman" w:eastAsia="Calibri" w:hAnsi="Times New Roman"/>
          <w:vertAlign w:val="superscript"/>
          <w:lang w:val="en-GB"/>
        </w:rPr>
        <w:footnoteReference w:id="10"/>
      </w:r>
      <w:r w:rsidRPr="00057144">
        <w:rPr>
          <w:rFonts w:ascii="Times New Roman" w:eastAsia="Calibri" w:hAnsi="Times New Roman"/>
          <w:lang w:val="en-GB"/>
        </w:rPr>
        <w:t>. It agrees with the European Parliament that the EPPO plays a key role in safeguarding the rule of law and combating corruption in the Union</w:t>
      </w:r>
      <w:r w:rsidR="00145BCF" w:rsidRPr="00057144">
        <w:rPr>
          <w:rFonts w:ascii="Times New Roman" w:eastAsia="Calibri" w:hAnsi="Times New Roman"/>
          <w:lang w:val="en-GB"/>
        </w:rPr>
        <w:t xml:space="preserve"> and updates</w:t>
      </w:r>
      <w:r w:rsidRPr="00057144">
        <w:rPr>
          <w:rFonts w:ascii="Times New Roman" w:eastAsia="Calibri" w:hAnsi="Times New Roman"/>
          <w:lang w:val="en-GB"/>
        </w:rPr>
        <w:t xml:space="preserve"> </w:t>
      </w:r>
      <w:r w:rsidR="00145BCF" w:rsidRPr="00057144">
        <w:rPr>
          <w:rFonts w:ascii="Times New Roman" w:eastAsia="Calibri" w:hAnsi="Times New Roman"/>
          <w:lang w:val="en-GB"/>
        </w:rPr>
        <w:t>on</w:t>
      </w:r>
      <w:r w:rsidRPr="00057144">
        <w:rPr>
          <w:rFonts w:ascii="Times New Roman" w:eastAsia="Calibri" w:hAnsi="Times New Roman"/>
          <w:lang w:val="en-GB"/>
        </w:rPr>
        <w:t xml:space="preserve"> cooperation between the Member States and the EPPO </w:t>
      </w:r>
      <w:r w:rsidR="00145BCF" w:rsidRPr="00057144">
        <w:rPr>
          <w:rFonts w:ascii="Times New Roman" w:eastAsia="Calibri" w:hAnsi="Times New Roman"/>
          <w:lang w:val="en-GB"/>
        </w:rPr>
        <w:t>are</w:t>
      </w:r>
      <w:r w:rsidRPr="00057144">
        <w:rPr>
          <w:rFonts w:ascii="Times New Roman" w:eastAsia="Calibri" w:hAnsi="Times New Roman"/>
          <w:lang w:val="en-GB"/>
        </w:rPr>
        <w:t xml:space="preserve"> covered </w:t>
      </w:r>
      <w:r w:rsidR="00145BCF" w:rsidRPr="00057144">
        <w:rPr>
          <w:rFonts w:ascii="Times New Roman" w:eastAsia="Calibri" w:hAnsi="Times New Roman"/>
          <w:lang w:val="en-GB"/>
        </w:rPr>
        <w:t>in</w:t>
      </w:r>
      <w:r w:rsidRPr="00057144">
        <w:rPr>
          <w:rFonts w:ascii="Times New Roman" w:eastAsia="Calibri" w:hAnsi="Times New Roman"/>
          <w:lang w:val="en-GB"/>
        </w:rPr>
        <w:t xml:space="preserve"> the Rule of Law Report. Reflections on the </w:t>
      </w:r>
      <w:r w:rsidR="00F02B21" w:rsidRPr="00057144">
        <w:rPr>
          <w:rFonts w:ascii="Times New Roman" w:eastAsia="Calibri" w:hAnsi="Times New Roman"/>
          <w:lang w:val="en-GB"/>
        </w:rPr>
        <w:t xml:space="preserve">benefits </w:t>
      </w:r>
      <w:r w:rsidR="00E00E2E" w:rsidRPr="00057144">
        <w:rPr>
          <w:rFonts w:ascii="Times New Roman" w:eastAsia="Calibri" w:hAnsi="Times New Roman"/>
          <w:lang w:val="en-GB"/>
        </w:rPr>
        <w:t>of extending</w:t>
      </w:r>
      <w:r w:rsidRPr="00057144">
        <w:rPr>
          <w:rFonts w:ascii="Times New Roman" w:eastAsia="Calibri" w:hAnsi="Times New Roman"/>
          <w:lang w:val="en-GB"/>
        </w:rPr>
        <w:t xml:space="preserve"> the EPPO’s competence to other cross-border crimes, in line with President von der Leyen’s political guidelines and her mission letter to Commissioner McGrath, have started in the context of the High-Level Forum on the Future of EU Criminal Justice, in which the European Parliament also participates. The process of evaluating the EPPO Regulation is ongoing and should be concluded by 1 June 2026. The Commission </w:t>
      </w:r>
      <w:r w:rsidR="001F5C30" w:rsidRPr="00057144">
        <w:rPr>
          <w:rFonts w:ascii="Times New Roman" w:eastAsia="Calibri" w:hAnsi="Times New Roman"/>
          <w:lang w:val="en-GB"/>
        </w:rPr>
        <w:t xml:space="preserve">will on that basis also </w:t>
      </w:r>
      <w:r w:rsidR="004A7893" w:rsidRPr="00057144">
        <w:rPr>
          <w:rFonts w:ascii="Times New Roman" w:eastAsia="Calibri" w:hAnsi="Times New Roman"/>
          <w:lang w:val="en-GB"/>
        </w:rPr>
        <w:t xml:space="preserve">launch the reflection on a possible </w:t>
      </w:r>
      <w:r w:rsidRPr="00057144">
        <w:rPr>
          <w:rFonts w:ascii="Times New Roman" w:eastAsia="Calibri" w:hAnsi="Times New Roman"/>
          <w:lang w:val="en-GB"/>
        </w:rPr>
        <w:t xml:space="preserve">proposal to revise the </w:t>
      </w:r>
      <w:r w:rsidR="001860F4" w:rsidRPr="00057144">
        <w:rPr>
          <w:rFonts w:ascii="Times New Roman" w:eastAsia="Calibri" w:hAnsi="Times New Roman"/>
          <w:lang w:val="en-GB"/>
        </w:rPr>
        <w:t xml:space="preserve">EPPO </w:t>
      </w:r>
      <w:r w:rsidR="00AF1777" w:rsidRPr="00057144">
        <w:rPr>
          <w:rFonts w:ascii="Times New Roman" w:eastAsia="Calibri" w:hAnsi="Times New Roman"/>
          <w:lang w:val="en-GB"/>
        </w:rPr>
        <w:t>Regulation.</w:t>
      </w:r>
      <w:r w:rsidRPr="00057144">
        <w:rPr>
          <w:rFonts w:ascii="Times New Roman" w:eastAsia="Calibri" w:hAnsi="Times New Roman"/>
          <w:lang w:val="en-GB"/>
        </w:rPr>
        <w:t xml:space="preserve"> Likewise, in 2026, the Commission will present the third implementation report of the PIF Directive, which may be followed by a legislative proposal to revise the Directive. The Commission </w:t>
      </w:r>
      <w:r w:rsidR="00D571B1" w:rsidRPr="00057144">
        <w:rPr>
          <w:rFonts w:ascii="Times New Roman" w:eastAsia="Calibri" w:hAnsi="Times New Roman"/>
          <w:lang w:val="en-GB"/>
        </w:rPr>
        <w:t>supports</w:t>
      </w:r>
      <w:r w:rsidRPr="00057144">
        <w:rPr>
          <w:rFonts w:ascii="Times New Roman" w:eastAsia="Calibri" w:hAnsi="Times New Roman"/>
          <w:lang w:val="en-GB"/>
        </w:rPr>
        <w:t xml:space="preserve"> the European Parliament’s call </w:t>
      </w:r>
      <w:r w:rsidR="00D571B1" w:rsidRPr="00057144">
        <w:rPr>
          <w:rFonts w:ascii="Times New Roman" w:eastAsia="Calibri" w:hAnsi="Times New Roman"/>
          <w:lang w:val="en-GB"/>
        </w:rPr>
        <w:t xml:space="preserve">to </w:t>
      </w:r>
      <w:r w:rsidRPr="00057144">
        <w:rPr>
          <w:rFonts w:ascii="Times New Roman" w:eastAsia="Calibri" w:hAnsi="Times New Roman"/>
          <w:lang w:val="en-GB"/>
        </w:rPr>
        <w:t xml:space="preserve">the non-participating Member States to join the EPPO, </w:t>
      </w:r>
      <w:r w:rsidR="00395932" w:rsidRPr="00057144">
        <w:rPr>
          <w:rFonts w:ascii="Times New Roman" w:eastAsia="Calibri" w:hAnsi="Times New Roman"/>
          <w:lang w:val="en-GB"/>
        </w:rPr>
        <w:t xml:space="preserve">to </w:t>
      </w:r>
      <w:r w:rsidRPr="00057144">
        <w:rPr>
          <w:rFonts w:ascii="Times New Roman" w:eastAsia="Calibri" w:hAnsi="Times New Roman"/>
          <w:lang w:val="en-GB"/>
        </w:rPr>
        <w:t xml:space="preserve">all candidate and potential candidate countries to establish a framework for effective cooperation with the EPPO, and </w:t>
      </w:r>
      <w:r w:rsidR="00395932" w:rsidRPr="00057144">
        <w:rPr>
          <w:rFonts w:ascii="Times New Roman" w:eastAsia="Calibri" w:hAnsi="Times New Roman"/>
          <w:lang w:val="en-GB"/>
        </w:rPr>
        <w:t xml:space="preserve">to </w:t>
      </w:r>
      <w:r w:rsidRPr="00057144">
        <w:rPr>
          <w:rFonts w:ascii="Times New Roman" w:eastAsia="Calibri" w:hAnsi="Times New Roman"/>
          <w:lang w:val="en-GB"/>
        </w:rPr>
        <w:t>all relevant anti-fraud actors (Eurojust, Europol, the European Court of Auditors, OLAF and the EPPO) to step up their cooperation in the fight against crimes affecting the Union budget (paragraph</w:t>
      </w:r>
      <w:r w:rsidR="00CB63B4" w:rsidRPr="00057144">
        <w:rPr>
          <w:rFonts w:ascii="Times New Roman" w:eastAsia="Calibri" w:hAnsi="Times New Roman"/>
          <w:lang w:val="en-GB"/>
        </w:rPr>
        <w:t>s</w:t>
      </w:r>
      <w:r w:rsidRPr="00057144">
        <w:rPr>
          <w:rFonts w:ascii="Times New Roman" w:eastAsia="Calibri" w:hAnsi="Times New Roman"/>
          <w:lang w:val="en-GB"/>
        </w:rPr>
        <w:t xml:space="preserve"> 25-27). Finally, the Commission also welcomes the European Parliament’s recognition of the role of whistleblowers in exposing corruption and promoting transparency across both the public and private sector (paragraph 31). The Commission is determined </w:t>
      </w:r>
      <w:r w:rsidR="00321C83" w:rsidRPr="00057144">
        <w:rPr>
          <w:rFonts w:ascii="Times New Roman" w:eastAsia="Calibri" w:hAnsi="Times New Roman"/>
          <w:lang w:val="en-GB"/>
        </w:rPr>
        <w:t>to</w:t>
      </w:r>
      <w:r w:rsidRPr="00057144">
        <w:rPr>
          <w:rFonts w:ascii="Times New Roman" w:eastAsia="Calibri" w:hAnsi="Times New Roman"/>
          <w:lang w:val="en-GB"/>
        </w:rPr>
        <w:t xml:space="preserve"> ensur</w:t>
      </w:r>
      <w:r w:rsidR="00262E46" w:rsidRPr="00057144">
        <w:rPr>
          <w:rFonts w:ascii="Times New Roman" w:eastAsia="Calibri" w:hAnsi="Times New Roman"/>
          <w:lang w:val="en-GB"/>
        </w:rPr>
        <w:t>e</w:t>
      </w:r>
      <w:r w:rsidRPr="00057144">
        <w:rPr>
          <w:rFonts w:ascii="Times New Roman" w:eastAsia="Calibri" w:hAnsi="Times New Roman"/>
          <w:lang w:val="en-GB"/>
        </w:rPr>
        <w:t xml:space="preserve"> that Directive (EU) 2019/1937 (the Whistleblowers’ Directive)</w:t>
      </w:r>
      <w:r w:rsidRPr="00057144">
        <w:rPr>
          <w:rStyle w:val="FootnoteReference"/>
          <w:rFonts w:ascii="Times New Roman" w:eastAsia="Calibri" w:hAnsi="Times New Roman"/>
          <w:lang w:val="en-GB"/>
        </w:rPr>
        <w:footnoteReference w:id="11"/>
      </w:r>
      <w:r w:rsidRPr="00057144">
        <w:rPr>
          <w:rFonts w:ascii="Times New Roman" w:eastAsia="Calibri" w:hAnsi="Times New Roman"/>
          <w:lang w:val="en-GB"/>
        </w:rPr>
        <w:t xml:space="preserve"> is effectively transposed in all Member States </w:t>
      </w:r>
      <w:r w:rsidRPr="00057144">
        <w:rPr>
          <w:rFonts w:ascii="Times New Roman" w:eastAsia="Calibri" w:hAnsi="Times New Roman"/>
          <w:lang w:val="en-GB"/>
        </w:rPr>
        <w:lastRenderedPageBreak/>
        <w:t>given its importance for safeguarding the public interest.</w:t>
      </w:r>
      <w:r w:rsidRPr="00057144">
        <w:rPr>
          <w:rStyle w:val="FootnoteReference"/>
          <w:rFonts w:ascii="Times New Roman" w:eastAsia="Calibri" w:hAnsi="Times New Roman"/>
          <w:lang w:val="en-GB"/>
        </w:rPr>
        <w:footnoteReference w:id="12"/>
      </w:r>
    </w:p>
    <w:p w14:paraId="24378603" w14:textId="792E2625" w:rsidR="00D541E0" w:rsidRPr="00057144" w:rsidRDefault="00D541E0" w:rsidP="00D541E0">
      <w:pPr>
        <w:widowControl w:val="0"/>
        <w:spacing w:after="120" w:line="259" w:lineRule="auto"/>
        <w:rPr>
          <w:rFonts w:ascii="Times New Roman" w:eastAsia="Calibri" w:hAnsi="Times New Roman"/>
          <w:lang w:val="en-GB"/>
        </w:rPr>
      </w:pPr>
      <w:r w:rsidRPr="00057144">
        <w:rPr>
          <w:rFonts w:ascii="Times New Roman" w:eastAsia="Calibri" w:hAnsi="Times New Roman"/>
          <w:lang w:val="en-GB"/>
        </w:rPr>
        <w:t>The Commission also welcomes the European Parliament’s support for a swift implementation of the European Media Freedom Act (EMFA) and Anti-SLAPP Directive (paragraphs 32, 35).</w:t>
      </w:r>
      <w:r w:rsidRPr="00057144">
        <w:rPr>
          <w:rFonts w:ascii="Times New Roman" w:hAnsi="Times New Roman"/>
          <w:lang w:val="en-GB"/>
        </w:rPr>
        <w:t xml:space="preserve"> </w:t>
      </w:r>
      <w:r w:rsidRPr="00057144">
        <w:rPr>
          <w:rFonts w:ascii="Times New Roman" w:eastAsia="Calibri" w:hAnsi="Times New Roman"/>
          <w:lang w:val="en-GB"/>
        </w:rPr>
        <w:t xml:space="preserve">Regarding the Anti-SLAPP Package (Recommendation and Directive), the Commission welcomes the </w:t>
      </w:r>
      <w:r w:rsidR="00D730FD" w:rsidRPr="00057144">
        <w:rPr>
          <w:rFonts w:ascii="Times New Roman" w:eastAsia="Calibri" w:hAnsi="Times New Roman"/>
          <w:lang w:val="en-GB"/>
        </w:rPr>
        <w:t>European Parliament’s</w:t>
      </w:r>
      <w:r w:rsidRPr="00057144">
        <w:rPr>
          <w:rFonts w:ascii="Times New Roman" w:eastAsia="Calibri" w:hAnsi="Times New Roman"/>
          <w:lang w:val="en-GB"/>
        </w:rPr>
        <w:t xml:space="preserve"> call on Member States to fully implement both instruments and, when transposing the Directive, to extend its application to also include national cases as encouraged by the Recommendation, since the majority of SLAPP cases occur at the national level. The Commission </w:t>
      </w:r>
      <w:r w:rsidR="00916FB9" w:rsidRPr="00057144">
        <w:rPr>
          <w:rFonts w:ascii="Times New Roman" w:eastAsia="Calibri" w:hAnsi="Times New Roman"/>
          <w:lang w:val="en-GB"/>
        </w:rPr>
        <w:t>will continue to</w:t>
      </w:r>
      <w:r w:rsidRPr="00057144">
        <w:rPr>
          <w:rFonts w:ascii="Times New Roman" w:eastAsia="Calibri" w:hAnsi="Times New Roman"/>
          <w:lang w:val="en-GB"/>
        </w:rPr>
        <w:t xml:space="preserve"> engage with Member States on the </w:t>
      </w:r>
      <w:r w:rsidR="00AF1777" w:rsidRPr="00057144">
        <w:rPr>
          <w:rFonts w:ascii="Times New Roman" w:eastAsia="Calibri" w:hAnsi="Times New Roman"/>
          <w:lang w:val="en-GB"/>
        </w:rPr>
        <w:t>matter.</w:t>
      </w:r>
      <w:r w:rsidRPr="00057144">
        <w:rPr>
          <w:rFonts w:ascii="Times New Roman" w:eastAsia="Calibri" w:hAnsi="Times New Roman"/>
          <w:lang w:val="en-GB"/>
        </w:rPr>
        <w:t xml:space="preserve"> There are indications that a very significant number of Member States intend to include national cases in the transposition of the Directive. Concerning the call on the Commission to put forward proposals to address SLAPP cases not covered under the current Directive, the Commission recalls the limitations of the legal basis of the Directive</w:t>
      </w:r>
      <w:r w:rsidR="00CB63B4" w:rsidRPr="00057144">
        <w:rPr>
          <w:rStyle w:val="FootnoteReference"/>
          <w:rFonts w:ascii="Times New Roman" w:eastAsia="Calibri" w:hAnsi="Times New Roman"/>
          <w:lang w:val="en-GB"/>
        </w:rPr>
        <w:footnoteReference w:id="13"/>
      </w:r>
      <w:r w:rsidRPr="00057144">
        <w:rPr>
          <w:rFonts w:ascii="Times New Roman" w:eastAsia="Calibri" w:hAnsi="Times New Roman"/>
          <w:lang w:val="en-GB"/>
        </w:rPr>
        <w:t xml:space="preserve">. As regards the EMFA, the Commission points out that Member States </w:t>
      </w:r>
      <w:r w:rsidR="00454882" w:rsidRPr="00057144">
        <w:rPr>
          <w:rFonts w:ascii="Times New Roman" w:eastAsia="Calibri" w:hAnsi="Times New Roman"/>
          <w:lang w:val="en-GB"/>
        </w:rPr>
        <w:t>had to</w:t>
      </w:r>
      <w:r w:rsidRPr="00057144">
        <w:rPr>
          <w:rFonts w:ascii="Times New Roman" w:eastAsia="Calibri" w:hAnsi="Times New Roman"/>
          <w:lang w:val="en-GB"/>
        </w:rPr>
        <w:t xml:space="preserve"> ensure compliance with most of its provisions by 8 August 2025. A correct application of </w:t>
      </w:r>
      <w:r w:rsidR="00321C83" w:rsidRPr="00057144">
        <w:rPr>
          <w:rFonts w:ascii="Times New Roman" w:eastAsia="Calibri" w:hAnsi="Times New Roman"/>
          <w:lang w:val="en-GB"/>
        </w:rPr>
        <w:t xml:space="preserve">the </w:t>
      </w:r>
      <w:r w:rsidRPr="00057144">
        <w:rPr>
          <w:rFonts w:ascii="Times New Roman" w:eastAsia="Calibri" w:hAnsi="Times New Roman"/>
          <w:lang w:val="en-GB"/>
        </w:rPr>
        <w:t xml:space="preserve">EMFA will help address a number of </w:t>
      </w:r>
      <w:r w:rsidR="00DF05DA" w:rsidRPr="00057144">
        <w:rPr>
          <w:rFonts w:ascii="Times New Roman" w:eastAsia="Calibri" w:hAnsi="Times New Roman"/>
          <w:lang w:val="en-GB"/>
        </w:rPr>
        <w:t>issues and</w:t>
      </w:r>
      <w:r w:rsidRPr="00057144">
        <w:rPr>
          <w:rFonts w:ascii="Times New Roman" w:eastAsia="Calibri" w:hAnsi="Times New Roman"/>
          <w:lang w:val="en-GB"/>
        </w:rPr>
        <w:t xml:space="preserve"> recommendations in the Commission</w:t>
      </w:r>
      <w:r w:rsidR="00321C83" w:rsidRPr="00057144">
        <w:rPr>
          <w:rFonts w:ascii="Times New Roman" w:eastAsia="Calibri" w:hAnsi="Times New Roman"/>
          <w:lang w:val="en-GB"/>
        </w:rPr>
        <w:t>’</w:t>
      </w:r>
      <w:r w:rsidRPr="00057144">
        <w:rPr>
          <w:rFonts w:ascii="Times New Roman" w:eastAsia="Calibri" w:hAnsi="Times New Roman"/>
          <w:lang w:val="en-GB"/>
        </w:rPr>
        <w:t xml:space="preserve">s Rule of Law Report (paragraph 39), </w:t>
      </w:r>
      <w:r w:rsidR="00B0020B" w:rsidRPr="00057144">
        <w:rPr>
          <w:rFonts w:ascii="Times New Roman" w:eastAsia="Calibri" w:hAnsi="Times New Roman"/>
          <w:lang w:val="en-GB"/>
        </w:rPr>
        <w:t xml:space="preserve">related </w:t>
      </w:r>
      <w:r w:rsidRPr="00057144">
        <w:rPr>
          <w:rFonts w:ascii="Times New Roman" w:eastAsia="Calibri" w:hAnsi="Times New Roman"/>
          <w:lang w:val="en-GB"/>
        </w:rPr>
        <w:t xml:space="preserve">in particular </w:t>
      </w:r>
      <w:r w:rsidR="00B0020B" w:rsidRPr="00057144">
        <w:rPr>
          <w:rFonts w:ascii="Times New Roman" w:eastAsia="Calibri" w:hAnsi="Times New Roman"/>
          <w:lang w:val="en-GB"/>
        </w:rPr>
        <w:t>to</w:t>
      </w:r>
      <w:r w:rsidRPr="00057144">
        <w:rPr>
          <w:rFonts w:ascii="Times New Roman" w:eastAsia="Calibri" w:hAnsi="Times New Roman"/>
          <w:lang w:val="en-GB"/>
        </w:rPr>
        <w:t xml:space="preserve"> public service media independence or financing, media ownership transparency and the transparency and fairness in the allocation of state advertising. In order to prepare for the August deadline, the Commission organised readiness checks of all Member States’ legislation. </w:t>
      </w:r>
    </w:p>
    <w:p w14:paraId="011CDB63" w14:textId="1A76F92F" w:rsidR="00D541E0" w:rsidRPr="00057144" w:rsidRDefault="00D541E0" w:rsidP="00D541E0">
      <w:pPr>
        <w:widowControl w:val="0"/>
        <w:spacing w:after="120" w:line="259" w:lineRule="auto"/>
        <w:rPr>
          <w:rFonts w:ascii="Times New Roman" w:eastAsia="Calibri" w:hAnsi="Times New Roman"/>
          <w:lang w:val="en-GB"/>
        </w:rPr>
      </w:pPr>
      <w:r w:rsidRPr="00057144">
        <w:rPr>
          <w:rFonts w:ascii="Times New Roman" w:eastAsia="Calibri" w:hAnsi="Times New Roman"/>
          <w:lang w:val="en-GB"/>
        </w:rPr>
        <w:t xml:space="preserve">The Commission </w:t>
      </w:r>
      <w:r w:rsidRPr="00057144">
        <w:rPr>
          <w:rFonts w:ascii="Times New Roman" w:eastAsia="Arial" w:hAnsi="Times New Roman"/>
          <w:lang w:val="en-GB"/>
        </w:rPr>
        <w:t>is looking at the issue of the use of spyware from various angles of EU law. It is important to address spyware in a comprehensive way, as it poses challenges in terms of rule of law and fundamental rights, data protection, media freedom, trade (dual use technology/export controls), cybersecurity, foreign interference and manipulation (paragraph 40).</w:t>
      </w:r>
      <w:r w:rsidRPr="00057144">
        <w:rPr>
          <w:rFonts w:ascii="Times New Roman" w:eastAsia="Arial" w:hAnsi="Times New Roman"/>
          <w:color w:val="008080"/>
          <w:lang w:val="en-GB"/>
        </w:rPr>
        <w:t xml:space="preserve"> </w:t>
      </w:r>
      <w:r w:rsidRPr="00057144">
        <w:rPr>
          <w:rFonts w:ascii="Times New Roman" w:eastAsia="Calibri" w:hAnsi="Times New Roman"/>
          <w:lang w:val="en-GB"/>
        </w:rPr>
        <w:t>The EMFA prohibits the use of spyware (paragraph</w:t>
      </w:r>
      <w:r w:rsidR="00321C83" w:rsidRPr="00057144">
        <w:rPr>
          <w:rFonts w:ascii="Times New Roman" w:eastAsia="Calibri" w:hAnsi="Times New Roman"/>
          <w:lang w:val="en-GB"/>
        </w:rPr>
        <w:t>s</w:t>
      </w:r>
      <w:r w:rsidRPr="00057144">
        <w:rPr>
          <w:rFonts w:ascii="Times New Roman" w:eastAsia="Calibri" w:hAnsi="Times New Roman"/>
          <w:lang w:val="en-GB"/>
        </w:rPr>
        <w:t xml:space="preserve"> 40, 86) against media service providers, their editorial staff or any persons who, because of their regular or professional relationship with a media service provider or its editorial staff, might have information related to or capable of identifying journalistic sources or confidential communications, unless this is necessary for the purpose of investigating one of those persons for certain serious crimes. An exception to such prohibition must also be in line with Article 52 of the Charter, i.e. it must be based on a law, which respects clarity and foreseeability, and be necessary and proportionate. Moreover, EU data protection law is fully applicable when public authorities process personal data for law enforcement and criminal justice purposes. National supervisory authorities and courts are competent under data protection law to ensure effective compliance with this legislative framework. </w:t>
      </w:r>
      <w:r w:rsidR="0043445D" w:rsidRPr="00057144">
        <w:rPr>
          <w:rFonts w:ascii="Times New Roman" w:eastAsia="Calibri" w:hAnsi="Times New Roman"/>
          <w:lang w:val="en-GB"/>
        </w:rPr>
        <w:t>Investigations are a matter for national authorities. And t</w:t>
      </w:r>
      <w:r w:rsidRPr="00057144">
        <w:rPr>
          <w:rFonts w:ascii="Times New Roman" w:eastAsia="Calibri" w:hAnsi="Times New Roman"/>
          <w:lang w:val="en-GB"/>
        </w:rPr>
        <w:t xml:space="preserve">he Commission expects national authorities to thoroughly examine any allegations, also relating to spyware (paragraph 87). Where relevant, this issue is also covered in the Rule of Law Report, notably as regards the functioning of national checks and balances. The Commission continues to closely monitor the implementation by Member States of the Audiovisual Media Services Directive (AVMSD), including its Article 30, which contributes to the strengthening </w:t>
      </w:r>
      <w:r w:rsidRPr="00057144">
        <w:rPr>
          <w:rFonts w:ascii="Times New Roman" w:eastAsia="Calibri" w:hAnsi="Times New Roman"/>
          <w:lang w:val="en-GB"/>
        </w:rPr>
        <w:lastRenderedPageBreak/>
        <w:t xml:space="preserve">of the independent functioning of media regulators, an aspect covered by the media freedom and pluralism pillar of the Commission’s Rule of Law Report. Moreover, the Commission shares the </w:t>
      </w:r>
      <w:r w:rsidR="00184EF9" w:rsidRPr="00057144">
        <w:rPr>
          <w:rFonts w:ascii="Times New Roman" w:eastAsia="Calibri" w:hAnsi="Times New Roman"/>
          <w:lang w:val="en-GB"/>
        </w:rPr>
        <w:t>European Parliament’s</w:t>
      </w:r>
      <w:r w:rsidRPr="00057144">
        <w:rPr>
          <w:rFonts w:ascii="Times New Roman" w:eastAsia="Calibri" w:hAnsi="Times New Roman"/>
          <w:lang w:val="en-GB"/>
        </w:rPr>
        <w:t xml:space="preserve"> concerns about the erosion of democracies via mis- and disinformation (paragraph 38). Hence, the Commission has taken robust steps to enforce the Digital Services Act (DSA) in line with its goal to create a safer and more trustworthy digital space for EU citizens in which their fundamental rights are protected, including their right to hold opinions and to receive and impart information and ideas without interference. </w:t>
      </w:r>
      <w:r w:rsidR="00454882" w:rsidRPr="00057144">
        <w:rPr>
          <w:rFonts w:ascii="Times New Roman" w:eastAsia="Calibri" w:hAnsi="Times New Roman"/>
          <w:lang w:val="en-GB"/>
        </w:rPr>
        <w:t xml:space="preserve">The </w:t>
      </w:r>
      <w:r w:rsidR="00591C48" w:rsidRPr="00057144">
        <w:rPr>
          <w:rFonts w:ascii="Times New Roman" w:eastAsia="Calibri" w:hAnsi="Times New Roman"/>
          <w:lang w:val="en-GB"/>
        </w:rPr>
        <w:t>Commission and the European Board for Digital Services endorsed the official integration of the voluntary Code of Practice on Disinformation into the framework of the DSA</w:t>
      </w:r>
      <w:r w:rsidR="00216840" w:rsidRPr="00057144">
        <w:rPr>
          <w:rFonts w:ascii="Times New Roman" w:eastAsia="Calibri" w:hAnsi="Times New Roman"/>
          <w:lang w:val="en-GB"/>
        </w:rPr>
        <w:t xml:space="preserve">, </w:t>
      </w:r>
      <w:r w:rsidR="00DB7BE0" w:rsidRPr="00057144">
        <w:rPr>
          <w:rFonts w:ascii="Times New Roman" w:eastAsia="Calibri" w:hAnsi="Times New Roman"/>
          <w:lang w:val="en-GB"/>
        </w:rPr>
        <w:t>eventually to become a relevant benchmark for determining DSA compliance regarding disinformation risks</w:t>
      </w:r>
      <w:r w:rsidR="009C7B15" w:rsidRPr="00057144">
        <w:rPr>
          <w:rFonts w:ascii="Times New Roman" w:eastAsia="Calibri" w:hAnsi="Times New Roman"/>
          <w:lang w:val="en-GB"/>
        </w:rPr>
        <w:t xml:space="preserve"> for its signatories</w:t>
      </w:r>
      <w:r w:rsidR="00DB7BE0" w:rsidRPr="00057144">
        <w:rPr>
          <w:rFonts w:ascii="Times New Roman" w:eastAsia="Calibri" w:hAnsi="Times New Roman"/>
          <w:lang w:val="en-GB"/>
        </w:rPr>
        <w:t>.</w:t>
      </w:r>
    </w:p>
    <w:p w14:paraId="3B869267" w14:textId="77777777" w:rsidR="00C86E81" w:rsidRPr="00057144" w:rsidRDefault="00D541E0" w:rsidP="00D541E0">
      <w:pPr>
        <w:widowControl w:val="0"/>
        <w:spacing w:after="120" w:line="259" w:lineRule="auto"/>
        <w:rPr>
          <w:rFonts w:ascii="Times New Roman" w:eastAsia="Calibri" w:hAnsi="Times New Roman"/>
          <w:lang w:val="en-GB"/>
        </w:rPr>
      </w:pPr>
      <w:r w:rsidRPr="00057144">
        <w:rPr>
          <w:rFonts w:ascii="Times New Roman" w:eastAsia="Calibri" w:hAnsi="Times New Roman"/>
          <w:lang w:val="en-GB"/>
        </w:rPr>
        <w:t xml:space="preserve">The Commission welcomes the European Parliament’s condemnation of the spread of hate speech, including in mainstream and social media (paragraph 37) as well as its call on the Council to extend the current list of EU crimes in Article 83(1) TFEU to include hate crimes and hate speech (paragraph 53). The DSA requires providers of hosting services, including online platforms, to put in place easily accessible and user-friendly notice-and-action mechanisms to notify illegal content, including illegal hate speech. Providers are obliged to process these notices in a timely, diligent, non-arbitrary and objective manner. Additionally, on 20 January 2025, the Commission positively assessed the integration of the Code of Conduct on Countering Illegal Hate Speech Online into the framework of the DSA. The Code of </w:t>
      </w:r>
      <w:r w:rsidR="00321C83" w:rsidRPr="00057144">
        <w:rPr>
          <w:rFonts w:ascii="Times New Roman" w:eastAsia="Calibri" w:hAnsi="Times New Roman"/>
          <w:lang w:val="en-GB"/>
        </w:rPr>
        <w:t>C</w:t>
      </w:r>
      <w:r w:rsidRPr="00057144">
        <w:rPr>
          <w:rFonts w:ascii="Times New Roman" w:eastAsia="Calibri" w:hAnsi="Times New Roman"/>
          <w:lang w:val="en-GB"/>
        </w:rPr>
        <w:t xml:space="preserve">onduct strengthens the way signatories, which include all major social media platforms, deal with online content deemed to be illegal hate speech as defined by applicable laws. It will also facilitate compliance with and effective enforcement of the DSA in this specific area. It should also be recalled that the AVMSD requires Member States to ensure protection of users of audiovisual media services and video-sharing platforms from content inciting to violence or hatred directed against a group of persons or a member of a group based on any of the grounds referred to in Article 21 of the Charter. </w:t>
      </w:r>
    </w:p>
    <w:p w14:paraId="4B192494" w14:textId="704EF489" w:rsidR="00D541E0" w:rsidRPr="00057144" w:rsidRDefault="00E26F32" w:rsidP="00D541E0">
      <w:pPr>
        <w:widowControl w:val="0"/>
        <w:spacing w:after="120" w:line="259" w:lineRule="auto"/>
        <w:rPr>
          <w:rFonts w:ascii="Times New Roman" w:eastAsia="Calibri" w:hAnsi="Times New Roman"/>
          <w:lang w:val="en-GB"/>
        </w:rPr>
      </w:pPr>
      <w:r w:rsidRPr="00057144">
        <w:rPr>
          <w:rFonts w:ascii="Times New Roman" w:eastAsia="Calibri" w:hAnsi="Times New Roman"/>
          <w:lang w:val="en-GB"/>
        </w:rPr>
        <w:t>In December 2021, t</w:t>
      </w:r>
      <w:r w:rsidR="00D541E0" w:rsidRPr="00057144">
        <w:rPr>
          <w:rFonts w:ascii="Times New Roman" w:eastAsia="Calibri" w:hAnsi="Times New Roman"/>
          <w:lang w:val="en-GB"/>
        </w:rPr>
        <w:t>he Commission proposed to extend the current list of ‘EU crimes’ set out in Article 83</w:t>
      </w:r>
      <w:r w:rsidRPr="00057144">
        <w:rPr>
          <w:rFonts w:ascii="Times New Roman" w:eastAsia="Calibri" w:hAnsi="Times New Roman"/>
          <w:lang w:val="en-GB"/>
        </w:rPr>
        <w:t>(1)</w:t>
      </w:r>
      <w:r w:rsidR="00D541E0" w:rsidRPr="00057144">
        <w:rPr>
          <w:rFonts w:ascii="Times New Roman" w:eastAsia="Calibri" w:hAnsi="Times New Roman"/>
          <w:lang w:val="en-GB"/>
        </w:rPr>
        <w:t xml:space="preserve"> TFEU to hate speech and hate crime. This would also enable the Commission to put forward a legislative proposal that harmonises the criminal law response to hate speech and hate crime, including on grounds such as sexual orientation, gender identity or disability (paragraph 56), </w:t>
      </w:r>
      <w:r w:rsidRPr="00057144">
        <w:rPr>
          <w:rFonts w:ascii="Times New Roman" w:eastAsia="Calibri" w:hAnsi="Times New Roman"/>
          <w:lang w:val="en-GB"/>
        </w:rPr>
        <w:t>which</w:t>
      </w:r>
      <w:r w:rsidR="00D541E0" w:rsidRPr="00057144">
        <w:rPr>
          <w:rFonts w:ascii="Times New Roman" w:eastAsia="Calibri" w:hAnsi="Times New Roman"/>
          <w:lang w:val="en-GB"/>
        </w:rPr>
        <w:t xml:space="preserve"> are not covered by Framework Decision 2008/913/JHA on combating racism and xenophobia by means of criminal law. Th</w:t>
      </w:r>
      <w:r w:rsidRPr="00057144">
        <w:rPr>
          <w:rFonts w:ascii="Times New Roman" w:eastAsia="Calibri" w:hAnsi="Times New Roman"/>
          <w:lang w:val="en-GB"/>
        </w:rPr>
        <w:t>e extension of the current list of ‘EU crimes’ set out in Article 83(1) TFEU</w:t>
      </w:r>
      <w:r w:rsidR="00D541E0" w:rsidRPr="00057144">
        <w:rPr>
          <w:rFonts w:ascii="Times New Roman" w:eastAsia="Calibri" w:hAnsi="Times New Roman"/>
          <w:lang w:val="en-GB"/>
        </w:rPr>
        <w:t xml:space="preserve"> requires a unanimous Council Decision, with the consent of the European Parliament. The Council has not yet reached an agreement. On the monitoring and reporting of hate crimes, and the support to victims (paragraph 53), the Commission has developed a range of policy measures, under the EU High-Level Group on combating hate speech and hate crime. The High</w:t>
      </w:r>
      <w:r w:rsidRPr="00057144">
        <w:rPr>
          <w:rFonts w:ascii="Times New Roman" w:eastAsia="Calibri" w:hAnsi="Times New Roman"/>
          <w:lang w:val="en-GB"/>
        </w:rPr>
        <w:t>-</w:t>
      </w:r>
      <w:r w:rsidR="00D541E0" w:rsidRPr="00057144">
        <w:rPr>
          <w:rFonts w:ascii="Times New Roman" w:eastAsia="Calibri" w:hAnsi="Times New Roman"/>
          <w:lang w:val="en-GB"/>
        </w:rPr>
        <w:t xml:space="preserve">Level Group, composed of national authorities, international organisations and civil society representatives, has developed guidance, standards and good practices </w:t>
      </w:r>
      <w:r w:rsidRPr="00057144">
        <w:rPr>
          <w:rFonts w:ascii="Times New Roman" w:eastAsia="Calibri" w:hAnsi="Times New Roman"/>
          <w:lang w:val="en-GB"/>
        </w:rPr>
        <w:t xml:space="preserve">over the years </w:t>
      </w:r>
      <w:r w:rsidR="00D541E0" w:rsidRPr="00057144">
        <w:rPr>
          <w:rFonts w:ascii="Times New Roman" w:eastAsia="Calibri" w:hAnsi="Times New Roman"/>
          <w:lang w:val="en-GB"/>
        </w:rPr>
        <w:t>in the following areas: hate crime recording, reporting and data collection, coordinated by the EU Agency for Fundamental Rights (FRA); hate crime training and capacity building for national law enforcement coordinated by the Commission and the EU Agency for Law Enforcement Training (CEPOL); as well as hate crime victims support coordinated by the OSCE Office for Democratic Institutions and Human Rights (ODIHR). In addition, the Citizens, Equality</w:t>
      </w:r>
      <w:r w:rsidRPr="00057144">
        <w:rPr>
          <w:rFonts w:ascii="Times New Roman" w:eastAsia="Calibri" w:hAnsi="Times New Roman"/>
          <w:lang w:val="en-GB"/>
        </w:rPr>
        <w:t>, Rights</w:t>
      </w:r>
      <w:r w:rsidR="00D541E0" w:rsidRPr="00057144">
        <w:rPr>
          <w:rFonts w:ascii="Times New Roman" w:eastAsia="Calibri" w:hAnsi="Times New Roman"/>
          <w:lang w:val="en-GB"/>
        </w:rPr>
        <w:t xml:space="preserve"> and Values (CERV) programme contains a specific priority on ‘protecting EU values and rights by combating hate speech and hate’, with dedicated budget for projects in this area. </w:t>
      </w:r>
    </w:p>
    <w:p w14:paraId="2B9A1CBD" w14:textId="77777777" w:rsidR="00C86E81" w:rsidRPr="00057144" w:rsidRDefault="00D541E0" w:rsidP="00C86E81">
      <w:pPr>
        <w:widowControl w:val="0"/>
        <w:spacing w:after="120" w:line="259" w:lineRule="auto"/>
        <w:rPr>
          <w:rFonts w:ascii="Times New Roman" w:hAnsi="Times New Roman"/>
          <w:lang w:val="en-GB"/>
        </w:rPr>
      </w:pPr>
      <w:r w:rsidRPr="00057144">
        <w:rPr>
          <w:rFonts w:ascii="Times New Roman" w:eastAsia="Calibri" w:hAnsi="Times New Roman"/>
          <w:lang w:val="en-GB"/>
        </w:rPr>
        <w:t xml:space="preserve">As regards the concerns about foreign interference in the Member States (paragraph 88), the </w:t>
      </w:r>
      <w:r w:rsidRPr="00057144">
        <w:rPr>
          <w:rFonts w:ascii="Times New Roman" w:eastAsia="Calibri" w:hAnsi="Times New Roman"/>
          <w:lang w:val="en-GB"/>
        </w:rPr>
        <w:lastRenderedPageBreak/>
        <w:t>Commission presented</w:t>
      </w:r>
      <w:r w:rsidR="00C86E81" w:rsidRPr="00057144">
        <w:rPr>
          <w:rFonts w:ascii="Times New Roman" w:eastAsia="Calibri" w:hAnsi="Times New Roman"/>
          <w:lang w:val="en-GB"/>
        </w:rPr>
        <w:t>,</w:t>
      </w:r>
      <w:r w:rsidRPr="00057144">
        <w:rPr>
          <w:rFonts w:ascii="Times New Roman" w:eastAsia="Calibri" w:hAnsi="Times New Roman"/>
          <w:lang w:val="en-GB"/>
        </w:rPr>
        <w:t xml:space="preserve"> as part of the Defence of Democracy Package</w:t>
      </w:r>
      <w:r w:rsidR="00C86E81" w:rsidRPr="00057144">
        <w:rPr>
          <w:rFonts w:ascii="Times New Roman" w:eastAsia="Calibri" w:hAnsi="Times New Roman"/>
          <w:lang w:val="en-GB"/>
        </w:rPr>
        <w:t>,</w:t>
      </w:r>
      <w:r w:rsidRPr="00057144">
        <w:rPr>
          <w:rFonts w:ascii="Times New Roman" w:eastAsia="Calibri" w:hAnsi="Times New Roman"/>
          <w:lang w:val="en-GB"/>
        </w:rPr>
        <w:t xml:space="preserve"> a proposal for a Directive on interest representation carried out on behalf of third countries, which is currently being discussed by the co-legislators. Instilling transparency on interest representation activities carried out on behalf of third countries would support the prevention of foreign interference. Furthermore, </w:t>
      </w:r>
      <w:r w:rsidRPr="00057144">
        <w:rPr>
          <w:rFonts w:ascii="Times New Roman" w:hAnsi="Times New Roman"/>
          <w:lang w:val="en-GB"/>
        </w:rPr>
        <w:t>Regulation (EU) 2024/900</w:t>
      </w:r>
      <w:r w:rsidRPr="00057144">
        <w:rPr>
          <w:rStyle w:val="FootnoteReference"/>
          <w:rFonts w:ascii="Times New Roman" w:hAnsi="Times New Roman"/>
          <w:lang w:val="en-GB"/>
        </w:rPr>
        <w:footnoteReference w:id="14"/>
      </w:r>
      <w:r w:rsidRPr="00057144">
        <w:rPr>
          <w:rFonts w:ascii="Times New Roman" w:hAnsi="Times New Roman"/>
          <w:lang w:val="en-GB"/>
        </w:rPr>
        <w:t xml:space="preserve"> (paragraph 83) establishes EU common standards in the internal market on transparency of political advertising services and contributes to a higher resilience of the EU electoral systems.</w:t>
      </w:r>
      <w:r w:rsidRPr="00057144">
        <w:rPr>
          <w:rFonts w:eastAsia="Courier New" w:cs="Courier New"/>
          <w:lang w:val="en-GB"/>
        </w:rPr>
        <w:t xml:space="preserve"> </w:t>
      </w:r>
      <w:r w:rsidRPr="00057144">
        <w:rPr>
          <w:rFonts w:ascii="Times New Roman" w:hAnsi="Times New Roman"/>
          <w:lang w:val="en-GB"/>
        </w:rPr>
        <w:t>It addresses foreign interference in elections by requiring providers of political advertising services, in the three months prior to an election or referendum, to provide services exclusively to clients from the EU, with the option for Member States to impose stricter rules. The Commission is committed to ensuring and supporting the smooth entry into application of the Regulation on 10 October 2025. The Commission believes in structural solutions that protect the integrity of information space (paragraph 88), consisting, among others, of the DSA and the Code of Conduct on Disinformation, which together provide a strong framework for platform accountability. Furthermore, the EMFA provides for coordination by the European Board for Media Services of national regulatory measures related to the dissemination of or access to media services originating from outside the Union or provided by media service providers established outside the Union that, irrespective of their means of distribution or access, target or reach audiences in the Union where, inter alia, in view of the control that could be exercised by third countries over them, such media services prejudice or present a serious and grave risk of prejudice to public security.</w:t>
      </w:r>
    </w:p>
    <w:p w14:paraId="01C498ED" w14:textId="77777777" w:rsidR="00C86E81" w:rsidRPr="00057144" w:rsidRDefault="00D541E0" w:rsidP="00C86E81">
      <w:pPr>
        <w:widowControl w:val="0"/>
        <w:spacing w:after="120" w:line="259" w:lineRule="auto"/>
        <w:rPr>
          <w:rFonts w:ascii="Times New Roman" w:eastAsia="Calibri" w:hAnsi="Times New Roman"/>
          <w:lang w:val="en-GB"/>
        </w:rPr>
      </w:pPr>
      <w:r w:rsidRPr="00057144">
        <w:rPr>
          <w:rFonts w:ascii="Times New Roman" w:eastAsia="Calibri" w:hAnsi="Times New Roman"/>
          <w:lang w:val="en-GB"/>
        </w:rPr>
        <w:t xml:space="preserve">The assessment of developments related to the framework for civil society (paragraph 45) has continuously been deepened throughout successive editions of the Rule of Law Report. The Report covers </w:t>
      </w:r>
      <w:r w:rsidR="00C86E81" w:rsidRPr="00057144">
        <w:rPr>
          <w:rFonts w:ascii="Times New Roman" w:eastAsia="Calibri" w:hAnsi="Times New Roman"/>
          <w:lang w:val="en-GB"/>
        </w:rPr>
        <w:t>i.e.</w:t>
      </w:r>
      <w:r w:rsidRPr="00057144">
        <w:rPr>
          <w:rFonts w:ascii="Times New Roman" w:eastAsia="Calibri" w:hAnsi="Times New Roman"/>
          <w:lang w:val="en-GB"/>
        </w:rPr>
        <w:t xml:space="preserve"> issues related to funding, the legal framework, participation in policy and decision-making and a free and safe operating environment for CSOs and human rights defenders, including, where relevant, the potential chilling effects of measures affecting those actors. Several recommendations related to the framework for civil society have been addressed to Member States in the previous Reports and the Commission has followed</w:t>
      </w:r>
      <w:r w:rsidR="00E26F32" w:rsidRPr="00057144">
        <w:rPr>
          <w:rFonts w:ascii="Times New Roman" w:eastAsia="Calibri" w:hAnsi="Times New Roman"/>
          <w:lang w:val="en-GB"/>
        </w:rPr>
        <w:t xml:space="preserve"> </w:t>
      </w:r>
      <w:r w:rsidRPr="00057144">
        <w:rPr>
          <w:rFonts w:ascii="Times New Roman" w:eastAsia="Calibri" w:hAnsi="Times New Roman"/>
          <w:lang w:val="en-GB"/>
        </w:rPr>
        <w:t>up on their implementation in the 2025 Report. As regards the call on the Commission and Member States to improve funding mechanisms for CSOs (paragraph 47), direct funding from the Commission to those organisations particularly through the CERV</w:t>
      </w:r>
      <w:r w:rsidR="00E26F32" w:rsidRPr="00057144">
        <w:rPr>
          <w:rFonts w:ascii="Times New Roman" w:eastAsia="Calibri" w:hAnsi="Times New Roman"/>
          <w:lang w:val="en-GB"/>
        </w:rPr>
        <w:t xml:space="preserve"> programme</w:t>
      </w:r>
      <w:r w:rsidRPr="00057144">
        <w:rPr>
          <w:rFonts w:ascii="Times New Roman" w:eastAsia="Calibri" w:hAnsi="Times New Roman"/>
          <w:lang w:val="en-GB"/>
        </w:rPr>
        <w:t>, the biggest ever EU programme to support CSOs active at local, regional, national and transnational levels and supporting fundamental rights, democracy and the rule of law, has already brought significant results. In the first four years of CERV implementation, CSOs were its main beneficiaries having received 77% of the awarded funds (this includes more than 5 600 CSOs across all Member States and eligible non-EU countries, for an overall EU funding of more than EUR 460 000 000). The funding and tools already in place, such as the CERV programme and its regranting mechanism, represent a powerful opportunity. The Commission keeps exploring possibilities and learning on how these mechanisms are working to reach more organisations, particularly at grassroots level. As presented in the</w:t>
      </w:r>
      <w:r w:rsidRPr="00057144">
        <w:rPr>
          <w:rFonts w:ascii="Times New Roman" w:hAnsi="Times New Roman"/>
          <w:lang w:val="en-GB"/>
        </w:rPr>
        <w:t xml:space="preserve"> </w:t>
      </w:r>
      <w:r w:rsidRPr="00057144">
        <w:rPr>
          <w:rFonts w:ascii="Times New Roman" w:eastAsia="Calibri" w:hAnsi="Times New Roman"/>
          <w:lang w:val="en-GB"/>
        </w:rPr>
        <w:t>Commission</w:t>
      </w:r>
      <w:r w:rsidR="00EC6A03" w:rsidRPr="00057144">
        <w:rPr>
          <w:rFonts w:ascii="Times New Roman" w:eastAsia="Calibri" w:hAnsi="Times New Roman"/>
          <w:lang w:val="en-GB"/>
        </w:rPr>
        <w:t>’</w:t>
      </w:r>
      <w:r w:rsidRPr="00057144">
        <w:rPr>
          <w:rFonts w:ascii="Times New Roman" w:eastAsia="Calibri" w:hAnsi="Times New Roman"/>
          <w:lang w:val="en-GB"/>
        </w:rPr>
        <w:t>s proposal</w:t>
      </w:r>
      <w:r w:rsidRPr="00057144">
        <w:rPr>
          <w:rFonts w:ascii="Times New Roman" w:hAnsi="Times New Roman"/>
          <w:lang w:val="en-GB"/>
        </w:rPr>
        <w:t xml:space="preserve"> </w:t>
      </w:r>
      <w:r w:rsidR="00755AD0" w:rsidRPr="00057144">
        <w:rPr>
          <w:rFonts w:ascii="Times New Roman" w:hAnsi="Times New Roman"/>
          <w:lang w:val="en-GB"/>
        </w:rPr>
        <w:t>for the 2028-2034 MFF</w:t>
      </w:r>
      <w:r w:rsidRPr="00057144">
        <w:rPr>
          <w:rFonts w:ascii="Times New Roman" w:hAnsi="Times New Roman"/>
          <w:lang w:val="en-GB"/>
        </w:rPr>
        <w:t>,</w:t>
      </w:r>
      <w:r w:rsidRPr="00057144">
        <w:rPr>
          <w:rFonts w:ascii="Times New Roman" w:eastAsia="Calibri" w:hAnsi="Times New Roman"/>
          <w:lang w:val="en-GB"/>
        </w:rPr>
        <w:t xml:space="preserve"> financial support for civil society organi</w:t>
      </w:r>
      <w:r w:rsidR="00EC6A03" w:rsidRPr="00057144">
        <w:rPr>
          <w:rFonts w:ascii="Times New Roman" w:eastAsia="Calibri" w:hAnsi="Times New Roman"/>
          <w:lang w:val="en-GB"/>
        </w:rPr>
        <w:t>s</w:t>
      </w:r>
      <w:r w:rsidRPr="00057144">
        <w:rPr>
          <w:rFonts w:ascii="Times New Roman" w:eastAsia="Calibri" w:hAnsi="Times New Roman"/>
          <w:lang w:val="en-GB"/>
        </w:rPr>
        <w:t xml:space="preserve">ations will remain a priority in the future EU budget, with efforts to simplify funding processes, reduce administrative burdens, and improve access through user-friendly digital tools. In particular, they will be increasingly supported by the </w:t>
      </w:r>
      <w:proofErr w:type="spellStart"/>
      <w:r w:rsidRPr="00057144">
        <w:rPr>
          <w:rFonts w:ascii="Times New Roman" w:eastAsia="Calibri" w:hAnsi="Times New Roman"/>
          <w:lang w:val="en-GB"/>
        </w:rPr>
        <w:t>AgoraEU</w:t>
      </w:r>
      <w:proofErr w:type="spellEnd"/>
      <w:r w:rsidRPr="00057144">
        <w:rPr>
          <w:rFonts w:ascii="Times New Roman" w:eastAsia="Calibri" w:hAnsi="Times New Roman"/>
          <w:lang w:val="en-GB"/>
        </w:rPr>
        <w:t xml:space="preserve"> programme, which will replace and </w:t>
      </w:r>
      <w:r w:rsidRPr="00057144">
        <w:rPr>
          <w:rFonts w:ascii="Times New Roman" w:eastAsia="Calibri" w:hAnsi="Times New Roman"/>
          <w:lang w:val="en-GB"/>
        </w:rPr>
        <w:lastRenderedPageBreak/>
        <w:t xml:space="preserve">integrate the current CERV programme with a significant budgetary reinforcement compared to the 2021-2027 total envelope. </w:t>
      </w:r>
    </w:p>
    <w:p w14:paraId="0D72385A" w14:textId="61425019" w:rsidR="00D541E0" w:rsidRPr="00057144" w:rsidRDefault="00D541E0" w:rsidP="00C86E81">
      <w:pPr>
        <w:widowControl w:val="0"/>
        <w:spacing w:after="120" w:line="259" w:lineRule="auto"/>
        <w:rPr>
          <w:rFonts w:ascii="Times New Roman" w:hAnsi="Times New Roman"/>
          <w:lang w:val="en-GB"/>
        </w:rPr>
      </w:pPr>
      <w:r w:rsidRPr="00057144">
        <w:rPr>
          <w:rFonts w:ascii="Times New Roman" w:eastAsia="Calibri" w:hAnsi="Times New Roman"/>
          <w:lang w:val="en-GB"/>
        </w:rPr>
        <w:t>Regarding the Commission’</w:t>
      </w:r>
      <w:r w:rsidR="00EC6A03" w:rsidRPr="00057144">
        <w:rPr>
          <w:rFonts w:ascii="Times New Roman" w:eastAsia="Calibri" w:hAnsi="Times New Roman"/>
          <w:lang w:val="en-GB"/>
        </w:rPr>
        <w:t>s</w:t>
      </w:r>
      <w:r w:rsidRPr="00057144">
        <w:rPr>
          <w:rFonts w:ascii="Times New Roman" w:eastAsia="Calibri" w:hAnsi="Times New Roman"/>
          <w:lang w:val="en-GB"/>
        </w:rPr>
        <w:t xml:space="preserve"> upcoming Strategy on Civil Society (paragraph 50), the Commission would like to clarify that its main objectives will be to </w:t>
      </w:r>
      <w:r w:rsidRPr="00057144">
        <w:rPr>
          <w:rFonts w:ascii="Times New Roman" w:hAnsi="Times New Roman"/>
          <w:lang w:val="en-GB"/>
        </w:rPr>
        <w:t>strengthen meaningful engagement with, as well as the protection and support of civil society organisations working on a broad range of EU policies</w:t>
      </w:r>
      <w:r w:rsidR="005D6A50" w:rsidRPr="00057144">
        <w:rPr>
          <w:rFonts w:ascii="Times New Roman" w:hAnsi="Times New Roman"/>
          <w:lang w:val="en-GB"/>
        </w:rPr>
        <w:t xml:space="preserve"> </w:t>
      </w:r>
      <w:r w:rsidR="00E4340D" w:rsidRPr="00057144">
        <w:rPr>
          <w:rFonts w:ascii="Times New Roman" w:hAnsi="Times New Roman"/>
          <w:lang w:val="en-GB"/>
        </w:rPr>
        <w:t xml:space="preserve">and </w:t>
      </w:r>
      <w:r w:rsidR="005D6A50" w:rsidRPr="00057144">
        <w:rPr>
          <w:rFonts w:ascii="Times New Roman" w:hAnsi="Times New Roman"/>
          <w:szCs w:val="24"/>
          <w:lang w:val="en-GB"/>
        </w:rPr>
        <w:t>ensuring that they can carry out their work in an enabling environment</w:t>
      </w:r>
      <w:r w:rsidRPr="00057144">
        <w:rPr>
          <w:rFonts w:ascii="Times New Roman" w:hAnsi="Times New Roman"/>
          <w:lang w:val="en-GB"/>
        </w:rPr>
        <w:t xml:space="preserve">. </w:t>
      </w:r>
      <w:r w:rsidR="00F13433" w:rsidRPr="00057144">
        <w:rPr>
          <w:rFonts w:ascii="Times New Roman" w:hAnsi="Times New Roman"/>
          <w:lang w:val="en-GB"/>
        </w:rPr>
        <w:t>T</w:t>
      </w:r>
      <w:r w:rsidR="00365F97" w:rsidRPr="00057144">
        <w:rPr>
          <w:rFonts w:ascii="Times New Roman" w:hAnsi="Times New Roman"/>
          <w:lang w:val="en-GB"/>
        </w:rPr>
        <w:t>he Strategy</w:t>
      </w:r>
      <w:r w:rsidR="00365F97" w:rsidRPr="00057144">
        <w:rPr>
          <w:rFonts w:ascii="Times New Roman" w:hAnsi="Times New Roman"/>
          <w:szCs w:val="24"/>
          <w:lang w:val="en-GB"/>
        </w:rPr>
        <w:t xml:space="preserve"> will also include specific actions to address the shrinking civic space for civil society organisations and human rights defenders active in promoting and protecting fundamental rights, democracy and the rule of law. </w:t>
      </w:r>
      <w:r w:rsidRPr="00057144">
        <w:rPr>
          <w:rFonts w:ascii="Times New Roman" w:hAnsi="Times New Roman"/>
          <w:lang w:val="en-GB"/>
        </w:rPr>
        <w:t>A</w:t>
      </w:r>
      <w:r w:rsidRPr="00057144">
        <w:rPr>
          <w:rFonts w:ascii="Times New Roman" w:eastAsia="Calibri" w:hAnsi="Times New Roman"/>
          <w:lang w:val="en-GB"/>
        </w:rPr>
        <w:t>s regards the request for a structured involvement of civil society (paragraph 44), the Commission would like to recall that</w:t>
      </w:r>
      <w:r w:rsidR="00EC6A03" w:rsidRPr="00057144">
        <w:rPr>
          <w:rFonts w:ascii="Times New Roman" w:eastAsia="Calibri" w:hAnsi="Times New Roman"/>
          <w:lang w:val="en-GB"/>
        </w:rPr>
        <w:t>,</w:t>
      </w:r>
      <w:r w:rsidRPr="00057144">
        <w:rPr>
          <w:rFonts w:ascii="Times New Roman" w:eastAsia="Calibri" w:hAnsi="Times New Roman"/>
          <w:lang w:val="en-GB"/>
        </w:rPr>
        <w:t xml:space="preserve"> in the framework of the country visits, the Commission conduct</w:t>
      </w:r>
      <w:r w:rsidR="0043445D" w:rsidRPr="00057144">
        <w:rPr>
          <w:rFonts w:ascii="Times New Roman" w:eastAsia="Calibri" w:hAnsi="Times New Roman"/>
          <w:lang w:val="en-GB"/>
        </w:rPr>
        <w:t>s</w:t>
      </w:r>
      <w:r w:rsidRPr="00057144">
        <w:rPr>
          <w:rFonts w:ascii="Times New Roman" w:eastAsia="Calibri" w:hAnsi="Times New Roman"/>
          <w:lang w:val="en-GB"/>
        </w:rPr>
        <w:t xml:space="preserve"> many meetings with national authorities, independent bodies and non-governmental and professional organisations, including CSOs. Responding to the Parliament and CSOs, the Commission increased the transparency and inclusiveness, extending the consultation periods and providing additional information online about the process, including the schedule of the country visits and network of national contact points on the rule of law. As part of the upcoming Civil Society Strategy, the Commission will step up engagement with civil society, including by creating a Civil Society Platform. This platform goes beyond the Rule of Law Report methodology, and will aim at setting up a systematic, structured dialogue with civil society organisations and human rights defenders on democracy, rule of law and related issues.</w:t>
      </w:r>
    </w:p>
    <w:p w14:paraId="71E88ADE" w14:textId="1BC8165A" w:rsidR="00D541E0" w:rsidRPr="00057144" w:rsidRDefault="00D541E0" w:rsidP="00D541E0">
      <w:pPr>
        <w:widowControl w:val="0"/>
        <w:spacing w:after="120" w:line="259" w:lineRule="auto"/>
        <w:rPr>
          <w:rFonts w:ascii="Times New Roman" w:eastAsia="Calibri" w:hAnsi="Times New Roman"/>
          <w:lang w:val="en-GB"/>
        </w:rPr>
      </w:pPr>
      <w:r w:rsidRPr="00057144">
        <w:rPr>
          <w:rFonts w:ascii="Times New Roman" w:eastAsia="Calibri" w:hAnsi="Times New Roman"/>
          <w:lang w:val="en-GB"/>
        </w:rPr>
        <w:t xml:space="preserve">As regards the request for measurable benchmarks for the recommendations </w:t>
      </w:r>
      <w:r w:rsidR="00025A16" w:rsidRPr="00057144">
        <w:rPr>
          <w:rFonts w:ascii="Times New Roman" w:eastAsia="Calibri" w:hAnsi="Times New Roman"/>
          <w:lang w:val="en-GB"/>
        </w:rPr>
        <w:t>in the Rule of Law Report</w:t>
      </w:r>
      <w:r w:rsidRPr="00057144">
        <w:rPr>
          <w:rFonts w:ascii="Times New Roman" w:eastAsia="Calibri" w:hAnsi="Times New Roman"/>
          <w:lang w:val="en-GB"/>
        </w:rPr>
        <w:t xml:space="preserve"> (paragraph 95), the Commission points out that the recommendations are addressed and tailored to each Member State and based on the clear and specific assessments contained in each country chapter. The Rule of Law Report is a preventive instrument, which by its nature is not legally binding, including as regards its recommendations. Furthermore, the Report is only one of the tools in the EU Rule of Law toolbox. While there are clear synergies between these tools, they remain separate instruments with different conditions under which they can be used and as such require a separate, detailed and time-sensitive assessment. The Commission has not hesitated to act, as guardian of the Treaties, in cases of violation of EU law, including the Charter, and will continue to do so, including through infringement proceedings. In line with the President’s Political Guidelines, each Commissioner will organise at least two Implementation Dialogues per year with stakeholders to align implementation with realities on the ground. The Commissioners will also prepare an Annual Progress Report on </w:t>
      </w:r>
      <w:r w:rsidR="00BA5695" w:rsidRPr="00057144">
        <w:rPr>
          <w:rFonts w:ascii="Times New Roman" w:eastAsia="Calibri" w:hAnsi="Times New Roman"/>
          <w:lang w:val="en-GB"/>
        </w:rPr>
        <w:t xml:space="preserve">Simplification, Implementation and </w:t>
      </w:r>
      <w:r w:rsidRPr="00057144">
        <w:rPr>
          <w:rFonts w:ascii="Times New Roman" w:eastAsia="Calibri" w:hAnsi="Times New Roman"/>
          <w:lang w:val="en-GB"/>
        </w:rPr>
        <w:t xml:space="preserve">Enforcement. </w:t>
      </w:r>
    </w:p>
    <w:p w14:paraId="01244D01" w14:textId="77777777" w:rsidR="00D541E0" w:rsidRPr="0058167E" w:rsidRDefault="00D541E0" w:rsidP="5B5D3A52">
      <w:pPr>
        <w:widowControl w:val="0"/>
        <w:spacing w:after="120" w:line="259" w:lineRule="auto"/>
        <w:rPr>
          <w:rFonts w:ascii="Times New Roman" w:hAnsi="Times New Roman"/>
        </w:rPr>
      </w:pPr>
      <w:r w:rsidRPr="5B5D3A52">
        <w:rPr>
          <w:rFonts w:ascii="Times New Roman" w:eastAsia="Calibri" w:hAnsi="Times New Roman"/>
        </w:rPr>
        <w:t>The Commission agrees with the need for timely and effective implementation of CJEU and ECtHR judgments and with the observation that the non-implementation of court judgments violates the rule of law and undermines citizens’ trust (paragraphs 13, 15). The implementation of ECtHR judgments has been added to the original topics covered by the first report, also following calls of the European Parliament. Instances of structural non-implementation of judgments are reported on as well. Furthermore, the Commission adopts annual reports monitoring the application of EU law</w:t>
      </w:r>
      <w:r w:rsidRPr="5B5D3A52">
        <w:rPr>
          <w:rFonts w:ascii="Times New Roman" w:eastAsia="Calibri" w:hAnsi="Times New Roman"/>
          <w:vertAlign w:val="superscript"/>
        </w:rPr>
        <w:footnoteReference w:id="15"/>
      </w:r>
      <w:r w:rsidRPr="5B5D3A52">
        <w:rPr>
          <w:rFonts w:ascii="Times New Roman" w:eastAsia="Calibri" w:hAnsi="Times New Roman"/>
        </w:rPr>
        <w:t xml:space="preserve">.  </w:t>
      </w:r>
    </w:p>
    <w:p w14:paraId="68AAD7A2" w14:textId="6B018139" w:rsidR="00D541E0" w:rsidRPr="00057144" w:rsidRDefault="7CFABCC9" w:rsidP="00D541E0">
      <w:pPr>
        <w:widowControl w:val="0"/>
        <w:spacing w:after="120" w:line="259" w:lineRule="auto"/>
        <w:rPr>
          <w:rFonts w:ascii="Times New Roman" w:hAnsi="Times New Roman"/>
          <w:lang w:val="en-GB"/>
        </w:rPr>
      </w:pPr>
      <w:bookmarkStart w:id="5" w:name="_Hlk132972021"/>
      <w:bookmarkEnd w:id="5"/>
      <w:r w:rsidRPr="00057144">
        <w:rPr>
          <w:rFonts w:ascii="Times New Roman" w:hAnsi="Times New Roman"/>
          <w:lang w:val="en-GB"/>
        </w:rPr>
        <w:t xml:space="preserve">The </w:t>
      </w:r>
      <w:r w:rsidR="22B05379" w:rsidRPr="00057144">
        <w:rPr>
          <w:rFonts w:ascii="Times New Roman" w:hAnsi="Times New Roman"/>
          <w:lang w:val="en-GB"/>
        </w:rPr>
        <w:t xml:space="preserve">Commission welcomes the </w:t>
      </w:r>
      <w:r w:rsidR="5F165B29" w:rsidRPr="00057144">
        <w:rPr>
          <w:rFonts w:ascii="Times New Roman" w:hAnsi="Times New Roman"/>
          <w:lang w:val="en-GB"/>
        </w:rPr>
        <w:t xml:space="preserve">European </w:t>
      </w:r>
      <w:r w:rsidR="6ECFD21C" w:rsidRPr="00057144">
        <w:rPr>
          <w:rFonts w:ascii="Times New Roman" w:hAnsi="Times New Roman"/>
          <w:lang w:val="en-GB"/>
        </w:rPr>
        <w:t>P</w:t>
      </w:r>
      <w:r w:rsidR="5F165B29" w:rsidRPr="00057144">
        <w:rPr>
          <w:rFonts w:ascii="Times New Roman" w:hAnsi="Times New Roman"/>
          <w:lang w:val="en-GB"/>
        </w:rPr>
        <w:t xml:space="preserve">arliament’s support for </w:t>
      </w:r>
      <w:r w:rsidR="7107A733" w:rsidRPr="00057144">
        <w:rPr>
          <w:rFonts w:ascii="Times New Roman" w:hAnsi="Times New Roman"/>
          <w:lang w:val="en-GB"/>
        </w:rPr>
        <w:t>a comprehensive toolbox</w:t>
      </w:r>
      <w:r w:rsidR="64EF3BC7" w:rsidRPr="00057144">
        <w:rPr>
          <w:rFonts w:ascii="Times New Roman" w:hAnsi="Times New Roman"/>
          <w:lang w:val="en-GB"/>
        </w:rPr>
        <w:t xml:space="preserve"> </w:t>
      </w:r>
      <w:r w:rsidR="64EF3BC7" w:rsidRPr="00057144">
        <w:rPr>
          <w:rFonts w:ascii="Times New Roman" w:hAnsi="Times New Roman"/>
          <w:lang w:val="en-GB"/>
        </w:rPr>
        <w:lastRenderedPageBreak/>
        <w:t>(paragraph 77)</w:t>
      </w:r>
      <w:r w:rsidR="343E7D01" w:rsidRPr="00057144">
        <w:rPr>
          <w:rFonts w:ascii="Times New Roman" w:hAnsi="Times New Roman"/>
          <w:lang w:val="en-GB"/>
        </w:rPr>
        <w:t>, including a stri</w:t>
      </w:r>
      <w:r w:rsidR="00CC2775" w:rsidRPr="00057144">
        <w:rPr>
          <w:rFonts w:ascii="Times New Roman" w:hAnsi="Times New Roman"/>
          <w:lang w:val="en-GB"/>
        </w:rPr>
        <w:t>ct</w:t>
      </w:r>
      <w:r w:rsidR="343E7D01" w:rsidRPr="00057144">
        <w:rPr>
          <w:rFonts w:ascii="Times New Roman" w:hAnsi="Times New Roman"/>
          <w:lang w:val="en-GB"/>
        </w:rPr>
        <w:t xml:space="preserve"> application of the </w:t>
      </w:r>
      <w:r w:rsidRPr="00057144">
        <w:rPr>
          <w:rFonts w:ascii="Times New Roman" w:hAnsi="Times New Roman"/>
          <w:lang w:val="en-GB"/>
        </w:rPr>
        <w:t>Conditionality Regulation</w:t>
      </w:r>
      <w:r w:rsidR="3FED8B67" w:rsidRPr="00057144">
        <w:rPr>
          <w:rFonts w:ascii="Times New Roman" w:hAnsi="Times New Roman"/>
          <w:lang w:val="en-GB"/>
        </w:rPr>
        <w:t xml:space="preserve"> for which the Rule of Law Report is a key source of information</w:t>
      </w:r>
      <w:r w:rsidR="343E7D01" w:rsidRPr="00057144">
        <w:rPr>
          <w:rFonts w:ascii="Times New Roman" w:hAnsi="Times New Roman"/>
          <w:lang w:val="en-GB"/>
        </w:rPr>
        <w:t xml:space="preserve">. As </w:t>
      </w:r>
      <w:r w:rsidR="6D0D0616" w:rsidRPr="00057144">
        <w:rPr>
          <w:rFonts w:ascii="Times New Roman" w:hAnsi="Times New Roman"/>
          <w:lang w:val="en-GB"/>
        </w:rPr>
        <w:t xml:space="preserve">underlined by the Commission in its Communication on the 2028-2034 MFF, </w:t>
      </w:r>
      <w:r w:rsidR="090CAF4B" w:rsidRPr="00057144">
        <w:rPr>
          <w:rFonts w:ascii="Times New Roman" w:hAnsi="Times New Roman"/>
          <w:lang w:val="en-GB"/>
        </w:rPr>
        <w:t>the Regulation</w:t>
      </w:r>
      <w:r w:rsidR="00E6110C" w:rsidRPr="00057144">
        <w:rPr>
          <w:rFonts w:ascii="Times New Roman" w:hAnsi="Times New Roman"/>
          <w:lang w:val="en-GB"/>
        </w:rPr>
        <w:t xml:space="preserve"> </w:t>
      </w:r>
      <w:r w:rsidRPr="00057144">
        <w:rPr>
          <w:rFonts w:ascii="Times New Roman" w:hAnsi="Times New Roman"/>
          <w:lang w:val="en-GB"/>
        </w:rPr>
        <w:t>is</w:t>
      </w:r>
      <w:r w:rsidR="6D0D0616" w:rsidRPr="00057144">
        <w:rPr>
          <w:rFonts w:ascii="Times New Roman" w:hAnsi="Times New Roman"/>
          <w:lang w:val="en-GB"/>
        </w:rPr>
        <w:t xml:space="preserve"> not time bound and will continue to protect the EU budget </w:t>
      </w:r>
      <w:r w:rsidRPr="00057144">
        <w:rPr>
          <w:rFonts w:ascii="Times New Roman" w:hAnsi="Times New Roman"/>
          <w:lang w:val="en-GB"/>
        </w:rPr>
        <w:t xml:space="preserve">from </w:t>
      </w:r>
      <w:r w:rsidR="6D0D0616" w:rsidRPr="00057144">
        <w:rPr>
          <w:rFonts w:ascii="Times New Roman" w:hAnsi="Times New Roman"/>
          <w:lang w:val="en-GB"/>
        </w:rPr>
        <w:t>breaches of the principles of the rule of law</w:t>
      </w:r>
      <w:r w:rsidR="6C1C434C" w:rsidRPr="00057144">
        <w:rPr>
          <w:rFonts w:ascii="Times New Roman" w:hAnsi="Times New Roman"/>
          <w:lang w:val="en-GB"/>
        </w:rPr>
        <w:t>, as a last</w:t>
      </w:r>
      <w:r w:rsidR="6D0D0616" w:rsidRPr="00057144">
        <w:rPr>
          <w:rFonts w:ascii="Times New Roman" w:hAnsi="Times New Roman"/>
          <w:lang w:val="en-GB"/>
        </w:rPr>
        <w:t xml:space="preserve"> line of defence, applying to all EU programmes</w:t>
      </w:r>
      <w:r w:rsidR="00AF1777" w:rsidRPr="00057144">
        <w:rPr>
          <w:rFonts w:ascii="Times New Roman" w:hAnsi="Times New Roman"/>
          <w:lang w:val="en-GB"/>
        </w:rPr>
        <w:t xml:space="preserve">. </w:t>
      </w:r>
      <w:r w:rsidR="00D541E0" w:rsidRPr="00057144">
        <w:rPr>
          <w:rFonts w:ascii="Times New Roman" w:hAnsi="Times New Roman"/>
          <w:lang w:val="en-GB"/>
        </w:rPr>
        <w:t xml:space="preserve">The Commission </w:t>
      </w:r>
      <w:r w:rsidR="00697579" w:rsidRPr="00057144">
        <w:rPr>
          <w:rFonts w:ascii="Times New Roman" w:hAnsi="Times New Roman"/>
          <w:lang w:val="en-GB"/>
        </w:rPr>
        <w:t xml:space="preserve">constantly monitors the situation in all Member States and </w:t>
      </w:r>
      <w:r w:rsidR="00D541E0" w:rsidRPr="00057144">
        <w:rPr>
          <w:rFonts w:ascii="Times New Roman" w:hAnsi="Times New Roman"/>
          <w:lang w:val="en-GB"/>
        </w:rPr>
        <w:t xml:space="preserve">does not hesitate to </w:t>
      </w:r>
      <w:r w:rsidR="00697579" w:rsidRPr="00057144">
        <w:rPr>
          <w:rFonts w:ascii="Times New Roman" w:hAnsi="Times New Roman"/>
          <w:lang w:val="en-GB"/>
        </w:rPr>
        <w:t xml:space="preserve">take the necessary steps under </w:t>
      </w:r>
      <w:r w:rsidR="00D541E0" w:rsidRPr="00057144">
        <w:rPr>
          <w:rFonts w:ascii="Times New Roman" w:hAnsi="Times New Roman"/>
          <w:lang w:val="en-GB"/>
        </w:rPr>
        <w:t xml:space="preserve">the Conditionality Regulation </w:t>
      </w:r>
      <w:r w:rsidR="00E278F2" w:rsidRPr="00057144">
        <w:rPr>
          <w:rFonts w:ascii="Times New Roman" w:hAnsi="Times New Roman"/>
          <w:lang w:val="en-GB"/>
        </w:rPr>
        <w:t xml:space="preserve">when </w:t>
      </w:r>
      <w:r w:rsidR="00D541E0" w:rsidRPr="00057144">
        <w:rPr>
          <w:rFonts w:ascii="Times New Roman" w:hAnsi="Times New Roman"/>
          <w:lang w:val="en-GB"/>
        </w:rPr>
        <w:t xml:space="preserve">its conditions are met. Measures adopted under the Regulation can be adapted or lifted, if the Member State concerned addresses, in part or fully, the situation that had led to their adoption. </w:t>
      </w:r>
    </w:p>
    <w:p w14:paraId="21E16179" w14:textId="57C7EA9E" w:rsidR="00F83289" w:rsidRPr="00057144" w:rsidRDefault="00D541E0" w:rsidP="00D541E0">
      <w:pPr>
        <w:widowControl w:val="0"/>
        <w:spacing w:after="120" w:line="259" w:lineRule="auto"/>
        <w:rPr>
          <w:rFonts w:ascii="Times New Roman" w:hAnsi="Times New Roman"/>
          <w:lang w:val="en-GB"/>
        </w:rPr>
      </w:pPr>
      <w:r w:rsidRPr="00057144">
        <w:rPr>
          <w:rFonts w:ascii="Times New Roman" w:hAnsi="Times New Roman"/>
          <w:lang w:val="en-GB"/>
        </w:rPr>
        <w:t xml:space="preserve">As regards the link with the future MFF (paragraph 78) and call for “smart conditionality” (paragraph 79), the Commission is supportive of finding solutions to protect final recipients. The Conditionality Regulation already provides </w:t>
      </w:r>
      <w:r w:rsidR="00E278F2" w:rsidRPr="00057144">
        <w:rPr>
          <w:rFonts w:ascii="Times New Roman" w:hAnsi="Times New Roman"/>
          <w:lang w:val="en-GB"/>
        </w:rPr>
        <w:t xml:space="preserve">for </w:t>
      </w:r>
      <w:r w:rsidRPr="00057144">
        <w:rPr>
          <w:rFonts w:ascii="Times New Roman" w:hAnsi="Times New Roman"/>
          <w:lang w:val="en-GB"/>
        </w:rPr>
        <w:t xml:space="preserve">clear obligations for Member States in that regard to </w:t>
      </w:r>
      <w:r w:rsidR="00E278F2" w:rsidRPr="00057144">
        <w:rPr>
          <w:rFonts w:ascii="Times New Roman" w:hAnsi="Times New Roman"/>
          <w:lang w:val="en-GB"/>
        </w:rPr>
        <w:t xml:space="preserve">honour </w:t>
      </w:r>
      <w:r w:rsidRPr="00057144">
        <w:rPr>
          <w:rFonts w:ascii="Times New Roman" w:hAnsi="Times New Roman"/>
          <w:lang w:val="en-GB"/>
        </w:rPr>
        <w:t>the obligations they have towards final recipients or beneficiaries and</w:t>
      </w:r>
      <w:r w:rsidR="00E278F2" w:rsidRPr="00057144">
        <w:rPr>
          <w:rFonts w:ascii="Times New Roman" w:hAnsi="Times New Roman"/>
          <w:lang w:val="en-GB"/>
        </w:rPr>
        <w:t>, when implementing EU funds under shared management,</w:t>
      </w:r>
      <w:r w:rsidRPr="00057144">
        <w:rPr>
          <w:rFonts w:ascii="Times New Roman" w:hAnsi="Times New Roman"/>
          <w:lang w:val="en-GB"/>
        </w:rPr>
        <w:t xml:space="preserve"> to report to the Commission on their compliance with those obligations. Article 5(2) of the Conditionality Regulation reflects the best solution with respect to protecting final recipients and beneficiaries that could be identified as legally possible by the co-legislators in 2020. </w:t>
      </w:r>
      <w:r w:rsidR="00E278F2" w:rsidRPr="00057144">
        <w:rPr>
          <w:rFonts w:ascii="Times New Roman" w:hAnsi="Times New Roman"/>
          <w:lang w:val="en-GB"/>
        </w:rPr>
        <w:t xml:space="preserve">The Commission constantly monitors the impact of budgetary protective measures, including whether the Member State concerned, in spite of the budgetary protective measures, is implementing the programme or fund affected by the measure, and in particular is respecting </w:t>
      </w:r>
      <w:r w:rsidR="00C86E81" w:rsidRPr="00057144">
        <w:rPr>
          <w:rFonts w:ascii="Times New Roman" w:hAnsi="Times New Roman"/>
          <w:lang w:val="en-GB"/>
        </w:rPr>
        <w:t>its obligations</w:t>
      </w:r>
      <w:r w:rsidRPr="00057144">
        <w:rPr>
          <w:rFonts w:ascii="Times New Roman" w:hAnsi="Times New Roman"/>
          <w:lang w:val="en-GB"/>
        </w:rPr>
        <w:t xml:space="preserve"> toward beneficiaries and final recipients. </w:t>
      </w:r>
    </w:p>
    <w:p w14:paraId="7D1F4B80" w14:textId="58836921" w:rsidR="00D541E0" w:rsidRPr="00057144" w:rsidRDefault="00D541E0" w:rsidP="00D541E0">
      <w:pPr>
        <w:widowControl w:val="0"/>
        <w:spacing w:after="120" w:line="259" w:lineRule="auto"/>
        <w:rPr>
          <w:rFonts w:ascii="Times New Roman" w:hAnsi="Times New Roman"/>
          <w:szCs w:val="24"/>
          <w:lang w:val="en-GB"/>
        </w:rPr>
      </w:pPr>
      <w:r w:rsidRPr="00057144">
        <w:rPr>
          <w:rFonts w:ascii="Times New Roman" w:hAnsi="Times New Roman"/>
          <w:lang w:val="en-GB"/>
        </w:rPr>
        <w:t xml:space="preserve">As part of the post-2027 Multiannual Financial Framework proposals put forward on 16 July 2025, the European Fund for economic, social and territorial cohesion, agriculture and rural, fisheries and maritime, prosperity and security includes strong safeguards for the protection of recipients and beneficiaries. The new rules will require the Member States to have appropriate arrangements in place to ensure compliance with their obligations to continue payments to beneficiaries, recipients, final recipients, contractors and participants in the event of interruption of payment deadlines or suspension of Union funding, financial corrections or other measures to ensure the protection of the Union’s financial interests. This includes any measures adopted under the Conditionality Regulation. Member States will be requested to provide guarantees in that respect when submitting their </w:t>
      </w:r>
      <w:r w:rsidR="00BF544F" w:rsidRPr="00057144">
        <w:rPr>
          <w:rFonts w:ascii="Times New Roman" w:hAnsi="Times New Roman"/>
          <w:lang w:val="en-GB"/>
        </w:rPr>
        <w:t xml:space="preserve">national and regional partnership </w:t>
      </w:r>
      <w:r w:rsidRPr="00057144">
        <w:rPr>
          <w:rFonts w:ascii="Times New Roman" w:hAnsi="Times New Roman"/>
          <w:lang w:val="en-GB"/>
        </w:rPr>
        <w:t xml:space="preserve">plans. Amounts lost </w:t>
      </w:r>
      <w:r w:rsidR="00AF1777" w:rsidRPr="00057144">
        <w:rPr>
          <w:rFonts w:ascii="Times New Roman" w:hAnsi="Times New Roman"/>
          <w:lang w:val="en-GB"/>
        </w:rPr>
        <w:t>because of</w:t>
      </w:r>
      <w:r w:rsidRPr="00057144">
        <w:rPr>
          <w:rFonts w:ascii="Times New Roman" w:hAnsi="Times New Roman"/>
          <w:lang w:val="en-GB"/>
        </w:rPr>
        <w:t xml:space="preserve"> unresolved breaches in a given Member State may be reallocated to other Union instruments or programmes implemented under direct or indirect management, in particular those contributing to supporting Europe’s democracy, civil society, Union values or the fight against corrupt</w:t>
      </w:r>
      <w:r w:rsidRPr="00057144">
        <w:rPr>
          <w:rFonts w:ascii="Times New Roman" w:hAnsi="Times New Roman"/>
          <w:szCs w:val="24"/>
          <w:lang w:val="en-GB"/>
        </w:rPr>
        <w:t>ion, subject to the agreement of the budgetary authority.</w:t>
      </w:r>
    </w:p>
    <w:p w14:paraId="1AE6E4DD" w14:textId="77B9CC2F" w:rsidR="007F751E" w:rsidRPr="00057144" w:rsidRDefault="00D541E0" w:rsidP="00EC6A03">
      <w:pPr>
        <w:widowControl w:val="0"/>
        <w:spacing w:after="120" w:line="259" w:lineRule="auto"/>
        <w:rPr>
          <w:rFonts w:ascii="Times New Roman" w:eastAsia="Calibri" w:hAnsi="Times New Roman"/>
          <w:lang w:val="en-GB"/>
        </w:rPr>
      </w:pPr>
      <w:r w:rsidRPr="00057144">
        <w:rPr>
          <w:rFonts w:ascii="Times New Roman" w:eastAsia="Calibri" w:hAnsi="Times New Roman"/>
          <w:lang w:val="en-GB"/>
        </w:rPr>
        <w:t xml:space="preserve">The Commission continues to share several concerns expressed by the European Parliament in its reasoned proposal of 12 September 2018 triggering the Article 7(1) TEU procedure for Hungary. The Commission </w:t>
      </w:r>
      <w:r w:rsidR="00B36121" w:rsidRPr="00057144">
        <w:rPr>
          <w:rFonts w:ascii="Times New Roman" w:eastAsia="Calibri" w:hAnsi="Times New Roman"/>
          <w:lang w:val="en-GB"/>
        </w:rPr>
        <w:t>remains available</w:t>
      </w:r>
      <w:r w:rsidRPr="00057144">
        <w:rPr>
          <w:rFonts w:ascii="Times New Roman" w:eastAsia="Calibri" w:hAnsi="Times New Roman"/>
          <w:lang w:val="en-GB"/>
        </w:rPr>
        <w:t xml:space="preserve"> to participate in hearings and state of play points in the Council and </w:t>
      </w:r>
      <w:r w:rsidR="00292EFC" w:rsidRPr="00057144">
        <w:rPr>
          <w:rFonts w:ascii="Times New Roman" w:eastAsia="Calibri" w:hAnsi="Times New Roman"/>
          <w:lang w:val="en-GB"/>
        </w:rPr>
        <w:t>provide updates as relevant. It remains</w:t>
      </w:r>
      <w:r w:rsidRPr="00057144">
        <w:rPr>
          <w:rFonts w:ascii="Times New Roman" w:eastAsia="Calibri" w:hAnsi="Times New Roman"/>
          <w:lang w:val="en-GB"/>
        </w:rPr>
        <w:t xml:space="preserve"> of the view that the procedure should be maintained as long as the issues that triggered it are not solved. It is for the Council to decide on next steps in the Article 7(1) TEU procedure, acting by a majority of four fifths of its members and after the consent of the European Parliament. A determination under Article 7(2) TEU that a serious and persistent breach exists would require unanimity in the European Council and the consent of the European Parliament. </w:t>
      </w:r>
    </w:p>
    <w:sectPr w:rsidR="007F751E" w:rsidRPr="00057144" w:rsidSect="00812321">
      <w:headerReference w:type="even" r:id="rId11"/>
      <w:headerReference w:type="default" r:id="rId12"/>
      <w:footerReference w:type="even" r:id="rId13"/>
      <w:footerReference w:type="default" r:id="rId14"/>
      <w:headerReference w:type="first" r:id="rId15"/>
      <w:footerReference w:type="first" r:id="rId16"/>
      <w:footnotePr>
        <w:pos w:val="beneathText"/>
        <w:numRestart w:val="eachSect"/>
      </w:footnotePr>
      <w:type w:val="continuous"/>
      <w:pgSz w:w="11906" w:h="16838" w:code="9"/>
      <w:pgMar w:top="1021" w:right="1416"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2D92B" w14:textId="77777777" w:rsidR="003F225B" w:rsidRDefault="003F225B">
      <w:r>
        <w:separator/>
      </w:r>
    </w:p>
  </w:endnote>
  <w:endnote w:type="continuationSeparator" w:id="0">
    <w:p w14:paraId="380D680A" w14:textId="77777777" w:rsidR="003F225B" w:rsidRDefault="003F225B">
      <w:r>
        <w:continuationSeparator/>
      </w:r>
    </w:p>
  </w:endnote>
  <w:endnote w:type="continuationNotice" w:id="1">
    <w:p w14:paraId="121BE226" w14:textId="77777777" w:rsidR="003F225B" w:rsidRDefault="003F225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2F22"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14:paraId="1CE8F934" w14:textId="77777777" w:rsidR="00471068" w:rsidRDefault="00471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9ED6"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1C4F">
      <w:rPr>
        <w:rStyle w:val="PageNumber"/>
        <w:noProof/>
      </w:rPr>
      <w:t>3</w:t>
    </w:r>
    <w:r>
      <w:rPr>
        <w:rStyle w:val="PageNumber"/>
      </w:rPr>
      <w:fldChar w:fldCharType="end"/>
    </w:r>
  </w:p>
  <w:p w14:paraId="76797D1D" w14:textId="77777777" w:rsidR="00471068" w:rsidRPr="008A6623" w:rsidRDefault="00471068" w:rsidP="008A6623">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EE69" w14:textId="77777777" w:rsidR="006B0483" w:rsidRDefault="006B0483" w:rsidP="006B0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33CD">
      <w:rPr>
        <w:rStyle w:val="PageNumber"/>
        <w:noProof/>
      </w:rPr>
      <w:t>1</w:t>
    </w:r>
    <w:r>
      <w:rPr>
        <w:rStyle w:val="PageNumber"/>
      </w:rPr>
      <w:fldChar w:fldCharType="end"/>
    </w:r>
  </w:p>
  <w:p w14:paraId="244C2131" w14:textId="77777777" w:rsidR="00471068" w:rsidRDefault="00471068" w:rsidP="00442B2E">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5E115" w14:textId="77777777" w:rsidR="003F225B" w:rsidRDefault="003F225B">
      <w:r>
        <w:separator/>
      </w:r>
    </w:p>
  </w:footnote>
  <w:footnote w:type="continuationSeparator" w:id="0">
    <w:p w14:paraId="07E049F4" w14:textId="77777777" w:rsidR="003F225B" w:rsidRDefault="003F225B">
      <w:r>
        <w:continuationSeparator/>
      </w:r>
    </w:p>
  </w:footnote>
  <w:footnote w:type="continuationNotice" w:id="1">
    <w:p w14:paraId="072A3FCA" w14:textId="77777777" w:rsidR="003F225B" w:rsidRDefault="003F225B">
      <w:pPr>
        <w:spacing w:after="0"/>
      </w:pPr>
    </w:p>
  </w:footnote>
  <w:footnote w:id="2">
    <w:p w14:paraId="063C2B25" w14:textId="77777777" w:rsidR="00D541E0" w:rsidRPr="00454882" w:rsidRDefault="00D541E0" w:rsidP="00D541E0">
      <w:pPr>
        <w:pStyle w:val="FootnoteText"/>
        <w:spacing w:after="0"/>
        <w:rPr>
          <w:rFonts w:ascii="Times New Roman" w:hAnsi="Times New Roman"/>
          <w:highlight w:val="yellow"/>
        </w:rPr>
      </w:pPr>
      <w:r w:rsidRPr="00454882">
        <w:rPr>
          <w:rStyle w:val="FootnoteReference"/>
          <w:rFonts w:ascii="Times New Roman" w:hAnsi="Times New Roman"/>
        </w:rPr>
        <w:footnoteRef/>
      </w:r>
      <w:r w:rsidRPr="00454882">
        <w:rPr>
          <w:rFonts w:ascii="Times New Roman" w:hAnsi="Times New Roman"/>
        </w:rPr>
        <w:t xml:space="preserve"> </w:t>
      </w:r>
      <w:r w:rsidRPr="00454882">
        <w:rPr>
          <w:rFonts w:ascii="Times New Roman" w:hAnsi="Times New Roman"/>
        </w:rPr>
        <w:tab/>
        <w:t>2025 Rule of Law Report, The rule of law situation in the European Union, COM(2025)900 of 08.07.2025.</w:t>
      </w:r>
    </w:p>
  </w:footnote>
  <w:footnote w:id="3">
    <w:p w14:paraId="4D4FD1DA" w14:textId="2D64D6FA" w:rsidR="00D541E0" w:rsidRPr="00454882" w:rsidRDefault="00D541E0" w:rsidP="00D541E0">
      <w:pPr>
        <w:pStyle w:val="FootnoteText"/>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Pr="00454882">
        <w:rPr>
          <w:rFonts w:ascii="Times New Roman" w:hAnsi="Times New Roman"/>
        </w:rPr>
        <w:tab/>
        <w:t>Commission Communication on A dynamic EU budget for the priorities of the future – The Multiannual Financial Framework 2028-2034, COM(2025) 570 final/2</w:t>
      </w:r>
      <w:r w:rsidRPr="00454882" w:rsidDel="00135C3B">
        <w:rPr>
          <w:rFonts w:ascii="Times New Roman" w:hAnsi="Times New Roman"/>
        </w:rPr>
        <w:t xml:space="preserve"> </w:t>
      </w:r>
      <w:r w:rsidRPr="00454882">
        <w:rPr>
          <w:rFonts w:ascii="Times New Roman" w:hAnsi="Times New Roman"/>
        </w:rPr>
        <w:t>of 16.07.2025.</w:t>
      </w:r>
      <w:r w:rsidR="00E14A23" w:rsidRPr="00454882">
        <w:rPr>
          <w:rFonts w:ascii="Times New Roman" w:hAnsi="Times New Roman"/>
        </w:rPr>
        <w:t xml:space="preserve"> P</w:t>
      </w:r>
      <w:r w:rsidR="00D3307A" w:rsidRPr="00454882">
        <w:rPr>
          <w:rFonts w:ascii="Times New Roman" w:hAnsi="Times New Roman"/>
        </w:rPr>
        <w:t>roposal for a C</w:t>
      </w:r>
      <w:r w:rsidR="005925F2" w:rsidRPr="00454882">
        <w:rPr>
          <w:rFonts w:ascii="Times New Roman" w:hAnsi="Times New Roman"/>
        </w:rPr>
        <w:t>ouncil</w:t>
      </w:r>
      <w:r w:rsidR="00D3307A" w:rsidRPr="00454882">
        <w:rPr>
          <w:rFonts w:ascii="Times New Roman" w:hAnsi="Times New Roman"/>
        </w:rPr>
        <w:t xml:space="preserve"> R</w:t>
      </w:r>
      <w:r w:rsidR="005925F2" w:rsidRPr="00454882">
        <w:rPr>
          <w:rFonts w:ascii="Times New Roman" w:hAnsi="Times New Roman"/>
        </w:rPr>
        <w:t>egulation</w:t>
      </w:r>
      <w:r w:rsidR="00D3307A" w:rsidRPr="00454882">
        <w:rPr>
          <w:rFonts w:ascii="Times New Roman" w:hAnsi="Times New Roman"/>
        </w:rPr>
        <w:t xml:space="preserve"> laying down the multiannual financial framework for the years 2028 to 2034</w:t>
      </w:r>
      <w:r w:rsidR="00D23A7E" w:rsidRPr="00454882">
        <w:rPr>
          <w:rFonts w:ascii="Times New Roman" w:hAnsi="Times New Roman"/>
        </w:rPr>
        <w:t>,</w:t>
      </w:r>
      <w:r w:rsidR="00635423" w:rsidRPr="00454882">
        <w:rPr>
          <w:rFonts w:ascii="Times New Roman" w:hAnsi="Times New Roman"/>
        </w:rPr>
        <w:t xml:space="preserve"> </w:t>
      </w:r>
      <w:r w:rsidR="00D23A7E" w:rsidRPr="00454882">
        <w:rPr>
          <w:rFonts w:ascii="Times New Roman" w:hAnsi="Times New Roman"/>
        </w:rPr>
        <w:t xml:space="preserve">COM(2025) 571 final. </w:t>
      </w:r>
    </w:p>
  </w:footnote>
  <w:footnote w:id="4">
    <w:p w14:paraId="6F96F9E2" w14:textId="4A821747" w:rsidR="004D14CC" w:rsidRPr="00454882" w:rsidRDefault="004D14CC" w:rsidP="00AF1777">
      <w:pPr>
        <w:pStyle w:val="FootnoteText"/>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00FD56F4" w:rsidRPr="00454882">
        <w:rPr>
          <w:rFonts w:ascii="Times New Roman" w:hAnsi="Times New Roman"/>
        </w:rPr>
        <w:tab/>
      </w:r>
      <w:r w:rsidRPr="00454882">
        <w:rPr>
          <w:rFonts w:ascii="Times New Roman" w:hAnsi="Times New Roman"/>
        </w:rPr>
        <w:t>Regulation (EU, Euratom) 2020/2092 of the European Parliament and of the Council of 16 December 2020 on a general regime of conditionality for the protection of the Union budget.</w:t>
      </w:r>
    </w:p>
  </w:footnote>
  <w:footnote w:id="5">
    <w:p w14:paraId="2D1426DB" w14:textId="2076AFC5" w:rsidR="00D579EC" w:rsidRPr="00454882" w:rsidRDefault="00D579EC">
      <w:pPr>
        <w:pStyle w:val="FootnoteText"/>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00360FBA" w:rsidRPr="00454882">
        <w:rPr>
          <w:rFonts w:ascii="Times New Roman" w:hAnsi="Times New Roman"/>
        </w:rPr>
        <w:tab/>
        <w:t>For instance Regulation (EU) 2024/900 of the European Parliament and of the Council on the transparency and targeting of political advertising.</w:t>
      </w:r>
    </w:p>
  </w:footnote>
  <w:footnote w:id="6">
    <w:p w14:paraId="52B02577" w14:textId="0AD720AB" w:rsidR="00360FBA" w:rsidRPr="00454882" w:rsidRDefault="00360FBA">
      <w:pPr>
        <w:pStyle w:val="FootnoteText"/>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00C6607A" w:rsidRPr="00454882">
        <w:rPr>
          <w:rFonts w:ascii="Times New Roman" w:hAnsi="Times New Roman"/>
        </w:rPr>
        <w:tab/>
      </w:r>
      <w:r w:rsidR="00C15766" w:rsidRPr="00454882">
        <w:rPr>
          <w:rFonts w:ascii="Times New Roman" w:hAnsi="Times New Roman"/>
        </w:rPr>
        <w:t xml:space="preserve">Report on the 2024 elections to the European Parliament, </w:t>
      </w:r>
      <w:r w:rsidR="002C321B" w:rsidRPr="00454882">
        <w:rPr>
          <w:rFonts w:ascii="Times New Roman" w:hAnsi="Times New Roman"/>
        </w:rPr>
        <w:t>COM(2025) 287 final</w:t>
      </w:r>
      <w:r w:rsidR="00C15766" w:rsidRPr="00454882">
        <w:rPr>
          <w:rFonts w:ascii="Times New Roman" w:hAnsi="Times New Roman"/>
        </w:rPr>
        <w:t xml:space="preserve"> of 06.06.2025</w:t>
      </w:r>
    </w:p>
  </w:footnote>
  <w:footnote w:id="7">
    <w:p w14:paraId="0A3286DE" w14:textId="77777777" w:rsidR="00D541E0" w:rsidRPr="00454882" w:rsidRDefault="00D541E0" w:rsidP="00D541E0">
      <w:pPr>
        <w:pStyle w:val="FootnoteText"/>
        <w:spacing w:after="0"/>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Pr="00454882">
        <w:rPr>
          <w:rFonts w:ascii="Times New Roman" w:hAnsi="Times New Roman"/>
        </w:rPr>
        <w:tab/>
        <w:t>Report on the implementation of EU anti-racism action plan 2020-2025 and on national action plans against racism and discrimination, COM(2024) 419 of 24.09.2024.</w:t>
      </w:r>
    </w:p>
  </w:footnote>
  <w:footnote w:id="8">
    <w:p w14:paraId="4F6CB0FD" w14:textId="77777777" w:rsidR="00D541E0" w:rsidRPr="00454882" w:rsidRDefault="00D541E0" w:rsidP="00D541E0">
      <w:pPr>
        <w:pStyle w:val="FootnoteText"/>
        <w:spacing w:after="0"/>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Pr="00454882">
        <w:rPr>
          <w:rFonts w:ascii="Times New Roman" w:hAnsi="Times New Roman"/>
        </w:rPr>
        <w:tab/>
        <w:t>European Commission, Report on the Implementation of the LGBTIQ Equality Strategy 2020-2025, 25.09.2024.</w:t>
      </w:r>
    </w:p>
  </w:footnote>
  <w:footnote w:id="9">
    <w:p w14:paraId="17CEB88C" w14:textId="77777777" w:rsidR="00D541E0" w:rsidRPr="00454882" w:rsidRDefault="00D541E0" w:rsidP="00D541E0">
      <w:pPr>
        <w:pStyle w:val="FootnoteText"/>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Pr="00454882">
        <w:rPr>
          <w:rFonts w:ascii="Times New Roman" w:hAnsi="Times New Roman"/>
        </w:rPr>
        <w:tab/>
        <w:t>COM2(2025) 97 final.</w:t>
      </w:r>
    </w:p>
  </w:footnote>
  <w:footnote w:id="10">
    <w:p w14:paraId="708A9624" w14:textId="77777777" w:rsidR="00D541E0" w:rsidRPr="00454882" w:rsidRDefault="00D541E0" w:rsidP="00D541E0">
      <w:pPr>
        <w:pStyle w:val="FootnoteText"/>
        <w:spacing w:after="0"/>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Pr="00454882">
        <w:rPr>
          <w:rFonts w:ascii="Times New Roman" w:hAnsi="Times New Roman"/>
        </w:rPr>
        <w:tab/>
        <w:t xml:space="preserve">Joint Communication to the European Parliament, the Council and the European Economic and Social </w:t>
      </w:r>
    </w:p>
    <w:p w14:paraId="0FAEE7A1" w14:textId="77777777" w:rsidR="00D541E0" w:rsidRPr="00454882" w:rsidRDefault="00D541E0" w:rsidP="00D541E0">
      <w:pPr>
        <w:pStyle w:val="FootnoteText"/>
        <w:spacing w:after="0"/>
        <w:ind w:firstLine="0"/>
        <w:rPr>
          <w:rFonts w:ascii="Times New Roman" w:hAnsi="Times New Roman"/>
        </w:rPr>
      </w:pPr>
      <w:r w:rsidRPr="00454882">
        <w:rPr>
          <w:rFonts w:ascii="Times New Roman" w:hAnsi="Times New Roman"/>
        </w:rPr>
        <w:t xml:space="preserve">Committee on the fight against corruption, JOIN/2023/12 of 3.5.2023, </w:t>
      </w:r>
      <w:hyperlink r:id="rId1" w:history="1">
        <w:r w:rsidRPr="00454882">
          <w:rPr>
            <w:rStyle w:val="Hyperlink"/>
            <w:rFonts w:ascii="Times New Roman" w:hAnsi="Times New Roman"/>
          </w:rPr>
          <w:t>EUR-Lex - 52023JC0012 - EN - EUR-Lex (europa.eu)</w:t>
        </w:r>
      </w:hyperlink>
    </w:p>
  </w:footnote>
  <w:footnote w:id="11">
    <w:p w14:paraId="3AA005EF" w14:textId="75882D34" w:rsidR="00D541E0" w:rsidRPr="00454882" w:rsidRDefault="00D541E0" w:rsidP="00321C83">
      <w:pPr>
        <w:pStyle w:val="FootnoteText"/>
        <w:spacing w:after="0"/>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Pr="00454882">
        <w:rPr>
          <w:rFonts w:ascii="Times New Roman" w:hAnsi="Times New Roman"/>
        </w:rPr>
        <w:tab/>
        <w:t>Directive (EU) 2019/1937 of the European Parliament and of the Council of 23 October 2019 on the protection of persons who report breaches of Union law.</w:t>
      </w:r>
    </w:p>
  </w:footnote>
  <w:footnote w:id="12">
    <w:p w14:paraId="1C4AF016" w14:textId="7FC71D8D" w:rsidR="00D541E0" w:rsidRPr="00454882" w:rsidRDefault="00D541E0" w:rsidP="00321C83">
      <w:pPr>
        <w:pStyle w:val="FootnoteText"/>
        <w:spacing w:after="0"/>
        <w:rPr>
          <w:rFonts w:ascii="Times New Roman" w:hAnsi="Times New Roman"/>
          <w:lang w:val="fr-BE"/>
        </w:rPr>
      </w:pPr>
      <w:r w:rsidRPr="00454882">
        <w:rPr>
          <w:rStyle w:val="FootnoteReference"/>
          <w:rFonts w:ascii="Times New Roman" w:hAnsi="Times New Roman"/>
        </w:rPr>
        <w:footnoteRef/>
      </w:r>
      <w:r w:rsidRPr="00454882">
        <w:rPr>
          <w:rFonts w:ascii="Times New Roman" w:hAnsi="Times New Roman"/>
        </w:rPr>
        <w:t xml:space="preserve"> </w:t>
      </w:r>
      <w:r w:rsidRPr="00454882">
        <w:rPr>
          <w:rFonts w:ascii="Times New Roman" w:hAnsi="Times New Roman"/>
        </w:rPr>
        <w:tab/>
        <w:t>See, in particular, the Commission’s Report on the implementation and application of Directive (EU) 2019/1937, of 3 July 2024, where the Commission acknowledged that</w:t>
      </w:r>
      <w:r w:rsidR="00321C83" w:rsidRPr="00454882">
        <w:rPr>
          <w:rFonts w:ascii="Times New Roman" w:hAnsi="Times New Roman"/>
        </w:rPr>
        <w:t>,</w:t>
      </w:r>
      <w:r w:rsidRPr="00454882">
        <w:rPr>
          <w:rFonts w:ascii="Times New Roman" w:hAnsi="Times New Roman"/>
        </w:rPr>
        <w:t xml:space="preserve"> while Member States have transposed the Directive’s main provisions, the transposition of the Directive needs to be improved on certain key areas, such as the material scope, the conditions for protection and the measures of protection against retaliation, in particular the exemptions from liability and the penalties. </w:t>
      </w:r>
      <w:r w:rsidRPr="00454882">
        <w:rPr>
          <w:rFonts w:ascii="Times New Roman" w:hAnsi="Times New Roman"/>
          <w:lang w:val="fr-BE"/>
        </w:rPr>
        <w:t xml:space="preserve">Report </w:t>
      </w:r>
      <w:proofErr w:type="spellStart"/>
      <w:r w:rsidRPr="00454882">
        <w:rPr>
          <w:rFonts w:ascii="Times New Roman" w:hAnsi="Times New Roman"/>
          <w:lang w:val="fr-BE"/>
        </w:rPr>
        <w:t>available</w:t>
      </w:r>
      <w:proofErr w:type="spellEnd"/>
      <w:r w:rsidRPr="00454882">
        <w:rPr>
          <w:rFonts w:ascii="Times New Roman" w:hAnsi="Times New Roman"/>
          <w:lang w:val="fr-BE"/>
        </w:rPr>
        <w:t xml:space="preserve"> at:</w:t>
      </w:r>
      <w:r w:rsidR="00640F62">
        <w:rPr>
          <w:rFonts w:ascii="Times New Roman" w:hAnsi="Times New Roman"/>
          <w:lang w:val="fr-BE"/>
        </w:rPr>
        <w:t xml:space="preserve"> </w:t>
      </w:r>
      <w:r w:rsidR="00640F62">
        <w:rPr>
          <w:rFonts w:ascii="Times New Roman" w:hAnsi="Times New Roman"/>
          <w:lang w:val="fr-BE"/>
        </w:rPr>
        <w:br/>
      </w:r>
      <w:hyperlink r:id="rId2" w:history="1">
        <w:r w:rsidR="007C6CE1" w:rsidRPr="00454882">
          <w:rPr>
            <w:rStyle w:val="Hyperlink"/>
            <w:rFonts w:ascii="Times New Roman" w:hAnsi="Times New Roman"/>
            <w:lang w:val="fr-BE"/>
          </w:rPr>
          <w:t>eur-lex.europa.eu/legal-content/EN/TXT/PDF/?uri=CELEX:52024DC0269</w:t>
        </w:r>
      </w:hyperlink>
    </w:p>
  </w:footnote>
  <w:footnote w:id="13">
    <w:p w14:paraId="74930677" w14:textId="25C15D49" w:rsidR="00CB63B4" w:rsidRPr="00454882" w:rsidRDefault="00CB63B4" w:rsidP="00CB63B4">
      <w:pPr>
        <w:pStyle w:val="FootnoteText"/>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00F7481E" w:rsidRPr="00454882">
        <w:rPr>
          <w:rFonts w:ascii="Times New Roman" w:hAnsi="Times New Roman"/>
        </w:rPr>
        <w:tab/>
      </w:r>
      <w:r w:rsidRPr="00454882">
        <w:rPr>
          <w:rFonts w:ascii="Times New Roman" w:hAnsi="Times New Roman"/>
        </w:rPr>
        <w:t xml:space="preserve">In accordance with Article 81(2)(f) </w:t>
      </w:r>
      <w:proofErr w:type="spellStart"/>
      <w:r w:rsidRPr="00454882">
        <w:rPr>
          <w:rFonts w:ascii="Times New Roman" w:hAnsi="Times New Roman"/>
        </w:rPr>
        <w:t>harmonisation</w:t>
      </w:r>
      <w:proofErr w:type="spellEnd"/>
      <w:r w:rsidR="00311C80" w:rsidRPr="00454882">
        <w:rPr>
          <w:rFonts w:ascii="Times New Roman" w:hAnsi="Times New Roman"/>
        </w:rPr>
        <w:t xml:space="preserve"> measures need to concern</w:t>
      </w:r>
      <w:r w:rsidRPr="00454882">
        <w:rPr>
          <w:rFonts w:ascii="Times New Roman" w:hAnsi="Times New Roman"/>
        </w:rPr>
        <w:t>: ‘the elimination of obstacles to the proper functioning of civil proceedings, if necessary by promoting the compatibility of the rules on civil procedure applicable in the Member States.’</w:t>
      </w:r>
    </w:p>
  </w:footnote>
  <w:footnote w:id="14">
    <w:p w14:paraId="01E93E9C" w14:textId="77777777" w:rsidR="00D541E0" w:rsidRPr="00454882" w:rsidRDefault="00D541E0" w:rsidP="00D541E0">
      <w:pPr>
        <w:pStyle w:val="FootnoteText"/>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Regulation (EU) 2024/900 of the European Parliament and of the Council of 13 March 2024 on the transparency and targeting of political advertising, OJ L, 2024/900, 20.3.2024, </w:t>
      </w:r>
      <w:hyperlink r:id="rId3" w:history="1">
        <w:r w:rsidRPr="00454882">
          <w:rPr>
            <w:rStyle w:val="Hyperlink"/>
            <w:rFonts w:ascii="Times New Roman" w:hAnsi="Times New Roman"/>
          </w:rPr>
          <w:t>http://data.europa.eu/eli/reg/2024/900/oj</w:t>
        </w:r>
      </w:hyperlink>
      <w:r w:rsidRPr="00454882">
        <w:rPr>
          <w:rFonts w:ascii="Times New Roman" w:hAnsi="Times New Roman"/>
        </w:rPr>
        <w:t xml:space="preserve">. </w:t>
      </w:r>
    </w:p>
  </w:footnote>
  <w:footnote w:id="15">
    <w:p w14:paraId="6C138624" w14:textId="77777777" w:rsidR="00D541E0" w:rsidRPr="00454882" w:rsidRDefault="00D541E0" w:rsidP="00D541E0">
      <w:pPr>
        <w:pStyle w:val="FootnoteText"/>
        <w:spacing w:after="0"/>
        <w:rPr>
          <w:rFonts w:ascii="Times New Roman" w:hAnsi="Times New Roman"/>
        </w:rPr>
      </w:pPr>
      <w:r w:rsidRPr="00454882">
        <w:rPr>
          <w:rStyle w:val="FootnoteReference"/>
          <w:rFonts w:ascii="Times New Roman" w:hAnsi="Times New Roman"/>
        </w:rPr>
        <w:footnoteRef/>
      </w:r>
      <w:r w:rsidRPr="00454882">
        <w:rPr>
          <w:rFonts w:ascii="Times New Roman" w:hAnsi="Times New Roman"/>
        </w:rPr>
        <w:t xml:space="preserve"> </w:t>
      </w:r>
      <w:r w:rsidRPr="00454882">
        <w:rPr>
          <w:rFonts w:ascii="Times New Roman" w:hAnsi="Times New Roman"/>
        </w:rPr>
        <w:tab/>
        <w:t>See the annual Report on the application of EU law, with the most recent edition published on 25 July</w:t>
      </w:r>
    </w:p>
    <w:p w14:paraId="440DF802" w14:textId="77777777" w:rsidR="00D541E0" w:rsidRPr="00454882" w:rsidRDefault="00D541E0" w:rsidP="00D541E0">
      <w:pPr>
        <w:pStyle w:val="FootnoteText"/>
        <w:rPr>
          <w:rFonts w:ascii="Times New Roman" w:hAnsi="Times New Roman"/>
        </w:rPr>
      </w:pPr>
      <w:r w:rsidRPr="00454882">
        <w:rPr>
          <w:rFonts w:ascii="Times New Roman" w:hAnsi="Times New Roman"/>
        </w:rPr>
        <w:t xml:space="preserve">2024: </w:t>
      </w:r>
      <w:hyperlink r:id="rId4" w:history="1">
        <w:r w:rsidRPr="00454882">
          <w:rPr>
            <w:rStyle w:val="Hyperlink"/>
            <w:rFonts w:ascii="Times New Roman" w:hAnsi="Times New Roman"/>
          </w:rPr>
          <w:t>https://commission.europa.eu/publications/2023-annual-report-monitoring-application-eu-law_en</w:t>
        </w:r>
      </w:hyperlink>
      <w:r w:rsidRPr="00454882">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1658" w14:textId="77777777" w:rsidR="003B1577" w:rsidRDefault="003B15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3123" w14:textId="77777777" w:rsidR="003B1577" w:rsidRDefault="003B15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22B7" w14:textId="77777777" w:rsidR="003B1577" w:rsidRDefault="003B15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15:restartNumberingAfterBreak="0">
    <w:nsid w:val="0AA7686E"/>
    <w:multiLevelType w:val="hybridMultilevel"/>
    <w:tmpl w:val="D1D45CA8"/>
    <w:lvl w:ilvl="0" w:tplc="26A4D58A">
      <w:start w:val="1"/>
      <w:numFmt w:val="decimal"/>
      <w:lvlText w:val="%1."/>
      <w:lvlJc w:val="left"/>
      <w:pPr>
        <w:ind w:left="1065" w:hanging="705"/>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831A51"/>
    <w:multiLevelType w:val="hybridMultilevel"/>
    <w:tmpl w:val="BCAED5BC"/>
    <w:lvl w:ilvl="0" w:tplc="7C765058">
      <w:start w:val="1"/>
      <w:numFmt w:val="decimal"/>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7" w15:restartNumberingAfterBreak="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8" w15:restartNumberingAfterBreak="0">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DA0D4D"/>
    <w:multiLevelType w:val="hybridMultilevel"/>
    <w:tmpl w:val="A71A327C"/>
    <w:lvl w:ilvl="0" w:tplc="47BEBF6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1" w15:restartNumberingAfterBreak="0">
    <w:nsid w:val="1D8653DD"/>
    <w:multiLevelType w:val="hybridMultilevel"/>
    <w:tmpl w:val="3056C994"/>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6" w15:restartNumberingAfterBreak="0">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2D52663"/>
    <w:multiLevelType w:val="hybridMultilevel"/>
    <w:tmpl w:val="49FA7B1C"/>
    <w:lvl w:ilvl="0" w:tplc="585C461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2F607F"/>
    <w:multiLevelType w:val="hybridMultilevel"/>
    <w:tmpl w:val="2EAE1878"/>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596461"/>
    <w:multiLevelType w:val="hybridMultilevel"/>
    <w:tmpl w:val="A2D41890"/>
    <w:lvl w:ilvl="0" w:tplc="94A62EB0">
      <w:start w:val="1"/>
      <w:numFmt w:val="decimal"/>
      <w:lvlText w:val="%1."/>
      <w:lvlJc w:val="left"/>
      <w:pPr>
        <w:ind w:left="1429" w:hanging="360"/>
      </w:pPr>
      <w:rPr>
        <w:b/>
        <w:i w: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0" w15:restartNumberingAfterBreak="0">
    <w:nsid w:val="4B5F428A"/>
    <w:multiLevelType w:val="hybridMultilevel"/>
    <w:tmpl w:val="136C885A"/>
    <w:lvl w:ilvl="0" w:tplc="66B6DB7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FA6298"/>
    <w:multiLevelType w:val="hybridMultilevel"/>
    <w:tmpl w:val="68B8F702"/>
    <w:lvl w:ilvl="0" w:tplc="B8E4B348">
      <w:start w:val="1"/>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5" w15:restartNumberingAfterBreak="0">
    <w:nsid w:val="5EFF257D"/>
    <w:multiLevelType w:val="hybridMultilevel"/>
    <w:tmpl w:val="DD2A3844"/>
    <w:lvl w:ilvl="0" w:tplc="812854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B5A37B8"/>
    <w:multiLevelType w:val="hybridMultilevel"/>
    <w:tmpl w:val="AD1ECD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0" w15:restartNumberingAfterBreak="0">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3" w15:restartNumberingAfterBreak="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4" w15:restartNumberingAfterBreak="0">
    <w:nsid w:val="795D3BA0"/>
    <w:multiLevelType w:val="hybridMultilevel"/>
    <w:tmpl w:val="4F76D5A2"/>
    <w:lvl w:ilvl="0" w:tplc="DE7488B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AAA2612"/>
    <w:multiLevelType w:val="hybridMultilevel"/>
    <w:tmpl w:val="8F2E6EC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7"/>
  </w:num>
  <w:num w:numId="2" w16cid:durableId="148182179">
    <w:abstractNumId w:val="1"/>
  </w:num>
  <w:num w:numId="3" w16cid:durableId="505511010">
    <w:abstractNumId w:val="33"/>
  </w:num>
  <w:num w:numId="4" w16cid:durableId="580018736">
    <w:abstractNumId w:val="13"/>
  </w:num>
  <w:num w:numId="5" w16cid:durableId="221647625">
    <w:abstractNumId w:val="29"/>
  </w:num>
  <w:num w:numId="6" w16cid:durableId="298344620">
    <w:abstractNumId w:val="10"/>
  </w:num>
  <w:num w:numId="7" w16cid:durableId="58093387">
    <w:abstractNumId w:val="6"/>
  </w:num>
  <w:num w:numId="8" w16cid:durableId="1122530581">
    <w:abstractNumId w:val="15"/>
  </w:num>
  <w:num w:numId="9" w16cid:durableId="1479684095">
    <w:abstractNumId w:val="32"/>
  </w:num>
  <w:num w:numId="10" w16cid:durableId="340007303">
    <w:abstractNumId w:val="24"/>
  </w:num>
  <w:num w:numId="11" w16cid:durableId="346519941">
    <w:abstractNumId w:val="26"/>
  </w:num>
  <w:num w:numId="12" w16cid:durableId="691036718">
    <w:abstractNumId w:val="12"/>
  </w:num>
  <w:num w:numId="13" w16cid:durableId="1452093781">
    <w:abstractNumId w:val="16"/>
  </w:num>
  <w:num w:numId="14" w16cid:durableId="906961314">
    <w:abstractNumId w:val="30"/>
  </w:num>
  <w:num w:numId="15" w16cid:durableId="1388455259">
    <w:abstractNumId w:val="14"/>
  </w:num>
  <w:num w:numId="16" w16cid:durableId="1677533267">
    <w:abstractNumId w:val="36"/>
  </w:num>
  <w:num w:numId="17" w16cid:durableId="961619330">
    <w:abstractNumId w:val="31"/>
  </w:num>
  <w:num w:numId="18" w16cid:durableId="1095638383">
    <w:abstractNumId w:val="22"/>
  </w:num>
  <w:num w:numId="19" w16cid:durableId="357776219">
    <w:abstractNumId w:val="23"/>
  </w:num>
  <w:num w:numId="20" w16cid:durableId="1481578588">
    <w:abstractNumId w:val="28"/>
  </w:num>
  <w:num w:numId="21" w16cid:durableId="1812137613">
    <w:abstractNumId w:val="3"/>
  </w:num>
  <w:num w:numId="22" w16cid:durableId="370300677">
    <w:abstractNumId w:val="4"/>
  </w:num>
  <w:num w:numId="23" w16cid:durableId="1948660650">
    <w:abstractNumId w:val="5"/>
  </w:num>
  <w:num w:numId="24" w16cid:durableId="1221136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34"/>
  </w:num>
  <w:num w:numId="26" w16cid:durableId="1203983393">
    <w:abstractNumId w:val="25"/>
  </w:num>
  <w:num w:numId="27" w16cid:durableId="1149204463">
    <w:abstractNumId w:val="17"/>
  </w:num>
  <w:num w:numId="28" w16cid:durableId="614867515">
    <w:abstractNumId w:val="35"/>
  </w:num>
  <w:num w:numId="29" w16cid:durableId="1513490821">
    <w:abstractNumId w:val="2"/>
  </w:num>
  <w:num w:numId="30" w16cid:durableId="1269506392">
    <w:abstractNumId w:val="21"/>
  </w:num>
  <w:num w:numId="31" w16cid:durableId="160509948">
    <w:abstractNumId w:val="20"/>
  </w:num>
  <w:num w:numId="32" w16cid:durableId="146094414">
    <w:abstractNumId w:val="9"/>
  </w:num>
  <w:num w:numId="33" w16cid:durableId="2145806991">
    <w:abstractNumId w:val="11"/>
  </w:num>
  <w:num w:numId="34" w16cid:durableId="1322079617">
    <w:abstractNumId w:val="19"/>
  </w:num>
  <w:num w:numId="35" w16cid:durableId="1661734410">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TEL"/>
  </w:docVars>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CA1"/>
    <w:rsid w:val="00000DBF"/>
    <w:rsid w:val="000012E4"/>
    <w:rsid w:val="00001369"/>
    <w:rsid w:val="00001CA6"/>
    <w:rsid w:val="00001CDC"/>
    <w:rsid w:val="000021E5"/>
    <w:rsid w:val="0000238D"/>
    <w:rsid w:val="000023BA"/>
    <w:rsid w:val="000024E2"/>
    <w:rsid w:val="0000279C"/>
    <w:rsid w:val="00002A5C"/>
    <w:rsid w:val="00002CF6"/>
    <w:rsid w:val="000031B6"/>
    <w:rsid w:val="00003423"/>
    <w:rsid w:val="00003511"/>
    <w:rsid w:val="00003652"/>
    <w:rsid w:val="00003862"/>
    <w:rsid w:val="00003C85"/>
    <w:rsid w:val="00003E19"/>
    <w:rsid w:val="00004288"/>
    <w:rsid w:val="0000450D"/>
    <w:rsid w:val="000046C1"/>
    <w:rsid w:val="00004A58"/>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961"/>
    <w:rsid w:val="00010AC9"/>
    <w:rsid w:val="00010B22"/>
    <w:rsid w:val="00010C1D"/>
    <w:rsid w:val="00010EED"/>
    <w:rsid w:val="00011281"/>
    <w:rsid w:val="0001128D"/>
    <w:rsid w:val="0001134B"/>
    <w:rsid w:val="000113AB"/>
    <w:rsid w:val="0001140F"/>
    <w:rsid w:val="0001153B"/>
    <w:rsid w:val="00011589"/>
    <w:rsid w:val="00011615"/>
    <w:rsid w:val="00011727"/>
    <w:rsid w:val="00011754"/>
    <w:rsid w:val="000117D8"/>
    <w:rsid w:val="0001183E"/>
    <w:rsid w:val="00011A9B"/>
    <w:rsid w:val="00011B30"/>
    <w:rsid w:val="00011D79"/>
    <w:rsid w:val="0001228B"/>
    <w:rsid w:val="000122B5"/>
    <w:rsid w:val="0001250D"/>
    <w:rsid w:val="00012EFD"/>
    <w:rsid w:val="00012F6D"/>
    <w:rsid w:val="000130BE"/>
    <w:rsid w:val="00013716"/>
    <w:rsid w:val="00013997"/>
    <w:rsid w:val="000139D8"/>
    <w:rsid w:val="00013CF4"/>
    <w:rsid w:val="00013D92"/>
    <w:rsid w:val="00013D9F"/>
    <w:rsid w:val="00013EE5"/>
    <w:rsid w:val="0001448B"/>
    <w:rsid w:val="000145A2"/>
    <w:rsid w:val="000146F4"/>
    <w:rsid w:val="000149EF"/>
    <w:rsid w:val="00014A71"/>
    <w:rsid w:val="00014CE1"/>
    <w:rsid w:val="000150E5"/>
    <w:rsid w:val="00015264"/>
    <w:rsid w:val="000152CA"/>
    <w:rsid w:val="00015341"/>
    <w:rsid w:val="00015452"/>
    <w:rsid w:val="0001589A"/>
    <w:rsid w:val="00015A65"/>
    <w:rsid w:val="00015B9E"/>
    <w:rsid w:val="00015C38"/>
    <w:rsid w:val="00015EB6"/>
    <w:rsid w:val="00015ECC"/>
    <w:rsid w:val="00015F13"/>
    <w:rsid w:val="0001612D"/>
    <w:rsid w:val="000162A0"/>
    <w:rsid w:val="000164BD"/>
    <w:rsid w:val="00016654"/>
    <w:rsid w:val="000166D5"/>
    <w:rsid w:val="00016A8D"/>
    <w:rsid w:val="00016B16"/>
    <w:rsid w:val="00016C72"/>
    <w:rsid w:val="00016EB9"/>
    <w:rsid w:val="000170C1"/>
    <w:rsid w:val="00017265"/>
    <w:rsid w:val="0001730F"/>
    <w:rsid w:val="0001731B"/>
    <w:rsid w:val="000173CA"/>
    <w:rsid w:val="00017430"/>
    <w:rsid w:val="000174A1"/>
    <w:rsid w:val="000174AF"/>
    <w:rsid w:val="0001776A"/>
    <w:rsid w:val="00017883"/>
    <w:rsid w:val="00017A67"/>
    <w:rsid w:val="00017AA9"/>
    <w:rsid w:val="00017C25"/>
    <w:rsid w:val="00017C31"/>
    <w:rsid w:val="00017C9E"/>
    <w:rsid w:val="00017F27"/>
    <w:rsid w:val="00017F3D"/>
    <w:rsid w:val="00020595"/>
    <w:rsid w:val="00020743"/>
    <w:rsid w:val="00020B3A"/>
    <w:rsid w:val="00020D20"/>
    <w:rsid w:val="00020E26"/>
    <w:rsid w:val="000218B4"/>
    <w:rsid w:val="000218F1"/>
    <w:rsid w:val="00021AEC"/>
    <w:rsid w:val="00021B43"/>
    <w:rsid w:val="00021BCD"/>
    <w:rsid w:val="00021CFE"/>
    <w:rsid w:val="00021EF0"/>
    <w:rsid w:val="00021FA4"/>
    <w:rsid w:val="0002207D"/>
    <w:rsid w:val="0002216F"/>
    <w:rsid w:val="000221F2"/>
    <w:rsid w:val="000222CC"/>
    <w:rsid w:val="00022415"/>
    <w:rsid w:val="00022538"/>
    <w:rsid w:val="00022669"/>
    <w:rsid w:val="00022775"/>
    <w:rsid w:val="00022776"/>
    <w:rsid w:val="00022903"/>
    <w:rsid w:val="00022A7A"/>
    <w:rsid w:val="00022B33"/>
    <w:rsid w:val="00022E10"/>
    <w:rsid w:val="00022E91"/>
    <w:rsid w:val="00022F1F"/>
    <w:rsid w:val="00022FAA"/>
    <w:rsid w:val="00023162"/>
    <w:rsid w:val="000232A5"/>
    <w:rsid w:val="00023424"/>
    <w:rsid w:val="00023451"/>
    <w:rsid w:val="000235BC"/>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CB8"/>
    <w:rsid w:val="00024D04"/>
    <w:rsid w:val="00024F7A"/>
    <w:rsid w:val="000250B7"/>
    <w:rsid w:val="00025341"/>
    <w:rsid w:val="00025501"/>
    <w:rsid w:val="0002561D"/>
    <w:rsid w:val="00025A16"/>
    <w:rsid w:val="00025D8A"/>
    <w:rsid w:val="00025EB9"/>
    <w:rsid w:val="000260DC"/>
    <w:rsid w:val="000261DA"/>
    <w:rsid w:val="0002630E"/>
    <w:rsid w:val="000263A0"/>
    <w:rsid w:val="00026538"/>
    <w:rsid w:val="000265AD"/>
    <w:rsid w:val="000265DD"/>
    <w:rsid w:val="0002678A"/>
    <w:rsid w:val="00026B04"/>
    <w:rsid w:val="00026B29"/>
    <w:rsid w:val="00026CA1"/>
    <w:rsid w:val="00026D00"/>
    <w:rsid w:val="00026E21"/>
    <w:rsid w:val="0002725A"/>
    <w:rsid w:val="00027392"/>
    <w:rsid w:val="00027642"/>
    <w:rsid w:val="00030058"/>
    <w:rsid w:val="000300B4"/>
    <w:rsid w:val="00030676"/>
    <w:rsid w:val="0003073B"/>
    <w:rsid w:val="000307C2"/>
    <w:rsid w:val="00030996"/>
    <w:rsid w:val="00030E3E"/>
    <w:rsid w:val="000310AA"/>
    <w:rsid w:val="000310E8"/>
    <w:rsid w:val="0003125C"/>
    <w:rsid w:val="000315BD"/>
    <w:rsid w:val="00031793"/>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7C2"/>
    <w:rsid w:val="00033EA1"/>
    <w:rsid w:val="00033F57"/>
    <w:rsid w:val="000340CA"/>
    <w:rsid w:val="00034142"/>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63AB"/>
    <w:rsid w:val="00036A5A"/>
    <w:rsid w:val="00037004"/>
    <w:rsid w:val="00037224"/>
    <w:rsid w:val="0003725C"/>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89C"/>
    <w:rsid w:val="0004193F"/>
    <w:rsid w:val="0004195A"/>
    <w:rsid w:val="00041A87"/>
    <w:rsid w:val="00041C4F"/>
    <w:rsid w:val="00041F1F"/>
    <w:rsid w:val="0004209B"/>
    <w:rsid w:val="000420DB"/>
    <w:rsid w:val="000421A1"/>
    <w:rsid w:val="000423C1"/>
    <w:rsid w:val="00042508"/>
    <w:rsid w:val="00042A8B"/>
    <w:rsid w:val="00042F4E"/>
    <w:rsid w:val="0004316D"/>
    <w:rsid w:val="000434BD"/>
    <w:rsid w:val="000436A8"/>
    <w:rsid w:val="00043B7B"/>
    <w:rsid w:val="00043E36"/>
    <w:rsid w:val="00043E84"/>
    <w:rsid w:val="000443C3"/>
    <w:rsid w:val="0004455F"/>
    <w:rsid w:val="00044806"/>
    <w:rsid w:val="00044A42"/>
    <w:rsid w:val="00044AB8"/>
    <w:rsid w:val="000454B2"/>
    <w:rsid w:val="00045976"/>
    <w:rsid w:val="00045DCC"/>
    <w:rsid w:val="00045E41"/>
    <w:rsid w:val="0004610E"/>
    <w:rsid w:val="00046550"/>
    <w:rsid w:val="000466E7"/>
    <w:rsid w:val="000468E2"/>
    <w:rsid w:val="00046A3E"/>
    <w:rsid w:val="00046C6A"/>
    <w:rsid w:val="00046D8E"/>
    <w:rsid w:val="0004701B"/>
    <w:rsid w:val="00047124"/>
    <w:rsid w:val="00047316"/>
    <w:rsid w:val="00047444"/>
    <w:rsid w:val="00047661"/>
    <w:rsid w:val="000476C0"/>
    <w:rsid w:val="00047734"/>
    <w:rsid w:val="000477EA"/>
    <w:rsid w:val="00047916"/>
    <w:rsid w:val="00047936"/>
    <w:rsid w:val="0004798E"/>
    <w:rsid w:val="00047BB5"/>
    <w:rsid w:val="00047D53"/>
    <w:rsid w:val="000502A5"/>
    <w:rsid w:val="000504A8"/>
    <w:rsid w:val="0005052B"/>
    <w:rsid w:val="0005062F"/>
    <w:rsid w:val="000506A1"/>
    <w:rsid w:val="0005070B"/>
    <w:rsid w:val="000508EC"/>
    <w:rsid w:val="00050926"/>
    <w:rsid w:val="00050951"/>
    <w:rsid w:val="000509DA"/>
    <w:rsid w:val="00050AFA"/>
    <w:rsid w:val="00051333"/>
    <w:rsid w:val="0005182E"/>
    <w:rsid w:val="00051BA8"/>
    <w:rsid w:val="00051E3C"/>
    <w:rsid w:val="000520B1"/>
    <w:rsid w:val="00052241"/>
    <w:rsid w:val="00052483"/>
    <w:rsid w:val="00052672"/>
    <w:rsid w:val="00052814"/>
    <w:rsid w:val="000529D6"/>
    <w:rsid w:val="000529E9"/>
    <w:rsid w:val="00053766"/>
    <w:rsid w:val="00053BE0"/>
    <w:rsid w:val="00053CB9"/>
    <w:rsid w:val="00053FAD"/>
    <w:rsid w:val="000541A5"/>
    <w:rsid w:val="0005422C"/>
    <w:rsid w:val="0005462B"/>
    <w:rsid w:val="00054C6E"/>
    <w:rsid w:val="00054DF3"/>
    <w:rsid w:val="00055034"/>
    <w:rsid w:val="000550B3"/>
    <w:rsid w:val="0005513C"/>
    <w:rsid w:val="00055234"/>
    <w:rsid w:val="00055406"/>
    <w:rsid w:val="00055569"/>
    <w:rsid w:val="00055650"/>
    <w:rsid w:val="00055DF6"/>
    <w:rsid w:val="00055ED8"/>
    <w:rsid w:val="000568D7"/>
    <w:rsid w:val="000568F4"/>
    <w:rsid w:val="00056C02"/>
    <w:rsid w:val="00057006"/>
    <w:rsid w:val="00057144"/>
    <w:rsid w:val="00057285"/>
    <w:rsid w:val="0005742E"/>
    <w:rsid w:val="00057439"/>
    <w:rsid w:val="000574AC"/>
    <w:rsid w:val="0005753C"/>
    <w:rsid w:val="00057745"/>
    <w:rsid w:val="00057902"/>
    <w:rsid w:val="00057AB6"/>
    <w:rsid w:val="00057E1C"/>
    <w:rsid w:val="00057EA9"/>
    <w:rsid w:val="00060742"/>
    <w:rsid w:val="0006088F"/>
    <w:rsid w:val="00060C03"/>
    <w:rsid w:val="00060C5A"/>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3DCE"/>
    <w:rsid w:val="00063F33"/>
    <w:rsid w:val="00064178"/>
    <w:rsid w:val="0006443B"/>
    <w:rsid w:val="00064593"/>
    <w:rsid w:val="000647C3"/>
    <w:rsid w:val="00064C35"/>
    <w:rsid w:val="00064D3D"/>
    <w:rsid w:val="00064F90"/>
    <w:rsid w:val="00065096"/>
    <w:rsid w:val="0006524C"/>
    <w:rsid w:val="00065445"/>
    <w:rsid w:val="0006549C"/>
    <w:rsid w:val="00065622"/>
    <w:rsid w:val="00065A4F"/>
    <w:rsid w:val="00065ABF"/>
    <w:rsid w:val="00065BA5"/>
    <w:rsid w:val="00065D4F"/>
    <w:rsid w:val="00065D7A"/>
    <w:rsid w:val="00065E7F"/>
    <w:rsid w:val="0006634A"/>
    <w:rsid w:val="000664BE"/>
    <w:rsid w:val="00066554"/>
    <w:rsid w:val="00066764"/>
    <w:rsid w:val="0006680F"/>
    <w:rsid w:val="00066D35"/>
    <w:rsid w:val="00067155"/>
    <w:rsid w:val="000674E4"/>
    <w:rsid w:val="00067567"/>
    <w:rsid w:val="00067985"/>
    <w:rsid w:val="00067C33"/>
    <w:rsid w:val="00067FB5"/>
    <w:rsid w:val="00070202"/>
    <w:rsid w:val="000703CB"/>
    <w:rsid w:val="000703FE"/>
    <w:rsid w:val="000705DD"/>
    <w:rsid w:val="000706D4"/>
    <w:rsid w:val="00070ECF"/>
    <w:rsid w:val="000713EE"/>
    <w:rsid w:val="00071470"/>
    <w:rsid w:val="00071695"/>
    <w:rsid w:val="000717D6"/>
    <w:rsid w:val="00071956"/>
    <w:rsid w:val="00071BD3"/>
    <w:rsid w:val="00071DDA"/>
    <w:rsid w:val="00071E87"/>
    <w:rsid w:val="00071FC6"/>
    <w:rsid w:val="00072134"/>
    <w:rsid w:val="00072797"/>
    <w:rsid w:val="00072D12"/>
    <w:rsid w:val="00072E6E"/>
    <w:rsid w:val="00072F6B"/>
    <w:rsid w:val="00073070"/>
    <w:rsid w:val="00073100"/>
    <w:rsid w:val="00073283"/>
    <w:rsid w:val="000732A8"/>
    <w:rsid w:val="00073445"/>
    <w:rsid w:val="0007349A"/>
    <w:rsid w:val="000735B6"/>
    <w:rsid w:val="000736A0"/>
    <w:rsid w:val="00073952"/>
    <w:rsid w:val="00073A6F"/>
    <w:rsid w:val="00073D03"/>
    <w:rsid w:val="00073F4A"/>
    <w:rsid w:val="0007403A"/>
    <w:rsid w:val="000744AE"/>
    <w:rsid w:val="000744BA"/>
    <w:rsid w:val="00074A10"/>
    <w:rsid w:val="00074BA2"/>
    <w:rsid w:val="00074D75"/>
    <w:rsid w:val="00074DB5"/>
    <w:rsid w:val="00074E52"/>
    <w:rsid w:val="00074FA3"/>
    <w:rsid w:val="00074FA4"/>
    <w:rsid w:val="000751AC"/>
    <w:rsid w:val="000752DB"/>
    <w:rsid w:val="00075758"/>
    <w:rsid w:val="0007575A"/>
    <w:rsid w:val="00075847"/>
    <w:rsid w:val="00075908"/>
    <w:rsid w:val="00075952"/>
    <w:rsid w:val="00075C60"/>
    <w:rsid w:val="00077252"/>
    <w:rsid w:val="000775E6"/>
    <w:rsid w:val="000776B1"/>
    <w:rsid w:val="000776D8"/>
    <w:rsid w:val="00077912"/>
    <w:rsid w:val="00077B88"/>
    <w:rsid w:val="00077BFB"/>
    <w:rsid w:val="000800AF"/>
    <w:rsid w:val="00080191"/>
    <w:rsid w:val="0008029D"/>
    <w:rsid w:val="0008040A"/>
    <w:rsid w:val="000804D5"/>
    <w:rsid w:val="000805A1"/>
    <w:rsid w:val="000807AE"/>
    <w:rsid w:val="000807B5"/>
    <w:rsid w:val="00080B91"/>
    <w:rsid w:val="00080CE2"/>
    <w:rsid w:val="00080F35"/>
    <w:rsid w:val="000811A4"/>
    <w:rsid w:val="000811D4"/>
    <w:rsid w:val="00081259"/>
    <w:rsid w:val="0008175B"/>
    <w:rsid w:val="00081792"/>
    <w:rsid w:val="0008187A"/>
    <w:rsid w:val="0008189D"/>
    <w:rsid w:val="0008216A"/>
    <w:rsid w:val="0008217D"/>
    <w:rsid w:val="000825F0"/>
    <w:rsid w:val="000827CD"/>
    <w:rsid w:val="00082AA1"/>
    <w:rsid w:val="00082B1C"/>
    <w:rsid w:val="00082C34"/>
    <w:rsid w:val="00083121"/>
    <w:rsid w:val="00083469"/>
    <w:rsid w:val="000834CD"/>
    <w:rsid w:val="000835B0"/>
    <w:rsid w:val="000835F5"/>
    <w:rsid w:val="0008378A"/>
    <w:rsid w:val="00083B96"/>
    <w:rsid w:val="00084044"/>
    <w:rsid w:val="00084211"/>
    <w:rsid w:val="00084419"/>
    <w:rsid w:val="0008449C"/>
    <w:rsid w:val="000845D7"/>
    <w:rsid w:val="000846F8"/>
    <w:rsid w:val="000849B6"/>
    <w:rsid w:val="00084B71"/>
    <w:rsid w:val="00084D1E"/>
    <w:rsid w:val="00084DFB"/>
    <w:rsid w:val="0008526A"/>
    <w:rsid w:val="00085484"/>
    <w:rsid w:val="00085847"/>
    <w:rsid w:val="00085B6D"/>
    <w:rsid w:val="00085BE8"/>
    <w:rsid w:val="00085E04"/>
    <w:rsid w:val="0008608A"/>
    <w:rsid w:val="000863ED"/>
    <w:rsid w:val="000863F0"/>
    <w:rsid w:val="00086911"/>
    <w:rsid w:val="00086C30"/>
    <w:rsid w:val="00086D5D"/>
    <w:rsid w:val="00086DA6"/>
    <w:rsid w:val="000874D0"/>
    <w:rsid w:val="000875DD"/>
    <w:rsid w:val="00087C2A"/>
    <w:rsid w:val="00087E0A"/>
    <w:rsid w:val="00090055"/>
    <w:rsid w:val="00090079"/>
    <w:rsid w:val="000901F1"/>
    <w:rsid w:val="0009096A"/>
    <w:rsid w:val="00090B6B"/>
    <w:rsid w:val="00090D4B"/>
    <w:rsid w:val="00090EA4"/>
    <w:rsid w:val="000910D7"/>
    <w:rsid w:val="0009166A"/>
    <w:rsid w:val="000918B2"/>
    <w:rsid w:val="00091CE2"/>
    <w:rsid w:val="0009205D"/>
    <w:rsid w:val="00092442"/>
    <w:rsid w:val="0009257A"/>
    <w:rsid w:val="00092B44"/>
    <w:rsid w:val="00092C2D"/>
    <w:rsid w:val="00092DEA"/>
    <w:rsid w:val="00092EB9"/>
    <w:rsid w:val="0009343D"/>
    <w:rsid w:val="00093617"/>
    <w:rsid w:val="00093E98"/>
    <w:rsid w:val="00093FDF"/>
    <w:rsid w:val="00094051"/>
    <w:rsid w:val="000940F6"/>
    <w:rsid w:val="0009415C"/>
    <w:rsid w:val="000942B9"/>
    <w:rsid w:val="00094353"/>
    <w:rsid w:val="000945D6"/>
    <w:rsid w:val="00094600"/>
    <w:rsid w:val="00094AC0"/>
    <w:rsid w:val="00094B2F"/>
    <w:rsid w:val="0009571A"/>
    <w:rsid w:val="000957A2"/>
    <w:rsid w:val="00095892"/>
    <w:rsid w:val="00095A1A"/>
    <w:rsid w:val="00095A8C"/>
    <w:rsid w:val="00095C0B"/>
    <w:rsid w:val="00095C79"/>
    <w:rsid w:val="000963C9"/>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0BBD"/>
    <w:rsid w:val="000A0C8E"/>
    <w:rsid w:val="000A0D84"/>
    <w:rsid w:val="000A1105"/>
    <w:rsid w:val="000A1333"/>
    <w:rsid w:val="000A1418"/>
    <w:rsid w:val="000A170E"/>
    <w:rsid w:val="000A1760"/>
    <w:rsid w:val="000A19A2"/>
    <w:rsid w:val="000A1BDC"/>
    <w:rsid w:val="000A1CD5"/>
    <w:rsid w:val="000A1E0A"/>
    <w:rsid w:val="000A1E8A"/>
    <w:rsid w:val="000A227F"/>
    <w:rsid w:val="000A22C0"/>
    <w:rsid w:val="000A2388"/>
    <w:rsid w:val="000A2949"/>
    <w:rsid w:val="000A29A9"/>
    <w:rsid w:val="000A2AC3"/>
    <w:rsid w:val="000A2BD1"/>
    <w:rsid w:val="000A2CC6"/>
    <w:rsid w:val="000A30BD"/>
    <w:rsid w:val="000A3320"/>
    <w:rsid w:val="000A3563"/>
    <w:rsid w:val="000A3935"/>
    <w:rsid w:val="000A3E2D"/>
    <w:rsid w:val="000A3F2C"/>
    <w:rsid w:val="000A44D4"/>
    <w:rsid w:val="000A4524"/>
    <w:rsid w:val="000A4554"/>
    <w:rsid w:val="000A47CF"/>
    <w:rsid w:val="000A4836"/>
    <w:rsid w:val="000A4A38"/>
    <w:rsid w:val="000A4B74"/>
    <w:rsid w:val="000A4F76"/>
    <w:rsid w:val="000A508F"/>
    <w:rsid w:val="000A52E7"/>
    <w:rsid w:val="000A5300"/>
    <w:rsid w:val="000A5446"/>
    <w:rsid w:val="000A544B"/>
    <w:rsid w:val="000A591E"/>
    <w:rsid w:val="000A5A20"/>
    <w:rsid w:val="000A5A43"/>
    <w:rsid w:val="000A5C7D"/>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9B"/>
    <w:rsid w:val="000A7F9D"/>
    <w:rsid w:val="000B01AF"/>
    <w:rsid w:val="000B0467"/>
    <w:rsid w:val="000B04F9"/>
    <w:rsid w:val="000B055C"/>
    <w:rsid w:val="000B09D0"/>
    <w:rsid w:val="000B0F74"/>
    <w:rsid w:val="000B1471"/>
    <w:rsid w:val="000B16FC"/>
    <w:rsid w:val="000B1845"/>
    <w:rsid w:val="000B195C"/>
    <w:rsid w:val="000B1B92"/>
    <w:rsid w:val="000B1CA5"/>
    <w:rsid w:val="000B250E"/>
    <w:rsid w:val="000B25E8"/>
    <w:rsid w:val="000B2778"/>
    <w:rsid w:val="000B281C"/>
    <w:rsid w:val="000B29E5"/>
    <w:rsid w:val="000B2A6D"/>
    <w:rsid w:val="000B2C0D"/>
    <w:rsid w:val="000B2C17"/>
    <w:rsid w:val="000B2CE1"/>
    <w:rsid w:val="000B2FAD"/>
    <w:rsid w:val="000B307A"/>
    <w:rsid w:val="000B30CD"/>
    <w:rsid w:val="000B3283"/>
    <w:rsid w:val="000B3373"/>
    <w:rsid w:val="000B3478"/>
    <w:rsid w:val="000B37E6"/>
    <w:rsid w:val="000B38C4"/>
    <w:rsid w:val="000B3AAA"/>
    <w:rsid w:val="000B3BA4"/>
    <w:rsid w:val="000B3BDA"/>
    <w:rsid w:val="000B3E6B"/>
    <w:rsid w:val="000B3FC1"/>
    <w:rsid w:val="000B414C"/>
    <w:rsid w:val="000B41C6"/>
    <w:rsid w:val="000B43C6"/>
    <w:rsid w:val="000B47A7"/>
    <w:rsid w:val="000B48FF"/>
    <w:rsid w:val="000B497E"/>
    <w:rsid w:val="000B4C66"/>
    <w:rsid w:val="000B4D57"/>
    <w:rsid w:val="000B4D7C"/>
    <w:rsid w:val="000B4DD2"/>
    <w:rsid w:val="000B4EBD"/>
    <w:rsid w:val="000B54AE"/>
    <w:rsid w:val="000B58B6"/>
    <w:rsid w:val="000B595A"/>
    <w:rsid w:val="000B5C5B"/>
    <w:rsid w:val="000B5FF0"/>
    <w:rsid w:val="000B607D"/>
    <w:rsid w:val="000B6139"/>
    <w:rsid w:val="000B61F1"/>
    <w:rsid w:val="000B6369"/>
    <w:rsid w:val="000B641A"/>
    <w:rsid w:val="000B647F"/>
    <w:rsid w:val="000B64EA"/>
    <w:rsid w:val="000B66DF"/>
    <w:rsid w:val="000B67EE"/>
    <w:rsid w:val="000B6A5E"/>
    <w:rsid w:val="000B6D6D"/>
    <w:rsid w:val="000B70BC"/>
    <w:rsid w:val="000B7140"/>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3F"/>
    <w:rsid w:val="000C109C"/>
    <w:rsid w:val="000C114B"/>
    <w:rsid w:val="000C1679"/>
    <w:rsid w:val="000C1898"/>
    <w:rsid w:val="000C1978"/>
    <w:rsid w:val="000C1A4C"/>
    <w:rsid w:val="000C1A64"/>
    <w:rsid w:val="000C1ADA"/>
    <w:rsid w:val="000C1B81"/>
    <w:rsid w:val="000C1E86"/>
    <w:rsid w:val="000C1EEB"/>
    <w:rsid w:val="000C1F70"/>
    <w:rsid w:val="000C2046"/>
    <w:rsid w:val="000C2650"/>
    <w:rsid w:val="000C2A98"/>
    <w:rsid w:val="000C2CC9"/>
    <w:rsid w:val="000C2E50"/>
    <w:rsid w:val="000C3067"/>
    <w:rsid w:val="000C30DD"/>
    <w:rsid w:val="000C323C"/>
    <w:rsid w:val="000C34EB"/>
    <w:rsid w:val="000C34F0"/>
    <w:rsid w:val="000C3512"/>
    <w:rsid w:val="000C3534"/>
    <w:rsid w:val="000C366F"/>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60"/>
    <w:rsid w:val="000C5898"/>
    <w:rsid w:val="000C5ACD"/>
    <w:rsid w:val="000C5E35"/>
    <w:rsid w:val="000C5FFA"/>
    <w:rsid w:val="000C61AB"/>
    <w:rsid w:val="000C6577"/>
    <w:rsid w:val="000C6610"/>
    <w:rsid w:val="000C67C6"/>
    <w:rsid w:val="000C6902"/>
    <w:rsid w:val="000C69CA"/>
    <w:rsid w:val="000C71A3"/>
    <w:rsid w:val="000C728E"/>
    <w:rsid w:val="000C741E"/>
    <w:rsid w:val="000C7511"/>
    <w:rsid w:val="000C755B"/>
    <w:rsid w:val="000C7646"/>
    <w:rsid w:val="000C7708"/>
    <w:rsid w:val="000C7914"/>
    <w:rsid w:val="000C7A75"/>
    <w:rsid w:val="000C7BE4"/>
    <w:rsid w:val="000C7CFB"/>
    <w:rsid w:val="000C7E7C"/>
    <w:rsid w:val="000D02D7"/>
    <w:rsid w:val="000D0536"/>
    <w:rsid w:val="000D057B"/>
    <w:rsid w:val="000D0723"/>
    <w:rsid w:val="000D082B"/>
    <w:rsid w:val="000D090E"/>
    <w:rsid w:val="000D0AEE"/>
    <w:rsid w:val="000D1461"/>
    <w:rsid w:val="000D1B91"/>
    <w:rsid w:val="000D1BB9"/>
    <w:rsid w:val="000D1C63"/>
    <w:rsid w:val="000D1F0B"/>
    <w:rsid w:val="000D1F1E"/>
    <w:rsid w:val="000D20A1"/>
    <w:rsid w:val="000D2364"/>
    <w:rsid w:val="000D23CE"/>
    <w:rsid w:val="000D25EF"/>
    <w:rsid w:val="000D2718"/>
    <w:rsid w:val="000D280C"/>
    <w:rsid w:val="000D333F"/>
    <w:rsid w:val="000D34BD"/>
    <w:rsid w:val="000D3537"/>
    <w:rsid w:val="000D37F7"/>
    <w:rsid w:val="000D38B0"/>
    <w:rsid w:val="000D390C"/>
    <w:rsid w:val="000D3A17"/>
    <w:rsid w:val="000D3D53"/>
    <w:rsid w:val="000D414D"/>
    <w:rsid w:val="000D4395"/>
    <w:rsid w:val="000D45F1"/>
    <w:rsid w:val="000D46FC"/>
    <w:rsid w:val="000D47E4"/>
    <w:rsid w:val="000D4894"/>
    <w:rsid w:val="000D4E86"/>
    <w:rsid w:val="000D4EB1"/>
    <w:rsid w:val="000D51B6"/>
    <w:rsid w:val="000D51D1"/>
    <w:rsid w:val="000D5487"/>
    <w:rsid w:val="000D5579"/>
    <w:rsid w:val="000D5939"/>
    <w:rsid w:val="000D5BB3"/>
    <w:rsid w:val="000D5BD5"/>
    <w:rsid w:val="000D5C1E"/>
    <w:rsid w:val="000D5E9A"/>
    <w:rsid w:val="000D5FC0"/>
    <w:rsid w:val="000D60AC"/>
    <w:rsid w:val="000D60E8"/>
    <w:rsid w:val="000D63FC"/>
    <w:rsid w:val="000D655C"/>
    <w:rsid w:val="000D6660"/>
    <w:rsid w:val="000D66D1"/>
    <w:rsid w:val="000D66DE"/>
    <w:rsid w:val="000D6895"/>
    <w:rsid w:val="000D6953"/>
    <w:rsid w:val="000D6DC4"/>
    <w:rsid w:val="000D6FA4"/>
    <w:rsid w:val="000D708B"/>
    <w:rsid w:val="000D73E2"/>
    <w:rsid w:val="000D744E"/>
    <w:rsid w:val="000D7527"/>
    <w:rsid w:val="000D7721"/>
    <w:rsid w:val="000D7802"/>
    <w:rsid w:val="000D7836"/>
    <w:rsid w:val="000D7B79"/>
    <w:rsid w:val="000D7E3C"/>
    <w:rsid w:val="000D7E48"/>
    <w:rsid w:val="000D7F97"/>
    <w:rsid w:val="000E0200"/>
    <w:rsid w:val="000E0223"/>
    <w:rsid w:val="000E02CF"/>
    <w:rsid w:val="000E0335"/>
    <w:rsid w:val="000E03A7"/>
    <w:rsid w:val="000E07F5"/>
    <w:rsid w:val="000E082D"/>
    <w:rsid w:val="000E0C92"/>
    <w:rsid w:val="000E0E67"/>
    <w:rsid w:val="000E0F23"/>
    <w:rsid w:val="000E1071"/>
    <w:rsid w:val="000E14F3"/>
    <w:rsid w:val="000E15E5"/>
    <w:rsid w:val="000E18B0"/>
    <w:rsid w:val="000E198B"/>
    <w:rsid w:val="000E1A41"/>
    <w:rsid w:val="000E1A9E"/>
    <w:rsid w:val="000E1BF8"/>
    <w:rsid w:val="000E1D21"/>
    <w:rsid w:val="000E245E"/>
    <w:rsid w:val="000E2609"/>
    <w:rsid w:val="000E26CD"/>
    <w:rsid w:val="000E27EA"/>
    <w:rsid w:val="000E2831"/>
    <w:rsid w:val="000E28B0"/>
    <w:rsid w:val="000E2B22"/>
    <w:rsid w:val="000E2C4B"/>
    <w:rsid w:val="000E2D27"/>
    <w:rsid w:val="000E2F2B"/>
    <w:rsid w:val="000E2F5A"/>
    <w:rsid w:val="000E356E"/>
    <w:rsid w:val="000E35F1"/>
    <w:rsid w:val="000E370A"/>
    <w:rsid w:val="000E3A04"/>
    <w:rsid w:val="000E3A37"/>
    <w:rsid w:val="000E3A7F"/>
    <w:rsid w:val="000E3B7F"/>
    <w:rsid w:val="000E3C1E"/>
    <w:rsid w:val="000E3EC4"/>
    <w:rsid w:val="000E3FBC"/>
    <w:rsid w:val="000E4590"/>
    <w:rsid w:val="000E459D"/>
    <w:rsid w:val="000E4750"/>
    <w:rsid w:val="000E4788"/>
    <w:rsid w:val="000E4C9D"/>
    <w:rsid w:val="000E4E61"/>
    <w:rsid w:val="000E51A0"/>
    <w:rsid w:val="000E58AF"/>
    <w:rsid w:val="000E58E0"/>
    <w:rsid w:val="000E596A"/>
    <w:rsid w:val="000E59FD"/>
    <w:rsid w:val="000E5C16"/>
    <w:rsid w:val="000E5E33"/>
    <w:rsid w:val="000E6201"/>
    <w:rsid w:val="000E68CA"/>
    <w:rsid w:val="000E690A"/>
    <w:rsid w:val="000E695D"/>
    <w:rsid w:val="000E699A"/>
    <w:rsid w:val="000E6BE7"/>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716"/>
    <w:rsid w:val="000F1A32"/>
    <w:rsid w:val="000F24AC"/>
    <w:rsid w:val="000F2713"/>
    <w:rsid w:val="000F2E1A"/>
    <w:rsid w:val="000F343E"/>
    <w:rsid w:val="000F3948"/>
    <w:rsid w:val="000F39AA"/>
    <w:rsid w:val="000F3B1E"/>
    <w:rsid w:val="000F3CF6"/>
    <w:rsid w:val="000F3D65"/>
    <w:rsid w:val="000F3E17"/>
    <w:rsid w:val="000F3F15"/>
    <w:rsid w:val="000F4058"/>
    <w:rsid w:val="000F43EC"/>
    <w:rsid w:val="000F454E"/>
    <w:rsid w:val="000F46D8"/>
    <w:rsid w:val="000F47D5"/>
    <w:rsid w:val="000F48A0"/>
    <w:rsid w:val="000F493C"/>
    <w:rsid w:val="000F49EA"/>
    <w:rsid w:val="000F4A60"/>
    <w:rsid w:val="000F4D76"/>
    <w:rsid w:val="000F4E7E"/>
    <w:rsid w:val="000F514F"/>
    <w:rsid w:val="000F52C9"/>
    <w:rsid w:val="000F54AD"/>
    <w:rsid w:val="000F577E"/>
    <w:rsid w:val="000F5935"/>
    <w:rsid w:val="000F5A73"/>
    <w:rsid w:val="000F5F64"/>
    <w:rsid w:val="000F60C3"/>
    <w:rsid w:val="000F6354"/>
    <w:rsid w:val="000F63D5"/>
    <w:rsid w:val="000F6650"/>
    <w:rsid w:val="000F6747"/>
    <w:rsid w:val="000F6C35"/>
    <w:rsid w:val="000F6E53"/>
    <w:rsid w:val="000F7126"/>
    <w:rsid w:val="000F71E7"/>
    <w:rsid w:val="000F7275"/>
    <w:rsid w:val="000F7407"/>
    <w:rsid w:val="000F76A1"/>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9B1"/>
    <w:rsid w:val="00101B5C"/>
    <w:rsid w:val="00101BA0"/>
    <w:rsid w:val="00101DA2"/>
    <w:rsid w:val="00101E67"/>
    <w:rsid w:val="00101ED4"/>
    <w:rsid w:val="00101ED7"/>
    <w:rsid w:val="00101FA5"/>
    <w:rsid w:val="001020E1"/>
    <w:rsid w:val="00102197"/>
    <w:rsid w:val="001021D2"/>
    <w:rsid w:val="00102311"/>
    <w:rsid w:val="0010247B"/>
    <w:rsid w:val="001026A3"/>
    <w:rsid w:val="00102878"/>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3E"/>
    <w:rsid w:val="00104198"/>
    <w:rsid w:val="0010440E"/>
    <w:rsid w:val="00104824"/>
    <w:rsid w:val="001048AE"/>
    <w:rsid w:val="00104CC5"/>
    <w:rsid w:val="00104E16"/>
    <w:rsid w:val="00104ECB"/>
    <w:rsid w:val="00104F41"/>
    <w:rsid w:val="00105153"/>
    <w:rsid w:val="0010517D"/>
    <w:rsid w:val="0010525A"/>
    <w:rsid w:val="00105405"/>
    <w:rsid w:val="001054F9"/>
    <w:rsid w:val="001055C5"/>
    <w:rsid w:val="0010582B"/>
    <w:rsid w:val="00105A47"/>
    <w:rsid w:val="00105ABA"/>
    <w:rsid w:val="00105C4F"/>
    <w:rsid w:val="00105F52"/>
    <w:rsid w:val="0010606B"/>
    <w:rsid w:val="0010634A"/>
    <w:rsid w:val="00106376"/>
    <w:rsid w:val="001069D6"/>
    <w:rsid w:val="00106D10"/>
    <w:rsid w:val="00107244"/>
    <w:rsid w:val="0010748A"/>
    <w:rsid w:val="001074E6"/>
    <w:rsid w:val="00107718"/>
    <w:rsid w:val="00107C66"/>
    <w:rsid w:val="00107EB5"/>
    <w:rsid w:val="00110040"/>
    <w:rsid w:val="00110052"/>
    <w:rsid w:val="0011006F"/>
    <w:rsid w:val="00110158"/>
    <w:rsid w:val="001106DA"/>
    <w:rsid w:val="001107B9"/>
    <w:rsid w:val="00110C86"/>
    <w:rsid w:val="00110DE1"/>
    <w:rsid w:val="00110F5F"/>
    <w:rsid w:val="00111136"/>
    <w:rsid w:val="001111EF"/>
    <w:rsid w:val="00111223"/>
    <w:rsid w:val="00111350"/>
    <w:rsid w:val="0011142F"/>
    <w:rsid w:val="00111643"/>
    <w:rsid w:val="0011166B"/>
    <w:rsid w:val="00111A81"/>
    <w:rsid w:val="00111D10"/>
    <w:rsid w:val="00112203"/>
    <w:rsid w:val="00112486"/>
    <w:rsid w:val="00112539"/>
    <w:rsid w:val="00112579"/>
    <w:rsid w:val="001129D1"/>
    <w:rsid w:val="00112A1C"/>
    <w:rsid w:val="00112BEB"/>
    <w:rsid w:val="00112ED5"/>
    <w:rsid w:val="00113072"/>
    <w:rsid w:val="0011325C"/>
    <w:rsid w:val="0011381F"/>
    <w:rsid w:val="00113B42"/>
    <w:rsid w:val="00113E69"/>
    <w:rsid w:val="00113F1A"/>
    <w:rsid w:val="00114018"/>
    <w:rsid w:val="00114480"/>
    <w:rsid w:val="00114568"/>
    <w:rsid w:val="00114778"/>
    <w:rsid w:val="0011485F"/>
    <w:rsid w:val="001148C2"/>
    <w:rsid w:val="00114954"/>
    <w:rsid w:val="00114C21"/>
    <w:rsid w:val="00115521"/>
    <w:rsid w:val="0011582E"/>
    <w:rsid w:val="001158F2"/>
    <w:rsid w:val="00115B02"/>
    <w:rsid w:val="00115E85"/>
    <w:rsid w:val="00116080"/>
    <w:rsid w:val="00116169"/>
    <w:rsid w:val="001161FC"/>
    <w:rsid w:val="001163D1"/>
    <w:rsid w:val="00116539"/>
    <w:rsid w:val="001166A1"/>
    <w:rsid w:val="00116823"/>
    <w:rsid w:val="001168E3"/>
    <w:rsid w:val="00116AC9"/>
    <w:rsid w:val="00116B75"/>
    <w:rsid w:val="0011726C"/>
    <w:rsid w:val="001176DE"/>
    <w:rsid w:val="0011799C"/>
    <w:rsid w:val="00117E41"/>
    <w:rsid w:val="00117F86"/>
    <w:rsid w:val="00120043"/>
    <w:rsid w:val="00120230"/>
    <w:rsid w:val="00120411"/>
    <w:rsid w:val="00120468"/>
    <w:rsid w:val="0012053E"/>
    <w:rsid w:val="001206A7"/>
    <w:rsid w:val="0012079D"/>
    <w:rsid w:val="00120ADC"/>
    <w:rsid w:val="00120BD1"/>
    <w:rsid w:val="00120E34"/>
    <w:rsid w:val="00120E8D"/>
    <w:rsid w:val="0012121E"/>
    <w:rsid w:val="00121335"/>
    <w:rsid w:val="00121382"/>
    <w:rsid w:val="00121541"/>
    <w:rsid w:val="0012186A"/>
    <w:rsid w:val="00121B5E"/>
    <w:rsid w:val="00121E93"/>
    <w:rsid w:val="00121EDE"/>
    <w:rsid w:val="00121F5D"/>
    <w:rsid w:val="00122706"/>
    <w:rsid w:val="00122B44"/>
    <w:rsid w:val="00122DE6"/>
    <w:rsid w:val="0012359E"/>
    <w:rsid w:val="00123681"/>
    <w:rsid w:val="001238F5"/>
    <w:rsid w:val="00123945"/>
    <w:rsid w:val="00123957"/>
    <w:rsid w:val="00123AB0"/>
    <w:rsid w:val="00123BDF"/>
    <w:rsid w:val="0012410B"/>
    <w:rsid w:val="001241FB"/>
    <w:rsid w:val="00124328"/>
    <w:rsid w:val="0012440C"/>
    <w:rsid w:val="00124462"/>
    <w:rsid w:val="001245F3"/>
    <w:rsid w:val="0012465E"/>
    <w:rsid w:val="0012482B"/>
    <w:rsid w:val="00124A0A"/>
    <w:rsid w:val="00124A7A"/>
    <w:rsid w:val="00124E68"/>
    <w:rsid w:val="00125393"/>
    <w:rsid w:val="0012542E"/>
    <w:rsid w:val="00125666"/>
    <w:rsid w:val="001257EB"/>
    <w:rsid w:val="00125807"/>
    <w:rsid w:val="0012587D"/>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359"/>
    <w:rsid w:val="001334FF"/>
    <w:rsid w:val="00133878"/>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34"/>
    <w:rsid w:val="001354C7"/>
    <w:rsid w:val="00135DC8"/>
    <w:rsid w:val="00135F3C"/>
    <w:rsid w:val="001363D1"/>
    <w:rsid w:val="001363F1"/>
    <w:rsid w:val="001364BC"/>
    <w:rsid w:val="001366A2"/>
    <w:rsid w:val="00136D26"/>
    <w:rsid w:val="001370BE"/>
    <w:rsid w:val="00137319"/>
    <w:rsid w:val="00137425"/>
    <w:rsid w:val="00137470"/>
    <w:rsid w:val="00140405"/>
    <w:rsid w:val="001408F1"/>
    <w:rsid w:val="001409BF"/>
    <w:rsid w:val="001409FC"/>
    <w:rsid w:val="00140A06"/>
    <w:rsid w:val="00140B17"/>
    <w:rsid w:val="00140B5B"/>
    <w:rsid w:val="00140B81"/>
    <w:rsid w:val="00140C28"/>
    <w:rsid w:val="00141418"/>
    <w:rsid w:val="001416BD"/>
    <w:rsid w:val="0014174F"/>
    <w:rsid w:val="00141A02"/>
    <w:rsid w:val="00141C08"/>
    <w:rsid w:val="00141CA1"/>
    <w:rsid w:val="00141D0A"/>
    <w:rsid w:val="0014201B"/>
    <w:rsid w:val="00142062"/>
    <w:rsid w:val="0014210A"/>
    <w:rsid w:val="00142485"/>
    <w:rsid w:val="001424C8"/>
    <w:rsid w:val="001424F2"/>
    <w:rsid w:val="0014296A"/>
    <w:rsid w:val="00142E31"/>
    <w:rsid w:val="00143061"/>
    <w:rsid w:val="00143335"/>
    <w:rsid w:val="00143391"/>
    <w:rsid w:val="0014367F"/>
    <w:rsid w:val="001438FC"/>
    <w:rsid w:val="00143DDE"/>
    <w:rsid w:val="00143F3D"/>
    <w:rsid w:val="0014413D"/>
    <w:rsid w:val="00144F48"/>
    <w:rsid w:val="00145AB8"/>
    <w:rsid w:val="00145BBD"/>
    <w:rsid w:val="00145BCF"/>
    <w:rsid w:val="00145D7D"/>
    <w:rsid w:val="00145F7E"/>
    <w:rsid w:val="001463CA"/>
    <w:rsid w:val="00146572"/>
    <w:rsid w:val="00146971"/>
    <w:rsid w:val="00146E90"/>
    <w:rsid w:val="0014708A"/>
    <w:rsid w:val="00147197"/>
    <w:rsid w:val="00147721"/>
    <w:rsid w:val="0014776E"/>
    <w:rsid w:val="00147784"/>
    <w:rsid w:val="00147791"/>
    <w:rsid w:val="001477F4"/>
    <w:rsid w:val="0014794A"/>
    <w:rsid w:val="00147B3E"/>
    <w:rsid w:val="00147E99"/>
    <w:rsid w:val="00147F64"/>
    <w:rsid w:val="00150056"/>
    <w:rsid w:val="0015007A"/>
    <w:rsid w:val="001501AF"/>
    <w:rsid w:val="001506C7"/>
    <w:rsid w:val="0015095B"/>
    <w:rsid w:val="00150A4F"/>
    <w:rsid w:val="00150F85"/>
    <w:rsid w:val="00151027"/>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79A"/>
    <w:rsid w:val="001538A6"/>
    <w:rsid w:val="00153952"/>
    <w:rsid w:val="00153983"/>
    <w:rsid w:val="00153AD9"/>
    <w:rsid w:val="00153C3E"/>
    <w:rsid w:val="00153E63"/>
    <w:rsid w:val="00153E64"/>
    <w:rsid w:val="00153F3C"/>
    <w:rsid w:val="001540D4"/>
    <w:rsid w:val="00154153"/>
    <w:rsid w:val="00154223"/>
    <w:rsid w:val="00154492"/>
    <w:rsid w:val="001545E0"/>
    <w:rsid w:val="00154908"/>
    <w:rsid w:val="00154E3C"/>
    <w:rsid w:val="00155050"/>
    <w:rsid w:val="00155265"/>
    <w:rsid w:val="001559B7"/>
    <w:rsid w:val="00155BB1"/>
    <w:rsid w:val="00155DAE"/>
    <w:rsid w:val="0015615D"/>
    <w:rsid w:val="001561D4"/>
    <w:rsid w:val="00156208"/>
    <w:rsid w:val="00156301"/>
    <w:rsid w:val="001565BD"/>
    <w:rsid w:val="00156775"/>
    <w:rsid w:val="00156BB9"/>
    <w:rsid w:val="00157383"/>
    <w:rsid w:val="0015754F"/>
    <w:rsid w:val="001576DD"/>
    <w:rsid w:val="00157717"/>
    <w:rsid w:val="001577FE"/>
    <w:rsid w:val="00157826"/>
    <w:rsid w:val="001579E7"/>
    <w:rsid w:val="00157B10"/>
    <w:rsid w:val="00157DA4"/>
    <w:rsid w:val="00160197"/>
    <w:rsid w:val="00160355"/>
    <w:rsid w:val="00160915"/>
    <w:rsid w:val="00160A74"/>
    <w:rsid w:val="00160B1A"/>
    <w:rsid w:val="00160EB3"/>
    <w:rsid w:val="001616F0"/>
    <w:rsid w:val="00161826"/>
    <w:rsid w:val="00161B04"/>
    <w:rsid w:val="00161DD3"/>
    <w:rsid w:val="00162094"/>
    <w:rsid w:val="001623A4"/>
    <w:rsid w:val="001625B7"/>
    <w:rsid w:val="0016261F"/>
    <w:rsid w:val="001630F8"/>
    <w:rsid w:val="00163149"/>
    <w:rsid w:val="0016323F"/>
    <w:rsid w:val="00163676"/>
    <w:rsid w:val="001636EE"/>
    <w:rsid w:val="001637E5"/>
    <w:rsid w:val="001638B6"/>
    <w:rsid w:val="00163961"/>
    <w:rsid w:val="00163A47"/>
    <w:rsid w:val="00163BF8"/>
    <w:rsid w:val="00163F92"/>
    <w:rsid w:val="001642FB"/>
    <w:rsid w:val="0016449C"/>
    <w:rsid w:val="001645E6"/>
    <w:rsid w:val="00164681"/>
    <w:rsid w:val="00164721"/>
    <w:rsid w:val="00164785"/>
    <w:rsid w:val="00164CE6"/>
    <w:rsid w:val="00164DD5"/>
    <w:rsid w:val="001650A6"/>
    <w:rsid w:val="0016516B"/>
    <w:rsid w:val="0016532D"/>
    <w:rsid w:val="00165345"/>
    <w:rsid w:val="00165465"/>
    <w:rsid w:val="00165769"/>
    <w:rsid w:val="00165A0B"/>
    <w:rsid w:val="00165C19"/>
    <w:rsid w:val="00165D60"/>
    <w:rsid w:val="001661B4"/>
    <w:rsid w:val="001661D6"/>
    <w:rsid w:val="00166332"/>
    <w:rsid w:val="001663A4"/>
    <w:rsid w:val="001663DB"/>
    <w:rsid w:val="0016643E"/>
    <w:rsid w:val="001664C3"/>
    <w:rsid w:val="001666E5"/>
    <w:rsid w:val="0016679D"/>
    <w:rsid w:val="00166919"/>
    <w:rsid w:val="00166C29"/>
    <w:rsid w:val="00166E70"/>
    <w:rsid w:val="00166F5E"/>
    <w:rsid w:val="00167305"/>
    <w:rsid w:val="001674CC"/>
    <w:rsid w:val="00167650"/>
    <w:rsid w:val="001676ED"/>
    <w:rsid w:val="001700A5"/>
    <w:rsid w:val="001700B5"/>
    <w:rsid w:val="001702E0"/>
    <w:rsid w:val="001705FC"/>
    <w:rsid w:val="0017076B"/>
    <w:rsid w:val="00170888"/>
    <w:rsid w:val="00170AFC"/>
    <w:rsid w:val="00170BD3"/>
    <w:rsid w:val="0017105B"/>
    <w:rsid w:val="00171357"/>
    <w:rsid w:val="001716AB"/>
    <w:rsid w:val="00171872"/>
    <w:rsid w:val="001718D9"/>
    <w:rsid w:val="001719EA"/>
    <w:rsid w:val="00172295"/>
    <w:rsid w:val="0017264A"/>
    <w:rsid w:val="00172D10"/>
    <w:rsid w:val="00172D59"/>
    <w:rsid w:val="00172ED9"/>
    <w:rsid w:val="00172F37"/>
    <w:rsid w:val="00172F62"/>
    <w:rsid w:val="00173099"/>
    <w:rsid w:val="001730C2"/>
    <w:rsid w:val="001730D9"/>
    <w:rsid w:val="001734D5"/>
    <w:rsid w:val="001738A9"/>
    <w:rsid w:val="00173BC9"/>
    <w:rsid w:val="00173BFF"/>
    <w:rsid w:val="00173C40"/>
    <w:rsid w:val="00173D90"/>
    <w:rsid w:val="00173E07"/>
    <w:rsid w:val="00174654"/>
    <w:rsid w:val="001747EB"/>
    <w:rsid w:val="00174843"/>
    <w:rsid w:val="00174CD1"/>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0EA"/>
    <w:rsid w:val="001807A9"/>
    <w:rsid w:val="00180812"/>
    <w:rsid w:val="0018082C"/>
    <w:rsid w:val="00180C02"/>
    <w:rsid w:val="00180C73"/>
    <w:rsid w:val="00180CA5"/>
    <w:rsid w:val="00180DB8"/>
    <w:rsid w:val="00180DD5"/>
    <w:rsid w:val="00180F59"/>
    <w:rsid w:val="001810AC"/>
    <w:rsid w:val="0018161C"/>
    <w:rsid w:val="0018176E"/>
    <w:rsid w:val="001818CE"/>
    <w:rsid w:val="00181A1B"/>
    <w:rsid w:val="00181DFD"/>
    <w:rsid w:val="001821DE"/>
    <w:rsid w:val="00182429"/>
    <w:rsid w:val="001824D3"/>
    <w:rsid w:val="001824FF"/>
    <w:rsid w:val="00182D7D"/>
    <w:rsid w:val="00182F24"/>
    <w:rsid w:val="001831CD"/>
    <w:rsid w:val="001832C4"/>
    <w:rsid w:val="001833D0"/>
    <w:rsid w:val="00183592"/>
    <w:rsid w:val="0018363F"/>
    <w:rsid w:val="00183764"/>
    <w:rsid w:val="001839A0"/>
    <w:rsid w:val="00183A22"/>
    <w:rsid w:val="00183EF3"/>
    <w:rsid w:val="001843EF"/>
    <w:rsid w:val="001844BB"/>
    <w:rsid w:val="001844C3"/>
    <w:rsid w:val="00184870"/>
    <w:rsid w:val="00184950"/>
    <w:rsid w:val="00184EF9"/>
    <w:rsid w:val="00184FD0"/>
    <w:rsid w:val="00185069"/>
    <w:rsid w:val="001852B6"/>
    <w:rsid w:val="00185546"/>
    <w:rsid w:val="00185816"/>
    <w:rsid w:val="00185928"/>
    <w:rsid w:val="00185CBE"/>
    <w:rsid w:val="00185CCB"/>
    <w:rsid w:val="00185D07"/>
    <w:rsid w:val="001860F4"/>
    <w:rsid w:val="001864D1"/>
    <w:rsid w:val="00186B84"/>
    <w:rsid w:val="00186CA2"/>
    <w:rsid w:val="00186CD2"/>
    <w:rsid w:val="0018707E"/>
    <w:rsid w:val="001870AB"/>
    <w:rsid w:val="001870FE"/>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24F"/>
    <w:rsid w:val="0019086F"/>
    <w:rsid w:val="001908F8"/>
    <w:rsid w:val="00190A1E"/>
    <w:rsid w:val="001912E2"/>
    <w:rsid w:val="00191A2A"/>
    <w:rsid w:val="00191BF5"/>
    <w:rsid w:val="00191C56"/>
    <w:rsid w:val="00191DD2"/>
    <w:rsid w:val="00191E0F"/>
    <w:rsid w:val="00191EC5"/>
    <w:rsid w:val="001920C5"/>
    <w:rsid w:val="001922AC"/>
    <w:rsid w:val="001922F8"/>
    <w:rsid w:val="001922FE"/>
    <w:rsid w:val="0019262E"/>
    <w:rsid w:val="00192AF8"/>
    <w:rsid w:val="00192DC8"/>
    <w:rsid w:val="00192E36"/>
    <w:rsid w:val="00192ED2"/>
    <w:rsid w:val="00192F57"/>
    <w:rsid w:val="001930FC"/>
    <w:rsid w:val="001932A6"/>
    <w:rsid w:val="0019344A"/>
    <w:rsid w:val="00193567"/>
    <w:rsid w:val="001939BF"/>
    <w:rsid w:val="00193D1E"/>
    <w:rsid w:val="00193FA0"/>
    <w:rsid w:val="001946EE"/>
    <w:rsid w:val="0019484D"/>
    <w:rsid w:val="00194A0F"/>
    <w:rsid w:val="00194BD5"/>
    <w:rsid w:val="00194D19"/>
    <w:rsid w:val="00195512"/>
    <w:rsid w:val="00196088"/>
    <w:rsid w:val="001962D1"/>
    <w:rsid w:val="00196558"/>
    <w:rsid w:val="001965B8"/>
    <w:rsid w:val="00196902"/>
    <w:rsid w:val="00196BE4"/>
    <w:rsid w:val="00196CC1"/>
    <w:rsid w:val="001970C6"/>
    <w:rsid w:val="001971D4"/>
    <w:rsid w:val="00197294"/>
    <w:rsid w:val="001974CD"/>
    <w:rsid w:val="00197522"/>
    <w:rsid w:val="001976A1"/>
    <w:rsid w:val="0019786E"/>
    <w:rsid w:val="00197A47"/>
    <w:rsid w:val="001A01B9"/>
    <w:rsid w:val="001A02EB"/>
    <w:rsid w:val="001A0303"/>
    <w:rsid w:val="001A03B3"/>
    <w:rsid w:val="001A066C"/>
    <w:rsid w:val="001A06E0"/>
    <w:rsid w:val="001A090B"/>
    <w:rsid w:val="001A0C22"/>
    <w:rsid w:val="001A0CB3"/>
    <w:rsid w:val="001A0D6D"/>
    <w:rsid w:val="001A102F"/>
    <w:rsid w:val="001A14A4"/>
    <w:rsid w:val="001A1572"/>
    <w:rsid w:val="001A17A3"/>
    <w:rsid w:val="001A183D"/>
    <w:rsid w:val="001A1B86"/>
    <w:rsid w:val="001A1CA7"/>
    <w:rsid w:val="001A1CAD"/>
    <w:rsid w:val="001A1DC1"/>
    <w:rsid w:val="001A2019"/>
    <w:rsid w:val="001A2024"/>
    <w:rsid w:val="001A25C5"/>
    <w:rsid w:val="001A2787"/>
    <w:rsid w:val="001A2A80"/>
    <w:rsid w:val="001A2C40"/>
    <w:rsid w:val="001A2D05"/>
    <w:rsid w:val="001A3205"/>
    <w:rsid w:val="001A3266"/>
    <w:rsid w:val="001A332F"/>
    <w:rsid w:val="001A334D"/>
    <w:rsid w:val="001A3653"/>
    <w:rsid w:val="001A3A1C"/>
    <w:rsid w:val="001A3A62"/>
    <w:rsid w:val="001A3C4B"/>
    <w:rsid w:val="001A4016"/>
    <w:rsid w:val="001A4259"/>
    <w:rsid w:val="001A446E"/>
    <w:rsid w:val="001A44B7"/>
    <w:rsid w:val="001A45AB"/>
    <w:rsid w:val="001A4C2D"/>
    <w:rsid w:val="001A4D24"/>
    <w:rsid w:val="001A4FE4"/>
    <w:rsid w:val="001A50BC"/>
    <w:rsid w:val="001A50E4"/>
    <w:rsid w:val="001A53FD"/>
    <w:rsid w:val="001A554D"/>
    <w:rsid w:val="001A5632"/>
    <w:rsid w:val="001A5720"/>
    <w:rsid w:val="001A58FB"/>
    <w:rsid w:val="001A59BE"/>
    <w:rsid w:val="001A5B7A"/>
    <w:rsid w:val="001A5E1E"/>
    <w:rsid w:val="001A5EB0"/>
    <w:rsid w:val="001A5EFC"/>
    <w:rsid w:val="001A5FC1"/>
    <w:rsid w:val="001A602A"/>
    <w:rsid w:val="001A61A3"/>
    <w:rsid w:val="001A63A1"/>
    <w:rsid w:val="001A63A2"/>
    <w:rsid w:val="001A65C7"/>
    <w:rsid w:val="001A6647"/>
    <w:rsid w:val="001A6852"/>
    <w:rsid w:val="001A68DD"/>
    <w:rsid w:val="001A695B"/>
    <w:rsid w:val="001A6B5F"/>
    <w:rsid w:val="001A6BBB"/>
    <w:rsid w:val="001A6E9C"/>
    <w:rsid w:val="001A6ED0"/>
    <w:rsid w:val="001A6F52"/>
    <w:rsid w:val="001A7123"/>
    <w:rsid w:val="001A73E8"/>
    <w:rsid w:val="001A7453"/>
    <w:rsid w:val="001A7460"/>
    <w:rsid w:val="001A77FD"/>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B46"/>
    <w:rsid w:val="001B0E7D"/>
    <w:rsid w:val="001B0FAC"/>
    <w:rsid w:val="001B100D"/>
    <w:rsid w:val="001B1034"/>
    <w:rsid w:val="001B1499"/>
    <w:rsid w:val="001B15A6"/>
    <w:rsid w:val="001B17DA"/>
    <w:rsid w:val="001B1A64"/>
    <w:rsid w:val="001B1B45"/>
    <w:rsid w:val="001B1BC5"/>
    <w:rsid w:val="001B1C3B"/>
    <w:rsid w:val="001B1C41"/>
    <w:rsid w:val="001B1CD7"/>
    <w:rsid w:val="001B251D"/>
    <w:rsid w:val="001B296B"/>
    <w:rsid w:val="001B2A14"/>
    <w:rsid w:val="001B31D0"/>
    <w:rsid w:val="001B31FB"/>
    <w:rsid w:val="001B35F9"/>
    <w:rsid w:val="001B3705"/>
    <w:rsid w:val="001B3734"/>
    <w:rsid w:val="001B3A7C"/>
    <w:rsid w:val="001B3DCD"/>
    <w:rsid w:val="001B3EB5"/>
    <w:rsid w:val="001B400F"/>
    <w:rsid w:val="001B4075"/>
    <w:rsid w:val="001B42A3"/>
    <w:rsid w:val="001B43E8"/>
    <w:rsid w:val="001B4508"/>
    <w:rsid w:val="001B459A"/>
    <w:rsid w:val="001B4792"/>
    <w:rsid w:val="001B4D25"/>
    <w:rsid w:val="001B4D98"/>
    <w:rsid w:val="001B4E0C"/>
    <w:rsid w:val="001B5070"/>
    <w:rsid w:val="001B51CB"/>
    <w:rsid w:val="001B533B"/>
    <w:rsid w:val="001B54BE"/>
    <w:rsid w:val="001B56D9"/>
    <w:rsid w:val="001B572C"/>
    <w:rsid w:val="001B57D4"/>
    <w:rsid w:val="001B627A"/>
    <w:rsid w:val="001B6448"/>
    <w:rsid w:val="001B69DD"/>
    <w:rsid w:val="001B6B7E"/>
    <w:rsid w:val="001B6BAD"/>
    <w:rsid w:val="001B6F81"/>
    <w:rsid w:val="001B70A1"/>
    <w:rsid w:val="001B76B5"/>
    <w:rsid w:val="001B7802"/>
    <w:rsid w:val="001B7D65"/>
    <w:rsid w:val="001B7D87"/>
    <w:rsid w:val="001B7E7B"/>
    <w:rsid w:val="001C0383"/>
    <w:rsid w:val="001C0463"/>
    <w:rsid w:val="001C04E3"/>
    <w:rsid w:val="001C04FE"/>
    <w:rsid w:val="001C10DE"/>
    <w:rsid w:val="001C11EB"/>
    <w:rsid w:val="001C13D8"/>
    <w:rsid w:val="001C151B"/>
    <w:rsid w:val="001C15ED"/>
    <w:rsid w:val="001C17B1"/>
    <w:rsid w:val="001C18FB"/>
    <w:rsid w:val="001C19DF"/>
    <w:rsid w:val="001C1B45"/>
    <w:rsid w:val="001C1CE9"/>
    <w:rsid w:val="001C1FB2"/>
    <w:rsid w:val="001C1FCF"/>
    <w:rsid w:val="001C2232"/>
    <w:rsid w:val="001C25DA"/>
    <w:rsid w:val="001C2668"/>
    <w:rsid w:val="001C2D6D"/>
    <w:rsid w:val="001C2EEF"/>
    <w:rsid w:val="001C31B9"/>
    <w:rsid w:val="001C3321"/>
    <w:rsid w:val="001C3584"/>
    <w:rsid w:val="001C394A"/>
    <w:rsid w:val="001C3D04"/>
    <w:rsid w:val="001C3EC5"/>
    <w:rsid w:val="001C4423"/>
    <w:rsid w:val="001C4510"/>
    <w:rsid w:val="001C46B9"/>
    <w:rsid w:val="001C4737"/>
    <w:rsid w:val="001C4833"/>
    <w:rsid w:val="001C48DA"/>
    <w:rsid w:val="001C4B1B"/>
    <w:rsid w:val="001C580F"/>
    <w:rsid w:val="001C58C0"/>
    <w:rsid w:val="001C592C"/>
    <w:rsid w:val="001C5C8A"/>
    <w:rsid w:val="001C5E12"/>
    <w:rsid w:val="001C6197"/>
    <w:rsid w:val="001C65AE"/>
    <w:rsid w:val="001C680C"/>
    <w:rsid w:val="001C68EB"/>
    <w:rsid w:val="001C6B35"/>
    <w:rsid w:val="001C6E36"/>
    <w:rsid w:val="001C6ECF"/>
    <w:rsid w:val="001C6F47"/>
    <w:rsid w:val="001C7433"/>
    <w:rsid w:val="001C747B"/>
    <w:rsid w:val="001C77BC"/>
    <w:rsid w:val="001C77DB"/>
    <w:rsid w:val="001C79E6"/>
    <w:rsid w:val="001C79EE"/>
    <w:rsid w:val="001C7BBA"/>
    <w:rsid w:val="001C7C96"/>
    <w:rsid w:val="001C7CF5"/>
    <w:rsid w:val="001C7D9C"/>
    <w:rsid w:val="001D00BA"/>
    <w:rsid w:val="001D0217"/>
    <w:rsid w:val="001D03B9"/>
    <w:rsid w:val="001D0413"/>
    <w:rsid w:val="001D0733"/>
    <w:rsid w:val="001D091B"/>
    <w:rsid w:val="001D0AC4"/>
    <w:rsid w:val="001D0D78"/>
    <w:rsid w:val="001D0EF8"/>
    <w:rsid w:val="001D0FE7"/>
    <w:rsid w:val="001D112C"/>
    <w:rsid w:val="001D11F0"/>
    <w:rsid w:val="001D171E"/>
    <w:rsid w:val="001D2280"/>
    <w:rsid w:val="001D27B6"/>
    <w:rsid w:val="001D2BA0"/>
    <w:rsid w:val="001D35D5"/>
    <w:rsid w:val="001D3722"/>
    <w:rsid w:val="001D3813"/>
    <w:rsid w:val="001D39D7"/>
    <w:rsid w:val="001D3B0F"/>
    <w:rsid w:val="001D3DAC"/>
    <w:rsid w:val="001D4080"/>
    <w:rsid w:val="001D4188"/>
    <w:rsid w:val="001D41D1"/>
    <w:rsid w:val="001D41E2"/>
    <w:rsid w:val="001D437D"/>
    <w:rsid w:val="001D45BA"/>
    <w:rsid w:val="001D4679"/>
    <w:rsid w:val="001D48E3"/>
    <w:rsid w:val="001D4997"/>
    <w:rsid w:val="001D4B50"/>
    <w:rsid w:val="001D4D89"/>
    <w:rsid w:val="001D4F82"/>
    <w:rsid w:val="001D5301"/>
    <w:rsid w:val="001D5466"/>
    <w:rsid w:val="001D585C"/>
    <w:rsid w:val="001D5903"/>
    <w:rsid w:val="001D595B"/>
    <w:rsid w:val="001D59BC"/>
    <w:rsid w:val="001D5B41"/>
    <w:rsid w:val="001D5C65"/>
    <w:rsid w:val="001D5D1B"/>
    <w:rsid w:val="001D5F00"/>
    <w:rsid w:val="001D670F"/>
    <w:rsid w:val="001D68FE"/>
    <w:rsid w:val="001D6923"/>
    <w:rsid w:val="001D6964"/>
    <w:rsid w:val="001D6C21"/>
    <w:rsid w:val="001D6DC1"/>
    <w:rsid w:val="001D72EF"/>
    <w:rsid w:val="001D7541"/>
    <w:rsid w:val="001D7715"/>
    <w:rsid w:val="001D7E6D"/>
    <w:rsid w:val="001E0259"/>
    <w:rsid w:val="001E035B"/>
    <w:rsid w:val="001E03CE"/>
    <w:rsid w:val="001E05B7"/>
    <w:rsid w:val="001E0A98"/>
    <w:rsid w:val="001E0B9A"/>
    <w:rsid w:val="001E0C41"/>
    <w:rsid w:val="001E0CEF"/>
    <w:rsid w:val="001E0F21"/>
    <w:rsid w:val="001E0F6D"/>
    <w:rsid w:val="001E15FE"/>
    <w:rsid w:val="001E161D"/>
    <w:rsid w:val="001E17B2"/>
    <w:rsid w:val="001E1BB8"/>
    <w:rsid w:val="001E1F2E"/>
    <w:rsid w:val="001E2175"/>
    <w:rsid w:val="001E21EA"/>
    <w:rsid w:val="001E2351"/>
    <w:rsid w:val="001E2525"/>
    <w:rsid w:val="001E2729"/>
    <w:rsid w:val="001E2862"/>
    <w:rsid w:val="001E295A"/>
    <w:rsid w:val="001E2A37"/>
    <w:rsid w:val="001E2C18"/>
    <w:rsid w:val="001E34A4"/>
    <w:rsid w:val="001E3584"/>
    <w:rsid w:val="001E35FD"/>
    <w:rsid w:val="001E3A51"/>
    <w:rsid w:val="001E3B09"/>
    <w:rsid w:val="001E3B15"/>
    <w:rsid w:val="001E3C0D"/>
    <w:rsid w:val="001E436A"/>
    <w:rsid w:val="001E44C6"/>
    <w:rsid w:val="001E45D5"/>
    <w:rsid w:val="001E462A"/>
    <w:rsid w:val="001E4B3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4D6"/>
    <w:rsid w:val="001E7518"/>
    <w:rsid w:val="001E758F"/>
    <w:rsid w:val="001E765C"/>
    <w:rsid w:val="001E7741"/>
    <w:rsid w:val="001E77A4"/>
    <w:rsid w:val="001E77D1"/>
    <w:rsid w:val="001E787B"/>
    <w:rsid w:val="001E79DD"/>
    <w:rsid w:val="001E79E2"/>
    <w:rsid w:val="001E7C26"/>
    <w:rsid w:val="001F0008"/>
    <w:rsid w:val="001F00BC"/>
    <w:rsid w:val="001F04D8"/>
    <w:rsid w:val="001F0602"/>
    <w:rsid w:val="001F08E5"/>
    <w:rsid w:val="001F09AF"/>
    <w:rsid w:val="001F0A12"/>
    <w:rsid w:val="001F0B89"/>
    <w:rsid w:val="001F0C8D"/>
    <w:rsid w:val="001F1458"/>
    <w:rsid w:val="001F162D"/>
    <w:rsid w:val="001F1A7E"/>
    <w:rsid w:val="001F1ACF"/>
    <w:rsid w:val="001F1F32"/>
    <w:rsid w:val="001F201C"/>
    <w:rsid w:val="001F219E"/>
    <w:rsid w:val="001F2403"/>
    <w:rsid w:val="001F25BD"/>
    <w:rsid w:val="001F25EF"/>
    <w:rsid w:val="001F28BF"/>
    <w:rsid w:val="001F28DC"/>
    <w:rsid w:val="001F2C05"/>
    <w:rsid w:val="001F2E05"/>
    <w:rsid w:val="001F34E1"/>
    <w:rsid w:val="001F37CE"/>
    <w:rsid w:val="001F3906"/>
    <w:rsid w:val="001F3B91"/>
    <w:rsid w:val="001F3D7C"/>
    <w:rsid w:val="001F4229"/>
    <w:rsid w:val="001F4355"/>
    <w:rsid w:val="001F452E"/>
    <w:rsid w:val="001F475C"/>
    <w:rsid w:val="001F4A26"/>
    <w:rsid w:val="001F4BD7"/>
    <w:rsid w:val="001F4C53"/>
    <w:rsid w:val="001F4D28"/>
    <w:rsid w:val="001F4E1E"/>
    <w:rsid w:val="001F4F9A"/>
    <w:rsid w:val="001F51CB"/>
    <w:rsid w:val="001F51F6"/>
    <w:rsid w:val="001F5646"/>
    <w:rsid w:val="001F56D3"/>
    <w:rsid w:val="001F57FF"/>
    <w:rsid w:val="001F58F5"/>
    <w:rsid w:val="001F5956"/>
    <w:rsid w:val="001F5A25"/>
    <w:rsid w:val="001F5A4A"/>
    <w:rsid w:val="001F5AE6"/>
    <w:rsid w:val="001F5B4A"/>
    <w:rsid w:val="001F5C00"/>
    <w:rsid w:val="001F5C30"/>
    <w:rsid w:val="001F5C54"/>
    <w:rsid w:val="001F5D90"/>
    <w:rsid w:val="001F61D7"/>
    <w:rsid w:val="001F6B23"/>
    <w:rsid w:val="001F6BCF"/>
    <w:rsid w:val="001F6C18"/>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541"/>
    <w:rsid w:val="002026BF"/>
    <w:rsid w:val="00202A30"/>
    <w:rsid w:val="00202A5F"/>
    <w:rsid w:val="00202DA7"/>
    <w:rsid w:val="00202F74"/>
    <w:rsid w:val="0020318B"/>
    <w:rsid w:val="002031AB"/>
    <w:rsid w:val="00203310"/>
    <w:rsid w:val="0020347A"/>
    <w:rsid w:val="002036AA"/>
    <w:rsid w:val="00203B39"/>
    <w:rsid w:val="00203B3C"/>
    <w:rsid w:val="00203D52"/>
    <w:rsid w:val="00203DB2"/>
    <w:rsid w:val="00203E7E"/>
    <w:rsid w:val="002040C7"/>
    <w:rsid w:val="002044AA"/>
    <w:rsid w:val="00204734"/>
    <w:rsid w:val="00204843"/>
    <w:rsid w:val="00204B36"/>
    <w:rsid w:val="00204BAA"/>
    <w:rsid w:val="00204CEC"/>
    <w:rsid w:val="00204DF5"/>
    <w:rsid w:val="00205236"/>
    <w:rsid w:val="002053E2"/>
    <w:rsid w:val="0020559E"/>
    <w:rsid w:val="00205B3A"/>
    <w:rsid w:val="00205F15"/>
    <w:rsid w:val="0020610A"/>
    <w:rsid w:val="002064C9"/>
    <w:rsid w:val="00206676"/>
    <w:rsid w:val="0020687E"/>
    <w:rsid w:val="00206A85"/>
    <w:rsid w:val="00206CA4"/>
    <w:rsid w:val="002070EA"/>
    <w:rsid w:val="0020712A"/>
    <w:rsid w:val="00207700"/>
    <w:rsid w:val="00207853"/>
    <w:rsid w:val="002079D9"/>
    <w:rsid w:val="00207A8D"/>
    <w:rsid w:val="00210269"/>
    <w:rsid w:val="002105BF"/>
    <w:rsid w:val="00210F5F"/>
    <w:rsid w:val="00210FDF"/>
    <w:rsid w:val="00210FF4"/>
    <w:rsid w:val="002111C6"/>
    <w:rsid w:val="00211279"/>
    <w:rsid w:val="002113EB"/>
    <w:rsid w:val="002118CB"/>
    <w:rsid w:val="0021193D"/>
    <w:rsid w:val="00211B2F"/>
    <w:rsid w:val="00211B32"/>
    <w:rsid w:val="00211BD9"/>
    <w:rsid w:val="00211C2B"/>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8BF"/>
    <w:rsid w:val="00214A3D"/>
    <w:rsid w:val="00214E34"/>
    <w:rsid w:val="00215065"/>
    <w:rsid w:val="002150B5"/>
    <w:rsid w:val="00215329"/>
    <w:rsid w:val="0021540F"/>
    <w:rsid w:val="0021560F"/>
    <w:rsid w:val="00215619"/>
    <w:rsid w:val="0021564D"/>
    <w:rsid w:val="00215821"/>
    <w:rsid w:val="00215A04"/>
    <w:rsid w:val="00215C09"/>
    <w:rsid w:val="00215CD9"/>
    <w:rsid w:val="00215D24"/>
    <w:rsid w:val="00215D55"/>
    <w:rsid w:val="00215DA9"/>
    <w:rsid w:val="002164C2"/>
    <w:rsid w:val="0021653C"/>
    <w:rsid w:val="00216840"/>
    <w:rsid w:val="00216DD8"/>
    <w:rsid w:val="0021709E"/>
    <w:rsid w:val="002171ED"/>
    <w:rsid w:val="0021726E"/>
    <w:rsid w:val="002172CA"/>
    <w:rsid w:val="002178CA"/>
    <w:rsid w:val="00217919"/>
    <w:rsid w:val="002179F6"/>
    <w:rsid w:val="00217D07"/>
    <w:rsid w:val="00217E30"/>
    <w:rsid w:val="00217E33"/>
    <w:rsid w:val="00217E48"/>
    <w:rsid w:val="002202DD"/>
    <w:rsid w:val="00220EC6"/>
    <w:rsid w:val="002210AF"/>
    <w:rsid w:val="002212B8"/>
    <w:rsid w:val="002216B1"/>
    <w:rsid w:val="0022186A"/>
    <w:rsid w:val="00221A73"/>
    <w:rsid w:val="00221B95"/>
    <w:rsid w:val="00221CAB"/>
    <w:rsid w:val="00221CDB"/>
    <w:rsid w:val="00221CDE"/>
    <w:rsid w:val="00221D83"/>
    <w:rsid w:val="00221F6F"/>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AC6"/>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C82"/>
    <w:rsid w:val="00227EC2"/>
    <w:rsid w:val="00230277"/>
    <w:rsid w:val="0023029C"/>
    <w:rsid w:val="002302FC"/>
    <w:rsid w:val="002303C6"/>
    <w:rsid w:val="00230D30"/>
    <w:rsid w:val="00230DC9"/>
    <w:rsid w:val="00230DD6"/>
    <w:rsid w:val="00230EE6"/>
    <w:rsid w:val="00230F07"/>
    <w:rsid w:val="0023133E"/>
    <w:rsid w:val="0023153C"/>
    <w:rsid w:val="0023194F"/>
    <w:rsid w:val="002319B1"/>
    <w:rsid w:val="00231CD6"/>
    <w:rsid w:val="00231DFE"/>
    <w:rsid w:val="00232166"/>
    <w:rsid w:val="00232359"/>
    <w:rsid w:val="00232631"/>
    <w:rsid w:val="00232638"/>
    <w:rsid w:val="00232BAA"/>
    <w:rsid w:val="00232DF2"/>
    <w:rsid w:val="00232E14"/>
    <w:rsid w:val="00232E5E"/>
    <w:rsid w:val="0023356F"/>
    <w:rsid w:val="00233656"/>
    <w:rsid w:val="00233749"/>
    <w:rsid w:val="002338E8"/>
    <w:rsid w:val="00233983"/>
    <w:rsid w:val="00233B5C"/>
    <w:rsid w:val="00233CA9"/>
    <w:rsid w:val="00233E26"/>
    <w:rsid w:val="00233E5C"/>
    <w:rsid w:val="00233ED8"/>
    <w:rsid w:val="00233FD6"/>
    <w:rsid w:val="0023423A"/>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68AF"/>
    <w:rsid w:val="00237015"/>
    <w:rsid w:val="00237507"/>
    <w:rsid w:val="0023752E"/>
    <w:rsid w:val="0023757C"/>
    <w:rsid w:val="00237622"/>
    <w:rsid w:val="00237677"/>
    <w:rsid w:val="00237701"/>
    <w:rsid w:val="002377AD"/>
    <w:rsid w:val="00237C25"/>
    <w:rsid w:val="00237C85"/>
    <w:rsid w:val="00237D02"/>
    <w:rsid w:val="00237EEE"/>
    <w:rsid w:val="0024029B"/>
    <w:rsid w:val="002402D7"/>
    <w:rsid w:val="0024032B"/>
    <w:rsid w:val="002406E1"/>
    <w:rsid w:val="00240932"/>
    <w:rsid w:val="00240A59"/>
    <w:rsid w:val="00240D88"/>
    <w:rsid w:val="0024116F"/>
    <w:rsid w:val="00241341"/>
    <w:rsid w:val="002414C9"/>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24B"/>
    <w:rsid w:val="0024431C"/>
    <w:rsid w:val="0024456F"/>
    <w:rsid w:val="00244969"/>
    <w:rsid w:val="00244EA6"/>
    <w:rsid w:val="00244EAE"/>
    <w:rsid w:val="00245424"/>
    <w:rsid w:val="0024573A"/>
    <w:rsid w:val="002457C1"/>
    <w:rsid w:val="0024588B"/>
    <w:rsid w:val="002458E8"/>
    <w:rsid w:val="00245BF1"/>
    <w:rsid w:val="00245EEA"/>
    <w:rsid w:val="00245F0C"/>
    <w:rsid w:val="00245F73"/>
    <w:rsid w:val="002465C5"/>
    <w:rsid w:val="002465CE"/>
    <w:rsid w:val="0024665E"/>
    <w:rsid w:val="00246682"/>
    <w:rsid w:val="0024668D"/>
    <w:rsid w:val="00246ABF"/>
    <w:rsid w:val="00246BBE"/>
    <w:rsid w:val="00246D5F"/>
    <w:rsid w:val="00247280"/>
    <w:rsid w:val="002474CC"/>
    <w:rsid w:val="002474F0"/>
    <w:rsid w:val="00247599"/>
    <w:rsid w:val="0024773E"/>
    <w:rsid w:val="0024780E"/>
    <w:rsid w:val="00247A12"/>
    <w:rsid w:val="00247A18"/>
    <w:rsid w:val="00247BEA"/>
    <w:rsid w:val="00247BED"/>
    <w:rsid w:val="00247C95"/>
    <w:rsid w:val="00250018"/>
    <w:rsid w:val="0025015C"/>
    <w:rsid w:val="002501C7"/>
    <w:rsid w:val="0025093D"/>
    <w:rsid w:val="002509CE"/>
    <w:rsid w:val="002509FE"/>
    <w:rsid w:val="00250A36"/>
    <w:rsid w:val="00250E62"/>
    <w:rsid w:val="00250ECD"/>
    <w:rsid w:val="00251286"/>
    <w:rsid w:val="002512AA"/>
    <w:rsid w:val="00251401"/>
    <w:rsid w:val="00251693"/>
    <w:rsid w:val="002516B7"/>
    <w:rsid w:val="002517BC"/>
    <w:rsid w:val="002519D3"/>
    <w:rsid w:val="00251E29"/>
    <w:rsid w:val="00252029"/>
    <w:rsid w:val="00252072"/>
    <w:rsid w:val="002521D6"/>
    <w:rsid w:val="00252321"/>
    <w:rsid w:val="00252528"/>
    <w:rsid w:val="00252719"/>
    <w:rsid w:val="00252890"/>
    <w:rsid w:val="00252898"/>
    <w:rsid w:val="00252CC6"/>
    <w:rsid w:val="00252F33"/>
    <w:rsid w:val="00252FE9"/>
    <w:rsid w:val="002535BD"/>
    <w:rsid w:val="00253A58"/>
    <w:rsid w:val="00253D1B"/>
    <w:rsid w:val="00253F47"/>
    <w:rsid w:val="00253F7D"/>
    <w:rsid w:val="00253FB8"/>
    <w:rsid w:val="00254470"/>
    <w:rsid w:val="00254560"/>
    <w:rsid w:val="0025459C"/>
    <w:rsid w:val="00254614"/>
    <w:rsid w:val="002546A9"/>
    <w:rsid w:val="002546C5"/>
    <w:rsid w:val="00255137"/>
    <w:rsid w:val="00255452"/>
    <w:rsid w:val="002554A7"/>
    <w:rsid w:val="00255578"/>
    <w:rsid w:val="002556B3"/>
    <w:rsid w:val="002556E1"/>
    <w:rsid w:val="00255A78"/>
    <w:rsid w:val="00255BF8"/>
    <w:rsid w:val="00255C80"/>
    <w:rsid w:val="00256063"/>
    <w:rsid w:val="0025616F"/>
    <w:rsid w:val="002563A7"/>
    <w:rsid w:val="002563EC"/>
    <w:rsid w:val="0025664F"/>
    <w:rsid w:val="0025668E"/>
    <w:rsid w:val="002566AB"/>
    <w:rsid w:val="002568E7"/>
    <w:rsid w:val="00256ADD"/>
    <w:rsid w:val="00256BE4"/>
    <w:rsid w:val="00256D78"/>
    <w:rsid w:val="00256F85"/>
    <w:rsid w:val="002571BB"/>
    <w:rsid w:val="002576C5"/>
    <w:rsid w:val="00257B30"/>
    <w:rsid w:val="00257D10"/>
    <w:rsid w:val="00257D45"/>
    <w:rsid w:val="00257D71"/>
    <w:rsid w:val="00257F05"/>
    <w:rsid w:val="00257FEE"/>
    <w:rsid w:val="00260320"/>
    <w:rsid w:val="0026034E"/>
    <w:rsid w:val="0026035B"/>
    <w:rsid w:val="00260441"/>
    <w:rsid w:val="0026086F"/>
    <w:rsid w:val="00260B9E"/>
    <w:rsid w:val="00260BDC"/>
    <w:rsid w:val="00260BE4"/>
    <w:rsid w:val="00260DDA"/>
    <w:rsid w:val="00261102"/>
    <w:rsid w:val="00261486"/>
    <w:rsid w:val="00261624"/>
    <w:rsid w:val="002618A1"/>
    <w:rsid w:val="0026196C"/>
    <w:rsid w:val="002619F0"/>
    <w:rsid w:val="00261B14"/>
    <w:rsid w:val="00261C78"/>
    <w:rsid w:val="00261D2F"/>
    <w:rsid w:val="00261DD1"/>
    <w:rsid w:val="00261FEE"/>
    <w:rsid w:val="002625B1"/>
    <w:rsid w:val="002625CD"/>
    <w:rsid w:val="0026269C"/>
    <w:rsid w:val="00262AC3"/>
    <w:rsid w:val="00262ACD"/>
    <w:rsid w:val="00262DD9"/>
    <w:rsid w:val="00262E46"/>
    <w:rsid w:val="002630EB"/>
    <w:rsid w:val="002631AE"/>
    <w:rsid w:val="0026332A"/>
    <w:rsid w:val="002633CF"/>
    <w:rsid w:val="00263439"/>
    <w:rsid w:val="002637D2"/>
    <w:rsid w:val="00263CE7"/>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20"/>
    <w:rsid w:val="00265425"/>
    <w:rsid w:val="002654AF"/>
    <w:rsid w:val="002656F4"/>
    <w:rsid w:val="002658EF"/>
    <w:rsid w:val="00265BA7"/>
    <w:rsid w:val="00265CD1"/>
    <w:rsid w:val="00265D7B"/>
    <w:rsid w:val="00266140"/>
    <w:rsid w:val="0026615E"/>
    <w:rsid w:val="0026637B"/>
    <w:rsid w:val="002664D5"/>
    <w:rsid w:val="00266567"/>
    <w:rsid w:val="00266588"/>
    <w:rsid w:val="0026689A"/>
    <w:rsid w:val="002668EB"/>
    <w:rsid w:val="00266B0F"/>
    <w:rsid w:val="002671AB"/>
    <w:rsid w:val="0026730F"/>
    <w:rsid w:val="002673CC"/>
    <w:rsid w:val="00267B57"/>
    <w:rsid w:val="00267C0D"/>
    <w:rsid w:val="00267EE3"/>
    <w:rsid w:val="00270014"/>
    <w:rsid w:val="00270017"/>
    <w:rsid w:val="0027039E"/>
    <w:rsid w:val="00270719"/>
    <w:rsid w:val="0027096B"/>
    <w:rsid w:val="00270B0A"/>
    <w:rsid w:val="00270E3C"/>
    <w:rsid w:val="00270EE6"/>
    <w:rsid w:val="00271269"/>
    <w:rsid w:val="002712AD"/>
    <w:rsid w:val="0027150C"/>
    <w:rsid w:val="002717B1"/>
    <w:rsid w:val="00271C81"/>
    <w:rsid w:val="00271E5E"/>
    <w:rsid w:val="00271EC6"/>
    <w:rsid w:val="00271FDE"/>
    <w:rsid w:val="00272266"/>
    <w:rsid w:val="00272497"/>
    <w:rsid w:val="00272751"/>
    <w:rsid w:val="00272A3D"/>
    <w:rsid w:val="00272B42"/>
    <w:rsid w:val="00272C1D"/>
    <w:rsid w:val="00272D22"/>
    <w:rsid w:val="00272D3A"/>
    <w:rsid w:val="00272F67"/>
    <w:rsid w:val="0027312B"/>
    <w:rsid w:val="00273231"/>
    <w:rsid w:val="0027352C"/>
    <w:rsid w:val="00273A74"/>
    <w:rsid w:val="00273A98"/>
    <w:rsid w:val="00273C44"/>
    <w:rsid w:val="00273F7F"/>
    <w:rsid w:val="00274104"/>
    <w:rsid w:val="0027464C"/>
    <w:rsid w:val="00274C62"/>
    <w:rsid w:val="00274E39"/>
    <w:rsid w:val="00274E49"/>
    <w:rsid w:val="00275026"/>
    <w:rsid w:val="0027504D"/>
    <w:rsid w:val="002750EB"/>
    <w:rsid w:val="0027528D"/>
    <w:rsid w:val="00275370"/>
    <w:rsid w:val="00275482"/>
    <w:rsid w:val="002756D4"/>
    <w:rsid w:val="00275BAA"/>
    <w:rsid w:val="00275E50"/>
    <w:rsid w:val="00276574"/>
    <w:rsid w:val="00276944"/>
    <w:rsid w:val="00276CAD"/>
    <w:rsid w:val="00276D67"/>
    <w:rsid w:val="0027701F"/>
    <w:rsid w:val="00277198"/>
    <w:rsid w:val="002772F2"/>
    <w:rsid w:val="00277399"/>
    <w:rsid w:val="0027789B"/>
    <w:rsid w:val="00277C97"/>
    <w:rsid w:val="00277DBC"/>
    <w:rsid w:val="00277F8B"/>
    <w:rsid w:val="002803EA"/>
    <w:rsid w:val="0028055F"/>
    <w:rsid w:val="00280616"/>
    <w:rsid w:val="00280667"/>
    <w:rsid w:val="002806D9"/>
    <w:rsid w:val="0028080A"/>
    <w:rsid w:val="00280966"/>
    <w:rsid w:val="00280C3A"/>
    <w:rsid w:val="00280D64"/>
    <w:rsid w:val="00281040"/>
    <w:rsid w:val="002811E7"/>
    <w:rsid w:val="002814AE"/>
    <w:rsid w:val="002816AF"/>
    <w:rsid w:val="00281957"/>
    <w:rsid w:val="00281972"/>
    <w:rsid w:val="00281C23"/>
    <w:rsid w:val="00281D74"/>
    <w:rsid w:val="00281F16"/>
    <w:rsid w:val="002822DD"/>
    <w:rsid w:val="00282632"/>
    <w:rsid w:val="002829CC"/>
    <w:rsid w:val="00282E90"/>
    <w:rsid w:val="00282F78"/>
    <w:rsid w:val="00282FDF"/>
    <w:rsid w:val="0028302D"/>
    <w:rsid w:val="0028348D"/>
    <w:rsid w:val="00283730"/>
    <w:rsid w:val="00283B0F"/>
    <w:rsid w:val="00283C63"/>
    <w:rsid w:val="00283D7F"/>
    <w:rsid w:val="00283DD8"/>
    <w:rsid w:val="00284077"/>
    <w:rsid w:val="00284207"/>
    <w:rsid w:val="002843E7"/>
    <w:rsid w:val="00284491"/>
    <w:rsid w:val="00284494"/>
    <w:rsid w:val="002845DB"/>
    <w:rsid w:val="00284886"/>
    <w:rsid w:val="00284928"/>
    <w:rsid w:val="00284D1A"/>
    <w:rsid w:val="00284D97"/>
    <w:rsid w:val="00284DD3"/>
    <w:rsid w:val="0028579B"/>
    <w:rsid w:val="00285CB4"/>
    <w:rsid w:val="00285CED"/>
    <w:rsid w:val="00285E08"/>
    <w:rsid w:val="00285E27"/>
    <w:rsid w:val="002861B3"/>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0F38"/>
    <w:rsid w:val="002910BF"/>
    <w:rsid w:val="002910E0"/>
    <w:rsid w:val="002914DF"/>
    <w:rsid w:val="002914FC"/>
    <w:rsid w:val="0029175D"/>
    <w:rsid w:val="00291DA7"/>
    <w:rsid w:val="002922CA"/>
    <w:rsid w:val="002924ED"/>
    <w:rsid w:val="00292578"/>
    <w:rsid w:val="00292752"/>
    <w:rsid w:val="0029277C"/>
    <w:rsid w:val="002927D0"/>
    <w:rsid w:val="002928F4"/>
    <w:rsid w:val="002929EE"/>
    <w:rsid w:val="00292AE0"/>
    <w:rsid w:val="00292D8F"/>
    <w:rsid w:val="00292EFC"/>
    <w:rsid w:val="00292F25"/>
    <w:rsid w:val="00293046"/>
    <w:rsid w:val="00293106"/>
    <w:rsid w:val="00293131"/>
    <w:rsid w:val="00293291"/>
    <w:rsid w:val="00293301"/>
    <w:rsid w:val="00293342"/>
    <w:rsid w:val="00293466"/>
    <w:rsid w:val="00293489"/>
    <w:rsid w:val="002937EF"/>
    <w:rsid w:val="00293AF6"/>
    <w:rsid w:val="00293B9E"/>
    <w:rsid w:val="00293C17"/>
    <w:rsid w:val="00293EE1"/>
    <w:rsid w:val="002940C3"/>
    <w:rsid w:val="0029415D"/>
    <w:rsid w:val="00294170"/>
    <w:rsid w:val="00294327"/>
    <w:rsid w:val="002945B5"/>
    <w:rsid w:val="00294809"/>
    <w:rsid w:val="0029484E"/>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58E"/>
    <w:rsid w:val="00296AEA"/>
    <w:rsid w:val="00296BF2"/>
    <w:rsid w:val="00296D2B"/>
    <w:rsid w:val="002972E1"/>
    <w:rsid w:val="002972E7"/>
    <w:rsid w:val="002973E4"/>
    <w:rsid w:val="00297477"/>
    <w:rsid w:val="00297A99"/>
    <w:rsid w:val="00297B82"/>
    <w:rsid w:val="00297E5E"/>
    <w:rsid w:val="002A0317"/>
    <w:rsid w:val="002A03DE"/>
    <w:rsid w:val="002A07CD"/>
    <w:rsid w:val="002A0858"/>
    <w:rsid w:val="002A0A02"/>
    <w:rsid w:val="002A0A88"/>
    <w:rsid w:val="002A0AF3"/>
    <w:rsid w:val="002A0CD2"/>
    <w:rsid w:val="002A0D0D"/>
    <w:rsid w:val="002A13D1"/>
    <w:rsid w:val="002A1456"/>
    <w:rsid w:val="002A1573"/>
    <w:rsid w:val="002A15D8"/>
    <w:rsid w:val="002A18D2"/>
    <w:rsid w:val="002A19A2"/>
    <w:rsid w:val="002A1B34"/>
    <w:rsid w:val="002A1C16"/>
    <w:rsid w:val="002A2787"/>
    <w:rsid w:val="002A2B61"/>
    <w:rsid w:val="002A2FB9"/>
    <w:rsid w:val="002A313A"/>
    <w:rsid w:val="002A3179"/>
    <w:rsid w:val="002A3257"/>
    <w:rsid w:val="002A3292"/>
    <w:rsid w:val="002A32FA"/>
    <w:rsid w:val="002A3A49"/>
    <w:rsid w:val="002A3CFD"/>
    <w:rsid w:val="002A3E7B"/>
    <w:rsid w:val="002A4132"/>
    <w:rsid w:val="002A4221"/>
    <w:rsid w:val="002A466C"/>
    <w:rsid w:val="002A46B9"/>
    <w:rsid w:val="002A4812"/>
    <w:rsid w:val="002A4EA4"/>
    <w:rsid w:val="002A5068"/>
    <w:rsid w:val="002A512D"/>
    <w:rsid w:val="002A52D1"/>
    <w:rsid w:val="002A5B34"/>
    <w:rsid w:val="002A5BCC"/>
    <w:rsid w:val="002A5F2D"/>
    <w:rsid w:val="002A648C"/>
    <w:rsid w:val="002A6A37"/>
    <w:rsid w:val="002A6B13"/>
    <w:rsid w:val="002A728E"/>
    <w:rsid w:val="002A7347"/>
    <w:rsid w:val="002A75AE"/>
    <w:rsid w:val="002A7744"/>
    <w:rsid w:val="002A7A3E"/>
    <w:rsid w:val="002A7B9D"/>
    <w:rsid w:val="002A7F12"/>
    <w:rsid w:val="002B038F"/>
    <w:rsid w:val="002B0486"/>
    <w:rsid w:val="002B0949"/>
    <w:rsid w:val="002B0BA4"/>
    <w:rsid w:val="002B0E1C"/>
    <w:rsid w:val="002B0FE7"/>
    <w:rsid w:val="002B144A"/>
    <w:rsid w:val="002B165A"/>
    <w:rsid w:val="002B1709"/>
    <w:rsid w:val="002B1740"/>
    <w:rsid w:val="002B1820"/>
    <w:rsid w:val="002B19FE"/>
    <w:rsid w:val="002B1A67"/>
    <w:rsid w:val="002B1AA9"/>
    <w:rsid w:val="002B1BA3"/>
    <w:rsid w:val="002B1F61"/>
    <w:rsid w:val="002B2485"/>
    <w:rsid w:val="002B2627"/>
    <w:rsid w:val="002B26A2"/>
    <w:rsid w:val="002B2751"/>
    <w:rsid w:val="002B2D5C"/>
    <w:rsid w:val="002B3151"/>
    <w:rsid w:val="002B366D"/>
    <w:rsid w:val="002B3BD7"/>
    <w:rsid w:val="002B3C56"/>
    <w:rsid w:val="002B3D3B"/>
    <w:rsid w:val="002B3E4F"/>
    <w:rsid w:val="002B3F77"/>
    <w:rsid w:val="002B4078"/>
    <w:rsid w:val="002B4185"/>
    <w:rsid w:val="002B45F9"/>
    <w:rsid w:val="002B4722"/>
    <w:rsid w:val="002B47A1"/>
    <w:rsid w:val="002B5080"/>
    <w:rsid w:val="002B534A"/>
    <w:rsid w:val="002B558F"/>
    <w:rsid w:val="002B5875"/>
    <w:rsid w:val="002B5CB3"/>
    <w:rsid w:val="002B606D"/>
    <w:rsid w:val="002B609A"/>
    <w:rsid w:val="002B60CB"/>
    <w:rsid w:val="002B627D"/>
    <w:rsid w:val="002B649E"/>
    <w:rsid w:val="002B64A3"/>
    <w:rsid w:val="002B65C7"/>
    <w:rsid w:val="002B6882"/>
    <w:rsid w:val="002B6B4F"/>
    <w:rsid w:val="002B6C64"/>
    <w:rsid w:val="002B6CFB"/>
    <w:rsid w:val="002B6D3A"/>
    <w:rsid w:val="002B6E97"/>
    <w:rsid w:val="002B6F34"/>
    <w:rsid w:val="002B72C1"/>
    <w:rsid w:val="002B7355"/>
    <w:rsid w:val="002B7930"/>
    <w:rsid w:val="002B7AD5"/>
    <w:rsid w:val="002B7B3A"/>
    <w:rsid w:val="002B7BAF"/>
    <w:rsid w:val="002B7BEB"/>
    <w:rsid w:val="002B7CCD"/>
    <w:rsid w:val="002C0046"/>
    <w:rsid w:val="002C00E0"/>
    <w:rsid w:val="002C05F0"/>
    <w:rsid w:val="002C0661"/>
    <w:rsid w:val="002C089B"/>
    <w:rsid w:val="002C093A"/>
    <w:rsid w:val="002C0C05"/>
    <w:rsid w:val="002C0FF0"/>
    <w:rsid w:val="002C1656"/>
    <w:rsid w:val="002C17DF"/>
    <w:rsid w:val="002C1AB0"/>
    <w:rsid w:val="002C1C93"/>
    <w:rsid w:val="002C1D99"/>
    <w:rsid w:val="002C1E5B"/>
    <w:rsid w:val="002C2151"/>
    <w:rsid w:val="002C2258"/>
    <w:rsid w:val="002C230C"/>
    <w:rsid w:val="002C2311"/>
    <w:rsid w:val="002C24F2"/>
    <w:rsid w:val="002C2802"/>
    <w:rsid w:val="002C2CDB"/>
    <w:rsid w:val="002C2E02"/>
    <w:rsid w:val="002C2ECE"/>
    <w:rsid w:val="002C2F3D"/>
    <w:rsid w:val="002C301A"/>
    <w:rsid w:val="002C30C5"/>
    <w:rsid w:val="002C321B"/>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C59"/>
    <w:rsid w:val="002C7E85"/>
    <w:rsid w:val="002C7F07"/>
    <w:rsid w:val="002C7FA2"/>
    <w:rsid w:val="002D032B"/>
    <w:rsid w:val="002D0428"/>
    <w:rsid w:val="002D0AE3"/>
    <w:rsid w:val="002D0C3B"/>
    <w:rsid w:val="002D0C57"/>
    <w:rsid w:val="002D0CEC"/>
    <w:rsid w:val="002D0E6B"/>
    <w:rsid w:val="002D0F86"/>
    <w:rsid w:val="002D1035"/>
    <w:rsid w:val="002D1337"/>
    <w:rsid w:val="002D14B9"/>
    <w:rsid w:val="002D1A52"/>
    <w:rsid w:val="002D1B95"/>
    <w:rsid w:val="002D1FC1"/>
    <w:rsid w:val="002D22B1"/>
    <w:rsid w:val="002D2817"/>
    <w:rsid w:val="002D2824"/>
    <w:rsid w:val="002D2845"/>
    <w:rsid w:val="002D29DA"/>
    <w:rsid w:val="002D2C46"/>
    <w:rsid w:val="002D2C48"/>
    <w:rsid w:val="002D2D7A"/>
    <w:rsid w:val="002D30A9"/>
    <w:rsid w:val="002D3157"/>
    <w:rsid w:val="002D333B"/>
    <w:rsid w:val="002D3394"/>
    <w:rsid w:val="002D347A"/>
    <w:rsid w:val="002D3499"/>
    <w:rsid w:val="002D3704"/>
    <w:rsid w:val="002D385E"/>
    <w:rsid w:val="002D387A"/>
    <w:rsid w:val="002D3A30"/>
    <w:rsid w:val="002D3A51"/>
    <w:rsid w:val="002D3BEB"/>
    <w:rsid w:val="002D3F07"/>
    <w:rsid w:val="002D4092"/>
    <w:rsid w:val="002D409F"/>
    <w:rsid w:val="002D40F0"/>
    <w:rsid w:val="002D4273"/>
    <w:rsid w:val="002D4719"/>
    <w:rsid w:val="002D5184"/>
    <w:rsid w:val="002D55EB"/>
    <w:rsid w:val="002D563C"/>
    <w:rsid w:val="002D5756"/>
    <w:rsid w:val="002D58F7"/>
    <w:rsid w:val="002D5C45"/>
    <w:rsid w:val="002D5CF9"/>
    <w:rsid w:val="002D5E62"/>
    <w:rsid w:val="002D5FFF"/>
    <w:rsid w:val="002D62A4"/>
    <w:rsid w:val="002D62A9"/>
    <w:rsid w:val="002D6483"/>
    <w:rsid w:val="002D67A5"/>
    <w:rsid w:val="002D6CF0"/>
    <w:rsid w:val="002D6FFE"/>
    <w:rsid w:val="002D7047"/>
    <w:rsid w:val="002D70C1"/>
    <w:rsid w:val="002D784E"/>
    <w:rsid w:val="002D7930"/>
    <w:rsid w:val="002D7B18"/>
    <w:rsid w:val="002D7B49"/>
    <w:rsid w:val="002D7B55"/>
    <w:rsid w:val="002E090F"/>
    <w:rsid w:val="002E0967"/>
    <w:rsid w:val="002E0CEB"/>
    <w:rsid w:val="002E0F16"/>
    <w:rsid w:val="002E0FA2"/>
    <w:rsid w:val="002E13A0"/>
    <w:rsid w:val="002E144A"/>
    <w:rsid w:val="002E185A"/>
    <w:rsid w:val="002E1C42"/>
    <w:rsid w:val="002E1CB4"/>
    <w:rsid w:val="002E1E26"/>
    <w:rsid w:val="002E2748"/>
    <w:rsid w:val="002E2865"/>
    <w:rsid w:val="002E2A70"/>
    <w:rsid w:val="002E2B77"/>
    <w:rsid w:val="002E2BE9"/>
    <w:rsid w:val="002E37B5"/>
    <w:rsid w:val="002E380E"/>
    <w:rsid w:val="002E3B41"/>
    <w:rsid w:val="002E3DF0"/>
    <w:rsid w:val="002E43F6"/>
    <w:rsid w:val="002E4608"/>
    <w:rsid w:val="002E4671"/>
    <w:rsid w:val="002E4907"/>
    <w:rsid w:val="002E4AE2"/>
    <w:rsid w:val="002E4E82"/>
    <w:rsid w:val="002E4EE2"/>
    <w:rsid w:val="002E5335"/>
    <w:rsid w:val="002E5734"/>
    <w:rsid w:val="002E5811"/>
    <w:rsid w:val="002E5AF7"/>
    <w:rsid w:val="002E5BF7"/>
    <w:rsid w:val="002E5CF2"/>
    <w:rsid w:val="002E660A"/>
    <w:rsid w:val="002E6799"/>
    <w:rsid w:val="002E6977"/>
    <w:rsid w:val="002E6C40"/>
    <w:rsid w:val="002E6CCF"/>
    <w:rsid w:val="002E6E72"/>
    <w:rsid w:val="002E6FB5"/>
    <w:rsid w:val="002E706B"/>
    <w:rsid w:val="002E7523"/>
    <w:rsid w:val="002E788B"/>
    <w:rsid w:val="002E7AA9"/>
    <w:rsid w:val="002E7ABC"/>
    <w:rsid w:val="002E7BCD"/>
    <w:rsid w:val="002F0567"/>
    <w:rsid w:val="002F077D"/>
    <w:rsid w:val="002F08DC"/>
    <w:rsid w:val="002F0A6D"/>
    <w:rsid w:val="002F0B7A"/>
    <w:rsid w:val="002F1017"/>
    <w:rsid w:val="002F121B"/>
    <w:rsid w:val="002F1306"/>
    <w:rsid w:val="002F13EB"/>
    <w:rsid w:val="002F140F"/>
    <w:rsid w:val="002F182E"/>
    <w:rsid w:val="002F1B67"/>
    <w:rsid w:val="002F2568"/>
    <w:rsid w:val="002F2589"/>
    <w:rsid w:val="002F2624"/>
    <w:rsid w:val="002F29CB"/>
    <w:rsid w:val="002F2B44"/>
    <w:rsid w:val="002F2EEA"/>
    <w:rsid w:val="002F3437"/>
    <w:rsid w:val="002F3461"/>
    <w:rsid w:val="002F3659"/>
    <w:rsid w:val="002F3BAD"/>
    <w:rsid w:val="002F3E3D"/>
    <w:rsid w:val="002F4122"/>
    <w:rsid w:val="002F41C9"/>
    <w:rsid w:val="002F465C"/>
    <w:rsid w:val="002F476D"/>
    <w:rsid w:val="002F47C6"/>
    <w:rsid w:val="002F4893"/>
    <w:rsid w:val="002F4A47"/>
    <w:rsid w:val="002F4BDF"/>
    <w:rsid w:val="002F4C97"/>
    <w:rsid w:val="002F4E6F"/>
    <w:rsid w:val="002F4FC1"/>
    <w:rsid w:val="002F50A4"/>
    <w:rsid w:val="002F538A"/>
    <w:rsid w:val="002F5538"/>
    <w:rsid w:val="002F6268"/>
    <w:rsid w:val="002F640C"/>
    <w:rsid w:val="002F688E"/>
    <w:rsid w:val="002F6B0D"/>
    <w:rsid w:val="002F6B84"/>
    <w:rsid w:val="002F6D2F"/>
    <w:rsid w:val="002F6D5F"/>
    <w:rsid w:val="002F6E4F"/>
    <w:rsid w:val="002F76CC"/>
    <w:rsid w:val="002F7780"/>
    <w:rsid w:val="002F77DD"/>
    <w:rsid w:val="002F78D9"/>
    <w:rsid w:val="002F793B"/>
    <w:rsid w:val="002F7AC3"/>
    <w:rsid w:val="003001EC"/>
    <w:rsid w:val="00300613"/>
    <w:rsid w:val="00300704"/>
    <w:rsid w:val="003008AD"/>
    <w:rsid w:val="003008E3"/>
    <w:rsid w:val="00300BB2"/>
    <w:rsid w:val="00300C7C"/>
    <w:rsid w:val="00300C85"/>
    <w:rsid w:val="00300DA0"/>
    <w:rsid w:val="00300EF7"/>
    <w:rsid w:val="0030122E"/>
    <w:rsid w:val="00301354"/>
    <w:rsid w:val="0030179B"/>
    <w:rsid w:val="003018F4"/>
    <w:rsid w:val="00301BE1"/>
    <w:rsid w:val="00302431"/>
    <w:rsid w:val="003026DD"/>
    <w:rsid w:val="003026F0"/>
    <w:rsid w:val="0030276D"/>
    <w:rsid w:val="00302946"/>
    <w:rsid w:val="00302A86"/>
    <w:rsid w:val="00302B76"/>
    <w:rsid w:val="00302C8D"/>
    <w:rsid w:val="00302D6C"/>
    <w:rsid w:val="00302E3D"/>
    <w:rsid w:val="003031BA"/>
    <w:rsid w:val="0030340D"/>
    <w:rsid w:val="00303524"/>
    <w:rsid w:val="00303B3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DC4"/>
    <w:rsid w:val="00304E0B"/>
    <w:rsid w:val="00304E21"/>
    <w:rsid w:val="00304E88"/>
    <w:rsid w:val="00305165"/>
    <w:rsid w:val="003051C3"/>
    <w:rsid w:val="00305229"/>
    <w:rsid w:val="00305253"/>
    <w:rsid w:val="003052FF"/>
    <w:rsid w:val="003053C2"/>
    <w:rsid w:val="003054C3"/>
    <w:rsid w:val="00305895"/>
    <w:rsid w:val="00305CA8"/>
    <w:rsid w:val="00305CCC"/>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503"/>
    <w:rsid w:val="0031051A"/>
    <w:rsid w:val="00310721"/>
    <w:rsid w:val="003107E7"/>
    <w:rsid w:val="00310AF2"/>
    <w:rsid w:val="00310CE4"/>
    <w:rsid w:val="0031100E"/>
    <w:rsid w:val="00311194"/>
    <w:rsid w:val="0031125F"/>
    <w:rsid w:val="0031136C"/>
    <w:rsid w:val="0031177F"/>
    <w:rsid w:val="00311B7B"/>
    <w:rsid w:val="00311C80"/>
    <w:rsid w:val="00311F51"/>
    <w:rsid w:val="003122E8"/>
    <w:rsid w:val="00312635"/>
    <w:rsid w:val="003128FB"/>
    <w:rsid w:val="003129A3"/>
    <w:rsid w:val="00312B28"/>
    <w:rsid w:val="00312B96"/>
    <w:rsid w:val="00312D95"/>
    <w:rsid w:val="003138BB"/>
    <w:rsid w:val="00313B7C"/>
    <w:rsid w:val="00313C32"/>
    <w:rsid w:val="00314017"/>
    <w:rsid w:val="00314034"/>
    <w:rsid w:val="00314129"/>
    <w:rsid w:val="00314290"/>
    <w:rsid w:val="00314397"/>
    <w:rsid w:val="003144BA"/>
    <w:rsid w:val="00314523"/>
    <w:rsid w:val="00314645"/>
    <w:rsid w:val="0031471F"/>
    <w:rsid w:val="003149A3"/>
    <w:rsid w:val="00315000"/>
    <w:rsid w:val="0031550B"/>
    <w:rsid w:val="00315540"/>
    <w:rsid w:val="00315A9D"/>
    <w:rsid w:val="00315E08"/>
    <w:rsid w:val="00315F13"/>
    <w:rsid w:val="00316755"/>
    <w:rsid w:val="003168B8"/>
    <w:rsid w:val="003169B6"/>
    <w:rsid w:val="003169C2"/>
    <w:rsid w:val="00316C4B"/>
    <w:rsid w:val="00316C69"/>
    <w:rsid w:val="00316FA9"/>
    <w:rsid w:val="003171CB"/>
    <w:rsid w:val="00317261"/>
    <w:rsid w:val="0031736F"/>
    <w:rsid w:val="00317766"/>
    <w:rsid w:val="003179CF"/>
    <w:rsid w:val="00317E3D"/>
    <w:rsid w:val="00320010"/>
    <w:rsid w:val="00320169"/>
    <w:rsid w:val="003201FF"/>
    <w:rsid w:val="00320682"/>
    <w:rsid w:val="003207B1"/>
    <w:rsid w:val="00320862"/>
    <w:rsid w:val="00320881"/>
    <w:rsid w:val="00320C8C"/>
    <w:rsid w:val="00320D00"/>
    <w:rsid w:val="003214CE"/>
    <w:rsid w:val="00321665"/>
    <w:rsid w:val="00321A5B"/>
    <w:rsid w:val="00321C83"/>
    <w:rsid w:val="00321D00"/>
    <w:rsid w:val="00321D56"/>
    <w:rsid w:val="00321F48"/>
    <w:rsid w:val="00321FB7"/>
    <w:rsid w:val="00321FCA"/>
    <w:rsid w:val="003220F3"/>
    <w:rsid w:val="0032220B"/>
    <w:rsid w:val="0032238A"/>
    <w:rsid w:val="00322A19"/>
    <w:rsid w:val="00322B64"/>
    <w:rsid w:val="00322B6A"/>
    <w:rsid w:val="00322C92"/>
    <w:rsid w:val="00322CD0"/>
    <w:rsid w:val="00322ED9"/>
    <w:rsid w:val="00322FA3"/>
    <w:rsid w:val="003231A3"/>
    <w:rsid w:val="00323450"/>
    <w:rsid w:val="00323BC5"/>
    <w:rsid w:val="00323BEB"/>
    <w:rsid w:val="0032406A"/>
    <w:rsid w:val="00324673"/>
    <w:rsid w:val="00324B9B"/>
    <w:rsid w:val="00324D46"/>
    <w:rsid w:val="00324DE1"/>
    <w:rsid w:val="003250DD"/>
    <w:rsid w:val="003257CD"/>
    <w:rsid w:val="00325B0D"/>
    <w:rsid w:val="00325B56"/>
    <w:rsid w:val="00325DF1"/>
    <w:rsid w:val="003264E9"/>
    <w:rsid w:val="0032655A"/>
    <w:rsid w:val="003268E8"/>
    <w:rsid w:val="00326C01"/>
    <w:rsid w:val="00326D41"/>
    <w:rsid w:val="00326D93"/>
    <w:rsid w:val="003273F4"/>
    <w:rsid w:val="0032744B"/>
    <w:rsid w:val="00327607"/>
    <w:rsid w:val="00327618"/>
    <w:rsid w:val="00327753"/>
    <w:rsid w:val="00327764"/>
    <w:rsid w:val="003279D2"/>
    <w:rsid w:val="00327C5F"/>
    <w:rsid w:val="00327E19"/>
    <w:rsid w:val="00327FFA"/>
    <w:rsid w:val="00330315"/>
    <w:rsid w:val="003308CB"/>
    <w:rsid w:val="00330CB4"/>
    <w:rsid w:val="00330F5F"/>
    <w:rsid w:val="003311A6"/>
    <w:rsid w:val="003313FF"/>
    <w:rsid w:val="0033180A"/>
    <w:rsid w:val="00331867"/>
    <w:rsid w:val="00331871"/>
    <w:rsid w:val="003319F5"/>
    <w:rsid w:val="00331AB5"/>
    <w:rsid w:val="00331D2E"/>
    <w:rsid w:val="0033227C"/>
    <w:rsid w:val="003322F4"/>
    <w:rsid w:val="0033265D"/>
    <w:rsid w:val="0033272D"/>
    <w:rsid w:val="003328DC"/>
    <w:rsid w:val="00332BE1"/>
    <w:rsid w:val="00332D95"/>
    <w:rsid w:val="00332FE4"/>
    <w:rsid w:val="00333302"/>
    <w:rsid w:val="00333880"/>
    <w:rsid w:val="0033389B"/>
    <w:rsid w:val="003338D8"/>
    <w:rsid w:val="0033391C"/>
    <w:rsid w:val="00333CAD"/>
    <w:rsid w:val="00333F29"/>
    <w:rsid w:val="0033435C"/>
    <w:rsid w:val="00334AA7"/>
    <w:rsid w:val="0033504D"/>
    <w:rsid w:val="00335057"/>
    <w:rsid w:val="003351D9"/>
    <w:rsid w:val="0033528B"/>
    <w:rsid w:val="0033532E"/>
    <w:rsid w:val="00335AD6"/>
    <w:rsid w:val="00335BDA"/>
    <w:rsid w:val="00335CE3"/>
    <w:rsid w:val="00335E9E"/>
    <w:rsid w:val="00336146"/>
    <w:rsid w:val="003364E2"/>
    <w:rsid w:val="00336662"/>
    <w:rsid w:val="003366AE"/>
    <w:rsid w:val="003369EE"/>
    <w:rsid w:val="00336A2E"/>
    <w:rsid w:val="00336A91"/>
    <w:rsid w:val="00336DB6"/>
    <w:rsid w:val="00336F08"/>
    <w:rsid w:val="00336F85"/>
    <w:rsid w:val="003370CB"/>
    <w:rsid w:val="0033723E"/>
    <w:rsid w:val="0033735C"/>
    <w:rsid w:val="0033798E"/>
    <w:rsid w:val="00337F55"/>
    <w:rsid w:val="00337F79"/>
    <w:rsid w:val="00340151"/>
    <w:rsid w:val="0034027E"/>
    <w:rsid w:val="003402BA"/>
    <w:rsid w:val="00340626"/>
    <w:rsid w:val="003406B4"/>
    <w:rsid w:val="00340750"/>
    <w:rsid w:val="00340B0D"/>
    <w:rsid w:val="00340B2F"/>
    <w:rsid w:val="00340CA2"/>
    <w:rsid w:val="00340ED5"/>
    <w:rsid w:val="00340F9F"/>
    <w:rsid w:val="00341359"/>
    <w:rsid w:val="003413D6"/>
    <w:rsid w:val="003414C6"/>
    <w:rsid w:val="0034152B"/>
    <w:rsid w:val="003416C2"/>
    <w:rsid w:val="00341C05"/>
    <w:rsid w:val="00341D0F"/>
    <w:rsid w:val="00341EF2"/>
    <w:rsid w:val="003420BF"/>
    <w:rsid w:val="00342315"/>
    <w:rsid w:val="003423CA"/>
    <w:rsid w:val="003425BE"/>
    <w:rsid w:val="0034287B"/>
    <w:rsid w:val="00342965"/>
    <w:rsid w:val="003429B5"/>
    <w:rsid w:val="00342BA1"/>
    <w:rsid w:val="00342BE0"/>
    <w:rsid w:val="00342FDE"/>
    <w:rsid w:val="0034313B"/>
    <w:rsid w:val="003431AA"/>
    <w:rsid w:val="003431F1"/>
    <w:rsid w:val="003433C4"/>
    <w:rsid w:val="00343410"/>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A6D"/>
    <w:rsid w:val="00347ADD"/>
    <w:rsid w:val="00347C45"/>
    <w:rsid w:val="00347D45"/>
    <w:rsid w:val="00347DF7"/>
    <w:rsid w:val="00347F2F"/>
    <w:rsid w:val="00347FD5"/>
    <w:rsid w:val="00350000"/>
    <w:rsid w:val="003502F1"/>
    <w:rsid w:val="003503E7"/>
    <w:rsid w:val="00350557"/>
    <w:rsid w:val="00350967"/>
    <w:rsid w:val="00350D06"/>
    <w:rsid w:val="00350D13"/>
    <w:rsid w:val="00350EDC"/>
    <w:rsid w:val="003510D7"/>
    <w:rsid w:val="0035152F"/>
    <w:rsid w:val="00351630"/>
    <w:rsid w:val="00351C0B"/>
    <w:rsid w:val="00351FC7"/>
    <w:rsid w:val="00351FFF"/>
    <w:rsid w:val="003520DC"/>
    <w:rsid w:val="003521C1"/>
    <w:rsid w:val="00352337"/>
    <w:rsid w:val="003524DB"/>
    <w:rsid w:val="00352522"/>
    <w:rsid w:val="003525B9"/>
    <w:rsid w:val="003528A2"/>
    <w:rsid w:val="0035296F"/>
    <w:rsid w:val="00352E69"/>
    <w:rsid w:val="00352EE8"/>
    <w:rsid w:val="00352EF6"/>
    <w:rsid w:val="003530CF"/>
    <w:rsid w:val="003530D4"/>
    <w:rsid w:val="00353333"/>
    <w:rsid w:val="003536C8"/>
    <w:rsid w:val="00353907"/>
    <w:rsid w:val="00353B66"/>
    <w:rsid w:val="00353C8B"/>
    <w:rsid w:val="00353E67"/>
    <w:rsid w:val="00353E7D"/>
    <w:rsid w:val="0035413C"/>
    <w:rsid w:val="003542D4"/>
    <w:rsid w:val="003543DA"/>
    <w:rsid w:val="00354514"/>
    <w:rsid w:val="0035483F"/>
    <w:rsid w:val="003548DC"/>
    <w:rsid w:val="00354B65"/>
    <w:rsid w:val="00354B6B"/>
    <w:rsid w:val="00354B7A"/>
    <w:rsid w:val="00355439"/>
    <w:rsid w:val="003555B7"/>
    <w:rsid w:val="003555F5"/>
    <w:rsid w:val="003557F8"/>
    <w:rsid w:val="00355B3F"/>
    <w:rsid w:val="00355F90"/>
    <w:rsid w:val="0035616C"/>
    <w:rsid w:val="00356450"/>
    <w:rsid w:val="0035663D"/>
    <w:rsid w:val="00356A2D"/>
    <w:rsid w:val="00356ADE"/>
    <w:rsid w:val="00356C50"/>
    <w:rsid w:val="00356DB8"/>
    <w:rsid w:val="00356EF5"/>
    <w:rsid w:val="00357466"/>
    <w:rsid w:val="00357811"/>
    <w:rsid w:val="0035798B"/>
    <w:rsid w:val="00357999"/>
    <w:rsid w:val="00357A18"/>
    <w:rsid w:val="00357EF9"/>
    <w:rsid w:val="00357FCD"/>
    <w:rsid w:val="00360101"/>
    <w:rsid w:val="00360125"/>
    <w:rsid w:val="003601E0"/>
    <w:rsid w:val="00360258"/>
    <w:rsid w:val="0036088E"/>
    <w:rsid w:val="003608DB"/>
    <w:rsid w:val="00360D85"/>
    <w:rsid w:val="00360F07"/>
    <w:rsid w:val="00360FBA"/>
    <w:rsid w:val="00361109"/>
    <w:rsid w:val="003616D3"/>
    <w:rsid w:val="003618EC"/>
    <w:rsid w:val="00361A6B"/>
    <w:rsid w:val="00361EE6"/>
    <w:rsid w:val="00362166"/>
    <w:rsid w:val="003623F6"/>
    <w:rsid w:val="00362556"/>
    <w:rsid w:val="00362709"/>
    <w:rsid w:val="0036283F"/>
    <w:rsid w:val="00362CBC"/>
    <w:rsid w:val="00362F6B"/>
    <w:rsid w:val="00362F78"/>
    <w:rsid w:val="00363322"/>
    <w:rsid w:val="00363328"/>
    <w:rsid w:val="0036335B"/>
    <w:rsid w:val="003636C9"/>
    <w:rsid w:val="00363D5D"/>
    <w:rsid w:val="00363F44"/>
    <w:rsid w:val="00363F70"/>
    <w:rsid w:val="003641FE"/>
    <w:rsid w:val="003642E2"/>
    <w:rsid w:val="003644C1"/>
    <w:rsid w:val="0036461E"/>
    <w:rsid w:val="0036465F"/>
    <w:rsid w:val="0036495E"/>
    <w:rsid w:val="00364B70"/>
    <w:rsid w:val="00364DAF"/>
    <w:rsid w:val="00364F6F"/>
    <w:rsid w:val="00364FB3"/>
    <w:rsid w:val="003652AD"/>
    <w:rsid w:val="0036554A"/>
    <w:rsid w:val="003656AA"/>
    <w:rsid w:val="00365C98"/>
    <w:rsid w:val="00365EE8"/>
    <w:rsid w:val="00365F42"/>
    <w:rsid w:val="00365F6D"/>
    <w:rsid w:val="00365F97"/>
    <w:rsid w:val="003665C4"/>
    <w:rsid w:val="00366965"/>
    <w:rsid w:val="00366B0B"/>
    <w:rsid w:val="00366D2D"/>
    <w:rsid w:val="003671D4"/>
    <w:rsid w:val="0036735E"/>
    <w:rsid w:val="00367409"/>
    <w:rsid w:val="00367433"/>
    <w:rsid w:val="0036748C"/>
    <w:rsid w:val="00367716"/>
    <w:rsid w:val="00367745"/>
    <w:rsid w:val="00367816"/>
    <w:rsid w:val="00367ACE"/>
    <w:rsid w:val="00367B01"/>
    <w:rsid w:val="00367BFB"/>
    <w:rsid w:val="00367DCF"/>
    <w:rsid w:val="00367F9B"/>
    <w:rsid w:val="003700CC"/>
    <w:rsid w:val="00370536"/>
    <w:rsid w:val="00370640"/>
    <w:rsid w:val="003708BF"/>
    <w:rsid w:val="00370E4B"/>
    <w:rsid w:val="00370F6E"/>
    <w:rsid w:val="00371062"/>
    <w:rsid w:val="00371091"/>
    <w:rsid w:val="003714B2"/>
    <w:rsid w:val="00371518"/>
    <w:rsid w:val="0037158B"/>
    <w:rsid w:val="003717F1"/>
    <w:rsid w:val="0037182F"/>
    <w:rsid w:val="00371BC0"/>
    <w:rsid w:val="00371ECA"/>
    <w:rsid w:val="0037209F"/>
    <w:rsid w:val="003726B7"/>
    <w:rsid w:val="00372984"/>
    <w:rsid w:val="00372A95"/>
    <w:rsid w:val="00372AE1"/>
    <w:rsid w:val="00372B4A"/>
    <w:rsid w:val="00373254"/>
    <w:rsid w:val="003733D9"/>
    <w:rsid w:val="003734A7"/>
    <w:rsid w:val="003734B6"/>
    <w:rsid w:val="00373684"/>
    <w:rsid w:val="003738DA"/>
    <w:rsid w:val="00373AFB"/>
    <w:rsid w:val="00373CCC"/>
    <w:rsid w:val="00373F24"/>
    <w:rsid w:val="0037417E"/>
    <w:rsid w:val="00374622"/>
    <w:rsid w:val="0037480E"/>
    <w:rsid w:val="0037489A"/>
    <w:rsid w:val="00374E3A"/>
    <w:rsid w:val="00374FE9"/>
    <w:rsid w:val="0037539C"/>
    <w:rsid w:val="00375424"/>
    <w:rsid w:val="003754E1"/>
    <w:rsid w:val="00375597"/>
    <w:rsid w:val="00375630"/>
    <w:rsid w:val="00375BF6"/>
    <w:rsid w:val="00375C5A"/>
    <w:rsid w:val="00375CBE"/>
    <w:rsid w:val="00375EE8"/>
    <w:rsid w:val="00375FDA"/>
    <w:rsid w:val="00376585"/>
    <w:rsid w:val="00376651"/>
    <w:rsid w:val="00376816"/>
    <w:rsid w:val="00376844"/>
    <w:rsid w:val="00376933"/>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74"/>
    <w:rsid w:val="003806E4"/>
    <w:rsid w:val="0038093F"/>
    <w:rsid w:val="00380AC1"/>
    <w:rsid w:val="00380E9B"/>
    <w:rsid w:val="00381015"/>
    <w:rsid w:val="003814F7"/>
    <w:rsid w:val="00381755"/>
    <w:rsid w:val="00381E30"/>
    <w:rsid w:val="00381E4C"/>
    <w:rsid w:val="003820F4"/>
    <w:rsid w:val="0038251C"/>
    <w:rsid w:val="003825ED"/>
    <w:rsid w:val="0038264C"/>
    <w:rsid w:val="00382738"/>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93B"/>
    <w:rsid w:val="00384ABB"/>
    <w:rsid w:val="00384AE0"/>
    <w:rsid w:val="00384C20"/>
    <w:rsid w:val="00384E52"/>
    <w:rsid w:val="0038500C"/>
    <w:rsid w:val="00385295"/>
    <w:rsid w:val="0038532C"/>
    <w:rsid w:val="0038556F"/>
    <w:rsid w:val="00385664"/>
    <w:rsid w:val="00385747"/>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0A2"/>
    <w:rsid w:val="003902B6"/>
    <w:rsid w:val="003903E6"/>
    <w:rsid w:val="00390535"/>
    <w:rsid w:val="0039094B"/>
    <w:rsid w:val="003909C6"/>
    <w:rsid w:val="00390BF7"/>
    <w:rsid w:val="00390C65"/>
    <w:rsid w:val="003911BC"/>
    <w:rsid w:val="00391227"/>
    <w:rsid w:val="003912A4"/>
    <w:rsid w:val="003912C4"/>
    <w:rsid w:val="00391378"/>
    <w:rsid w:val="003914C8"/>
    <w:rsid w:val="003915A4"/>
    <w:rsid w:val="003915B0"/>
    <w:rsid w:val="003915F3"/>
    <w:rsid w:val="00391625"/>
    <w:rsid w:val="003917A8"/>
    <w:rsid w:val="00391914"/>
    <w:rsid w:val="00391CD1"/>
    <w:rsid w:val="003922BF"/>
    <w:rsid w:val="00392C75"/>
    <w:rsid w:val="00392E4E"/>
    <w:rsid w:val="003930EB"/>
    <w:rsid w:val="003931D8"/>
    <w:rsid w:val="00393229"/>
    <w:rsid w:val="00393509"/>
    <w:rsid w:val="00393569"/>
    <w:rsid w:val="00393590"/>
    <w:rsid w:val="00393C42"/>
    <w:rsid w:val="00393E53"/>
    <w:rsid w:val="00393EFB"/>
    <w:rsid w:val="00394172"/>
    <w:rsid w:val="003942F1"/>
    <w:rsid w:val="00394705"/>
    <w:rsid w:val="0039480F"/>
    <w:rsid w:val="00394B28"/>
    <w:rsid w:val="0039514E"/>
    <w:rsid w:val="00395151"/>
    <w:rsid w:val="003951E3"/>
    <w:rsid w:val="0039525E"/>
    <w:rsid w:val="00395514"/>
    <w:rsid w:val="0039554E"/>
    <w:rsid w:val="003957BB"/>
    <w:rsid w:val="00395932"/>
    <w:rsid w:val="00395C25"/>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0EBC"/>
    <w:rsid w:val="003A193D"/>
    <w:rsid w:val="003A1973"/>
    <w:rsid w:val="003A19A1"/>
    <w:rsid w:val="003A1B73"/>
    <w:rsid w:val="003A201A"/>
    <w:rsid w:val="003A21D7"/>
    <w:rsid w:val="003A24F9"/>
    <w:rsid w:val="003A25B0"/>
    <w:rsid w:val="003A270F"/>
    <w:rsid w:val="003A2AF4"/>
    <w:rsid w:val="003A2E76"/>
    <w:rsid w:val="003A2EA3"/>
    <w:rsid w:val="003A309A"/>
    <w:rsid w:val="003A31C2"/>
    <w:rsid w:val="003A3237"/>
    <w:rsid w:val="003A3314"/>
    <w:rsid w:val="003A335C"/>
    <w:rsid w:val="003A36D3"/>
    <w:rsid w:val="003A3B8F"/>
    <w:rsid w:val="003A3EE5"/>
    <w:rsid w:val="003A3EF6"/>
    <w:rsid w:val="003A420A"/>
    <w:rsid w:val="003A4264"/>
    <w:rsid w:val="003A4296"/>
    <w:rsid w:val="003A42CC"/>
    <w:rsid w:val="003A4319"/>
    <w:rsid w:val="003A4523"/>
    <w:rsid w:val="003A4954"/>
    <w:rsid w:val="003A4A5A"/>
    <w:rsid w:val="003A4AA7"/>
    <w:rsid w:val="003A4AD7"/>
    <w:rsid w:val="003A4D30"/>
    <w:rsid w:val="003A50F8"/>
    <w:rsid w:val="003A52C4"/>
    <w:rsid w:val="003A5735"/>
    <w:rsid w:val="003A57AA"/>
    <w:rsid w:val="003A58C7"/>
    <w:rsid w:val="003A5ACF"/>
    <w:rsid w:val="003A618E"/>
    <w:rsid w:val="003A66D7"/>
    <w:rsid w:val="003A674E"/>
    <w:rsid w:val="003A6CDC"/>
    <w:rsid w:val="003A7265"/>
    <w:rsid w:val="003A7367"/>
    <w:rsid w:val="003A797C"/>
    <w:rsid w:val="003A7A6F"/>
    <w:rsid w:val="003A7FF6"/>
    <w:rsid w:val="003B0336"/>
    <w:rsid w:val="003B03F4"/>
    <w:rsid w:val="003B0413"/>
    <w:rsid w:val="003B0677"/>
    <w:rsid w:val="003B083A"/>
    <w:rsid w:val="003B0A0F"/>
    <w:rsid w:val="003B0B9C"/>
    <w:rsid w:val="003B0D40"/>
    <w:rsid w:val="003B0EC1"/>
    <w:rsid w:val="003B12DD"/>
    <w:rsid w:val="003B1300"/>
    <w:rsid w:val="003B1577"/>
    <w:rsid w:val="003B1697"/>
    <w:rsid w:val="003B16D2"/>
    <w:rsid w:val="003B1824"/>
    <w:rsid w:val="003B192B"/>
    <w:rsid w:val="003B1B21"/>
    <w:rsid w:val="003B1B30"/>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113"/>
    <w:rsid w:val="003B44FE"/>
    <w:rsid w:val="003B46B5"/>
    <w:rsid w:val="003B4849"/>
    <w:rsid w:val="003B4A40"/>
    <w:rsid w:val="003B4A70"/>
    <w:rsid w:val="003B4D70"/>
    <w:rsid w:val="003B4EDF"/>
    <w:rsid w:val="003B4F2E"/>
    <w:rsid w:val="003B55EE"/>
    <w:rsid w:val="003B58B3"/>
    <w:rsid w:val="003B5B16"/>
    <w:rsid w:val="003B5C09"/>
    <w:rsid w:val="003B5C97"/>
    <w:rsid w:val="003B5CB6"/>
    <w:rsid w:val="003B5D35"/>
    <w:rsid w:val="003B605D"/>
    <w:rsid w:val="003B6110"/>
    <w:rsid w:val="003B6255"/>
    <w:rsid w:val="003B632F"/>
    <w:rsid w:val="003B6330"/>
    <w:rsid w:val="003B6346"/>
    <w:rsid w:val="003B6427"/>
    <w:rsid w:val="003B65D2"/>
    <w:rsid w:val="003B68ED"/>
    <w:rsid w:val="003B6960"/>
    <w:rsid w:val="003B6A9C"/>
    <w:rsid w:val="003B6AF5"/>
    <w:rsid w:val="003B6B94"/>
    <w:rsid w:val="003B6C95"/>
    <w:rsid w:val="003B6DA5"/>
    <w:rsid w:val="003B6DB5"/>
    <w:rsid w:val="003B6E55"/>
    <w:rsid w:val="003B7014"/>
    <w:rsid w:val="003B730A"/>
    <w:rsid w:val="003B76BF"/>
    <w:rsid w:val="003B7716"/>
    <w:rsid w:val="003B7979"/>
    <w:rsid w:val="003B7A53"/>
    <w:rsid w:val="003B7A9B"/>
    <w:rsid w:val="003B7B24"/>
    <w:rsid w:val="003B7BB9"/>
    <w:rsid w:val="003B7BEB"/>
    <w:rsid w:val="003B7ECE"/>
    <w:rsid w:val="003C00AB"/>
    <w:rsid w:val="003C041C"/>
    <w:rsid w:val="003C07D8"/>
    <w:rsid w:val="003C0F40"/>
    <w:rsid w:val="003C0F54"/>
    <w:rsid w:val="003C0FEF"/>
    <w:rsid w:val="003C121D"/>
    <w:rsid w:val="003C1658"/>
    <w:rsid w:val="003C1867"/>
    <w:rsid w:val="003C188E"/>
    <w:rsid w:val="003C1937"/>
    <w:rsid w:val="003C2167"/>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3A9"/>
    <w:rsid w:val="003C5497"/>
    <w:rsid w:val="003C587F"/>
    <w:rsid w:val="003C5A7A"/>
    <w:rsid w:val="003C5D3D"/>
    <w:rsid w:val="003C6073"/>
    <w:rsid w:val="003C64B5"/>
    <w:rsid w:val="003C64F7"/>
    <w:rsid w:val="003C65D0"/>
    <w:rsid w:val="003C675B"/>
    <w:rsid w:val="003C690E"/>
    <w:rsid w:val="003C6B06"/>
    <w:rsid w:val="003C6C49"/>
    <w:rsid w:val="003C6D10"/>
    <w:rsid w:val="003C6D72"/>
    <w:rsid w:val="003C6ED2"/>
    <w:rsid w:val="003C6FBE"/>
    <w:rsid w:val="003C6FFB"/>
    <w:rsid w:val="003C7466"/>
    <w:rsid w:val="003C74C2"/>
    <w:rsid w:val="003C757F"/>
    <w:rsid w:val="003C75B1"/>
    <w:rsid w:val="003C75B4"/>
    <w:rsid w:val="003C76AA"/>
    <w:rsid w:val="003C7820"/>
    <w:rsid w:val="003C79A3"/>
    <w:rsid w:val="003C7B60"/>
    <w:rsid w:val="003D00D2"/>
    <w:rsid w:val="003D017B"/>
    <w:rsid w:val="003D056E"/>
    <w:rsid w:val="003D0AFB"/>
    <w:rsid w:val="003D0BD2"/>
    <w:rsid w:val="003D0BE3"/>
    <w:rsid w:val="003D11B6"/>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721"/>
    <w:rsid w:val="003D3A0C"/>
    <w:rsid w:val="003D3E70"/>
    <w:rsid w:val="003D41F2"/>
    <w:rsid w:val="003D462C"/>
    <w:rsid w:val="003D4937"/>
    <w:rsid w:val="003D4B9D"/>
    <w:rsid w:val="003D4E2B"/>
    <w:rsid w:val="003D4F92"/>
    <w:rsid w:val="003D576D"/>
    <w:rsid w:val="003D5CD5"/>
    <w:rsid w:val="003D6151"/>
    <w:rsid w:val="003D61CE"/>
    <w:rsid w:val="003D6235"/>
    <w:rsid w:val="003D6672"/>
    <w:rsid w:val="003D670E"/>
    <w:rsid w:val="003D684E"/>
    <w:rsid w:val="003D68D4"/>
    <w:rsid w:val="003D68F6"/>
    <w:rsid w:val="003D690B"/>
    <w:rsid w:val="003D69FF"/>
    <w:rsid w:val="003D6A6E"/>
    <w:rsid w:val="003D6CA1"/>
    <w:rsid w:val="003D6EE8"/>
    <w:rsid w:val="003D6F6F"/>
    <w:rsid w:val="003D728F"/>
    <w:rsid w:val="003D746B"/>
    <w:rsid w:val="003D76CD"/>
    <w:rsid w:val="003D76F9"/>
    <w:rsid w:val="003D79C4"/>
    <w:rsid w:val="003D7AF7"/>
    <w:rsid w:val="003D7B0C"/>
    <w:rsid w:val="003D7CF1"/>
    <w:rsid w:val="003E025F"/>
    <w:rsid w:val="003E0730"/>
    <w:rsid w:val="003E0A59"/>
    <w:rsid w:val="003E0E48"/>
    <w:rsid w:val="003E1178"/>
    <w:rsid w:val="003E137D"/>
    <w:rsid w:val="003E1723"/>
    <w:rsid w:val="003E1769"/>
    <w:rsid w:val="003E1902"/>
    <w:rsid w:val="003E1A3A"/>
    <w:rsid w:val="003E1A8D"/>
    <w:rsid w:val="003E1B7B"/>
    <w:rsid w:val="003E1BC0"/>
    <w:rsid w:val="003E1BC4"/>
    <w:rsid w:val="003E1D15"/>
    <w:rsid w:val="003E1D48"/>
    <w:rsid w:val="003E1D49"/>
    <w:rsid w:val="003E1EE5"/>
    <w:rsid w:val="003E1F00"/>
    <w:rsid w:val="003E2010"/>
    <w:rsid w:val="003E2078"/>
    <w:rsid w:val="003E2375"/>
    <w:rsid w:val="003E23F6"/>
    <w:rsid w:val="003E2540"/>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3E1"/>
    <w:rsid w:val="003E55B9"/>
    <w:rsid w:val="003E5B22"/>
    <w:rsid w:val="003E5D70"/>
    <w:rsid w:val="003E5E9C"/>
    <w:rsid w:val="003E5F4F"/>
    <w:rsid w:val="003E5FD6"/>
    <w:rsid w:val="003E603E"/>
    <w:rsid w:val="003E61D8"/>
    <w:rsid w:val="003E629E"/>
    <w:rsid w:val="003E63AC"/>
    <w:rsid w:val="003E6517"/>
    <w:rsid w:val="003E6906"/>
    <w:rsid w:val="003E6985"/>
    <w:rsid w:val="003E6BF2"/>
    <w:rsid w:val="003E6D22"/>
    <w:rsid w:val="003E6D70"/>
    <w:rsid w:val="003E6FA0"/>
    <w:rsid w:val="003E7016"/>
    <w:rsid w:val="003E71CD"/>
    <w:rsid w:val="003E744D"/>
    <w:rsid w:val="003E7CDD"/>
    <w:rsid w:val="003F01F6"/>
    <w:rsid w:val="003F020C"/>
    <w:rsid w:val="003F033C"/>
    <w:rsid w:val="003F03C4"/>
    <w:rsid w:val="003F04C5"/>
    <w:rsid w:val="003F066F"/>
    <w:rsid w:val="003F07C3"/>
    <w:rsid w:val="003F0C9B"/>
    <w:rsid w:val="003F0E68"/>
    <w:rsid w:val="003F110B"/>
    <w:rsid w:val="003F1299"/>
    <w:rsid w:val="003F1C0F"/>
    <w:rsid w:val="003F1F1D"/>
    <w:rsid w:val="003F225B"/>
    <w:rsid w:val="003F232B"/>
    <w:rsid w:val="003F2A8C"/>
    <w:rsid w:val="003F2CEF"/>
    <w:rsid w:val="003F2DEE"/>
    <w:rsid w:val="003F307C"/>
    <w:rsid w:val="003F31AE"/>
    <w:rsid w:val="003F325F"/>
    <w:rsid w:val="003F3282"/>
    <w:rsid w:val="003F34C8"/>
    <w:rsid w:val="003F3650"/>
    <w:rsid w:val="003F3722"/>
    <w:rsid w:val="003F3733"/>
    <w:rsid w:val="003F3919"/>
    <w:rsid w:val="003F39F1"/>
    <w:rsid w:val="003F3B8F"/>
    <w:rsid w:val="003F3CE3"/>
    <w:rsid w:val="003F416F"/>
    <w:rsid w:val="003F41F2"/>
    <w:rsid w:val="003F4201"/>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6F8"/>
    <w:rsid w:val="003F6726"/>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2F48"/>
    <w:rsid w:val="0040305F"/>
    <w:rsid w:val="004030CE"/>
    <w:rsid w:val="004034C1"/>
    <w:rsid w:val="004034E5"/>
    <w:rsid w:val="00403504"/>
    <w:rsid w:val="00403633"/>
    <w:rsid w:val="00403812"/>
    <w:rsid w:val="00403959"/>
    <w:rsid w:val="00403B3C"/>
    <w:rsid w:val="00403C3A"/>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390"/>
    <w:rsid w:val="004065C4"/>
    <w:rsid w:val="004066EE"/>
    <w:rsid w:val="00406765"/>
    <w:rsid w:val="0040695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12AE"/>
    <w:rsid w:val="004114BE"/>
    <w:rsid w:val="0041156F"/>
    <w:rsid w:val="00411903"/>
    <w:rsid w:val="004119A1"/>
    <w:rsid w:val="00411CCB"/>
    <w:rsid w:val="00411E7E"/>
    <w:rsid w:val="00411F4F"/>
    <w:rsid w:val="00412042"/>
    <w:rsid w:val="004124B3"/>
    <w:rsid w:val="00412535"/>
    <w:rsid w:val="004126DB"/>
    <w:rsid w:val="00412A7B"/>
    <w:rsid w:val="00412B5E"/>
    <w:rsid w:val="00412C90"/>
    <w:rsid w:val="00412D0B"/>
    <w:rsid w:val="00412E61"/>
    <w:rsid w:val="0041303A"/>
    <w:rsid w:val="00413097"/>
    <w:rsid w:val="004134C0"/>
    <w:rsid w:val="004136EB"/>
    <w:rsid w:val="00413C08"/>
    <w:rsid w:val="00413FFE"/>
    <w:rsid w:val="004141A1"/>
    <w:rsid w:val="00414299"/>
    <w:rsid w:val="004145B4"/>
    <w:rsid w:val="00414967"/>
    <w:rsid w:val="00414B5B"/>
    <w:rsid w:val="00414C19"/>
    <w:rsid w:val="00414CAD"/>
    <w:rsid w:val="004150F4"/>
    <w:rsid w:val="00415563"/>
    <w:rsid w:val="00415BC5"/>
    <w:rsid w:val="00415DB8"/>
    <w:rsid w:val="00415EE3"/>
    <w:rsid w:val="00415F40"/>
    <w:rsid w:val="0041604E"/>
    <w:rsid w:val="004161DD"/>
    <w:rsid w:val="00416341"/>
    <w:rsid w:val="004173EB"/>
    <w:rsid w:val="00417B31"/>
    <w:rsid w:val="0042018B"/>
    <w:rsid w:val="004203E3"/>
    <w:rsid w:val="0042055A"/>
    <w:rsid w:val="004209F7"/>
    <w:rsid w:val="00420BD0"/>
    <w:rsid w:val="00420CB0"/>
    <w:rsid w:val="00420F40"/>
    <w:rsid w:val="0042114F"/>
    <w:rsid w:val="00421840"/>
    <w:rsid w:val="00421975"/>
    <w:rsid w:val="00421B69"/>
    <w:rsid w:val="00421BB3"/>
    <w:rsid w:val="00421F35"/>
    <w:rsid w:val="0042208B"/>
    <w:rsid w:val="00422404"/>
    <w:rsid w:val="004229AD"/>
    <w:rsid w:val="00422C05"/>
    <w:rsid w:val="0042304A"/>
    <w:rsid w:val="004232DA"/>
    <w:rsid w:val="004238F9"/>
    <w:rsid w:val="00423967"/>
    <w:rsid w:val="00423B8D"/>
    <w:rsid w:val="004240E0"/>
    <w:rsid w:val="0042436F"/>
    <w:rsid w:val="00424879"/>
    <w:rsid w:val="00424B6C"/>
    <w:rsid w:val="00424BC8"/>
    <w:rsid w:val="00424C9B"/>
    <w:rsid w:val="00424C9C"/>
    <w:rsid w:val="00424E78"/>
    <w:rsid w:val="00424F79"/>
    <w:rsid w:val="0042523D"/>
    <w:rsid w:val="0042527E"/>
    <w:rsid w:val="004252FB"/>
    <w:rsid w:val="004253AF"/>
    <w:rsid w:val="00425683"/>
    <w:rsid w:val="0042572F"/>
    <w:rsid w:val="00425907"/>
    <w:rsid w:val="00425987"/>
    <w:rsid w:val="00425A69"/>
    <w:rsid w:val="00425B72"/>
    <w:rsid w:val="00425E08"/>
    <w:rsid w:val="00425F1B"/>
    <w:rsid w:val="004260FD"/>
    <w:rsid w:val="004266A3"/>
    <w:rsid w:val="004266B1"/>
    <w:rsid w:val="00426F11"/>
    <w:rsid w:val="00427015"/>
    <w:rsid w:val="004273A5"/>
    <w:rsid w:val="00427696"/>
    <w:rsid w:val="00427865"/>
    <w:rsid w:val="00427876"/>
    <w:rsid w:val="004278E6"/>
    <w:rsid w:val="00427D09"/>
    <w:rsid w:val="00427F9F"/>
    <w:rsid w:val="00430012"/>
    <w:rsid w:val="004302B7"/>
    <w:rsid w:val="0043054F"/>
    <w:rsid w:val="00430567"/>
    <w:rsid w:val="0043063B"/>
    <w:rsid w:val="004308E5"/>
    <w:rsid w:val="004309AA"/>
    <w:rsid w:val="004309E8"/>
    <w:rsid w:val="00430DFD"/>
    <w:rsid w:val="00431096"/>
    <w:rsid w:val="0043122D"/>
    <w:rsid w:val="004322D4"/>
    <w:rsid w:val="00432570"/>
    <w:rsid w:val="0043269D"/>
    <w:rsid w:val="00432A76"/>
    <w:rsid w:val="00432F05"/>
    <w:rsid w:val="004330BC"/>
    <w:rsid w:val="004334B0"/>
    <w:rsid w:val="00433783"/>
    <w:rsid w:val="0043396B"/>
    <w:rsid w:val="00433AD1"/>
    <w:rsid w:val="00433C0B"/>
    <w:rsid w:val="00433EC8"/>
    <w:rsid w:val="00434174"/>
    <w:rsid w:val="0043417D"/>
    <w:rsid w:val="0043445D"/>
    <w:rsid w:val="00434627"/>
    <w:rsid w:val="0043479C"/>
    <w:rsid w:val="00434A59"/>
    <w:rsid w:val="00434E88"/>
    <w:rsid w:val="00435099"/>
    <w:rsid w:val="004350A2"/>
    <w:rsid w:val="00435101"/>
    <w:rsid w:val="004351AE"/>
    <w:rsid w:val="0043542B"/>
    <w:rsid w:val="00435632"/>
    <w:rsid w:val="00435734"/>
    <w:rsid w:val="0043584E"/>
    <w:rsid w:val="004358C5"/>
    <w:rsid w:val="0043594B"/>
    <w:rsid w:val="004359E9"/>
    <w:rsid w:val="004359FA"/>
    <w:rsid w:val="00435D10"/>
    <w:rsid w:val="004362BB"/>
    <w:rsid w:val="004368AE"/>
    <w:rsid w:val="004369C6"/>
    <w:rsid w:val="00436CC1"/>
    <w:rsid w:val="00436CDF"/>
    <w:rsid w:val="00437330"/>
    <w:rsid w:val="004378EC"/>
    <w:rsid w:val="004379D0"/>
    <w:rsid w:val="00437FB4"/>
    <w:rsid w:val="00440018"/>
    <w:rsid w:val="004402CD"/>
    <w:rsid w:val="0044040B"/>
    <w:rsid w:val="00440604"/>
    <w:rsid w:val="004407A0"/>
    <w:rsid w:val="00440822"/>
    <w:rsid w:val="00440DFC"/>
    <w:rsid w:val="00440E5B"/>
    <w:rsid w:val="00440FD7"/>
    <w:rsid w:val="004410D2"/>
    <w:rsid w:val="0044123D"/>
    <w:rsid w:val="0044129B"/>
    <w:rsid w:val="004412D1"/>
    <w:rsid w:val="0044130F"/>
    <w:rsid w:val="00441AFE"/>
    <w:rsid w:val="00441C3C"/>
    <w:rsid w:val="00441D02"/>
    <w:rsid w:val="00442386"/>
    <w:rsid w:val="00442B2E"/>
    <w:rsid w:val="00442BCC"/>
    <w:rsid w:val="00442BD9"/>
    <w:rsid w:val="00442D21"/>
    <w:rsid w:val="00442FF5"/>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1FA"/>
    <w:rsid w:val="0044680C"/>
    <w:rsid w:val="00446A40"/>
    <w:rsid w:val="00446CE8"/>
    <w:rsid w:val="004477EF"/>
    <w:rsid w:val="00447895"/>
    <w:rsid w:val="00447A38"/>
    <w:rsid w:val="00447BCF"/>
    <w:rsid w:val="00450446"/>
    <w:rsid w:val="004504D6"/>
    <w:rsid w:val="004507E5"/>
    <w:rsid w:val="00450833"/>
    <w:rsid w:val="00450AC0"/>
    <w:rsid w:val="00450B9C"/>
    <w:rsid w:val="00450D71"/>
    <w:rsid w:val="004512E4"/>
    <w:rsid w:val="004516D6"/>
    <w:rsid w:val="004516F2"/>
    <w:rsid w:val="004519F1"/>
    <w:rsid w:val="00451ED2"/>
    <w:rsid w:val="004525C1"/>
    <w:rsid w:val="00452619"/>
    <w:rsid w:val="004526DF"/>
    <w:rsid w:val="00452A17"/>
    <w:rsid w:val="00452C4A"/>
    <w:rsid w:val="00452E1E"/>
    <w:rsid w:val="00452E70"/>
    <w:rsid w:val="00453037"/>
    <w:rsid w:val="00453106"/>
    <w:rsid w:val="00453314"/>
    <w:rsid w:val="0045334B"/>
    <w:rsid w:val="00453A19"/>
    <w:rsid w:val="00453B7D"/>
    <w:rsid w:val="00453ED8"/>
    <w:rsid w:val="0045437C"/>
    <w:rsid w:val="004543BB"/>
    <w:rsid w:val="00454739"/>
    <w:rsid w:val="00454882"/>
    <w:rsid w:val="00454A14"/>
    <w:rsid w:val="00454A30"/>
    <w:rsid w:val="00454D6E"/>
    <w:rsid w:val="00454F63"/>
    <w:rsid w:val="00454F87"/>
    <w:rsid w:val="004553CB"/>
    <w:rsid w:val="0045588B"/>
    <w:rsid w:val="00455C49"/>
    <w:rsid w:val="00455F9E"/>
    <w:rsid w:val="0045610F"/>
    <w:rsid w:val="004563D6"/>
    <w:rsid w:val="004564F7"/>
    <w:rsid w:val="00456654"/>
    <w:rsid w:val="004568BB"/>
    <w:rsid w:val="00456C43"/>
    <w:rsid w:val="00456EC9"/>
    <w:rsid w:val="00456EF5"/>
    <w:rsid w:val="004577BF"/>
    <w:rsid w:val="004577CB"/>
    <w:rsid w:val="0045781E"/>
    <w:rsid w:val="00457AFC"/>
    <w:rsid w:val="00457CFF"/>
    <w:rsid w:val="004600CC"/>
    <w:rsid w:val="004600EE"/>
    <w:rsid w:val="00460494"/>
    <w:rsid w:val="004605BC"/>
    <w:rsid w:val="00460AD1"/>
    <w:rsid w:val="00461003"/>
    <w:rsid w:val="00461158"/>
    <w:rsid w:val="0046159A"/>
    <w:rsid w:val="004618B8"/>
    <w:rsid w:val="00461B72"/>
    <w:rsid w:val="00461B9D"/>
    <w:rsid w:val="00462001"/>
    <w:rsid w:val="00462117"/>
    <w:rsid w:val="00462400"/>
    <w:rsid w:val="004624B9"/>
    <w:rsid w:val="004627BC"/>
    <w:rsid w:val="00462C57"/>
    <w:rsid w:val="00462F8E"/>
    <w:rsid w:val="004630A2"/>
    <w:rsid w:val="00463226"/>
    <w:rsid w:val="004635B5"/>
    <w:rsid w:val="00463769"/>
    <w:rsid w:val="00463ADA"/>
    <w:rsid w:val="00463B9A"/>
    <w:rsid w:val="00463BA9"/>
    <w:rsid w:val="00463C42"/>
    <w:rsid w:val="00463F28"/>
    <w:rsid w:val="0046407B"/>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CC2"/>
    <w:rsid w:val="00465F5F"/>
    <w:rsid w:val="00466357"/>
    <w:rsid w:val="004665D2"/>
    <w:rsid w:val="0046689D"/>
    <w:rsid w:val="00466AB7"/>
    <w:rsid w:val="00466B35"/>
    <w:rsid w:val="00466C93"/>
    <w:rsid w:val="00466D14"/>
    <w:rsid w:val="00466DE0"/>
    <w:rsid w:val="00466E6A"/>
    <w:rsid w:val="00467357"/>
    <w:rsid w:val="00467610"/>
    <w:rsid w:val="004677AB"/>
    <w:rsid w:val="004677C1"/>
    <w:rsid w:val="00467906"/>
    <w:rsid w:val="00467B7D"/>
    <w:rsid w:val="00467CFF"/>
    <w:rsid w:val="00467E58"/>
    <w:rsid w:val="00467FAA"/>
    <w:rsid w:val="00467FEE"/>
    <w:rsid w:val="00467FFC"/>
    <w:rsid w:val="00470031"/>
    <w:rsid w:val="004700AF"/>
    <w:rsid w:val="0047030E"/>
    <w:rsid w:val="0047041D"/>
    <w:rsid w:val="004707D6"/>
    <w:rsid w:val="00470B1D"/>
    <w:rsid w:val="00470D18"/>
    <w:rsid w:val="00470F57"/>
    <w:rsid w:val="0047102C"/>
    <w:rsid w:val="00471068"/>
    <w:rsid w:val="0047114E"/>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6"/>
    <w:rsid w:val="0047349E"/>
    <w:rsid w:val="00473717"/>
    <w:rsid w:val="004738CB"/>
    <w:rsid w:val="004738F7"/>
    <w:rsid w:val="00473935"/>
    <w:rsid w:val="00473A0E"/>
    <w:rsid w:val="00473D60"/>
    <w:rsid w:val="00473E5C"/>
    <w:rsid w:val="00473EC6"/>
    <w:rsid w:val="00474437"/>
    <w:rsid w:val="0047457D"/>
    <w:rsid w:val="00474709"/>
    <w:rsid w:val="0047475A"/>
    <w:rsid w:val="00474BEC"/>
    <w:rsid w:val="00474E90"/>
    <w:rsid w:val="00474F03"/>
    <w:rsid w:val="00475053"/>
    <w:rsid w:val="004750D7"/>
    <w:rsid w:val="004750E2"/>
    <w:rsid w:val="004753C4"/>
    <w:rsid w:val="004753F4"/>
    <w:rsid w:val="00475849"/>
    <w:rsid w:val="0047592B"/>
    <w:rsid w:val="004759EC"/>
    <w:rsid w:val="00475AFC"/>
    <w:rsid w:val="00475B4E"/>
    <w:rsid w:val="00475D63"/>
    <w:rsid w:val="00475E7A"/>
    <w:rsid w:val="0047635D"/>
    <w:rsid w:val="00476425"/>
    <w:rsid w:val="00476711"/>
    <w:rsid w:val="004767BE"/>
    <w:rsid w:val="00476824"/>
    <w:rsid w:val="0047689B"/>
    <w:rsid w:val="004768D5"/>
    <w:rsid w:val="00476AB0"/>
    <w:rsid w:val="00476BB5"/>
    <w:rsid w:val="00477402"/>
    <w:rsid w:val="00477631"/>
    <w:rsid w:val="00477975"/>
    <w:rsid w:val="00477D9B"/>
    <w:rsid w:val="00477EA8"/>
    <w:rsid w:val="0048001E"/>
    <w:rsid w:val="00480173"/>
    <w:rsid w:val="004806B9"/>
    <w:rsid w:val="004807B0"/>
    <w:rsid w:val="00480B68"/>
    <w:rsid w:val="00480B72"/>
    <w:rsid w:val="00480E45"/>
    <w:rsid w:val="00480E46"/>
    <w:rsid w:val="00481225"/>
    <w:rsid w:val="0048131F"/>
    <w:rsid w:val="004813B3"/>
    <w:rsid w:val="004814A1"/>
    <w:rsid w:val="004815FA"/>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A99"/>
    <w:rsid w:val="00483B40"/>
    <w:rsid w:val="00483C6D"/>
    <w:rsid w:val="00483D75"/>
    <w:rsid w:val="0048412E"/>
    <w:rsid w:val="00484273"/>
    <w:rsid w:val="004847CB"/>
    <w:rsid w:val="00484937"/>
    <w:rsid w:val="00484A58"/>
    <w:rsid w:val="004852F4"/>
    <w:rsid w:val="0048546E"/>
    <w:rsid w:val="0048552D"/>
    <w:rsid w:val="004855D7"/>
    <w:rsid w:val="00485638"/>
    <w:rsid w:val="0048585C"/>
    <w:rsid w:val="00485CDE"/>
    <w:rsid w:val="00485D08"/>
    <w:rsid w:val="00485FCD"/>
    <w:rsid w:val="0048641F"/>
    <w:rsid w:val="00486603"/>
    <w:rsid w:val="00486C0B"/>
    <w:rsid w:val="00486CB5"/>
    <w:rsid w:val="00486D4F"/>
    <w:rsid w:val="00486D50"/>
    <w:rsid w:val="00486D7F"/>
    <w:rsid w:val="00486DD5"/>
    <w:rsid w:val="00486F13"/>
    <w:rsid w:val="00487009"/>
    <w:rsid w:val="00487069"/>
    <w:rsid w:val="004870C9"/>
    <w:rsid w:val="004871B7"/>
    <w:rsid w:val="00487659"/>
    <w:rsid w:val="00487A90"/>
    <w:rsid w:val="00487C28"/>
    <w:rsid w:val="00487D7A"/>
    <w:rsid w:val="00487DFF"/>
    <w:rsid w:val="00487F5F"/>
    <w:rsid w:val="00490293"/>
    <w:rsid w:val="004907D3"/>
    <w:rsid w:val="004907F2"/>
    <w:rsid w:val="004909B7"/>
    <w:rsid w:val="00490A86"/>
    <w:rsid w:val="00490E8E"/>
    <w:rsid w:val="00491088"/>
    <w:rsid w:val="0049136A"/>
    <w:rsid w:val="00491432"/>
    <w:rsid w:val="0049143C"/>
    <w:rsid w:val="0049169F"/>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67C"/>
    <w:rsid w:val="00493B0F"/>
    <w:rsid w:val="00493B38"/>
    <w:rsid w:val="00493B68"/>
    <w:rsid w:val="00493BA4"/>
    <w:rsid w:val="00493CCF"/>
    <w:rsid w:val="00493E6C"/>
    <w:rsid w:val="0049439A"/>
    <w:rsid w:val="00494683"/>
    <w:rsid w:val="004949AD"/>
    <w:rsid w:val="00494E20"/>
    <w:rsid w:val="00494F75"/>
    <w:rsid w:val="00495054"/>
    <w:rsid w:val="004951BE"/>
    <w:rsid w:val="004951D8"/>
    <w:rsid w:val="0049526A"/>
    <w:rsid w:val="00495557"/>
    <w:rsid w:val="00495658"/>
    <w:rsid w:val="00495748"/>
    <w:rsid w:val="004958A4"/>
    <w:rsid w:val="00495BB5"/>
    <w:rsid w:val="00495C30"/>
    <w:rsid w:val="00495C92"/>
    <w:rsid w:val="00495D27"/>
    <w:rsid w:val="00495D65"/>
    <w:rsid w:val="00495D8E"/>
    <w:rsid w:val="00495E63"/>
    <w:rsid w:val="00495F0C"/>
    <w:rsid w:val="00495FB1"/>
    <w:rsid w:val="00496031"/>
    <w:rsid w:val="004961B3"/>
    <w:rsid w:val="004961E7"/>
    <w:rsid w:val="0049622B"/>
    <w:rsid w:val="004962EB"/>
    <w:rsid w:val="00496865"/>
    <w:rsid w:val="00496F2D"/>
    <w:rsid w:val="00497272"/>
    <w:rsid w:val="00497671"/>
    <w:rsid w:val="0049782B"/>
    <w:rsid w:val="00497B0F"/>
    <w:rsid w:val="00497B52"/>
    <w:rsid w:val="00497C2A"/>
    <w:rsid w:val="00497C74"/>
    <w:rsid w:val="00497CAB"/>
    <w:rsid w:val="004A0086"/>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CAE"/>
    <w:rsid w:val="004A1D9F"/>
    <w:rsid w:val="004A1F03"/>
    <w:rsid w:val="004A1FF3"/>
    <w:rsid w:val="004A2079"/>
    <w:rsid w:val="004A21A7"/>
    <w:rsid w:val="004A21D5"/>
    <w:rsid w:val="004A22D4"/>
    <w:rsid w:val="004A2355"/>
    <w:rsid w:val="004A23F0"/>
    <w:rsid w:val="004A250E"/>
    <w:rsid w:val="004A272C"/>
    <w:rsid w:val="004A2805"/>
    <w:rsid w:val="004A2F7C"/>
    <w:rsid w:val="004A3254"/>
    <w:rsid w:val="004A3261"/>
    <w:rsid w:val="004A34F8"/>
    <w:rsid w:val="004A3878"/>
    <w:rsid w:val="004A3E7B"/>
    <w:rsid w:val="004A3FB2"/>
    <w:rsid w:val="004A4356"/>
    <w:rsid w:val="004A437C"/>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893"/>
    <w:rsid w:val="004A79E6"/>
    <w:rsid w:val="004B0237"/>
    <w:rsid w:val="004B028E"/>
    <w:rsid w:val="004B038D"/>
    <w:rsid w:val="004B06B6"/>
    <w:rsid w:val="004B070F"/>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2E4D"/>
    <w:rsid w:val="004B3090"/>
    <w:rsid w:val="004B33B9"/>
    <w:rsid w:val="004B340E"/>
    <w:rsid w:val="004B3420"/>
    <w:rsid w:val="004B37E4"/>
    <w:rsid w:val="004B3944"/>
    <w:rsid w:val="004B3971"/>
    <w:rsid w:val="004B399F"/>
    <w:rsid w:val="004B39D5"/>
    <w:rsid w:val="004B39F4"/>
    <w:rsid w:val="004B3B68"/>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936"/>
    <w:rsid w:val="004B6B02"/>
    <w:rsid w:val="004B6C88"/>
    <w:rsid w:val="004B6D63"/>
    <w:rsid w:val="004B6FEC"/>
    <w:rsid w:val="004B71A4"/>
    <w:rsid w:val="004C0571"/>
    <w:rsid w:val="004C093C"/>
    <w:rsid w:val="004C0A9A"/>
    <w:rsid w:val="004C0BC9"/>
    <w:rsid w:val="004C0C8F"/>
    <w:rsid w:val="004C0DF1"/>
    <w:rsid w:val="004C0DF8"/>
    <w:rsid w:val="004C0E96"/>
    <w:rsid w:val="004C0EF6"/>
    <w:rsid w:val="004C1151"/>
    <w:rsid w:val="004C11D4"/>
    <w:rsid w:val="004C1479"/>
    <w:rsid w:val="004C14A0"/>
    <w:rsid w:val="004C1697"/>
    <w:rsid w:val="004C1747"/>
    <w:rsid w:val="004C17DD"/>
    <w:rsid w:val="004C1A61"/>
    <w:rsid w:val="004C1D49"/>
    <w:rsid w:val="004C1E31"/>
    <w:rsid w:val="004C1E97"/>
    <w:rsid w:val="004C1FB7"/>
    <w:rsid w:val="004C2009"/>
    <w:rsid w:val="004C2076"/>
    <w:rsid w:val="004C236F"/>
    <w:rsid w:val="004C243B"/>
    <w:rsid w:val="004C246F"/>
    <w:rsid w:val="004C2683"/>
    <w:rsid w:val="004C26BA"/>
    <w:rsid w:val="004C27DD"/>
    <w:rsid w:val="004C2843"/>
    <w:rsid w:val="004C28D5"/>
    <w:rsid w:val="004C2ECD"/>
    <w:rsid w:val="004C3089"/>
    <w:rsid w:val="004C3316"/>
    <w:rsid w:val="004C35D2"/>
    <w:rsid w:val="004C38A6"/>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D4"/>
    <w:rsid w:val="004C61E2"/>
    <w:rsid w:val="004C648E"/>
    <w:rsid w:val="004C66F5"/>
    <w:rsid w:val="004C67F9"/>
    <w:rsid w:val="004C6804"/>
    <w:rsid w:val="004C6A3A"/>
    <w:rsid w:val="004C6ADB"/>
    <w:rsid w:val="004C6BE0"/>
    <w:rsid w:val="004C6D24"/>
    <w:rsid w:val="004C7020"/>
    <w:rsid w:val="004C7154"/>
    <w:rsid w:val="004C7503"/>
    <w:rsid w:val="004C7581"/>
    <w:rsid w:val="004C76F3"/>
    <w:rsid w:val="004C776E"/>
    <w:rsid w:val="004C77D9"/>
    <w:rsid w:val="004C7921"/>
    <w:rsid w:val="004C7F3E"/>
    <w:rsid w:val="004D05F3"/>
    <w:rsid w:val="004D08BF"/>
    <w:rsid w:val="004D0B38"/>
    <w:rsid w:val="004D0B9F"/>
    <w:rsid w:val="004D0C77"/>
    <w:rsid w:val="004D0DD6"/>
    <w:rsid w:val="004D0FF1"/>
    <w:rsid w:val="004D1027"/>
    <w:rsid w:val="004D12D2"/>
    <w:rsid w:val="004D134E"/>
    <w:rsid w:val="004D13B6"/>
    <w:rsid w:val="004D14CC"/>
    <w:rsid w:val="004D156A"/>
    <w:rsid w:val="004D156E"/>
    <w:rsid w:val="004D1B28"/>
    <w:rsid w:val="004D1D5E"/>
    <w:rsid w:val="004D1DC3"/>
    <w:rsid w:val="004D1E00"/>
    <w:rsid w:val="004D1FEF"/>
    <w:rsid w:val="004D238F"/>
    <w:rsid w:val="004D2E88"/>
    <w:rsid w:val="004D30C4"/>
    <w:rsid w:val="004D323C"/>
    <w:rsid w:val="004D3253"/>
    <w:rsid w:val="004D35C6"/>
    <w:rsid w:val="004D378E"/>
    <w:rsid w:val="004D3797"/>
    <w:rsid w:val="004D3A2C"/>
    <w:rsid w:val="004D3B94"/>
    <w:rsid w:val="004D3BF7"/>
    <w:rsid w:val="004D3FDF"/>
    <w:rsid w:val="004D4312"/>
    <w:rsid w:val="004D4544"/>
    <w:rsid w:val="004D4647"/>
    <w:rsid w:val="004D4AB8"/>
    <w:rsid w:val="004D4C47"/>
    <w:rsid w:val="004D5169"/>
    <w:rsid w:val="004D5477"/>
    <w:rsid w:val="004D5745"/>
    <w:rsid w:val="004D593D"/>
    <w:rsid w:val="004D5CD9"/>
    <w:rsid w:val="004D5E82"/>
    <w:rsid w:val="004D5F42"/>
    <w:rsid w:val="004D602D"/>
    <w:rsid w:val="004D6CF4"/>
    <w:rsid w:val="004D6E44"/>
    <w:rsid w:val="004D6EDA"/>
    <w:rsid w:val="004D6F65"/>
    <w:rsid w:val="004D7597"/>
    <w:rsid w:val="004D76BF"/>
    <w:rsid w:val="004D771F"/>
    <w:rsid w:val="004D7841"/>
    <w:rsid w:val="004D79F3"/>
    <w:rsid w:val="004D7B81"/>
    <w:rsid w:val="004D7E13"/>
    <w:rsid w:val="004D7E2A"/>
    <w:rsid w:val="004E00C1"/>
    <w:rsid w:val="004E0480"/>
    <w:rsid w:val="004E0734"/>
    <w:rsid w:val="004E07AA"/>
    <w:rsid w:val="004E0DAB"/>
    <w:rsid w:val="004E0E58"/>
    <w:rsid w:val="004E0E80"/>
    <w:rsid w:val="004E0E9C"/>
    <w:rsid w:val="004E1164"/>
    <w:rsid w:val="004E1294"/>
    <w:rsid w:val="004E12E9"/>
    <w:rsid w:val="004E1447"/>
    <w:rsid w:val="004E1753"/>
    <w:rsid w:val="004E18DF"/>
    <w:rsid w:val="004E1905"/>
    <w:rsid w:val="004E1992"/>
    <w:rsid w:val="004E1DC1"/>
    <w:rsid w:val="004E1FDF"/>
    <w:rsid w:val="004E205B"/>
    <w:rsid w:val="004E2138"/>
    <w:rsid w:val="004E21C6"/>
    <w:rsid w:val="004E22A4"/>
    <w:rsid w:val="004E2726"/>
    <w:rsid w:val="004E281C"/>
    <w:rsid w:val="004E283A"/>
    <w:rsid w:val="004E2949"/>
    <w:rsid w:val="004E2A17"/>
    <w:rsid w:val="004E2ADF"/>
    <w:rsid w:val="004E2CE5"/>
    <w:rsid w:val="004E2E35"/>
    <w:rsid w:val="004E3200"/>
    <w:rsid w:val="004E3341"/>
    <w:rsid w:val="004E3415"/>
    <w:rsid w:val="004E3543"/>
    <w:rsid w:val="004E366E"/>
    <w:rsid w:val="004E39FA"/>
    <w:rsid w:val="004E3AE0"/>
    <w:rsid w:val="004E3C70"/>
    <w:rsid w:val="004E3EFB"/>
    <w:rsid w:val="004E4161"/>
    <w:rsid w:val="004E438B"/>
    <w:rsid w:val="004E443C"/>
    <w:rsid w:val="004E451A"/>
    <w:rsid w:val="004E4B90"/>
    <w:rsid w:val="004E4F11"/>
    <w:rsid w:val="004E5352"/>
    <w:rsid w:val="004E53E0"/>
    <w:rsid w:val="004E59AE"/>
    <w:rsid w:val="004E5A51"/>
    <w:rsid w:val="004E5A77"/>
    <w:rsid w:val="004E5AD2"/>
    <w:rsid w:val="004E5C72"/>
    <w:rsid w:val="004E5FFF"/>
    <w:rsid w:val="004E6091"/>
    <w:rsid w:val="004E6617"/>
    <w:rsid w:val="004E6625"/>
    <w:rsid w:val="004E6929"/>
    <w:rsid w:val="004E698C"/>
    <w:rsid w:val="004E6EB9"/>
    <w:rsid w:val="004E6F28"/>
    <w:rsid w:val="004E74E2"/>
    <w:rsid w:val="004E7CA9"/>
    <w:rsid w:val="004E7CE1"/>
    <w:rsid w:val="004E7D7E"/>
    <w:rsid w:val="004E7FA9"/>
    <w:rsid w:val="004F0057"/>
    <w:rsid w:val="004F0144"/>
    <w:rsid w:val="004F01C3"/>
    <w:rsid w:val="004F01DD"/>
    <w:rsid w:val="004F023E"/>
    <w:rsid w:val="004F03EB"/>
    <w:rsid w:val="004F061C"/>
    <w:rsid w:val="004F0776"/>
    <w:rsid w:val="004F0C08"/>
    <w:rsid w:val="004F0D65"/>
    <w:rsid w:val="004F0D81"/>
    <w:rsid w:val="004F10BF"/>
    <w:rsid w:val="004F12E6"/>
    <w:rsid w:val="004F1AC2"/>
    <w:rsid w:val="004F1FAC"/>
    <w:rsid w:val="004F1FBB"/>
    <w:rsid w:val="004F1FE4"/>
    <w:rsid w:val="004F212A"/>
    <w:rsid w:val="004F217D"/>
    <w:rsid w:val="004F25E2"/>
    <w:rsid w:val="004F2D15"/>
    <w:rsid w:val="004F3127"/>
    <w:rsid w:val="004F313B"/>
    <w:rsid w:val="004F34D9"/>
    <w:rsid w:val="004F38E8"/>
    <w:rsid w:val="004F3B07"/>
    <w:rsid w:val="004F3B17"/>
    <w:rsid w:val="004F3D83"/>
    <w:rsid w:val="004F3E85"/>
    <w:rsid w:val="004F3EC7"/>
    <w:rsid w:val="004F4071"/>
    <w:rsid w:val="004F41DE"/>
    <w:rsid w:val="004F4638"/>
    <w:rsid w:val="004F4655"/>
    <w:rsid w:val="004F481D"/>
    <w:rsid w:val="004F498B"/>
    <w:rsid w:val="004F4A20"/>
    <w:rsid w:val="004F4C1A"/>
    <w:rsid w:val="004F514F"/>
    <w:rsid w:val="004F5693"/>
    <w:rsid w:val="004F58C9"/>
    <w:rsid w:val="004F5A1A"/>
    <w:rsid w:val="004F5AA1"/>
    <w:rsid w:val="004F5AE3"/>
    <w:rsid w:val="004F5B97"/>
    <w:rsid w:val="004F6187"/>
    <w:rsid w:val="004F6360"/>
    <w:rsid w:val="004F68F7"/>
    <w:rsid w:val="004F6C03"/>
    <w:rsid w:val="004F6E44"/>
    <w:rsid w:val="004F7584"/>
    <w:rsid w:val="004F7A0A"/>
    <w:rsid w:val="004F7A2C"/>
    <w:rsid w:val="004F7FEF"/>
    <w:rsid w:val="0050018D"/>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3"/>
    <w:rsid w:val="0050397D"/>
    <w:rsid w:val="005039CF"/>
    <w:rsid w:val="00503EBA"/>
    <w:rsid w:val="0050461E"/>
    <w:rsid w:val="005049A3"/>
    <w:rsid w:val="005052B3"/>
    <w:rsid w:val="005055E5"/>
    <w:rsid w:val="005057EA"/>
    <w:rsid w:val="00505A0C"/>
    <w:rsid w:val="00505A5D"/>
    <w:rsid w:val="00505A71"/>
    <w:rsid w:val="00505B38"/>
    <w:rsid w:val="00505D76"/>
    <w:rsid w:val="005062A4"/>
    <w:rsid w:val="00506336"/>
    <w:rsid w:val="0050661D"/>
    <w:rsid w:val="0050681E"/>
    <w:rsid w:val="005069A8"/>
    <w:rsid w:val="00506B5F"/>
    <w:rsid w:val="00506C13"/>
    <w:rsid w:val="00506CFE"/>
    <w:rsid w:val="00507067"/>
    <w:rsid w:val="005071F2"/>
    <w:rsid w:val="00507367"/>
    <w:rsid w:val="00507380"/>
    <w:rsid w:val="005074C9"/>
    <w:rsid w:val="005075AB"/>
    <w:rsid w:val="005078B3"/>
    <w:rsid w:val="00507918"/>
    <w:rsid w:val="00507ABB"/>
    <w:rsid w:val="00507D22"/>
    <w:rsid w:val="00507FB0"/>
    <w:rsid w:val="00510059"/>
    <w:rsid w:val="005100B8"/>
    <w:rsid w:val="0051056C"/>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9E7"/>
    <w:rsid w:val="00511C15"/>
    <w:rsid w:val="00511D82"/>
    <w:rsid w:val="00511E58"/>
    <w:rsid w:val="005120EA"/>
    <w:rsid w:val="0051212A"/>
    <w:rsid w:val="005121E2"/>
    <w:rsid w:val="00512314"/>
    <w:rsid w:val="005123D3"/>
    <w:rsid w:val="00512A6D"/>
    <w:rsid w:val="00512BA1"/>
    <w:rsid w:val="005133E5"/>
    <w:rsid w:val="0051347D"/>
    <w:rsid w:val="0051349F"/>
    <w:rsid w:val="00513851"/>
    <w:rsid w:val="00513877"/>
    <w:rsid w:val="005139E5"/>
    <w:rsid w:val="00513BF5"/>
    <w:rsid w:val="00513CF8"/>
    <w:rsid w:val="005140E6"/>
    <w:rsid w:val="0051411E"/>
    <w:rsid w:val="005145C5"/>
    <w:rsid w:val="00514730"/>
    <w:rsid w:val="005147BB"/>
    <w:rsid w:val="005147F4"/>
    <w:rsid w:val="00514A3A"/>
    <w:rsid w:val="00514E17"/>
    <w:rsid w:val="005152C9"/>
    <w:rsid w:val="00515314"/>
    <w:rsid w:val="00515393"/>
    <w:rsid w:val="005153B4"/>
    <w:rsid w:val="005153CE"/>
    <w:rsid w:val="0051551E"/>
    <w:rsid w:val="0051560D"/>
    <w:rsid w:val="00515737"/>
    <w:rsid w:val="0051587A"/>
    <w:rsid w:val="00515BCE"/>
    <w:rsid w:val="00516066"/>
    <w:rsid w:val="00516160"/>
    <w:rsid w:val="00516265"/>
    <w:rsid w:val="00516D9F"/>
    <w:rsid w:val="00516E9F"/>
    <w:rsid w:val="00516F49"/>
    <w:rsid w:val="00516FE4"/>
    <w:rsid w:val="00517357"/>
    <w:rsid w:val="005175AE"/>
    <w:rsid w:val="0051783B"/>
    <w:rsid w:val="00517B0C"/>
    <w:rsid w:val="00517B20"/>
    <w:rsid w:val="00517CB7"/>
    <w:rsid w:val="00517D05"/>
    <w:rsid w:val="00520154"/>
    <w:rsid w:val="005202BD"/>
    <w:rsid w:val="005204F4"/>
    <w:rsid w:val="005207FC"/>
    <w:rsid w:val="00520D7C"/>
    <w:rsid w:val="00521034"/>
    <w:rsid w:val="0052138A"/>
    <w:rsid w:val="005214ED"/>
    <w:rsid w:val="0052164E"/>
    <w:rsid w:val="0052169D"/>
    <w:rsid w:val="0052187E"/>
    <w:rsid w:val="005219B7"/>
    <w:rsid w:val="00521AB9"/>
    <w:rsid w:val="00521ABB"/>
    <w:rsid w:val="0052209B"/>
    <w:rsid w:val="005221B2"/>
    <w:rsid w:val="005223A5"/>
    <w:rsid w:val="0052243A"/>
    <w:rsid w:val="0052299E"/>
    <w:rsid w:val="00522DDE"/>
    <w:rsid w:val="00522FB6"/>
    <w:rsid w:val="0052304E"/>
    <w:rsid w:val="005230B7"/>
    <w:rsid w:val="00523157"/>
    <w:rsid w:val="0052334E"/>
    <w:rsid w:val="005233F5"/>
    <w:rsid w:val="0052349A"/>
    <w:rsid w:val="005235CB"/>
    <w:rsid w:val="005236AB"/>
    <w:rsid w:val="005237B8"/>
    <w:rsid w:val="005237BA"/>
    <w:rsid w:val="00523A83"/>
    <w:rsid w:val="00523AEC"/>
    <w:rsid w:val="00523E19"/>
    <w:rsid w:val="00523F25"/>
    <w:rsid w:val="00524107"/>
    <w:rsid w:val="00524136"/>
    <w:rsid w:val="00524150"/>
    <w:rsid w:val="00524255"/>
    <w:rsid w:val="00524370"/>
    <w:rsid w:val="005244C5"/>
    <w:rsid w:val="00524693"/>
    <w:rsid w:val="005246B0"/>
    <w:rsid w:val="0052474E"/>
    <w:rsid w:val="00524BD5"/>
    <w:rsid w:val="00524C6A"/>
    <w:rsid w:val="00524F60"/>
    <w:rsid w:val="005256E5"/>
    <w:rsid w:val="00525992"/>
    <w:rsid w:val="00525A0D"/>
    <w:rsid w:val="005260C5"/>
    <w:rsid w:val="005260D8"/>
    <w:rsid w:val="0052615C"/>
    <w:rsid w:val="00526293"/>
    <w:rsid w:val="0052643B"/>
    <w:rsid w:val="005267DC"/>
    <w:rsid w:val="00526827"/>
    <w:rsid w:val="00526BD8"/>
    <w:rsid w:val="00526CA2"/>
    <w:rsid w:val="00526CA8"/>
    <w:rsid w:val="00526CCF"/>
    <w:rsid w:val="00526D49"/>
    <w:rsid w:val="00526E1F"/>
    <w:rsid w:val="00526EBD"/>
    <w:rsid w:val="005271C9"/>
    <w:rsid w:val="005272D7"/>
    <w:rsid w:val="005273F0"/>
    <w:rsid w:val="00527995"/>
    <w:rsid w:val="00527B51"/>
    <w:rsid w:val="00527CA2"/>
    <w:rsid w:val="005300DA"/>
    <w:rsid w:val="00530157"/>
    <w:rsid w:val="00530208"/>
    <w:rsid w:val="00530248"/>
    <w:rsid w:val="00530472"/>
    <w:rsid w:val="005304E0"/>
    <w:rsid w:val="005308E1"/>
    <w:rsid w:val="00530CAC"/>
    <w:rsid w:val="00530F90"/>
    <w:rsid w:val="00531033"/>
    <w:rsid w:val="00531062"/>
    <w:rsid w:val="00531595"/>
    <w:rsid w:val="00531818"/>
    <w:rsid w:val="00531B26"/>
    <w:rsid w:val="00531BB7"/>
    <w:rsid w:val="0053232E"/>
    <w:rsid w:val="005323F1"/>
    <w:rsid w:val="005328B7"/>
    <w:rsid w:val="00532B79"/>
    <w:rsid w:val="00532BDF"/>
    <w:rsid w:val="00532D8A"/>
    <w:rsid w:val="005332CE"/>
    <w:rsid w:val="00533353"/>
    <w:rsid w:val="005337E4"/>
    <w:rsid w:val="00533922"/>
    <w:rsid w:val="00533E9B"/>
    <w:rsid w:val="00533F76"/>
    <w:rsid w:val="00533FA2"/>
    <w:rsid w:val="00533FA7"/>
    <w:rsid w:val="00533FDB"/>
    <w:rsid w:val="00534343"/>
    <w:rsid w:val="005343D4"/>
    <w:rsid w:val="00534644"/>
    <w:rsid w:val="00534757"/>
    <w:rsid w:val="00535067"/>
    <w:rsid w:val="00535205"/>
    <w:rsid w:val="00535232"/>
    <w:rsid w:val="00535388"/>
    <w:rsid w:val="005358B3"/>
    <w:rsid w:val="00535B25"/>
    <w:rsid w:val="00535B50"/>
    <w:rsid w:val="00535C32"/>
    <w:rsid w:val="00536069"/>
    <w:rsid w:val="005362FA"/>
    <w:rsid w:val="0053639C"/>
    <w:rsid w:val="005365AA"/>
    <w:rsid w:val="00536692"/>
    <w:rsid w:val="00536967"/>
    <w:rsid w:val="00536975"/>
    <w:rsid w:val="0053698E"/>
    <w:rsid w:val="00536B68"/>
    <w:rsid w:val="00536B76"/>
    <w:rsid w:val="00536D4D"/>
    <w:rsid w:val="00537035"/>
    <w:rsid w:val="00537270"/>
    <w:rsid w:val="005372E9"/>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6A9"/>
    <w:rsid w:val="0054579F"/>
    <w:rsid w:val="005458A5"/>
    <w:rsid w:val="005459D3"/>
    <w:rsid w:val="00545A8C"/>
    <w:rsid w:val="00545C38"/>
    <w:rsid w:val="00545D61"/>
    <w:rsid w:val="00545DF9"/>
    <w:rsid w:val="00545F99"/>
    <w:rsid w:val="00546233"/>
    <w:rsid w:val="005462CB"/>
    <w:rsid w:val="00546375"/>
    <w:rsid w:val="0054653E"/>
    <w:rsid w:val="00546B02"/>
    <w:rsid w:val="00546D0E"/>
    <w:rsid w:val="00546D78"/>
    <w:rsid w:val="0054707A"/>
    <w:rsid w:val="005473EA"/>
    <w:rsid w:val="005475E1"/>
    <w:rsid w:val="0054763F"/>
    <w:rsid w:val="00547841"/>
    <w:rsid w:val="00547A50"/>
    <w:rsid w:val="00547DF0"/>
    <w:rsid w:val="00547E3B"/>
    <w:rsid w:val="00547F6E"/>
    <w:rsid w:val="005501E1"/>
    <w:rsid w:val="0055043E"/>
    <w:rsid w:val="0055050E"/>
    <w:rsid w:val="00550567"/>
    <w:rsid w:val="00550821"/>
    <w:rsid w:val="005508DC"/>
    <w:rsid w:val="00550BFF"/>
    <w:rsid w:val="00550CF4"/>
    <w:rsid w:val="00550F07"/>
    <w:rsid w:val="00550F74"/>
    <w:rsid w:val="00550FC4"/>
    <w:rsid w:val="00551288"/>
    <w:rsid w:val="005512A7"/>
    <w:rsid w:val="005513E0"/>
    <w:rsid w:val="005514EE"/>
    <w:rsid w:val="005516B2"/>
    <w:rsid w:val="0055194B"/>
    <w:rsid w:val="00551A60"/>
    <w:rsid w:val="00551B63"/>
    <w:rsid w:val="00551DD2"/>
    <w:rsid w:val="00551EB0"/>
    <w:rsid w:val="00551FED"/>
    <w:rsid w:val="00552C21"/>
    <w:rsid w:val="00552DB9"/>
    <w:rsid w:val="00552E88"/>
    <w:rsid w:val="00553081"/>
    <w:rsid w:val="005531DF"/>
    <w:rsid w:val="005535AA"/>
    <w:rsid w:val="0055362B"/>
    <w:rsid w:val="005536A7"/>
    <w:rsid w:val="005537A2"/>
    <w:rsid w:val="00553DAD"/>
    <w:rsid w:val="00554683"/>
    <w:rsid w:val="00554758"/>
    <w:rsid w:val="00554ACD"/>
    <w:rsid w:val="00554C20"/>
    <w:rsid w:val="00554C58"/>
    <w:rsid w:val="00554D72"/>
    <w:rsid w:val="00554DAD"/>
    <w:rsid w:val="00554FA2"/>
    <w:rsid w:val="005550E6"/>
    <w:rsid w:val="0055520C"/>
    <w:rsid w:val="005554BC"/>
    <w:rsid w:val="005558D9"/>
    <w:rsid w:val="00555B72"/>
    <w:rsid w:val="00555B89"/>
    <w:rsid w:val="00555BD7"/>
    <w:rsid w:val="00555CF6"/>
    <w:rsid w:val="00556361"/>
    <w:rsid w:val="005564B8"/>
    <w:rsid w:val="005569FC"/>
    <w:rsid w:val="00556A21"/>
    <w:rsid w:val="00556E35"/>
    <w:rsid w:val="00556F11"/>
    <w:rsid w:val="00556FD5"/>
    <w:rsid w:val="00557019"/>
    <w:rsid w:val="005570F7"/>
    <w:rsid w:val="0055711F"/>
    <w:rsid w:val="00557270"/>
    <w:rsid w:val="00557359"/>
    <w:rsid w:val="00557827"/>
    <w:rsid w:val="00557B9E"/>
    <w:rsid w:val="00557DE4"/>
    <w:rsid w:val="00557F82"/>
    <w:rsid w:val="00560102"/>
    <w:rsid w:val="005606DA"/>
    <w:rsid w:val="00560802"/>
    <w:rsid w:val="005609D2"/>
    <w:rsid w:val="00560A3D"/>
    <w:rsid w:val="005610A0"/>
    <w:rsid w:val="005612D0"/>
    <w:rsid w:val="00561631"/>
    <w:rsid w:val="005617BA"/>
    <w:rsid w:val="0056185C"/>
    <w:rsid w:val="00561BE5"/>
    <w:rsid w:val="00561E6D"/>
    <w:rsid w:val="00561F9C"/>
    <w:rsid w:val="00561FED"/>
    <w:rsid w:val="005621A6"/>
    <w:rsid w:val="005623E8"/>
    <w:rsid w:val="005625F4"/>
    <w:rsid w:val="005626BF"/>
    <w:rsid w:val="005629B1"/>
    <w:rsid w:val="00562BBA"/>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5272"/>
    <w:rsid w:val="00565918"/>
    <w:rsid w:val="00565921"/>
    <w:rsid w:val="00565A61"/>
    <w:rsid w:val="00565D02"/>
    <w:rsid w:val="00565F56"/>
    <w:rsid w:val="0056637F"/>
    <w:rsid w:val="00566394"/>
    <w:rsid w:val="00566803"/>
    <w:rsid w:val="005668BB"/>
    <w:rsid w:val="0056697E"/>
    <w:rsid w:val="00566AB4"/>
    <w:rsid w:val="00566CD4"/>
    <w:rsid w:val="00566F0E"/>
    <w:rsid w:val="005670DA"/>
    <w:rsid w:val="0056743F"/>
    <w:rsid w:val="005675E9"/>
    <w:rsid w:val="0056777A"/>
    <w:rsid w:val="00567783"/>
    <w:rsid w:val="00567877"/>
    <w:rsid w:val="00567949"/>
    <w:rsid w:val="00567C85"/>
    <w:rsid w:val="00567E2F"/>
    <w:rsid w:val="00567FC5"/>
    <w:rsid w:val="00570010"/>
    <w:rsid w:val="00570129"/>
    <w:rsid w:val="00570147"/>
    <w:rsid w:val="00570273"/>
    <w:rsid w:val="005704F0"/>
    <w:rsid w:val="00570623"/>
    <w:rsid w:val="00570A7D"/>
    <w:rsid w:val="00570AEF"/>
    <w:rsid w:val="00570F91"/>
    <w:rsid w:val="0057110D"/>
    <w:rsid w:val="005712A4"/>
    <w:rsid w:val="005716C8"/>
    <w:rsid w:val="005718A8"/>
    <w:rsid w:val="00571942"/>
    <w:rsid w:val="00571B5A"/>
    <w:rsid w:val="00571B64"/>
    <w:rsid w:val="005721A4"/>
    <w:rsid w:val="00572203"/>
    <w:rsid w:val="005722BC"/>
    <w:rsid w:val="005723B6"/>
    <w:rsid w:val="005723BB"/>
    <w:rsid w:val="0057289B"/>
    <w:rsid w:val="005731E9"/>
    <w:rsid w:val="00573302"/>
    <w:rsid w:val="0057357F"/>
    <w:rsid w:val="00573647"/>
    <w:rsid w:val="00573903"/>
    <w:rsid w:val="005739D7"/>
    <w:rsid w:val="00573B1A"/>
    <w:rsid w:val="00573B6A"/>
    <w:rsid w:val="00573D33"/>
    <w:rsid w:val="00573DC5"/>
    <w:rsid w:val="0057409E"/>
    <w:rsid w:val="00574223"/>
    <w:rsid w:val="00574D66"/>
    <w:rsid w:val="00574E2E"/>
    <w:rsid w:val="00575284"/>
    <w:rsid w:val="0057546D"/>
    <w:rsid w:val="0057554A"/>
    <w:rsid w:val="00575822"/>
    <w:rsid w:val="00575E87"/>
    <w:rsid w:val="00575F00"/>
    <w:rsid w:val="0057604C"/>
    <w:rsid w:val="00576147"/>
    <w:rsid w:val="00576254"/>
    <w:rsid w:val="00576265"/>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664"/>
    <w:rsid w:val="00580CB7"/>
    <w:rsid w:val="00580CCE"/>
    <w:rsid w:val="005814E6"/>
    <w:rsid w:val="0058167E"/>
    <w:rsid w:val="0058172C"/>
    <w:rsid w:val="005818C5"/>
    <w:rsid w:val="00581958"/>
    <w:rsid w:val="00581A42"/>
    <w:rsid w:val="00581AB5"/>
    <w:rsid w:val="00581C03"/>
    <w:rsid w:val="00581D7D"/>
    <w:rsid w:val="00581EBE"/>
    <w:rsid w:val="005821CC"/>
    <w:rsid w:val="00582274"/>
    <w:rsid w:val="0058271C"/>
    <w:rsid w:val="00582D68"/>
    <w:rsid w:val="00582E7D"/>
    <w:rsid w:val="00582E8D"/>
    <w:rsid w:val="00583268"/>
    <w:rsid w:val="005833D3"/>
    <w:rsid w:val="00583944"/>
    <w:rsid w:val="00583E5F"/>
    <w:rsid w:val="0058406F"/>
    <w:rsid w:val="00584205"/>
    <w:rsid w:val="00584757"/>
    <w:rsid w:val="00584BFE"/>
    <w:rsid w:val="00584D23"/>
    <w:rsid w:val="00584EC4"/>
    <w:rsid w:val="00584EDC"/>
    <w:rsid w:val="0058507E"/>
    <w:rsid w:val="00585148"/>
    <w:rsid w:val="00585172"/>
    <w:rsid w:val="00585537"/>
    <w:rsid w:val="005855E7"/>
    <w:rsid w:val="00585692"/>
    <w:rsid w:val="005859D4"/>
    <w:rsid w:val="00585AC5"/>
    <w:rsid w:val="00585CF3"/>
    <w:rsid w:val="00585F57"/>
    <w:rsid w:val="00586025"/>
    <w:rsid w:val="005860DE"/>
    <w:rsid w:val="00586302"/>
    <w:rsid w:val="00586314"/>
    <w:rsid w:val="005864D9"/>
    <w:rsid w:val="0058654F"/>
    <w:rsid w:val="0058662C"/>
    <w:rsid w:val="0058693D"/>
    <w:rsid w:val="00586ACB"/>
    <w:rsid w:val="00586CF9"/>
    <w:rsid w:val="00586D70"/>
    <w:rsid w:val="00586E61"/>
    <w:rsid w:val="00586F26"/>
    <w:rsid w:val="00587122"/>
    <w:rsid w:val="0058769C"/>
    <w:rsid w:val="00587E75"/>
    <w:rsid w:val="00587E8E"/>
    <w:rsid w:val="00590248"/>
    <w:rsid w:val="005903FA"/>
    <w:rsid w:val="0059077C"/>
    <w:rsid w:val="00590885"/>
    <w:rsid w:val="00591000"/>
    <w:rsid w:val="0059119C"/>
    <w:rsid w:val="005911E2"/>
    <w:rsid w:val="005916D5"/>
    <w:rsid w:val="005918AF"/>
    <w:rsid w:val="00591940"/>
    <w:rsid w:val="00591C48"/>
    <w:rsid w:val="00591C6E"/>
    <w:rsid w:val="00591CC1"/>
    <w:rsid w:val="00591EF0"/>
    <w:rsid w:val="0059244F"/>
    <w:rsid w:val="005925F2"/>
    <w:rsid w:val="005926E2"/>
    <w:rsid w:val="00592AA8"/>
    <w:rsid w:val="005931F5"/>
    <w:rsid w:val="00593202"/>
    <w:rsid w:val="0059340C"/>
    <w:rsid w:val="00593546"/>
    <w:rsid w:val="00593968"/>
    <w:rsid w:val="00593DE3"/>
    <w:rsid w:val="005940A3"/>
    <w:rsid w:val="00594376"/>
    <w:rsid w:val="00594451"/>
    <w:rsid w:val="0059465D"/>
    <w:rsid w:val="005949B6"/>
    <w:rsid w:val="00594A07"/>
    <w:rsid w:val="00594A50"/>
    <w:rsid w:val="005951D7"/>
    <w:rsid w:val="0059526A"/>
    <w:rsid w:val="005958A4"/>
    <w:rsid w:val="005958A8"/>
    <w:rsid w:val="00595993"/>
    <w:rsid w:val="00595CF0"/>
    <w:rsid w:val="00595EBD"/>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0AC"/>
    <w:rsid w:val="005A03EA"/>
    <w:rsid w:val="005A05F8"/>
    <w:rsid w:val="005A0983"/>
    <w:rsid w:val="005A0C46"/>
    <w:rsid w:val="005A0D27"/>
    <w:rsid w:val="005A127B"/>
    <w:rsid w:val="005A12CE"/>
    <w:rsid w:val="005A14C5"/>
    <w:rsid w:val="005A16D2"/>
    <w:rsid w:val="005A18FC"/>
    <w:rsid w:val="005A19A2"/>
    <w:rsid w:val="005A19B3"/>
    <w:rsid w:val="005A1B49"/>
    <w:rsid w:val="005A1BD4"/>
    <w:rsid w:val="005A214D"/>
    <w:rsid w:val="005A2383"/>
    <w:rsid w:val="005A2C93"/>
    <w:rsid w:val="005A2D82"/>
    <w:rsid w:val="005A2DFD"/>
    <w:rsid w:val="005A2E96"/>
    <w:rsid w:val="005A3447"/>
    <w:rsid w:val="005A3602"/>
    <w:rsid w:val="005A36B6"/>
    <w:rsid w:val="005A3D41"/>
    <w:rsid w:val="005A3DA1"/>
    <w:rsid w:val="005A4315"/>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1FAE"/>
    <w:rsid w:val="005B20C7"/>
    <w:rsid w:val="005B215A"/>
    <w:rsid w:val="005B25EC"/>
    <w:rsid w:val="005B2820"/>
    <w:rsid w:val="005B2CBF"/>
    <w:rsid w:val="005B31C8"/>
    <w:rsid w:val="005B3204"/>
    <w:rsid w:val="005B33F1"/>
    <w:rsid w:val="005B363A"/>
    <w:rsid w:val="005B466D"/>
    <w:rsid w:val="005B4BB9"/>
    <w:rsid w:val="005B4CE7"/>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913"/>
    <w:rsid w:val="005B795A"/>
    <w:rsid w:val="005B7E45"/>
    <w:rsid w:val="005B7F65"/>
    <w:rsid w:val="005C0039"/>
    <w:rsid w:val="005C0448"/>
    <w:rsid w:val="005C05E4"/>
    <w:rsid w:val="005C0981"/>
    <w:rsid w:val="005C098F"/>
    <w:rsid w:val="005C0A8D"/>
    <w:rsid w:val="005C0BF7"/>
    <w:rsid w:val="005C0BFD"/>
    <w:rsid w:val="005C0FDB"/>
    <w:rsid w:val="005C1201"/>
    <w:rsid w:val="005C131D"/>
    <w:rsid w:val="005C1634"/>
    <w:rsid w:val="005C1AC5"/>
    <w:rsid w:val="005C1B7D"/>
    <w:rsid w:val="005C1BB5"/>
    <w:rsid w:val="005C222F"/>
    <w:rsid w:val="005C2352"/>
    <w:rsid w:val="005C2429"/>
    <w:rsid w:val="005C28BB"/>
    <w:rsid w:val="005C2956"/>
    <w:rsid w:val="005C2C95"/>
    <w:rsid w:val="005C2DD4"/>
    <w:rsid w:val="005C2E02"/>
    <w:rsid w:val="005C2E7C"/>
    <w:rsid w:val="005C2F04"/>
    <w:rsid w:val="005C3025"/>
    <w:rsid w:val="005C3288"/>
    <w:rsid w:val="005C34BF"/>
    <w:rsid w:val="005C3511"/>
    <w:rsid w:val="005C389C"/>
    <w:rsid w:val="005C3A23"/>
    <w:rsid w:val="005C3B0C"/>
    <w:rsid w:val="005C3BF3"/>
    <w:rsid w:val="005C3CFC"/>
    <w:rsid w:val="005C3E80"/>
    <w:rsid w:val="005C407B"/>
    <w:rsid w:val="005C4284"/>
    <w:rsid w:val="005C42F0"/>
    <w:rsid w:val="005C43C8"/>
    <w:rsid w:val="005C43E2"/>
    <w:rsid w:val="005C4625"/>
    <w:rsid w:val="005C469E"/>
    <w:rsid w:val="005C4877"/>
    <w:rsid w:val="005C4892"/>
    <w:rsid w:val="005C4922"/>
    <w:rsid w:val="005C4EAA"/>
    <w:rsid w:val="005C5095"/>
    <w:rsid w:val="005C50FA"/>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0C"/>
    <w:rsid w:val="005C74DA"/>
    <w:rsid w:val="005C78FE"/>
    <w:rsid w:val="005C7BF3"/>
    <w:rsid w:val="005C7DFF"/>
    <w:rsid w:val="005D0215"/>
    <w:rsid w:val="005D027C"/>
    <w:rsid w:val="005D077F"/>
    <w:rsid w:val="005D07C9"/>
    <w:rsid w:val="005D0A2E"/>
    <w:rsid w:val="005D10A9"/>
    <w:rsid w:val="005D1144"/>
    <w:rsid w:val="005D12EF"/>
    <w:rsid w:val="005D133F"/>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2B7"/>
    <w:rsid w:val="005D4565"/>
    <w:rsid w:val="005D4997"/>
    <w:rsid w:val="005D51F0"/>
    <w:rsid w:val="005D521B"/>
    <w:rsid w:val="005D5298"/>
    <w:rsid w:val="005D52A1"/>
    <w:rsid w:val="005D532B"/>
    <w:rsid w:val="005D5392"/>
    <w:rsid w:val="005D54EF"/>
    <w:rsid w:val="005D5533"/>
    <w:rsid w:val="005D55A7"/>
    <w:rsid w:val="005D55D2"/>
    <w:rsid w:val="005D56BC"/>
    <w:rsid w:val="005D5C1F"/>
    <w:rsid w:val="005D603E"/>
    <w:rsid w:val="005D60C9"/>
    <w:rsid w:val="005D613F"/>
    <w:rsid w:val="005D6198"/>
    <w:rsid w:val="005D660C"/>
    <w:rsid w:val="005D678B"/>
    <w:rsid w:val="005D6A50"/>
    <w:rsid w:val="005D6C8E"/>
    <w:rsid w:val="005D73A6"/>
    <w:rsid w:val="005D7574"/>
    <w:rsid w:val="005D77C7"/>
    <w:rsid w:val="005D790D"/>
    <w:rsid w:val="005D7951"/>
    <w:rsid w:val="005D7ACC"/>
    <w:rsid w:val="005E018B"/>
    <w:rsid w:val="005E03B0"/>
    <w:rsid w:val="005E0660"/>
    <w:rsid w:val="005E0815"/>
    <w:rsid w:val="005E0A1F"/>
    <w:rsid w:val="005E0D4F"/>
    <w:rsid w:val="005E0E6C"/>
    <w:rsid w:val="005E10C3"/>
    <w:rsid w:val="005E1387"/>
    <w:rsid w:val="005E1480"/>
    <w:rsid w:val="005E1512"/>
    <w:rsid w:val="005E15E3"/>
    <w:rsid w:val="005E1A55"/>
    <w:rsid w:val="005E1E55"/>
    <w:rsid w:val="005E2005"/>
    <w:rsid w:val="005E224F"/>
    <w:rsid w:val="005E2460"/>
    <w:rsid w:val="005E262C"/>
    <w:rsid w:val="005E27B6"/>
    <w:rsid w:val="005E2A6D"/>
    <w:rsid w:val="005E2B22"/>
    <w:rsid w:val="005E2BD3"/>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7D5"/>
    <w:rsid w:val="005E5A02"/>
    <w:rsid w:val="005E5B7D"/>
    <w:rsid w:val="005E6317"/>
    <w:rsid w:val="005E636F"/>
    <w:rsid w:val="005E6F07"/>
    <w:rsid w:val="005E6F0F"/>
    <w:rsid w:val="005E74B4"/>
    <w:rsid w:val="005E793F"/>
    <w:rsid w:val="005E79D7"/>
    <w:rsid w:val="005E7A93"/>
    <w:rsid w:val="005E7E6E"/>
    <w:rsid w:val="005E7E8D"/>
    <w:rsid w:val="005F006A"/>
    <w:rsid w:val="005F00E1"/>
    <w:rsid w:val="005F00FC"/>
    <w:rsid w:val="005F0231"/>
    <w:rsid w:val="005F02B2"/>
    <w:rsid w:val="005F0691"/>
    <w:rsid w:val="005F06F6"/>
    <w:rsid w:val="005F0835"/>
    <w:rsid w:val="005F09F5"/>
    <w:rsid w:val="005F0A4B"/>
    <w:rsid w:val="005F0A74"/>
    <w:rsid w:val="005F0BF7"/>
    <w:rsid w:val="005F1311"/>
    <w:rsid w:val="005F14F7"/>
    <w:rsid w:val="005F1558"/>
    <w:rsid w:val="005F188D"/>
    <w:rsid w:val="005F1922"/>
    <w:rsid w:val="005F1D8D"/>
    <w:rsid w:val="005F21C9"/>
    <w:rsid w:val="005F247D"/>
    <w:rsid w:val="005F26B1"/>
    <w:rsid w:val="005F2B03"/>
    <w:rsid w:val="005F2EF6"/>
    <w:rsid w:val="005F30BF"/>
    <w:rsid w:val="005F35F8"/>
    <w:rsid w:val="005F372C"/>
    <w:rsid w:val="005F3739"/>
    <w:rsid w:val="005F39BF"/>
    <w:rsid w:val="005F3C33"/>
    <w:rsid w:val="005F3E71"/>
    <w:rsid w:val="005F3FB8"/>
    <w:rsid w:val="005F4312"/>
    <w:rsid w:val="005F4523"/>
    <w:rsid w:val="005F4788"/>
    <w:rsid w:val="005F4856"/>
    <w:rsid w:val="005F4B69"/>
    <w:rsid w:val="005F4E22"/>
    <w:rsid w:val="005F4EA7"/>
    <w:rsid w:val="005F502B"/>
    <w:rsid w:val="005F5040"/>
    <w:rsid w:val="005F507A"/>
    <w:rsid w:val="005F51F2"/>
    <w:rsid w:val="005F520D"/>
    <w:rsid w:val="005F54FF"/>
    <w:rsid w:val="005F56AE"/>
    <w:rsid w:val="005F5816"/>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9FB"/>
    <w:rsid w:val="005F7B6C"/>
    <w:rsid w:val="005F7DB6"/>
    <w:rsid w:val="005F7E7B"/>
    <w:rsid w:val="0060026E"/>
    <w:rsid w:val="00600389"/>
    <w:rsid w:val="0060043C"/>
    <w:rsid w:val="006005D6"/>
    <w:rsid w:val="00600815"/>
    <w:rsid w:val="006009AC"/>
    <w:rsid w:val="006009F3"/>
    <w:rsid w:val="00600BF8"/>
    <w:rsid w:val="00600E99"/>
    <w:rsid w:val="00601098"/>
    <w:rsid w:val="006010FE"/>
    <w:rsid w:val="006011BA"/>
    <w:rsid w:val="0060144C"/>
    <w:rsid w:val="00601957"/>
    <w:rsid w:val="00602081"/>
    <w:rsid w:val="00602180"/>
    <w:rsid w:val="00602383"/>
    <w:rsid w:val="006023DB"/>
    <w:rsid w:val="006026AC"/>
    <w:rsid w:val="006026E6"/>
    <w:rsid w:val="00602761"/>
    <w:rsid w:val="00602987"/>
    <w:rsid w:val="006029C8"/>
    <w:rsid w:val="00602BEF"/>
    <w:rsid w:val="00602D58"/>
    <w:rsid w:val="00602E57"/>
    <w:rsid w:val="00603012"/>
    <w:rsid w:val="006030BB"/>
    <w:rsid w:val="006030BD"/>
    <w:rsid w:val="006035FD"/>
    <w:rsid w:val="00603808"/>
    <w:rsid w:val="00603C02"/>
    <w:rsid w:val="00603C48"/>
    <w:rsid w:val="00603E32"/>
    <w:rsid w:val="006044E1"/>
    <w:rsid w:val="00604627"/>
    <w:rsid w:val="006047B1"/>
    <w:rsid w:val="006047D4"/>
    <w:rsid w:val="00604C70"/>
    <w:rsid w:val="00604DE8"/>
    <w:rsid w:val="006051F3"/>
    <w:rsid w:val="00605261"/>
    <w:rsid w:val="0060548A"/>
    <w:rsid w:val="006054D2"/>
    <w:rsid w:val="006055B8"/>
    <w:rsid w:val="0060563D"/>
    <w:rsid w:val="00605BE0"/>
    <w:rsid w:val="00605BE6"/>
    <w:rsid w:val="00605FAA"/>
    <w:rsid w:val="006060A3"/>
    <w:rsid w:val="006064F1"/>
    <w:rsid w:val="00606608"/>
    <w:rsid w:val="0060683B"/>
    <w:rsid w:val="00606BA1"/>
    <w:rsid w:val="00606C4D"/>
    <w:rsid w:val="00606D98"/>
    <w:rsid w:val="00606F7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0DF3"/>
    <w:rsid w:val="00611228"/>
    <w:rsid w:val="0061156F"/>
    <w:rsid w:val="00611990"/>
    <w:rsid w:val="00611B42"/>
    <w:rsid w:val="00611BAB"/>
    <w:rsid w:val="00611BB6"/>
    <w:rsid w:val="00611C80"/>
    <w:rsid w:val="00611CF8"/>
    <w:rsid w:val="00611E6A"/>
    <w:rsid w:val="00611EAE"/>
    <w:rsid w:val="00612031"/>
    <w:rsid w:val="006120DC"/>
    <w:rsid w:val="0061213B"/>
    <w:rsid w:val="006124F6"/>
    <w:rsid w:val="00612529"/>
    <w:rsid w:val="0061286F"/>
    <w:rsid w:val="00612A4F"/>
    <w:rsid w:val="00612B0B"/>
    <w:rsid w:val="0061317B"/>
    <w:rsid w:val="006131C5"/>
    <w:rsid w:val="00613534"/>
    <w:rsid w:val="00613606"/>
    <w:rsid w:val="0061373D"/>
    <w:rsid w:val="0061388C"/>
    <w:rsid w:val="006139BA"/>
    <w:rsid w:val="00613A9B"/>
    <w:rsid w:val="00613B66"/>
    <w:rsid w:val="00613CCA"/>
    <w:rsid w:val="00613FAC"/>
    <w:rsid w:val="0061438F"/>
    <w:rsid w:val="00614424"/>
    <w:rsid w:val="006144DF"/>
    <w:rsid w:val="006147D7"/>
    <w:rsid w:val="00614B75"/>
    <w:rsid w:val="00614C5D"/>
    <w:rsid w:val="00614C65"/>
    <w:rsid w:val="00614D6C"/>
    <w:rsid w:val="00614E21"/>
    <w:rsid w:val="00614E47"/>
    <w:rsid w:val="0061530F"/>
    <w:rsid w:val="006154AB"/>
    <w:rsid w:val="00615572"/>
    <w:rsid w:val="0061557B"/>
    <w:rsid w:val="006160C4"/>
    <w:rsid w:val="00616265"/>
    <w:rsid w:val="006163CF"/>
    <w:rsid w:val="0061668C"/>
    <w:rsid w:val="00616B95"/>
    <w:rsid w:val="00616F6F"/>
    <w:rsid w:val="00617161"/>
    <w:rsid w:val="00617344"/>
    <w:rsid w:val="00617401"/>
    <w:rsid w:val="006176D6"/>
    <w:rsid w:val="00617784"/>
    <w:rsid w:val="00617AAE"/>
    <w:rsid w:val="00617DAC"/>
    <w:rsid w:val="00617EEA"/>
    <w:rsid w:val="0062042E"/>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3F05"/>
    <w:rsid w:val="0062415F"/>
    <w:rsid w:val="006241D9"/>
    <w:rsid w:val="00624376"/>
    <w:rsid w:val="0062460B"/>
    <w:rsid w:val="0062479F"/>
    <w:rsid w:val="0062495F"/>
    <w:rsid w:val="00624A70"/>
    <w:rsid w:val="00624AB7"/>
    <w:rsid w:val="00624B39"/>
    <w:rsid w:val="00624BA2"/>
    <w:rsid w:val="00624DAB"/>
    <w:rsid w:val="0062509A"/>
    <w:rsid w:val="006253FD"/>
    <w:rsid w:val="0062595E"/>
    <w:rsid w:val="00625C6D"/>
    <w:rsid w:val="00625F42"/>
    <w:rsid w:val="00626004"/>
    <w:rsid w:val="006261DE"/>
    <w:rsid w:val="006262F3"/>
    <w:rsid w:val="0062646D"/>
    <w:rsid w:val="006264E6"/>
    <w:rsid w:val="006269A8"/>
    <w:rsid w:val="00626A30"/>
    <w:rsid w:val="00626CEC"/>
    <w:rsid w:val="0062703F"/>
    <w:rsid w:val="006270A1"/>
    <w:rsid w:val="006270A7"/>
    <w:rsid w:val="006272A4"/>
    <w:rsid w:val="00627705"/>
    <w:rsid w:val="0062773E"/>
    <w:rsid w:val="0062796F"/>
    <w:rsid w:val="006279C8"/>
    <w:rsid w:val="00627A43"/>
    <w:rsid w:val="00627D4A"/>
    <w:rsid w:val="006300E3"/>
    <w:rsid w:val="0063013E"/>
    <w:rsid w:val="006306A9"/>
    <w:rsid w:val="006307DF"/>
    <w:rsid w:val="00630A60"/>
    <w:rsid w:val="00630EB3"/>
    <w:rsid w:val="00630F9E"/>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D24"/>
    <w:rsid w:val="00634ECD"/>
    <w:rsid w:val="00634F72"/>
    <w:rsid w:val="006350B8"/>
    <w:rsid w:val="00635127"/>
    <w:rsid w:val="00635301"/>
    <w:rsid w:val="00635317"/>
    <w:rsid w:val="00635423"/>
    <w:rsid w:val="00635457"/>
    <w:rsid w:val="00635485"/>
    <w:rsid w:val="0063561D"/>
    <w:rsid w:val="0063563F"/>
    <w:rsid w:val="00635860"/>
    <w:rsid w:val="006359F5"/>
    <w:rsid w:val="00635C5C"/>
    <w:rsid w:val="00635C89"/>
    <w:rsid w:val="00635DF2"/>
    <w:rsid w:val="00635E59"/>
    <w:rsid w:val="006361AE"/>
    <w:rsid w:val="006361ED"/>
    <w:rsid w:val="00636542"/>
    <w:rsid w:val="006366DB"/>
    <w:rsid w:val="00636717"/>
    <w:rsid w:val="00636989"/>
    <w:rsid w:val="00636C84"/>
    <w:rsid w:val="00636CAE"/>
    <w:rsid w:val="00636DF1"/>
    <w:rsid w:val="0063709E"/>
    <w:rsid w:val="0063717F"/>
    <w:rsid w:val="00637224"/>
    <w:rsid w:val="006377C8"/>
    <w:rsid w:val="00637999"/>
    <w:rsid w:val="00637B92"/>
    <w:rsid w:val="00637C9E"/>
    <w:rsid w:val="00637CC6"/>
    <w:rsid w:val="00637D06"/>
    <w:rsid w:val="00637E56"/>
    <w:rsid w:val="00637F5A"/>
    <w:rsid w:val="006400B3"/>
    <w:rsid w:val="00640161"/>
    <w:rsid w:val="0064022B"/>
    <w:rsid w:val="006403BC"/>
    <w:rsid w:val="00640412"/>
    <w:rsid w:val="006405B9"/>
    <w:rsid w:val="00640967"/>
    <w:rsid w:val="006409F4"/>
    <w:rsid w:val="00640AA9"/>
    <w:rsid w:val="00640AEF"/>
    <w:rsid w:val="00640D07"/>
    <w:rsid w:val="00640F62"/>
    <w:rsid w:val="00641202"/>
    <w:rsid w:val="00641298"/>
    <w:rsid w:val="0064145C"/>
    <w:rsid w:val="00641F9C"/>
    <w:rsid w:val="0064200B"/>
    <w:rsid w:val="0064202D"/>
    <w:rsid w:val="0064226C"/>
    <w:rsid w:val="0064238B"/>
    <w:rsid w:val="00642521"/>
    <w:rsid w:val="006429DB"/>
    <w:rsid w:val="00642A43"/>
    <w:rsid w:val="00642C89"/>
    <w:rsid w:val="00642E56"/>
    <w:rsid w:val="00642FD8"/>
    <w:rsid w:val="006430AE"/>
    <w:rsid w:val="0064310B"/>
    <w:rsid w:val="006431A1"/>
    <w:rsid w:val="00643313"/>
    <w:rsid w:val="0064346C"/>
    <w:rsid w:val="006434A3"/>
    <w:rsid w:val="00643552"/>
    <w:rsid w:val="00643563"/>
    <w:rsid w:val="006439A0"/>
    <w:rsid w:val="006439C4"/>
    <w:rsid w:val="006439E9"/>
    <w:rsid w:val="00643AE4"/>
    <w:rsid w:val="00643DE6"/>
    <w:rsid w:val="0064410E"/>
    <w:rsid w:val="00644147"/>
    <w:rsid w:val="006441C9"/>
    <w:rsid w:val="0064427F"/>
    <w:rsid w:val="00644553"/>
    <w:rsid w:val="006448EB"/>
    <w:rsid w:val="00644E7A"/>
    <w:rsid w:val="00644E7E"/>
    <w:rsid w:val="00644E87"/>
    <w:rsid w:val="0064511E"/>
    <w:rsid w:val="00645339"/>
    <w:rsid w:val="00645403"/>
    <w:rsid w:val="00645512"/>
    <w:rsid w:val="006457C8"/>
    <w:rsid w:val="00645D23"/>
    <w:rsid w:val="00646231"/>
    <w:rsid w:val="00646235"/>
    <w:rsid w:val="00646259"/>
    <w:rsid w:val="0064625A"/>
    <w:rsid w:val="00646381"/>
    <w:rsid w:val="0064655E"/>
    <w:rsid w:val="006469BA"/>
    <w:rsid w:val="00646E88"/>
    <w:rsid w:val="00646EE8"/>
    <w:rsid w:val="0064706F"/>
    <w:rsid w:val="0064732A"/>
    <w:rsid w:val="006474B3"/>
    <w:rsid w:val="006474F2"/>
    <w:rsid w:val="00647EB2"/>
    <w:rsid w:val="00647FD7"/>
    <w:rsid w:val="0065008E"/>
    <w:rsid w:val="00650092"/>
    <w:rsid w:val="00650355"/>
    <w:rsid w:val="006506EC"/>
    <w:rsid w:val="00650767"/>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B4A"/>
    <w:rsid w:val="00652CC1"/>
    <w:rsid w:val="0065326D"/>
    <w:rsid w:val="0065343C"/>
    <w:rsid w:val="0065343E"/>
    <w:rsid w:val="0065373D"/>
    <w:rsid w:val="006537CA"/>
    <w:rsid w:val="00653842"/>
    <w:rsid w:val="006539EE"/>
    <w:rsid w:val="00653E17"/>
    <w:rsid w:val="00654090"/>
    <w:rsid w:val="00654240"/>
    <w:rsid w:val="00654280"/>
    <w:rsid w:val="006542F2"/>
    <w:rsid w:val="006543E4"/>
    <w:rsid w:val="006544AB"/>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5CDA"/>
    <w:rsid w:val="00656066"/>
    <w:rsid w:val="006561B2"/>
    <w:rsid w:val="006561E2"/>
    <w:rsid w:val="0065663A"/>
    <w:rsid w:val="00656AF0"/>
    <w:rsid w:val="00656B6A"/>
    <w:rsid w:val="00656C7F"/>
    <w:rsid w:val="00656CC2"/>
    <w:rsid w:val="00656E87"/>
    <w:rsid w:val="00656F8B"/>
    <w:rsid w:val="00656FCA"/>
    <w:rsid w:val="00657366"/>
    <w:rsid w:val="00657734"/>
    <w:rsid w:val="00657A69"/>
    <w:rsid w:val="00657AE5"/>
    <w:rsid w:val="00657BE2"/>
    <w:rsid w:val="00657C4B"/>
    <w:rsid w:val="00657EBC"/>
    <w:rsid w:val="00657F70"/>
    <w:rsid w:val="00657FC6"/>
    <w:rsid w:val="0066015F"/>
    <w:rsid w:val="00660361"/>
    <w:rsid w:val="006604B7"/>
    <w:rsid w:val="00660675"/>
    <w:rsid w:val="00660BE4"/>
    <w:rsid w:val="00660E89"/>
    <w:rsid w:val="00660EFE"/>
    <w:rsid w:val="00660FE4"/>
    <w:rsid w:val="006619C8"/>
    <w:rsid w:val="00661A7E"/>
    <w:rsid w:val="006621A6"/>
    <w:rsid w:val="0066224E"/>
    <w:rsid w:val="006626D9"/>
    <w:rsid w:val="00662883"/>
    <w:rsid w:val="00662EDB"/>
    <w:rsid w:val="0066301F"/>
    <w:rsid w:val="006631F7"/>
    <w:rsid w:val="006633C0"/>
    <w:rsid w:val="006635CF"/>
    <w:rsid w:val="0066376F"/>
    <w:rsid w:val="006637E3"/>
    <w:rsid w:val="0066384C"/>
    <w:rsid w:val="00663A41"/>
    <w:rsid w:val="00663AFC"/>
    <w:rsid w:val="00663FB6"/>
    <w:rsid w:val="00664205"/>
    <w:rsid w:val="006646A5"/>
    <w:rsid w:val="00664883"/>
    <w:rsid w:val="00664975"/>
    <w:rsid w:val="00664ADF"/>
    <w:rsid w:val="00664CFD"/>
    <w:rsid w:val="00665A2E"/>
    <w:rsid w:val="00665AD4"/>
    <w:rsid w:val="00665C42"/>
    <w:rsid w:val="00665C96"/>
    <w:rsid w:val="00665CEA"/>
    <w:rsid w:val="00666084"/>
    <w:rsid w:val="006661EA"/>
    <w:rsid w:val="00666215"/>
    <w:rsid w:val="006662D1"/>
    <w:rsid w:val="00666499"/>
    <w:rsid w:val="0066655F"/>
    <w:rsid w:val="006665CB"/>
    <w:rsid w:val="0066661F"/>
    <w:rsid w:val="00666B90"/>
    <w:rsid w:val="00666C1E"/>
    <w:rsid w:val="006675B0"/>
    <w:rsid w:val="006676C5"/>
    <w:rsid w:val="00667961"/>
    <w:rsid w:val="00667D30"/>
    <w:rsid w:val="0067002B"/>
    <w:rsid w:val="00670147"/>
    <w:rsid w:val="0067029D"/>
    <w:rsid w:val="00670403"/>
    <w:rsid w:val="006704C3"/>
    <w:rsid w:val="00670B0C"/>
    <w:rsid w:val="00670F2F"/>
    <w:rsid w:val="00671028"/>
    <w:rsid w:val="00671299"/>
    <w:rsid w:val="006713DF"/>
    <w:rsid w:val="0067143B"/>
    <w:rsid w:val="00671487"/>
    <w:rsid w:val="006715B7"/>
    <w:rsid w:val="00671B21"/>
    <w:rsid w:val="00671D6A"/>
    <w:rsid w:val="00671E76"/>
    <w:rsid w:val="00672129"/>
    <w:rsid w:val="0067233B"/>
    <w:rsid w:val="0067251D"/>
    <w:rsid w:val="0067253E"/>
    <w:rsid w:val="00672583"/>
    <w:rsid w:val="00672736"/>
    <w:rsid w:val="006729B7"/>
    <w:rsid w:val="00672CD3"/>
    <w:rsid w:val="006732E8"/>
    <w:rsid w:val="00673426"/>
    <w:rsid w:val="00673482"/>
    <w:rsid w:val="0067369D"/>
    <w:rsid w:val="006737AC"/>
    <w:rsid w:val="006738FF"/>
    <w:rsid w:val="0067390D"/>
    <w:rsid w:val="00673A9C"/>
    <w:rsid w:val="00673BED"/>
    <w:rsid w:val="00673D17"/>
    <w:rsid w:val="00673E4F"/>
    <w:rsid w:val="00673F85"/>
    <w:rsid w:val="0067444B"/>
    <w:rsid w:val="00674684"/>
    <w:rsid w:val="00674A86"/>
    <w:rsid w:val="00674AAE"/>
    <w:rsid w:val="00674B42"/>
    <w:rsid w:val="00674BAF"/>
    <w:rsid w:val="006752F2"/>
    <w:rsid w:val="00675509"/>
    <w:rsid w:val="006757AA"/>
    <w:rsid w:val="00675830"/>
    <w:rsid w:val="00675916"/>
    <w:rsid w:val="006759B3"/>
    <w:rsid w:val="00675AD1"/>
    <w:rsid w:val="00675C3F"/>
    <w:rsid w:val="00675CC8"/>
    <w:rsid w:val="00675F5D"/>
    <w:rsid w:val="00675FCF"/>
    <w:rsid w:val="006760AC"/>
    <w:rsid w:val="006763F4"/>
    <w:rsid w:val="00676467"/>
    <w:rsid w:val="006766AA"/>
    <w:rsid w:val="006767BC"/>
    <w:rsid w:val="00676904"/>
    <w:rsid w:val="0067695B"/>
    <w:rsid w:val="00677604"/>
    <w:rsid w:val="00677861"/>
    <w:rsid w:val="0067798F"/>
    <w:rsid w:val="00677AD6"/>
    <w:rsid w:val="00677ECA"/>
    <w:rsid w:val="006800E7"/>
    <w:rsid w:val="00680197"/>
    <w:rsid w:val="006804C4"/>
    <w:rsid w:val="00680500"/>
    <w:rsid w:val="006806CA"/>
    <w:rsid w:val="00680854"/>
    <w:rsid w:val="006808E0"/>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3F9A"/>
    <w:rsid w:val="006840C6"/>
    <w:rsid w:val="006840EA"/>
    <w:rsid w:val="006843E5"/>
    <w:rsid w:val="006845E5"/>
    <w:rsid w:val="006847B6"/>
    <w:rsid w:val="006847CF"/>
    <w:rsid w:val="006848D2"/>
    <w:rsid w:val="00684B52"/>
    <w:rsid w:val="00684BF5"/>
    <w:rsid w:val="00684EEF"/>
    <w:rsid w:val="00684F24"/>
    <w:rsid w:val="006851A5"/>
    <w:rsid w:val="006851A7"/>
    <w:rsid w:val="00685266"/>
    <w:rsid w:val="00685571"/>
    <w:rsid w:val="006856F1"/>
    <w:rsid w:val="006858DF"/>
    <w:rsid w:val="00685A4D"/>
    <w:rsid w:val="00685ACD"/>
    <w:rsid w:val="00685B24"/>
    <w:rsid w:val="006861E9"/>
    <w:rsid w:val="00686313"/>
    <w:rsid w:val="006864C8"/>
    <w:rsid w:val="0068655A"/>
    <w:rsid w:val="00686C7F"/>
    <w:rsid w:val="0068775A"/>
    <w:rsid w:val="00687BC0"/>
    <w:rsid w:val="00687D29"/>
    <w:rsid w:val="00687E54"/>
    <w:rsid w:val="00690013"/>
    <w:rsid w:val="0069026C"/>
    <w:rsid w:val="0069044B"/>
    <w:rsid w:val="0069071A"/>
    <w:rsid w:val="00690823"/>
    <w:rsid w:val="00690992"/>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40F"/>
    <w:rsid w:val="0069258D"/>
    <w:rsid w:val="00692D6E"/>
    <w:rsid w:val="00692D95"/>
    <w:rsid w:val="00692F5F"/>
    <w:rsid w:val="00693086"/>
    <w:rsid w:val="00693114"/>
    <w:rsid w:val="0069346F"/>
    <w:rsid w:val="0069360E"/>
    <w:rsid w:val="0069389B"/>
    <w:rsid w:val="00693943"/>
    <w:rsid w:val="00693A6B"/>
    <w:rsid w:val="00693AC5"/>
    <w:rsid w:val="00693B3C"/>
    <w:rsid w:val="00693D4E"/>
    <w:rsid w:val="00693F81"/>
    <w:rsid w:val="006941FD"/>
    <w:rsid w:val="0069432C"/>
    <w:rsid w:val="006943D2"/>
    <w:rsid w:val="006945B4"/>
    <w:rsid w:val="00694630"/>
    <w:rsid w:val="0069471C"/>
    <w:rsid w:val="006949AC"/>
    <w:rsid w:val="006949B6"/>
    <w:rsid w:val="00694A94"/>
    <w:rsid w:val="00694C68"/>
    <w:rsid w:val="00694D27"/>
    <w:rsid w:val="00694E98"/>
    <w:rsid w:val="0069509A"/>
    <w:rsid w:val="006952CE"/>
    <w:rsid w:val="00695629"/>
    <w:rsid w:val="006956AF"/>
    <w:rsid w:val="00695821"/>
    <w:rsid w:val="00695BC0"/>
    <w:rsid w:val="00695C46"/>
    <w:rsid w:val="00695D25"/>
    <w:rsid w:val="00696041"/>
    <w:rsid w:val="006963CB"/>
    <w:rsid w:val="006966F7"/>
    <w:rsid w:val="0069678F"/>
    <w:rsid w:val="006967C7"/>
    <w:rsid w:val="006969DC"/>
    <w:rsid w:val="00696E73"/>
    <w:rsid w:val="00696EAD"/>
    <w:rsid w:val="00696EF5"/>
    <w:rsid w:val="006971B0"/>
    <w:rsid w:val="006971D9"/>
    <w:rsid w:val="00697310"/>
    <w:rsid w:val="00697441"/>
    <w:rsid w:val="00697579"/>
    <w:rsid w:val="006A01DE"/>
    <w:rsid w:val="006A024D"/>
    <w:rsid w:val="006A0927"/>
    <w:rsid w:val="006A0A0A"/>
    <w:rsid w:val="006A0C73"/>
    <w:rsid w:val="006A0D67"/>
    <w:rsid w:val="006A0F1F"/>
    <w:rsid w:val="006A114D"/>
    <w:rsid w:val="006A115E"/>
    <w:rsid w:val="006A153A"/>
    <w:rsid w:val="006A1831"/>
    <w:rsid w:val="006A1981"/>
    <w:rsid w:val="006A1B57"/>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4FE"/>
    <w:rsid w:val="006A3535"/>
    <w:rsid w:val="006A36F7"/>
    <w:rsid w:val="006A3804"/>
    <w:rsid w:val="006A3908"/>
    <w:rsid w:val="006A3964"/>
    <w:rsid w:val="006A3CA5"/>
    <w:rsid w:val="006A3CB4"/>
    <w:rsid w:val="006A44FD"/>
    <w:rsid w:val="006A468C"/>
    <w:rsid w:val="006A4694"/>
    <w:rsid w:val="006A4C45"/>
    <w:rsid w:val="006A4E79"/>
    <w:rsid w:val="006A4F27"/>
    <w:rsid w:val="006A4F64"/>
    <w:rsid w:val="006A4F97"/>
    <w:rsid w:val="006A5093"/>
    <w:rsid w:val="006A52D5"/>
    <w:rsid w:val="006A544E"/>
    <w:rsid w:val="006A5729"/>
    <w:rsid w:val="006A5A90"/>
    <w:rsid w:val="006A5BCC"/>
    <w:rsid w:val="006A5D48"/>
    <w:rsid w:val="006A5D76"/>
    <w:rsid w:val="006A5E27"/>
    <w:rsid w:val="006A5EA3"/>
    <w:rsid w:val="006A5F2A"/>
    <w:rsid w:val="006A63F1"/>
    <w:rsid w:val="006A6454"/>
    <w:rsid w:val="006A64A4"/>
    <w:rsid w:val="006A6594"/>
    <w:rsid w:val="006A677A"/>
    <w:rsid w:val="006A68E4"/>
    <w:rsid w:val="006A6BD0"/>
    <w:rsid w:val="006A6C22"/>
    <w:rsid w:val="006A6C6C"/>
    <w:rsid w:val="006A6D16"/>
    <w:rsid w:val="006A6E8C"/>
    <w:rsid w:val="006A70FE"/>
    <w:rsid w:val="006A7227"/>
    <w:rsid w:val="006A735B"/>
    <w:rsid w:val="006A7497"/>
    <w:rsid w:val="006A7738"/>
    <w:rsid w:val="006A77C7"/>
    <w:rsid w:val="006A7DBE"/>
    <w:rsid w:val="006A7F52"/>
    <w:rsid w:val="006A7FF0"/>
    <w:rsid w:val="006B028F"/>
    <w:rsid w:val="006B0483"/>
    <w:rsid w:val="006B0992"/>
    <w:rsid w:val="006B09D4"/>
    <w:rsid w:val="006B0C5B"/>
    <w:rsid w:val="006B0DB4"/>
    <w:rsid w:val="006B130E"/>
    <w:rsid w:val="006B136E"/>
    <w:rsid w:val="006B1587"/>
    <w:rsid w:val="006B1595"/>
    <w:rsid w:val="006B1766"/>
    <w:rsid w:val="006B1AD0"/>
    <w:rsid w:val="006B1B62"/>
    <w:rsid w:val="006B1ED2"/>
    <w:rsid w:val="006B21BB"/>
    <w:rsid w:val="006B2449"/>
    <w:rsid w:val="006B2476"/>
    <w:rsid w:val="006B2734"/>
    <w:rsid w:val="006B2B01"/>
    <w:rsid w:val="006B2D56"/>
    <w:rsid w:val="006B2EA4"/>
    <w:rsid w:val="006B3151"/>
    <w:rsid w:val="006B31C4"/>
    <w:rsid w:val="006B320C"/>
    <w:rsid w:val="006B3462"/>
    <w:rsid w:val="006B36B3"/>
    <w:rsid w:val="006B3719"/>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5CE5"/>
    <w:rsid w:val="006B61B1"/>
    <w:rsid w:val="006B648C"/>
    <w:rsid w:val="006B6546"/>
    <w:rsid w:val="006B65F0"/>
    <w:rsid w:val="006B6728"/>
    <w:rsid w:val="006B6CB7"/>
    <w:rsid w:val="006B6D0B"/>
    <w:rsid w:val="006B6ECD"/>
    <w:rsid w:val="006B6ED5"/>
    <w:rsid w:val="006B6F1F"/>
    <w:rsid w:val="006B6F7D"/>
    <w:rsid w:val="006B701C"/>
    <w:rsid w:val="006B7082"/>
    <w:rsid w:val="006B709A"/>
    <w:rsid w:val="006B7254"/>
    <w:rsid w:val="006B7408"/>
    <w:rsid w:val="006B7501"/>
    <w:rsid w:val="006B7513"/>
    <w:rsid w:val="006B760E"/>
    <w:rsid w:val="006B7837"/>
    <w:rsid w:val="006B785A"/>
    <w:rsid w:val="006B7895"/>
    <w:rsid w:val="006B7910"/>
    <w:rsid w:val="006B7A59"/>
    <w:rsid w:val="006B7D98"/>
    <w:rsid w:val="006C01C8"/>
    <w:rsid w:val="006C0253"/>
    <w:rsid w:val="006C02FA"/>
    <w:rsid w:val="006C03A4"/>
    <w:rsid w:val="006C0412"/>
    <w:rsid w:val="006C0632"/>
    <w:rsid w:val="006C067E"/>
    <w:rsid w:val="006C071F"/>
    <w:rsid w:val="006C0A54"/>
    <w:rsid w:val="006C0C90"/>
    <w:rsid w:val="006C0EE9"/>
    <w:rsid w:val="006C0FCD"/>
    <w:rsid w:val="006C1729"/>
    <w:rsid w:val="006C192D"/>
    <w:rsid w:val="006C1B43"/>
    <w:rsid w:val="006C1C38"/>
    <w:rsid w:val="006C1CD1"/>
    <w:rsid w:val="006C2550"/>
    <w:rsid w:val="006C2678"/>
    <w:rsid w:val="006C285E"/>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2E8"/>
    <w:rsid w:val="006C4313"/>
    <w:rsid w:val="006C4338"/>
    <w:rsid w:val="006C440F"/>
    <w:rsid w:val="006C4623"/>
    <w:rsid w:val="006C4703"/>
    <w:rsid w:val="006C4AB0"/>
    <w:rsid w:val="006C4EB7"/>
    <w:rsid w:val="006C4ED2"/>
    <w:rsid w:val="006C52E8"/>
    <w:rsid w:val="006C5346"/>
    <w:rsid w:val="006C583D"/>
    <w:rsid w:val="006C589E"/>
    <w:rsid w:val="006C58E9"/>
    <w:rsid w:val="006C5B44"/>
    <w:rsid w:val="006C5F68"/>
    <w:rsid w:val="006C61F8"/>
    <w:rsid w:val="006C64D5"/>
    <w:rsid w:val="006C67DA"/>
    <w:rsid w:val="006C684F"/>
    <w:rsid w:val="006C6D0C"/>
    <w:rsid w:val="006C6E6D"/>
    <w:rsid w:val="006C6F18"/>
    <w:rsid w:val="006C711B"/>
    <w:rsid w:val="006C7242"/>
    <w:rsid w:val="006C74DD"/>
    <w:rsid w:val="006C79A8"/>
    <w:rsid w:val="006C7AE2"/>
    <w:rsid w:val="006C7CC7"/>
    <w:rsid w:val="006D077B"/>
    <w:rsid w:val="006D0974"/>
    <w:rsid w:val="006D09D2"/>
    <w:rsid w:val="006D0A72"/>
    <w:rsid w:val="006D0C8A"/>
    <w:rsid w:val="006D0D92"/>
    <w:rsid w:val="006D119A"/>
    <w:rsid w:val="006D121E"/>
    <w:rsid w:val="006D13F9"/>
    <w:rsid w:val="006D176E"/>
    <w:rsid w:val="006D1BD4"/>
    <w:rsid w:val="006D1EE5"/>
    <w:rsid w:val="006D2145"/>
    <w:rsid w:val="006D2ED4"/>
    <w:rsid w:val="006D2FF8"/>
    <w:rsid w:val="006D302A"/>
    <w:rsid w:val="006D30B2"/>
    <w:rsid w:val="006D3577"/>
    <w:rsid w:val="006D35FD"/>
    <w:rsid w:val="006D3721"/>
    <w:rsid w:val="006D3811"/>
    <w:rsid w:val="006D3872"/>
    <w:rsid w:val="006D3F34"/>
    <w:rsid w:val="006D40E7"/>
    <w:rsid w:val="006D447B"/>
    <w:rsid w:val="006D4824"/>
    <w:rsid w:val="006D4954"/>
    <w:rsid w:val="006D496A"/>
    <w:rsid w:val="006D49C4"/>
    <w:rsid w:val="006D4ACE"/>
    <w:rsid w:val="006D4BE1"/>
    <w:rsid w:val="006D4D3F"/>
    <w:rsid w:val="006D4F23"/>
    <w:rsid w:val="006D5154"/>
    <w:rsid w:val="006D517D"/>
    <w:rsid w:val="006D518F"/>
    <w:rsid w:val="006D5268"/>
    <w:rsid w:val="006D5632"/>
    <w:rsid w:val="006D56FC"/>
    <w:rsid w:val="006D58DB"/>
    <w:rsid w:val="006D5C2B"/>
    <w:rsid w:val="006D5C96"/>
    <w:rsid w:val="006D6010"/>
    <w:rsid w:val="006D6080"/>
    <w:rsid w:val="006D653C"/>
    <w:rsid w:val="006D656D"/>
    <w:rsid w:val="006D668D"/>
    <w:rsid w:val="006D68C5"/>
    <w:rsid w:val="006D6AD3"/>
    <w:rsid w:val="006D6B10"/>
    <w:rsid w:val="006D6B95"/>
    <w:rsid w:val="006D6C39"/>
    <w:rsid w:val="006D6E5E"/>
    <w:rsid w:val="006D6F77"/>
    <w:rsid w:val="006D7146"/>
    <w:rsid w:val="006D7309"/>
    <w:rsid w:val="006D74E0"/>
    <w:rsid w:val="006D7795"/>
    <w:rsid w:val="006D779B"/>
    <w:rsid w:val="006D79BA"/>
    <w:rsid w:val="006D7E70"/>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5F9"/>
    <w:rsid w:val="006E38DE"/>
    <w:rsid w:val="006E3A90"/>
    <w:rsid w:val="006E3CC7"/>
    <w:rsid w:val="006E4585"/>
    <w:rsid w:val="006E4900"/>
    <w:rsid w:val="006E4923"/>
    <w:rsid w:val="006E4960"/>
    <w:rsid w:val="006E4DC4"/>
    <w:rsid w:val="006E4FEC"/>
    <w:rsid w:val="006E52A9"/>
    <w:rsid w:val="006E5332"/>
    <w:rsid w:val="006E533F"/>
    <w:rsid w:val="006E53A3"/>
    <w:rsid w:val="006E5696"/>
    <w:rsid w:val="006E5BBA"/>
    <w:rsid w:val="006E5CAB"/>
    <w:rsid w:val="006E6338"/>
    <w:rsid w:val="006E64B3"/>
    <w:rsid w:val="006E66A7"/>
    <w:rsid w:val="006E6799"/>
    <w:rsid w:val="006E68C1"/>
    <w:rsid w:val="006E6EAF"/>
    <w:rsid w:val="006E6F14"/>
    <w:rsid w:val="006E79B9"/>
    <w:rsid w:val="006E7BD8"/>
    <w:rsid w:val="006E7C69"/>
    <w:rsid w:val="006F007E"/>
    <w:rsid w:val="006F02FD"/>
    <w:rsid w:val="006F0A88"/>
    <w:rsid w:val="006F0B08"/>
    <w:rsid w:val="006F0D91"/>
    <w:rsid w:val="006F0DA1"/>
    <w:rsid w:val="006F0E98"/>
    <w:rsid w:val="006F14F2"/>
    <w:rsid w:val="006F18BB"/>
    <w:rsid w:val="006F18D6"/>
    <w:rsid w:val="006F1A0D"/>
    <w:rsid w:val="006F1A95"/>
    <w:rsid w:val="006F1B02"/>
    <w:rsid w:val="006F1BCA"/>
    <w:rsid w:val="006F1CA0"/>
    <w:rsid w:val="006F1D16"/>
    <w:rsid w:val="006F1EFF"/>
    <w:rsid w:val="006F23EC"/>
    <w:rsid w:val="006F2578"/>
    <w:rsid w:val="006F2683"/>
    <w:rsid w:val="006F2F10"/>
    <w:rsid w:val="006F344B"/>
    <w:rsid w:val="006F3664"/>
    <w:rsid w:val="006F40BA"/>
    <w:rsid w:val="006F42AE"/>
    <w:rsid w:val="006F4507"/>
    <w:rsid w:val="006F5608"/>
    <w:rsid w:val="006F560B"/>
    <w:rsid w:val="006F5F5D"/>
    <w:rsid w:val="006F6014"/>
    <w:rsid w:val="006F604B"/>
    <w:rsid w:val="006F6337"/>
    <w:rsid w:val="006F6502"/>
    <w:rsid w:val="006F6734"/>
    <w:rsid w:val="006F6847"/>
    <w:rsid w:val="006F6C2B"/>
    <w:rsid w:val="006F7262"/>
    <w:rsid w:val="006F73B3"/>
    <w:rsid w:val="006F73B4"/>
    <w:rsid w:val="006F73FC"/>
    <w:rsid w:val="006F7524"/>
    <w:rsid w:val="006F7546"/>
    <w:rsid w:val="006F76C5"/>
    <w:rsid w:val="006F78B1"/>
    <w:rsid w:val="006F794B"/>
    <w:rsid w:val="006F7A24"/>
    <w:rsid w:val="006F7CA3"/>
    <w:rsid w:val="006F7E88"/>
    <w:rsid w:val="007003D9"/>
    <w:rsid w:val="00700478"/>
    <w:rsid w:val="0070089D"/>
    <w:rsid w:val="0070116F"/>
    <w:rsid w:val="00701369"/>
    <w:rsid w:val="007013B5"/>
    <w:rsid w:val="00701496"/>
    <w:rsid w:val="007015CC"/>
    <w:rsid w:val="00701705"/>
    <w:rsid w:val="0070170E"/>
    <w:rsid w:val="00701780"/>
    <w:rsid w:val="00701B34"/>
    <w:rsid w:val="00701D18"/>
    <w:rsid w:val="00701F44"/>
    <w:rsid w:val="007027F8"/>
    <w:rsid w:val="00702AAC"/>
    <w:rsid w:val="00702C97"/>
    <w:rsid w:val="00702D7E"/>
    <w:rsid w:val="00702E1B"/>
    <w:rsid w:val="00703024"/>
    <w:rsid w:val="007030C7"/>
    <w:rsid w:val="0070343A"/>
    <w:rsid w:val="007035D6"/>
    <w:rsid w:val="007035E8"/>
    <w:rsid w:val="00703938"/>
    <w:rsid w:val="007039BA"/>
    <w:rsid w:val="00703AFB"/>
    <w:rsid w:val="00703EFD"/>
    <w:rsid w:val="007040E6"/>
    <w:rsid w:val="007044BB"/>
    <w:rsid w:val="0070488F"/>
    <w:rsid w:val="00704F73"/>
    <w:rsid w:val="00705306"/>
    <w:rsid w:val="007053A6"/>
    <w:rsid w:val="007054E5"/>
    <w:rsid w:val="00705812"/>
    <w:rsid w:val="0070591A"/>
    <w:rsid w:val="00706076"/>
    <w:rsid w:val="007060FC"/>
    <w:rsid w:val="0070621C"/>
    <w:rsid w:val="00706253"/>
    <w:rsid w:val="00706625"/>
    <w:rsid w:val="0070690C"/>
    <w:rsid w:val="00706952"/>
    <w:rsid w:val="00706965"/>
    <w:rsid w:val="00706B0E"/>
    <w:rsid w:val="00706B40"/>
    <w:rsid w:val="00706C63"/>
    <w:rsid w:val="00706FC4"/>
    <w:rsid w:val="00707286"/>
    <w:rsid w:val="007073B1"/>
    <w:rsid w:val="0070768C"/>
    <w:rsid w:val="007076E6"/>
    <w:rsid w:val="00707C10"/>
    <w:rsid w:val="00707D18"/>
    <w:rsid w:val="00707F91"/>
    <w:rsid w:val="00710129"/>
    <w:rsid w:val="00710370"/>
    <w:rsid w:val="0071052A"/>
    <w:rsid w:val="00710736"/>
    <w:rsid w:val="00710F1F"/>
    <w:rsid w:val="007112F8"/>
    <w:rsid w:val="007112FD"/>
    <w:rsid w:val="0071198B"/>
    <w:rsid w:val="00711A3A"/>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39CD"/>
    <w:rsid w:val="00713C20"/>
    <w:rsid w:val="00714A31"/>
    <w:rsid w:val="00714A43"/>
    <w:rsid w:val="00714FBE"/>
    <w:rsid w:val="007150B0"/>
    <w:rsid w:val="007155A6"/>
    <w:rsid w:val="0071570C"/>
    <w:rsid w:val="00715797"/>
    <w:rsid w:val="00715A9A"/>
    <w:rsid w:val="00715B97"/>
    <w:rsid w:val="00715C39"/>
    <w:rsid w:val="00716092"/>
    <w:rsid w:val="00716314"/>
    <w:rsid w:val="00716813"/>
    <w:rsid w:val="00716926"/>
    <w:rsid w:val="00716979"/>
    <w:rsid w:val="00716A08"/>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AC0"/>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63E"/>
    <w:rsid w:val="0072282B"/>
    <w:rsid w:val="00722A36"/>
    <w:rsid w:val="00722D3C"/>
    <w:rsid w:val="00722F29"/>
    <w:rsid w:val="00723066"/>
    <w:rsid w:val="0072339E"/>
    <w:rsid w:val="007233C9"/>
    <w:rsid w:val="0072350A"/>
    <w:rsid w:val="00723619"/>
    <w:rsid w:val="00723760"/>
    <w:rsid w:val="007237AA"/>
    <w:rsid w:val="00723859"/>
    <w:rsid w:val="00723D05"/>
    <w:rsid w:val="00723D0A"/>
    <w:rsid w:val="00723F44"/>
    <w:rsid w:val="00724316"/>
    <w:rsid w:val="007249C7"/>
    <w:rsid w:val="00724CC7"/>
    <w:rsid w:val="00724DE0"/>
    <w:rsid w:val="007250E5"/>
    <w:rsid w:val="00725157"/>
    <w:rsid w:val="00725267"/>
    <w:rsid w:val="007254F6"/>
    <w:rsid w:val="00725838"/>
    <w:rsid w:val="007259AF"/>
    <w:rsid w:val="00725B82"/>
    <w:rsid w:val="00725D0B"/>
    <w:rsid w:val="00725E6B"/>
    <w:rsid w:val="007262BD"/>
    <w:rsid w:val="00726414"/>
    <w:rsid w:val="007265FA"/>
    <w:rsid w:val="00726615"/>
    <w:rsid w:val="00726997"/>
    <w:rsid w:val="00726A2C"/>
    <w:rsid w:val="00726F50"/>
    <w:rsid w:val="00726FA4"/>
    <w:rsid w:val="00727346"/>
    <w:rsid w:val="007276BE"/>
    <w:rsid w:val="00727856"/>
    <w:rsid w:val="00727AD4"/>
    <w:rsid w:val="00727BD2"/>
    <w:rsid w:val="00730286"/>
    <w:rsid w:val="00730356"/>
    <w:rsid w:val="007306DC"/>
    <w:rsid w:val="007309B3"/>
    <w:rsid w:val="007309F6"/>
    <w:rsid w:val="00730A05"/>
    <w:rsid w:val="00730A9D"/>
    <w:rsid w:val="00730C79"/>
    <w:rsid w:val="007312CA"/>
    <w:rsid w:val="007317E5"/>
    <w:rsid w:val="0073183B"/>
    <w:rsid w:val="00731859"/>
    <w:rsid w:val="007318DD"/>
    <w:rsid w:val="00731A19"/>
    <w:rsid w:val="00731D48"/>
    <w:rsid w:val="00731DB2"/>
    <w:rsid w:val="00732022"/>
    <w:rsid w:val="007320B3"/>
    <w:rsid w:val="00732489"/>
    <w:rsid w:val="00732583"/>
    <w:rsid w:val="00732779"/>
    <w:rsid w:val="00732854"/>
    <w:rsid w:val="00732C0F"/>
    <w:rsid w:val="00732C89"/>
    <w:rsid w:val="00732C99"/>
    <w:rsid w:val="00732CD8"/>
    <w:rsid w:val="00732DFE"/>
    <w:rsid w:val="00732FCA"/>
    <w:rsid w:val="007330EB"/>
    <w:rsid w:val="007334CA"/>
    <w:rsid w:val="007334CC"/>
    <w:rsid w:val="0073350B"/>
    <w:rsid w:val="007335B6"/>
    <w:rsid w:val="007336DE"/>
    <w:rsid w:val="00733BB2"/>
    <w:rsid w:val="0073402E"/>
    <w:rsid w:val="00734033"/>
    <w:rsid w:val="0073444A"/>
    <w:rsid w:val="007344BB"/>
    <w:rsid w:val="007344EC"/>
    <w:rsid w:val="007346F5"/>
    <w:rsid w:val="0073489F"/>
    <w:rsid w:val="007349EC"/>
    <w:rsid w:val="00734C92"/>
    <w:rsid w:val="00734DD0"/>
    <w:rsid w:val="00734ED8"/>
    <w:rsid w:val="007352FB"/>
    <w:rsid w:val="0073538B"/>
    <w:rsid w:val="00735467"/>
    <w:rsid w:val="007354B7"/>
    <w:rsid w:val="00735528"/>
    <w:rsid w:val="00735732"/>
    <w:rsid w:val="00735777"/>
    <w:rsid w:val="00735A18"/>
    <w:rsid w:val="00735BA3"/>
    <w:rsid w:val="00735D25"/>
    <w:rsid w:val="00736037"/>
    <w:rsid w:val="0073605C"/>
    <w:rsid w:val="007364DE"/>
    <w:rsid w:val="007365B7"/>
    <w:rsid w:val="00736924"/>
    <w:rsid w:val="00736971"/>
    <w:rsid w:val="00736A21"/>
    <w:rsid w:val="007371C1"/>
    <w:rsid w:val="007371F5"/>
    <w:rsid w:val="007373D9"/>
    <w:rsid w:val="00737595"/>
    <w:rsid w:val="007376F4"/>
    <w:rsid w:val="0073781D"/>
    <w:rsid w:val="00737925"/>
    <w:rsid w:val="00737C55"/>
    <w:rsid w:val="00737D5E"/>
    <w:rsid w:val="00737E4C"/>
    <w:rsid w:val="0074002E"/>
    <w:rsid w:val="00740045"/>
    <w:rsid w:val="007401CE"/>
    <w:rsid w:val="00740260"/>
    <w:rsid w:val="0074028F"/>
    <w:rsid w:val="007402F4"/>
    <w:rsid w:val="00740673"/>
    <w:rsid w:val="00740FF2"/>
    <w:rsid w:val="0074107F"/>
    <w:rsid w:val="0074122F"/>
    <w:rsid w:val="00741684"/>
    <w:rsid w:val="00741714"/>
    <w:rsid w:val="007417A9"/>
    <w:rsid w:val="007417DC"/>
    <w:rsid w:val="0074185E"/>
    <w:rsid w:val="0074188B"/>
    <w:rsid w:val="007418E5"/>
    <w:rsid w:val="00741A20"/>
    <w:rsid w:val="00741B43"/>
    <w:rsid w:val="00741F41"/>
    <w:rsid w:val="00741FFB"/>
    <w:rsid w:val="00742016"/>
    <w:rsid w:val="00742242"/>
    <w:rsid w:val="00742245"/>
    <w:rsid w:val="007423BB"/>
    <w:rsid w:val="00742666"/>
    <w:rsid w:val="00742862"/>
    <w:rsid w:val="007429D5"/>
    <w:rsid w:val="00742B32"/>
    <w:rsid w:val="00743169"/>
    <w:rsid w:val="0074338A"/>
    <w:rsid w:val="00743682"/>
    <w:rsid w:val="00743964"/>
    <w:rsid w:val="007439D0"/>
    <w:rsid w:val="00743A8A"/>
    <w:rsid w:val="00743B3A"/>
    <w:rsid w:val="00743EFB"/>
    <w:rsid w:val="00743FA6"/>
    <w:rsid w:val="007440EB"/>
    <w:rsid w:val="00744A81"/>
    <w:rsid w:val="00744AF4"/>
    <w:rsid w:val="00744C07"/>
    <w:rsid w:val="00744EE4"/>
    <w:rsid w:val="007457BD"/>
    <w:rsid w:val="0074586F"/>
    <w:rsid w:val="007459BF"/>
    <w:rsid w:val="00745A65"/>
    <w:rsid w:val="00745CA3"/>
    <w:rsid w:val="00745D71"/>
    <w:rsid w:val="0074606C"/>
    <w:rsid w:val="007460AE"/>
    <w:rsid w:val="00746214"/>
    <w:rsid w:val="007463AA"/>
    <w:rsid w:val="00746512"/>
    <w:rsid w:val="007468D5"/>
    <w:rsid w:val="007469A3"/>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432"/>
    <w:rsid w:val="0075295E"/>
    <w:rsid w:val="007529BE"/>
    <w:rsid w:val="00752ACF"/>
    <w:rsid w:val="00752E3A"/>
    <w:rsid w:val="00752E92"/>
    <w:rsid w:val="00752EC6"/>
    <w:rsid w:val="00752FB3"/>
    <w:rsid w:val="00752FD3"/>
    <w:rsid w:val="007532EE"/>
    <w:rsid w:val="007536E9"/>
    <w:rsid w:val="0075393B"/>
    <w:rsid w:val="00753A31"/>
    <w:rsid w:val="00754589"/>
    <w:rsid w:val="00754C80"/>
    <w:rsid w:val="00754F4E"/>
    <w:rsid w:val="00754F9F"/>
    <w:rsid w:val="00755089"/>
    <w:rsid w:val="00755223"/>
    <w:rsid w:val="00755262"/>
    <w:rsid w:val="007555BA"/>
    <w:rsid w:val="007555DD"/>
    <w:rsid w:val="007555F5"/>
    <w:rsid w:val="00755851"/>
    <w:rsid w:val="00755AD0"/>
    <w:rsid w:val="00755AF5"/>
    <w:rsid w:val="00755F06"/>
    <w:rsid w:val="00755F22"/>
    <w:rsid w:val="00755FD6"/>
    <w:rsid w:val="00755FF4"/>
    <w:rsid w:val="007560B5"/>
    <w:rsid w:val="00756393"/>
    <w:rsid w:val="00756B24"/>
    <w:rsid w:val="00756B8F"/>
    <w:rsid w:val="00756D40"/>
    <w:rsid w:val="00756D44"/>
    <w:rsid w:val="00756D82"/>
    <w:rsid w:val="00756E5D"/>
    <w:rsid w:val="00756FC0"/>
    <w:rsid w:val="007571F0"/>
    <w:rsid w:val="0075727F"/>
    <w:rsid w:val="0075728D"/>
    <w:rsid w:val="00757377"/>
    <w:rsid w:val="007577C1"/>
    <w:rsid w:val="007579CD"/>
    <w:rsid w:val="00757B34"/>
    <w:rsid w:val="00757ED3"/>
    <w:rsid w:val="00757EF0"/>
    <w:rsid w:val="00757FDF"/>
    <w:rsid w:val="00760136"/>
    <w:rsid w:val="0076014D"/>
    <w:rsid w:val="007604D5"/>
    <w:rsid w:val="007604FB"/>
    <w:rsid w:val="007606EE"/>
    <w:rsid w:val="00760715"/>
    <w:rsid w:val="00760BEA"/>
    <w:rsid w:val="00760F11"/>
    <w:rsid w:val="0076101C"/>
    <w:rsid w:val="0076136D"/>
    <w:rsid w:val="0076146C"/>
    <w:rsid w:val="007614D6"/>
    <w:rsid w:val="00761660"/>
    <w:rsid w:val="00761894"/>
    <w:rsid w:val="00761949"/>
    <w:rsid w:val="00761B7E"/>
    <w:rsid w:val="00761CEB"/>
    <w:rsid w:val="00761EBC"/>
    <w:rsid w:val="00761FEC"/>
    <w:rsid w:val="00762031"/>
    <w:rsid w:val="007620CF"/>
    <w:rsid w:val="00762261"/>
    <w:rsid w:val="0076227B"/>
    <w:rsid w:val="00762364"/>
    <w:rsid w:val="0076237E"/>
    <w:rsid w:val="0076238A"/>
    <w:rsid w:val="007623B8"/>
    <w:rsid w:val="007629C0"/>
    <w:rsid w:val="00762A95"/>
    <w:rsid w:val="00762B54"/>
    <w:rsid w:val="00762D6F"/>
    <w:rsid w:val="00763029"/>
    <w:rsid w:val="00763648"/>
    <w:rsid w:val="007636BD"/>
    <w:rsid w:val="00763C6E"/>
    <w:rsid w:val="00763CB7"/>
    <w:rsid w:val="00763D1B"/>
    <w:rsid w:val="00763F2D"/>
    <w:rsid w:val="00764135"/>
    <w:rsid w:val="00764194"/>
    <w:rsid w:val="007641BD"/>
    <w:rsid w:val="0076445A"/>
    <w:rsid w:val="0076446C"/>
    <w:rsid w:val="00764490"/>
    <w:rsid w:val="007646AC"/>
    <w:rsid w:val="00764A6D"/>
    <w:rsid w:val="00764C3D"/>
    <w:rsid w:val="00765695"/>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5C"/>
    <w:rsid w:val="007675D8"/>
    <w:rsid w:val="0076768E"/>
    <w:rsid w:val="007676E5"/>
    <w:rsid w:val="00767700"/>
    <w:rsid w:val="0076771A"/>
    <w:rsid w:val="00767D35"/>
    <w:rsid w:val="00767E15"/>
    <w:rsid w:val="00767FD9"/>
    <w:rsid w:val="007700F8"/>
    <w:rsid w:val="007703E0"/>
    <w:rsid w:val="00770A05"/>
    <w:rsid w:val="00770D59"/>
    <w:rsid w:val="00770D71"/>
    <w:rsid w:val="007713FB"/>
    <w:rsid w:val="00771AE2"/>
    <w:rsid w:val="00771BFA"/>
    <w:rsid w:val="00771C6C"/>
    <w:rsid w:val="00771D80"/>
    <w:rsid w:val="00771E2B"/>
    <w:rsid w:val="00771F9B"/>
    <w:rsid w:val="007721A7"/>
    <w:rsid w:val="007721DC"/>
    <w:rsid w:val="00772257"/>
    <w:rsid w:val="00772356"/>
    <w:rsid w:val="007725AF"/>
    <w:rsid w:val="007726A9"/>
    <w:rsid w:val="00772723"/>
    <w:rsid w:val="0077283C"/>
    <w:rsid w:val="0077294D"/>
    <w:rsid w:val="00772BB8"/>
    <w:rsid w:val="00772E41"/>
    <w:rsid w:val="0077313D"/>
    <w:rsid w:val="007735A3"/>
    <w:rsid w:val="007735FD"/>
    <w:rsid w:val="0077367E"/>
    <w:rsid w:val="007736A6"/>
    <w:rsid w:val="007737E7"/>
    <w:rsid w:val="00773830"/>
    <w:rsid w:val="007738D3"/>
    <w:rsid w:val="00773FF9"/>
    <w:rsid w:val="0077413F"/>
    <w:rsid w:val="00774581"/>
    <w:rsid w:val="007746D7"/>
    <w:rsid w:val="00774779"/>
    <w:rsid w:val="007748BB"/>
    <w:rsid w:val="00774A0D"/>
    <w:rsid w:val="00774AAA"/>
    <w:rsid w:val="00774AD8"/>
    <w:rsid w:val="00774FCC"/>
    <w:rsid w:val="0077510C"/>
    <w:rsid w:val="00775284"/>
    <w:rsid w:val="00775886"/>
    <w:rsid w:val="00775934"/>
    <w:rsid w:val="00775974"/>
    <w:rsid w:val="00775CBC"/>
    <w:rsid w:val="00775F0A"/>
    <w:rsid w:val="007762E2"/>
    <w:rsid w:val="00776B7F"/>
    <w:rsid w:val="00776DA5"/>
    <w:rsid w:val="00776F6E"/>
    <w:rsid w:val="0077711A"/>
    <w:rsid w:val="007773AE"/>
    <w:rsid w:val="00777476"/>
    <w:rsid w:val="00777789"/>
    <w:rsid w:val="0077778C"/>
    <w:rsid w:val="00777CD2"/>
    <w:rsid w:val="00777D1A"/>
    <w:rsid w:val="00777E6D"/>
    <w:rsid w:val="00777FA0"/>
    <w:rsid w:val="00777FA6"/>
    <w:rsid w:val="00777FCC"/>
    <w:rsid w:val="00780084"/>
    <w:rsid w:val="007802F9"/>
    <w:rsid w:val="00780541"/>
    <w:rsid w:val="00780617"/>
    <w:rsid w:val="007807F3"/>
    <w:rsid w:val="007809B8"/>
    <w:rsid w:val="007809E7"/>
    <w:rsid w:val="00780BB3"/>
    <w:rsid w:val="00780CF7"/>
    <w:rsid w:val="00780D9E"/>
    <w:rsid w:val="00780E5D"/>
    <w:rsid w:val="007813C1"/>
    <w:rsid w:val="007814AB"/>
    <w:rsid w:val="007814F2"/>
    <w:rsid w:val="007815C4"/>
    <w:rsid w:val="0078189F"/>
    <w:rsid w:val="00781BEF"/>
    <w:rsid w:val="00781C13"/>
    <w:rsid w:val="00781C96"/>
    <w:rsid w:val="00781EA9"/>
    <w:rsid w:val="007820BF"/>
    <w:rsid w:val="00782305"/>
    <w:rsid w:val="00782599"/>
    <w:rsid w:val="0078262A"/>
    <w:rsid w:val="00782A7E"/>
    <w:rsid w:val="00782ADF"/>
    <w:rsid w:val="00782D4D"/>
    <w:rsid w:val="00782D7F"/>
    <w:rsid w:val="00782EE3"/>
    <w:rsid w:val="00783197"/>
    <w:rsid w:val="007833CA"/>
    <w:rsid w:val="007834F3"/>
    <w:rsid w:val="00783A1E"/>
    <w:rsid w:val="00783B53"/>
    <w:rsid w:val="0078476D"/>
    <w:rsid w:val="007847CD"/>
    <w:rsid w:val="00784840"/>
    <w:rsid w:val="00784C02"/>
    <w:rsid w:val="00784C1B"/>
    <w:rsid w:val="00784D76"/>
    <w:rsid w:val="00784E22"/>
    <w:rsid w:val="00784FC2"/>
    <w:rsid w:val="00785562"/>
    <w:rsid w:val="0078594B"/>
    <w:rsid w:val="00785A27"/>
    <w:rsid w:val="00785F6D"/>
    <w:rsid w:val="0078660B"/>
    <w:rsid w:val="00786614"/>
    <w:rsid w:val="00786A73"/>
    <w:rsid w:val="00786ACC"/>
    <w:rsid w:val="00786CE9"/>
    <w:rsid w:val="00786D0E"/>
    <w:rsid w:val="00786D77"/>
    <w:rsid w:val="00787634"/>
    <w:rsid w:val="0078784E"/>
    <w:rsid w:val="00787999"/>
    <w:rsid w:val="00789C3B"/>
    <w:rsid w:val="0079035A"/>
    <w:rsid w:val="007906A1"/>
    <w:rsid w:val="007906F9"/>
    <w:rsid w:val="007907BA"/>
    <w:rsid w:val="00790A2B"/>
    <w:rsid w:val="00790A2F"/>
    <w:rsid w:val="00790D10"/>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3BA"/>
    <w:rsid w:val="0079348E"/>
    <w:rsid w:val="007935C4"/>
    <w:rsid w:val="007936A6"/>
    <w:rsid w:val="007936F3"/>
    <w:rsid w:val="00793884"/>
    <w:rsid w:val="00794503"/>
    <w:rsid w:val="00794606"/>
    <w:rsid w:val="007946B0"/>
    <w:rsid w:val="007946CE"/>
    <w:rsid w:val="00794740"/>
    <w:rsid w:val="007948B5"/>
    <w:rsid w:val="007949EC"/>
    <w:rsid w:val="00794BA7"/>
    <w:rsid w:val="00794F8E"/>
    <w:rsid w:val="007951DE"/>
    <w:rsid w:val="00795330"/>
    <w:rsid w:val="007954DA"/>
    <w:rsid w:val="007959A9"/>
    <w:rsid w:val="007959D7"/>
    <w:rsid w:val="00795AC3"/>
    <w:rsid w:val="00795AD3"/>
    <w:rsid w:val="00795BEE"/>
    <w:rsid w:val="00795F40"/>
    <w:rsid w:val="007962E0"/>
    <w:rsid w:val="00796386"/>
    <w:rsid w:val="007966B4"/>
    <w:rsid w:val="00796862"/>
    <w:rsid w:val="00796CFC"/>
    <w:rsid w:val="00796D4B"/>
    <w:rsid w:val="00796EFF"/>
    <w:rsid w:val="00797165"/>
    <w:rsid w:val="007974B1"/>
    <w:rsid w:val="00797545"/>
    <w:rsid w:val="007975F5"/>
    <w:rsid w:val="00797701"/>
    <w:rsid w:val="00797CF0"/>
    <w:rsid w:val="00797F43"/>
    <w:rsid w:val="007A055C"/>
    <w:rsid w:val="007A0767"/>
    <w:rsid w:val="007A082B"/>
    <w:rsid w:val="007A0928"/>
    <w:rsid w:val="007A0C8F"/>
    <w:rsid w:val="007A0D76"/>
    <w:rsid w:val="007A111B"/>
    <w:rsid w:val="007A1381"/>
    <w:rsid w:val="007A16F4"/>
    <w:rsid w:val="007A194E"/>
    <w:rsid w:val="007A1956"/>
    <w:rsid w:val="007A19B2"/>
    <w:rsid w:val="007A19E0"/>
    <w:rsid w:val="007A1B5F"/>
    <w:rsid w:val="007A1D46"/>
    <w:rsid w:val="007A1E6D"/>
    <w:rsid w:val="007A2072"/>
    <w:rsid w:val="007A2162"/>
    <w:rsid w:val="007A216C"/>
    <w:rsid w:val="007A242A"/>
    <w:rsid w:val="007A2553"/>
    <w:rsid w:val="007A2A37"/>
    <w:rsid w:val="007A2E2A"/>
    <w:rsid w:val="007A3364"/>
    <w:rsid w:val="007A368D"/>
    <w:rsid w:val="007A3CC4"/>
    <w:rsid w:val="007A3D28"/>
    <w:rsid w:val="007A3FE3"/>
    <w:rsid w:val="007A4074"/>
    <w:rsid w:val="007A41F4"/>
    <w:rsid w:val="007A44F7"/>
    <w:rsid w:val="007A476B"/>
    <w:rsid w:val="007A483E"/>
    <w:rsid w:val="007A4DE6"/>
    <w:rsid w:val="007A4E7D"/>
    <w:rsid w:val="007A4EC9"/>
    <w:rsid w:val="007A4F03"/>
    <w:rsid w:val="007A518E"/>
    <w:rsid w:val="007A51C1"/>
    <w:rsid w:val="007A55C4"/>
    <w:rsid w:val="007A55F4"/>
    <w:rsid w:val="007A5738"/>
    <w:rsid w:val="007A573A"/>
    <w:rsid w:val="007A5753"/>
    <w:rsid w:val="007A58E0"/>
    <w:rsid w:val="007A5B85"/>
    <w:rsid w:val="007A5CC6"/>
    <w:rsid w:val="007A5D89"/>
    <w:rsid w:val="007A5EEB"/>
    <w:rsid w:val="007A5F26"/>
    <w:rsid w:val="007A60E5"/>
    <w:rsid w:val="007A6298"/>
    <w:rsid w:val="007A64CF"/>
    <w:rsid w:val="007A6708"/>
    <w:rsid w:val="007A685F"/>
    <w:rsid w:val="007A6ED6"/>
    <w:rsid w:val="007A71D7"/>
    <w:rsid w:val="007A7362"/>
    <w:rsid w:val="007A7600"/>
    <w:rsid w:val="007A7960"/>
    <w:rsid w:val="007A79DC"/>
    <w:rsid w:val="007B0002"/>
    <w:rsid w:val="007B017D"/>
    <w:rsid w:val="007B01AF"/>
    <w:rsid w:val="007B030B"/>
    <w:rsid w:val="007B075C"/>
    <w:rsid w:val="007B083D"/>
    <w:rsid w:val="007B09B4"/>
    <w:rsid w:val="007B09D1"/>
    <w:rsid w:val="007B0ACC"/>
    <w:rsid w:val="007B1265"/>
    <w:rsid w:val="007B1A21"/>
    <w:rsid w:val="007B1ACD"/>
    <w:rsid w:val="007B21B1"/>
    <w:rsid w:val="007B234D"/>
    <w:rsid w:val="007B2559"/>
    <w:rsid w:val="007B2840"/>
    <w:rsid w:val="007B28B4"/>
    <w:rsid w:val="007B2C47"/>
    <w:rsid w:val="007B2E7A"/>
    <w:rsid w:val="007B2E95"/>
    <w:rsid w:val="007B2FDF"/>
    <w:rsid w:val="007B30EA"/>
    <w:rsid w:val="007B33D2"/>
    <w:rsid w:val="007B354B"/>
    <w:rsid w:val="007B392A"/>
    <w:rsid w:val="007B3A86"/>
    <w:rsid w:val="007B3DE7"/>
    <w:rsid w:val="007B3EF3"/>
    <w:rsid w:val="007B4246"/>
    <w:rsid w:val="007B43A1"/>
    <w:rsid w:val="007B4499"/>
    <w:rsid w:val="007B473D"/>
    <w:rsid w:val="007B4BFD"/>
    <w:rsid w:val="007B5151"/>
    <w:rsid w:val="007B5366"/>
    <w:rsid w:val="007B5419"/>
    <w:rsid w:val="007B544B"/>
    <w:rsid w:val="007B55D0"/>
    <w:rsid w:val="007B58B3"/>
    <w:rsid w:val="007B5B06"/>
    <w:rsid w:val="007B5E6F"/>
    <w:rsid w:val="007B5F7A"/>
    <w:rsid w:val="007B6199"/>
    <w:rsid w:val="007B63AE"/>
    <w:rsid w:val="007B677E"/>
    <w:rsid w:val="007B690E"/>
    <w:rsid w:val="007B6A76"/>
    <w:rsid w:val="007B6AAE"/>
    <w:rsid w:val="007B6C4C"/>
    <w:rsid w:val="007B6F26"/>
    <w:rsid w:val="007B7279"/>
    <w:rsid w:val="007B72CC"/>
    <w:rsid w:val="007B7837"/>
    <w:rsid w:val="007B7A69"/>
    <w:rsid w:val="007B7DF3"/>
    <w:rsid w:val="007B7E46"/>
    <w:rsid w:val="007B7F1B"/>
    <w:rsid w:val="007C056D"/>
    <w:rsid w:val="007C05EB"/>
    <w:rsid w:val="007C0E63"/>
    <w:rsid w:val="007C0F4F"/>
    <w:rsid w:val="007C0F7F"/>
    <w:rsid w:val="007C108D"/>
    <w:rsid w:val="007C1743"/>
    <w:rsid w:val="007C1AA2"/>
    <w:rsid w:val="007C1F3A"/>
    <w:rsid w:val="007C2114"/>
    <w:rsid w:val="007C231D"/>
    <w:rsid w:val="007C23AE"/>
    <w:rsid w:val="007C261E"/>
    <w:rsid w:val="007C2806"/>
    <w:rsid w:val="007C2AEF"/>
    <w:rsid w:val="007C2DEB"/>
    <w:rsid w:val="007C34BA"/>
    <w:rsid w:val="007C3616"/>
    <w:rsid w:val="007C3946"/>
    <w:rsid w:val="007C3A53"/>
    <w:rsid w:val="007C3A83"/>
    <w:rsid w:val="007C3B6B"/>
    <w:rsid w:val="007C3C2C"/>
    <w:rsid w:val="007C4201"/>
    <w:rsid w:val="007C463C"/>
    <w:rsid w:val="007C46BA"/>
    <w:rsid w:val="007C4ABD"/>
    <w:rsid w:val="007C4B44"/>
    <w:rsid w:val="007C5273"/>
    <w:rsid w:val="007C528F"/>
    <w:rsid w:val="007C55FF"/>
    <w:rsid w:val="007C59EB"/>
    <w:rsid w:val="007C5A14"/>
    <w:rsid w:val="007C5C83"/>
    <w:rsid w:val="007C5D8A"/>
    <w:rsid w:val="007C6321"/>
    <w:rsid w:val="007C662A"/>
    <w:rsid w:val="007C66AF"/>
    <w:rsid w:val="007C6958"/>
    <w:rsid w:val="007C6A21"/>
    <w:rsid w:val="007C6AAA"/>
    <w:rsid w:val="007C6CE1"/>
    <w:rsid w:val="007C708A"/>
    <w:rsid w:val="007C70D1"/>
    <w:rsid w:val="007C7680"/>
    <w:rsid w:val="007C7D92"/>
    <w:rsid w:val="007D00FA"/>
    <w:rsid w:val="007D014E"/>
    <w:rsid w:val="007D022D"/>
    <w:rsid w:val="007D050B"/>
    <w:rsid w:val="007D0527"/>
    <w:rsid w:val="007D0846"/>
    <w:rsid w:val="007D0BF7"/>
    <w:rsid w:val="007D0C47"/>
    <w:rsid w:val="007D0D50"/>
    <w:rsid w:val="007D0DD4"/>
    <w:rsid w:val="007D0EF7"/>
    <w:rsid w:val="007D1132"/>
    <w:rsid w:val="007D11D0"/>
    <w:rsid w:val="007D1666"/>
    <w:rsid w:val="007D16FF"/>
    <w:rsid w:val="007D1A42"/>
    <w:rsid w:val="007D1A5A"/>
    <w:rsid w:val="007D1AFC"/>
    <w:rsid w:val="007D1DCE"/>
    <w:rsid w:val="007D1DE9"/>
    <w:rsid w:val="007D221D"/>
    <w:rsid w:val="007D2611"/>
    <w:rsid w:val="007D269C"/>
    <w:rsid w:val="007D26D0"/>
    <w:rsid w:val="007D2B58"/>
    <w:rsid w:val="007D2B94"/>
    <w:rsid w:val="007D2CAF"/>
    <w:rsid w:val="007D31A0"/>
    <w:rsid w:val="007D34B9"/>
    <w:rsid w:val="007D35B2"/>
    <w:rsid w:val="007D3AEC"/>
    <w:rsid w:val="007D3FD8"/>
    <w:rsid w:val="007D4D57"/>
    <w:rsid w:val="007D4DC3"/>
    <w:rsid w:val="007D50FE"/>
    <w:rsid w:val="007D5181"/>
    <w:rsid w:val="007D5317"/>
    <w:rsid w:val="007D5450"/>
    <w:rsid w:val="007D573B"/>
    <w:rsid w:val="007D57F6"/>
    <w:rsid w:val="007D5967"/>
    <w:rsid w:val="007D5E26"/>
    <w:rsid w:val="007D5F56"/>
    <w:rsid w:val="007D602B"/>
    <w:rsid w:val="007D61C7"/>
    <w:rsid w:val="007D61E4"/>
    <w:rsid w:val="007D628A"/>
    <w:rsid w:val="007D62B4"/>
    <w:rsid w:val="007D64D8"/>
    <w:rsid w:val="007D650E"/>
    <w:rsid w:val="007D6551"/>
    <w:rsid w:val="007D67A4"/>
    <w:rsid w:val="007D69BC"/>
    <w:rsid w:val="007D6AFB"/>
    <w:rsid w:val="007D6BAA"/>
    <w:rsid w:val="007D6D53"/>
    <w:rsid w:val="007D6D5E"/>
    <w:rsid w:val="007D6FC8"/>
    <w:rsid w:val="007D7175"/>
    <w:rsid w:val="007D73E1"/>
    <w:rsid w:val="007D769B"/>
    <w:rsid w:val="007D76AE"/>
    <w:rsid w:val="007D77C7"/>
    <w:rsid w:val="007D7CC8"/>
    <w:rsid w:val="007E0349"/>
    <w:rsid w:val="007E0432"/>
    <w:rsid w:val="007E0597"/>
    <w:rsid w:val="007E069D"/>
    <w:rsid w:val="007E0B9A"/>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3B36"/>
    <w:rsid w:val="007E3FF5"/>
    <w:rsid w:val="007E4176"/>
    <w:rsid w:val="007E41A5"/>
    <w:rsid w:val="007E4646"/>
    <w:rsid w:val="007E4795"/>
    <w:rsid w:val="007E48FD"/>
    <w:rsid w:val="007E4EB3"/>
    <w:rsid w:val="007E4EE6"/>
    <w:rsid w:val="007E5099"/>
    <w:rsid w:val="007E50C5"/>
    <w:rsid w:val="007E512D"/>
    <w:rsid w:val="007E51E9"/>
    <w:rsid w:val="007E55BE"/>
    <w:rsid w:val="007E5675"/>
    <w:rsid w:val="007E5A5A"/>
    <w:rsid w:val="007E5B36"/>
    <w:rsid w:val="007E5BC4"/>
    <w:rsid w:val="007E5CC8"/>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DA4"/>
    <w:rsid w:val="007E6FAA"/>
    <w:rsid w:val="007E7501"/>
    <w:rsid w:val="007E756C"/>
    <w:rsid w:val="007E7B9F"/>
    <w:rsid w:val="007E7CFB"/>
    <w:rsid w:val="007E7D0D"/>
    <w:rsid w:val="007E7E1C"/>
    <w:rsid w:val="007F0776"/>
    <w:rsid w:val="007F07F4"/>
    <w:rsid w:val="007F07FD"/>
    <w:rsid w:val="007F0BF6"/>
    <w:rsid w:val="007F0CB8"/>
    <w:rsid w:val="007F0FD2"/>
    <w:rsid w:val="007F1016"/>
    <w:rsid w:val="007F10FC"/>
    <w:rsid w:val="007F12FF"/>
    <w:rsid w:val="007F142B"/>
    <w:rsid w:val="007F190C"/>
    <w:rsid w:val="007F19AA"/>
    <w:rsid w:val="007F1AAC"/>
    <w:rsid w:val="007F2272"/>
    <w:rsid w:val="007F2306"/>
    <w:rsid w:val="007F26DB"/>
    <w:rsid w:val="007F2C18"/>
    <w:rsid w:val="007F2DF4"/>
    <w:rsid w:val="007F2F43"/>
    <w:rsid w:val="007F2F4D"/>
    <w:rsid w:val="007F3242"/>
    <w:rsid w:val="007F37AD"/>
    <w:rsid w:val="007F37AE"/>
    <w:rsid w:val="007F38D3"/>
    <w:rsid w:val="007F3C73"/>
    <w:rsid w:val="007F418F"/>
    <w:rsid w:val="007F42CF"/>
    <w:rsid w:val="007F4331"/>
    <w:rsid w:val="007F4368"/>
    <w:rsid w:val="007F48BB"/>
    <w:rsid w:val="007F48ED"/>
    <w:rsid w:val="007F4B1E"/>
    <w:rsid w:val="007F4D56"/>
    <w:rsid w:val="007F4D74"/>
    <w:rsid w:val="007F4F16"/>
    <w:rsid w:val="007F53A9"/>
    <w:rsid w:val="007F55B5"/>
    <w:rsid w:val="007F55F1"/>
    <w:rsid w:val="007F5C43"/>
    <w:rsid w:val="007F5CE7"/>
    <w:rsid w:val="007F5D52"/>
    <w:rsid w:val="007F5EAD"/>
    <w:rsid w:val="007F5F33"/>
    <w:rsid w:val="007F6724"/>
    <w:rsid w:val="007F67A9"/>
    <w:rsid w:val="007F691E"/>
    <w:rsid w:val="007F6E0C"/>
    <w:rsid w:val="007F707C"/>
    <w:rsid w:val="007F727C"/>
    <w:rsid w:val="007F7309"/>
    <w:rsid w:val="007F73E2"/>
    <w:rsid w:val="007F748F"/>
    <w:rsid w:val="007F751E"/>
    <w:rsid w:val="007F7624"/>
    <w:rsid w:val="007F76BB"/>
    <w:rsid w:val="007F7BF8"/>
    <w:rsid w:val="007F7E2B"/>
    <w:rsid w:val="0080043A"/>
    <w:rsid w:val="00800555"/>
    <w:rsid w:val="00800593"/>
    <w:rsid w:val="008005CC"/>
    <w:rsid w:val="0080060F"/>
    <w:rsid w:val="00800797"/>
    <w:rsid w:val="008008A0"/>
    <w:rsid w:val="00800C51"/>
    <w:rsid w:val="00800CA5"/>
    <w:rsid w:val="00800CAA"/>
    <w:rsid w:val="00800FC4"/>
    <w:rsid w:val="00801189"/>
    <w:rsid w:val="00801548"/>
    <w:rsid w:val="00801586"/>
    <w:rsid w:val="0080159E"/>
    <w:rsid w:val="00801975"/>
    <w:rsid w:val="008019DF"/>
    <w:rsid w:val="00801A3A"/>
    <w:rsid w:val="00801E69"/>
    <w:rsid w:val="00801F3C"/>
    <w:rsid w:val="00802385"/>
    <w:rsid w:val="0080240A"/>
    <w:rsid w:val="008025C4"/>
    <w:rsid w:val="008026E5"/>
    <w:rsid w:val="0080298A"/>
    <w:rsid w:val="0080298B"/>
    <w:rsid w:val="00802A07"/>
    <w:rsid w:val="00802C75"/>
    <w:rsid w:val="00802DA5"/>
    <w:rsid w:val="00803046"/>
    <w:rsid w:val="00803471"/>
    <w:rsid w:val="00803776"/>
    <w:rsid w:val="008037DB"/>
    <w:rsid w:val="008039AB"/>
    <w:rsid w:val="00803B4B"/>
    <w:rsid w:val="008040B3"/>
    <w:rsid w:val="008040BC"/>
    <w:rsid w:val="008040E8"/>
    <w:rsid w:val="00804470"/>
    <w:rsid w:val="008045AD"/>
    <w:rsid w:val="008048AD"/>
    <w:rsid w:val="00804913"/>
    <w:rsid w:val="00804ABA"/>
    <w:rsid w:val="00804BE1"/>
    <w:rsid w:val="00804E79"/>
    <w:rsid w:val="00805038"/>
    <w:rsid w:val="0080503F"/>
    <w:rsid w:val="00805262"/>
    <w:rsid w:val="00805269"/>
    <w:rsid w:val="00805381"/>
    <w:rsid w:val="0080543D"/>
    <w:rsid w:val="008055A7"/>
    <w:rsid w:val="008055EA"/>
    <w:rsid w:val="008056F5"/>
    <w:rsid w:val="0080578D"/>
    <w:rsid w:val="008058F6"/>
    <w:rsid w:val="00805C7D"/>
    <w:rsid w:val="00805DE6"/>
    <w:rsid w:val="00805FA2"/>
    <w:rsid w:val="00805FB9"/>
    <w:rsid w:val="00806141"/>
    <w:rsid w:val="00806932"/>
    <w:rsid w:val="0080697C"/>
    <w:rsid w:val="00806B10"/>
    <w:rsid w:val="00806BF8"/>
    <w:rsid w:val="00807252"/>
    <w:rsid w:val="00807383"/>
    <w:rsid w:val="00807419"/>
    <w:rsid w:val="008076A5"/>
    <w:rsid w:val="00807732"/>
    <w:rsid w:val="008077B2"/>
    <w:rsid w:val="0080780B"/>
    <w:rsid w:val="008078B7"/>
    <w:rsid w:val="00807C1A"/>
    <w:rsid w:val="00807CE2"/>
    <w:rsid w:val="00807CE5"/>
    <w:rsid w:val="00807DA8"/>
    <w:rsid w:val="008102E8"/>
    <w:rsid w:val="00810474"/>
    <w:rsid w:val="008111F2"/>
    <w:rsid w:val="00811221"/>
    <w:rsid w:val="0081147E"/>
    <w:rsid w:val="0081170E"/>
    <w:rsid w:val="008118A3"/>
    <w:rsid w:val="00812108"/>
    <w:rsid w:val="00812128"/>
    <w:rsid w:val="00812176"/>
    <w:rsid w:val="00812321"/>
    <w:rsid w:val="00812AAE"/>
    <w:rsid w:val="00812AF2"/>
    <w:rsid w:val="00812D5C"/>
    <w:rsid w:val="00812E06"/>
    <w:rsid w:val="00813123"/>
    <w:rsid w:val="00813173"/>
    <w:rsid w:val="00813274"/>
    <w:rsid w:val="00813288"/>
    <w:rsid w:val="00813315"/>
    <w:rsid w:val="008133B2"/>
    <w:rsid w:val="008136B2"/>
    <w:rsid w:val="00813804"/>
    <w:rsid w:val="00813855"/>
    <w:rsid w:val="00813888"/>
    <w:rsid w:val="008139A5"/>
    <w:rsid w:val="00813B99"/>
    <w:rsid w:val="00813E35"/>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ABE"/>
    <w:rsid w:val="00817C17"/>
    <w:rsid w:val="008200F6"/>
    <w:rsid w:val="0082039C"/>
    <w:rsid w:val="0082043D"/>
    <w:rsid w:val="008204D5"/>
    <w:rsid w:val="008205AD"/>
    <w:rsid w:val="008206A5"/>
    <w:rsid w:val="008208ED"/>
    <w:rsid w:val="00820AEC"/>
    <w:rsid w:val="00820B2F"/>
    <w:rsid w:val="00820CE9"/>
    <w:rsid w:val="00820D90"/>
    <w:rsid w:val="00820DC9"/>
    <w:rsid w:val="00820F3A"/>
    <w:rsid w:val="00820FC7"/>
    <w:rsid w:val="00821271"/>
    <w:rsid w:val="0082127E"/>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687"/>
    <w:rsid w:val="00823BCB"/>
    <w:rsid w:val="00823C26"/>
    <w:rsid w:val="00823EAE"/>
    <w:rsid w:val="00823F6F"/>
    <w:rsid w:val="00824055"/>
    <w:rsid w:val="0082405D"/>
    <w:rsid w:val="008242B4"/>
    <w:rsid w:val="00824306"/>
    <w:rsid w:val="00824671"/>
    <w:rsid w:val="008246B9"/>
    <w:rsid w:val="008248D4"/>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994"/>
    <w:rsid w:val="008269A8"/>
    <w:rsid w:val="00826EB4"/>
    <w:rsid w:val="008270CD"/>
    <w:rsid w:val="00827140"/>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0D4E"/>
    <w:rsid w:val="008313BB"/>
    <w:rsid w:val="008313E6"/>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794"/>
    <w:rsid w:val="008337A8"/>
    <w:rsid w:val="00833A5E"/>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1EA"/>
    <w:rsid w:val="00835361"/>
    <w:rsid w:val="00835635"/>
    <w:rsid w:val="0083572D"/>
    <w:rsid w:val="00835773"/>
    <w:rsid w:val="00835B17"/>
    <w:rsid w:val="00835CCC"/>
    <w:rsid w:val="00835F18"/>
    <w:rsid w:val="00835FCE"/>
    <w:rsid w:val="0083602B"/>
    <w:rsid w:val="00836126"/>
    <w:rsid w:val="00836316"/>
    <w:rsid w:val="00836715"/>
    <w:rsid w:val="00836A63"/>
    <w:rsid w:val="00836E03"/>
    <w:rsid w:val="00836EFF"/>
    <w:rsid w:val="00836F2C"/>
    <w:rsid w:val="00837343"/>
    <w:rsid w:val="00837848"/>
    <w:rsid w:val="00837874"/>
    <w:rsid w:val="008379C8"/>
    <w:rsid w:val="00837D08"/>
    <w:rsid w:val="00840220"/>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499"/>
    <w:rsid w:val="00842BB3"/>
    <w:rsid w:val="00842F90"/>
    <w:rsid w:val="0084310E"/>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DCF"/>
    <w:rsid w:val="00845E45"/>
    <w:rsid w:val="00845F26"/>
    <w:rsid w:val="00846069"/>
    <w:rsid w:val="008460AE"/>
    <w:rsid w:val="00846287"/>
    <w:rsid w:val="008462C7"/>
    <w:rsid w:val="0084644F"/>
    <w:rsid w:val="008464D2"/>
    <w:rsid w:val="008465E6"/>
    <w:rsid w:val="00846905"/>
    <w:rsid w:val="00846A7E"/>
    <w:rsid w:val="008471CA"/>
    <w:rsid w:val="00847379"/>
    <w:rsid w:val="008473AB"/>
    <w:rsid w:val="008474E7"/>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4"/>
    <w:rsid w:val="00850DEB"/>
    <w:rsid w:val="00850F81"/>
    <w:rsid w:val="008511B7"/>
    <w:rsid w:val="008512A6"/>
    <w:rsid w:val="0085135A"/>
    <w:rsid w:val="008513C5"/>
    <w:rsid w:val="008513EA"/>
    <w:rsid w:val="008514DE"/>
    <w:rsid w:val="008514F5"/>
    <w:rsid w:val="008517C9"/>
    <w:rsid w:val="008517EE"/>
    <w:rsid w:val="00851A99"/>
    <w:rsid w:val="00851B1C"/>
    <w:rsid w:val="00851B27"/>
    <w:rsid w:val="00851C82"/>
    <w:rsid w:val="00851ED1"/>
    <w:rsid w:val="00851F07"/>
    <w:rsid w:val="00851F36"/>
    <w:rsid w:val="00852052"/>
    <w:rsid w:val="00852113"/>
    <w:rsid w:val="00852141"/>
    <w:rsid w:val="0085279C"/>
    <w:rsid w:val="008527E9"/>
    <w:rsid w:val="0085294E"/>
    <w:rsid w:val="00852A01"/>
    <w:rsid w:val="00852BFE"/>
    <w:rsid w:val="00852F8B"/>
    <w:rsid w:val="00853100"/>
    <w:rsid w:val="0085396A"/>
    <w:rsid w:val="00853A2E"/>
    <w:rsid w:val="00853C0E"/>
    <w:rsid w:val="00853D05"/>
    <w:rsid w:val="00853D12"/>
    <w:rsid w:val="00853F0F"/>
    <w:rsid w:val="00853F97"/>
    <w:rsid w:val="008540EB"/>
    <w:rsid w:val="00854208"/>
    <w:rsid w:val="0085431B"/>
    <w:rsid w:val="0085444A"/>
    <w:rsid w:val="008544B5"/>
    <w:rsid w:val="00854566"/>
    <w:rsid w:val="00854AC2"/>
    <w:rsid w:val="00854BC0"/>
    <w:rsid w:val="00854C05"/>
    <w:rsid w:val="00854C35"/>
    <w:rsid w:val="00855655"/>
    <w:rsid w:val="008558EF"/>
    <w:rsid w:val="008559FD"/>
    <w:rsid w:val="00855C66"/>
    <w:rsid w:val="00855D46"/>
    <w:rsid w:val="008560CE"/>
    <w:rsid w:val="008561F9"/>
    <w:rsid w:val="00856992"/>
    <w:rsid w:val="00856A09"/>
    <w:rsid w:val="00856A32"/>
    <w:rsid w:val="00856AA3"/>
    <w:rsid w:val="00856BCE"/>
    <w:rsid w:val="00856C81"/>
    <w:rsid w:val="00856DC3"/>
    <w:rsid w:val="008578AE"/>
    <w:rsid w:val="00857DEE"/>
    <w:rsid w:val="00857DF4"/>
    <w:rsid w:val="0086011C"/>
    <w:rsid w:val="00860503"/>
    <w:rsid w:val="008607F2"/>
    <w:rsid w:val="00860AD4"/>
    <w:rsid w:val="00860C63"/>
    <w:rsid w:val="00860DB7"/>
    <w:rsid w:val="00860DD6"/>
    <w:rsid w:val="00860F8F"/>
    <w:rsid w:val="00860F9B"/>
    <w:rsid w:val="008611D8"/>
    <w:rsid w:val="00861272"/>
    <w:rsid w:val="0086131E"/>
    <w:rsid w:val="00861477"/>
    <w:rsid w:val="008614CA"/>
    <w:rsid w:val="00861514"/>
    <w:rsid w:val="0086179E"/>
    <w:rsid w:val="00861C54"/>
    <w:rsid w:val="00862085"/>
    <w:rsid w:val="00862226"/>
    <w:rsid w:val="0086245F"/>
    <w:rsid w:val="00862902"/>
    <w:rsid w:val="00862C4F"/>
    <w:rsid w:val="00862CD3"/>
    <w:rsid w:val="00862DAC"/>
    <w:rsid w:val="0086331F"/>
    <w:rsid w:val="00863378"/>
    <w:rsid w:val="008637E9"/>
    <w:rsid w:val="00863958"/>
    <w:rsid w:val="00863D7C"/>
    <w:rsid w:val="00863DF7"/>
    <w:rsid w:val="00863E90"/>
    <w:rsid w:val="00863EF6"/>
    <w:rsid w:val="0086409B"/>
    <w:rsid w:val="00864660"/>
    <w:rsid w:val="00864B33"/>
    <w:rsid w:val="00864B88"/>
    <w:rsid w:val="00864C3B"/>
    <w:rsid w:val="0086511E"/>
    <w:rsid w:val="0086530E"/>
    <w:rsid w:val="008654CA"/>
    <w:rsid w:val="00865506"/>
    <w:rsid w:val="0086566F"/>
    <w:rsid w:val="008656F8"/>
    <w:rsid w:val="008658AA"/>
    <w:rsid w:val="00865C52"/>
    <w:rsid w:val="00865D6C"/>
    <w:rsid w:val="00865DC7"/>
    <w:rsid w:val="00865FE9"/>
    <w:rsid w:val="00866040"/>
    <w:rsid w:val="00866341"/>
    <w:rsid w:val="0086637F"/>
    <w:rsid w:val="00866B3B"/>
    <w:rsid w:val="00866B94"/>
    <w:rsid w:val="00866EB5"/>
    <w:rsid w:val="00866EEF"/>
    <w:rsid w:val="00867014"/>
    <w:rsid w:val="008671C1"/>
    <w:rsid w:val="00867256"/>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0D89"/>
    <w:rsid w:val="00871095"/>
    <w:rsid w:val="008714E6"/>
    <w:rsid w:val="0087151E"/>
    <w:rsid w:val="00871A9E"/>
    <w:rsid w:val="00871AF3"/>
    <w:rsid w:val="00871B95"/>
    <w:rsid w:val="00871D7B"/>
    <w:rsid w:val="00872076"/>
    <w:rsid w:val="00872461"/>
    <w:rsid w:val="008724E3"/>
    <w:rsid w:val="00872587"/>
    <w:rsid w:val="0087271B"/>
    <w:rsid w:val="00872DB3"/>
    <w:rsid w:val="00873001"/>
    <w:rsid w:val="00873068"/>
    <w:rsid w:val="0087326F"/>
    <w:rsid w:val="00873530"/>
    <w:rsid w:val="00873597"/>
    <w:rsid w:val="008735DD"/>
    <w:rsid w:val="008737CC"/>
    <w:rsid w:val="00873986"/>
    <w:rsid w:val="00873CDB"/>
    <w:rsid w:val="00873E43"/>
    <w:rsid w:val="00874609"/>
    <w:rsid w:val="0087460B"/>
    <w:rsid w:val="0087490F"/>
    <w:rsid w:val="00874991"/>
    <w:rsid w:val="008749A2"/>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6F1A"/>
    <w:rsid w:val="008774C0"/>
    <w:rsid w:val="00877BD5"/>
    <w:rsid w:val="00877DE5"/>
    <w:rsid w:val="00877F09"/>
    <w:rsid w:val="0088010C"/>
    <w:rsid w:val="008802CA"/>
    <w:rsid w:val="00880355"/>
    <w:rsid w:val="0088051A"/>
    <w:rsid w:val="00880834"/>
    <w:rsid w:val="008808E5"/>
    <w:rsid w:val="00880CBB"/>
    <w:rsid w:val="00880FD7"/>
    <w:rsid w:val="0088127C"/>
    <w:rsid w:val="0088159C"/>
    <w:rsid w:val="0088163A"/>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3F8B"/>
    <w:rsid w:val="00884163"/>
    <w:rsid w:val="008842DF"/>
    <w:rsid w:val="00884465"/>
    <w:rsid w:val="0088477C"/>
    <w:rsid w:val="0088484D"/>
    <w:rsid w:val="00884CE8"/>
    <w:rsid w:val="00884EF2"/>
    <w:rsid w:val="008852AB"/>
    <w:rsid w:val="0088545A"/>
    <w:rsid w:val="00885671"/>
    <w:rsid w:val="00885D54"/>
    <w:rsid w:val="00885E17"/>
    <w:rsid w:val="00885E2E"/>
    <w:rsid w:val="008862A8"/>
    <w:rsid w:val="008863A6"/>
    <w:rsid w:val="008865E3"/>
    <w:rsid w:val="008865F9"/>
    <w:rsid w:val="008866E0"/>
    <w:rsid w:val="008869D5"/>
    <w:rsid w:val="00886BE5"/>
    <w:rsid w:val="00886F5E"/>
    <w:rsid w:val="008872C2"/>
    <w:rsid w:val="008872C6"/>
    <w:rsid w:val="00887CAB"/>
    <w:rsid w:val="0089021A"/>
    <w:rsid w:val="008902C1"/>
    <w:rsid w:val="00890481"/>
    <w:rsid w:val="00890B56"/>
    <w:rsid w:val="00890ED1"/>
    <w:rsid w:val="00891182"/>
    <w:rsid w:val="008911CD"/>
    <w:rsid w:val="00891206"/>
    <w:rsid w:val="00891E41"/>
    <w:rsid w:val="00892250"/>
    <w:rsid w:val="008922AC"/>
    <w:rsid w:val="008922E2"/>
    <w:rsid w:val="0089248B"/>
    <w:rsid w:val="00892A3C"/>
    <w:rsid w:val="00892BFA"/>
    <w:rsid w:val="00892EE0"/>
    <w:rsid w:val="00892F56"/>
    <w:rsid w:val="00892FA2"/>
    <w:rsid w:val="00893069"/>
    <w:rsid w:val="00893121"/>
    <w:rsid w:val="00893142"/>
    <w:rsid w:val="00893473"/>
    <w:rsid w:val="00893656"/>
    <w:rsid w:val="0089365A"/>
    <w:rsid w:val="0089396D"/>
    <w:rsid w:val="008939CF"/>
    <w:rsid w:val="00893B73"/>
    <w:rsid w:val="00893CEE"/>
    <w:rsid w:val="00893D96"/>
    <w:rsid w:val="0089400A"/>
    <w:rsid w:val="00894067"/>
    <w:rsid w:val="00894301"/>
    <w:rsid w:val="008944F0"/>
    <w:rsid w:val="00894524"/>
    <w:rsid w:val="00894772"/>
    <w:rsid w:val="008949E8"/>
    <w:rsid w:val="00894BCE"/>
    <w:rsid w:val="00894BFF"/>
    <w:rsid w:val="00894C3C"/>
    <w:rsid w:val="0089516D"/>
    <w:rsid w:val="00895193"/>
    <w:rsid w:val="008952F1"/>
    <w:rsid w:val="00895545"/>
    <w:rsid w:val="00895B26"/>
    <w:rsid w:val="00895D58"/>
    <w:rsid w:val="00895E0F"/>
    <w:rsid w:val="00895F87"/>
    <w:rsid w:val="008961A7"/>
    <w:rsid w:val="008962CD"/>
    <w:rsid w:val="008963A5"/>
    <w:rsid w:val="00896431"/>
    <w:rsid w:val="00896575"/>
    <w:rsid w:val="00896612"/>
    <w:rsid w:val="00896747"/>
    <w:rsid w:val="008968D9"/>
    <w:rsid w:val="0089690E"/>
    <w:rsid w:val="00896A26"/>
    <w:rsid w:val="00896BC5"/>
    <w:rsid w:val="00896ED7"/>
    <w:rsid w:val="008971E7"/>
    <w:rsid w:val="008977EB"/>
    <w:rsid w:val="0089797E"/>
    <w:rsid w:val="00897A0E"/>
    <w:rsid w:val="00897ED1"/>
    <w:rsid w:val="00897F20"/>
    <w:rsid w:val="008A0453"/>
    <w:rsid w:val="008A061D"/>
    <w:rsid w:val="008A07CE"/>
    <w:rsid w:val="008A07F0"/>
    <w:rsid w:val="008A0C6F"/>
    <w:rsid w:val="008A1609"/>
    <w:rsid w:val="008A1B4C"/>
    <w:rsid w:val="008A1BAA"/>
    <w:rsid w:val="008A1BC1"/>
    <w:rsid w:val="008A1E72"/>
    <w:rsid w:val="008A2347"/>
    <w:rsid w:val="008A2413"/>
    <w:rsid w:val="008A25A6"/>
    <w:rsid w:val="008A2904"/>
    <w:rsid w:val="008A291F"/>
    <w:rsid w:val="008A2A1B"/>
    <w:rsid w:val="008A2D72"/>
    <w:rsid w:val="008A2E0C"/>
    <w:rsid w:val="008A2E11"/>
    <w:rsid w:val="008A34E0"/>
    <w:rsid w:val="008A368E"/>
    <w:rsid w:val="008A36F0"/>
    <w:rsid w:val="008A37E5"/>
    <w:rsid w:val="008A3CB6"/>
    <w:rsid w:val="008A401D"/>
    <w:rsid w:val="008A4256"/>
    <w:rsid w:val="008A451C"/>
    <w:rsid w:val="008A47DC"/>
    <w:rsid w:val="008A4824"/>
    <w:rsid w:val="008A49B1"/>
    <w:rsid w:val="008A4D1D"/>
    <w:rsid w:val="008A4E12"/>
    <w:rsid w:val="008A4EE1"/>
    <w:rsid w:val="008A4F1E"/>
    <w:rsid w:val="008A4F8E"/>
    <w:rsid w:val="008A529E"/>
    <w:rsid w:val="008A53F8"/>
    <w:rsid w:val="008A56DC"/>
    <w:rsid w:val="008A5771"/>
    <w:rsid w:val="008A57FB"/>
    <w:rsid w:val="008A5E33"/>
    <w:rsid w:val="008A5ED4"/>
    <w:rsid w:val="008A63B0"/>
    <w:rsid w:val="008A65AB"/>
    <w:rsid w:val="008A6623"/>
    <w:rsid w:val="008A663D"/>
    <w:rsid w:val="008A680F"/>
    <w:rsid w:val="008A6A40"/>
    <w:rsid w:val="008A6A49"/>
    <w:rsid w:val="008A728F"/>
    <w:rsid w:val="008A73C1"/>
    <w:rsid w:val="008A74D2"/>
    <w:rsid w:val="008A7516"/>
    <w:rsid w:val="008A76A5"/>
    <w:rsid w:val="008AAC26"/>
    <w:rsid w:val="008B007B"/>
    <w:rsid w:val="008B03E5"/>
    <w:rsid w:val="008B052D"/>
    <w:rsid w:val="008B058B"/>
    <w:rsid w:val="008B0B57"/>
    <w:rsid w:val="008B0CB1"/>
    <w:rsid w:val="008B1089"/>
    <w:rsid w:val="008B1146"/>
    <w:rsid w:val="008B114F"/>
    <w:rsid w:val="008B1150"/>
    <w:rsid w:val="008B1161"/>
    <w:rsid w:val="008B11A4"/>
    <w:rsid w:val="008B1293"/>
    <w:rsid w:val="008B13DE"/>
    <w:rsid w:val="008B1813"/>
    <w:rsid w:val="008B1870"/>
    <w:rsid w:val="008B21B6"/>
    <w:rsid w:val="008B2236"/>
    <w:rsid w:val="008B226B"/>
    <w:rsid w:val="008B22DB"/>
    <w:rsid w:val="008B2515"/>
    <w:rsid w:val="008B297A"/>
    <w:rsid w:val="008B2FAB"/>
    <w:rsid w:val="008B316D"/>
    <w:rsid w:val="008B31D5"/>
    <w:rsid w:val="008B3498"/>
    <w:rsid w:val="008B3A18"/>
    <w:rsid w:val="008B3A4A"/>
    <w:rsid w:val="008B3D66"/>
    <w:rsid w:val="008B3EDB"/>
    <w:rsid w:val="008B411F"/>
    <w:rsid w:val="008B4175"/>
    <w:rsid w:val="008B4397"/>
    <w:rsid w:val="008B444E"/>
    <w:rsid w:val="008B44D0"/>
    <w:rsid w:val="008B452F"/>
    <w:rsid w:val="008B4626"/>
    <w:rsid w:val="008B47CA"/>
    <w:rsid w:val="008B48B7"/>
    <w:rsid w:val="008B4976"/>
    <w:rsid w:val="008B4A41"/>
    <w:rsid w:val="008B4FC7"/>
    <w:rsid w:val="008B5102"/>
    <w:rsid w:val="008B52FD"/>
    <w:rsid w:val="008B53AF"/>
    <w:rsid w:val="008B548D"/>
    <w:rsid w:val="008B554A"/>
    <w:rsid w:val="008B58E7"/>
    <w:rsid w:val="008B5AD7"/>
    <w:rsid w:val="008B5E20"/>
    <w:rsid w:val="008B615E"/>
    <w:rsid w:val="008B63D6"/>
    <w:rsid w:val="008B67BC"/>
    <w:rsid w:val="008B6DBC"/>
    <w:rsid w:val="008B6E48"/>
    <w:rsid w:val="008B6FC0"/>
    <w:rsid w:val="008B7102"/>
    <w:rsid w:val="008B7149"/>
    <w:rsid w:val="008B71D6"/>
    <w:rsid w:val="008B723D"/>
    <w:rsid w:val="008B73D7"/>
    <w:rsid w:val="008B76EE"/>
    <w:rsid w:val="008B7721"/>
    <w:rsid w:val="008B77E9"/>
    <w:rsid w:val="008B781A"/>
    <w:rsid w:val="008B7906"/>
    <w:rsid w:val="008B7A55"/>
    <w:rsid w:val="008B7CB2"/>
    <w:rsid w:val="008C0597"/>
    <w:rsid w:val="008C081E"/>
    <w:rsid w:val="008C0A48"/>
    <w:rsid w:val="008C0BCD"/>
    <w:rsid w:val="008C0E6B"/>
    <w:rsid w:val="008C1AB6"/>
    <w:rsid w:val="008C1B54"/>
    <w:rsid w:val="008C23C8"/>
    <w:rsid w:val="008C23C9"/>
    <w:rsid w:val="008C24CB"/>
    <w:rsid w:val="008C274C"/>
    <w:rsid w:val="008C2C78"/>
    <w:rsid w:val="008C2D4C"/>
    <w:rsid w:val="008C2E28"/>
    <w:rsid w:val="008C2FA7"/>
    <w:rsid w:val="008C2FA9"/>
    <w:rsid w:val="008C30E7"/>
    <w:rsid w:val="008C310E"/>
    <w:rsid w:val="008C32A9"/>
    <w:rsid w:val="008C33E6"/>
    <w:rsid w:val="008C3401"/>
    <w:rsid w:val="008C34FE"/>
    <w:rsid w:val="008C363C"/>
    <w:rsid w:val="008C37B0"/>
    <w:rsid w:val="008C37DA"/>
    <w:rsid w:val="008C38DA"/>
    <w:rsid w:val="008C3959"/>
    <w:rsid w:val="008C3A88"/>
    <w:rsid w:val="008C3B2E"/>
    <w:rsid w:val="008C4352"/>
    <w:rsid w:val="008C4456"/>
    <w:rsid w:val="008C471F"/>
    <w:rsid w:val="008C47FA"/>
    <w:rsid w:val="008C497B"/>
    <w:rsid w:val="008C4C86"/>
    <w:rsid w:val="008C4CC1"/>
    <w:rsid w:val="008C4DF2"/>
    <w:rsid w:val="008C4F20"/>
    <w:rsid w:val="008C5008"/>
    <w:rsid w:val="008C525B"/>
    <w:rsid w:val="008C5371"/>
    <w:rsid w:val="008C5B5B"/>
    <w:rsid w:val="008C5E64"/>
    <w:rsid w:val="008C5EFC"/>
    <w:rsid w:val="008C65CC"/>
    <w:rsid w:val="008C6796"/>
    <w:rsid w:val="008C6985"/>
    <w:rsid w:val="008C6D97"/>
    <w:rsid w:val="008C6FA4"/>
    <w:rsid w:val="008C7015"/>
    <w:rsid w:val="008C7160"/>
    <w:rsid w:val="008C73AC"/>
    <w:rsid w:val="008C7674"/>
    <w:rsid w:val="008C770D"/>
    <w:rsid w:val="008C781A"/>
    <w:rsid w:val="008C7953"/>
    <w:rsid w:val="008C79B9"/>
    <w:rsid w:val="008C7B2E"/>
    <w:rsid w:val="008C7C58"/>
    <w:rsid w:val="008C7C7C"/>
    <w:rsid w:val="008C7D54"/>
    <w:rsid w:val="008D004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23C"/>
    <w:rsid w:val="008D2521"/>
    <w:rsid w:val="008D2C41"/>
    <w:rsid w:val="008D3301"/>
    <w:rsid w:val="008D3347"/>
    <w:rsid w:val="008D394B"/>
    <w:rsid w:val="008D3AC8"/>
    <w:rsid w:val="008D3F53"/>
    <w:rsid w:val="008D42E6"/>
    <w:rsid w:val="008D480E"/>
    <w:rsid w:val="008D4E81"/>
    <w:rsid w:val="008D4F44"/>
    <w:rsid w:val="008D4FCB"/>
    <w:rsid w:val="008D5053"/>
    <w:rsid w:val="008D51EC"/>
    <w:rsid w:val="008D5326"/>
    <w:rsid w:val="008D53DC"/>
    <w:rsid w:val="008D5517"/>
    <w:rsid w:val="008D5530"/>
    <w:rsid w:val="008D5705"/>
    <w:rsid w:val="008D582A"/>
    <w:rsid w:val="008D5960"/>
    <w:rsid w:val="008D5A82"/>
    <w:rsid w:val="008D5C2B"/>
    <w:rsid w:val="008D6132"/>
    <w:rsid w:val="008D6163"/>
    <w:rsid w:val="008D64F3"/>
    <w:rsid w:val="008D6627"/>
    <w:rsid w:val="008D684F"/>
    <w:rsid w:val="008D6B42"/>
    <w:rsid w:val="008D6B6B"/>
    <w:rsid w:val="008D6CA4"/>
    <w:rsid w:val="008D6CCB"/>
    <w:rsid w:val="008D6CCD"/>
    <w:rsid w:val="008D6EF6"/>
    <w:rsid w:val="008D71C6"/>
    <w:rsid w:val="008D754B"/>
    <w:rsid w:val="008D7579"/>
    <w:rsid w:val="008D7731"/>
    <w:rsid w:val="008D77CB"/>
    <w:rsid w:val="008D7B61"/>
    <w:rsid w:val="008D7FB4"/>
    <w:rsid w:val="008E05F9"/>
    <w:rsid w:val="008E0629"/>
    <w:rsid w:val="008E06C1"/>
    <w:rsid w:val="008E089A"/>
    <w:rsid w:val="008E08AC"/>
    <w:rsid w:val="008E0967"/>
    <w:rsid w:val="008E0AE2"/>
    <w:rsid w:val="008E0EB3"/>
    <w:rsid w:val="008E0F86"/>
    <w:rsid w:val="008E116D"/>
    <w:rsid w:val="008E14A9"/>
    <w:rsid w:val="008E1615"/>
    <w:rsid w:val="008E171E"/>
    <w:rsid w:val="008E1816"/>
    <w:rsid w:val="008E1A26"/>
    <w:rsid w:val="008E1C61"/>
    <w:rsid w:val="008E1CA0"/>
    <w:rsid w:val="008E29F7"/>
    <w:rsid w:val="008E2A23"/>
    <w:rsid w:val="008E2ABF"/>
    <w:rsid w:val="008E2C87"/>
    <w:rsid w:val="008E2E72"/>
    <w:rsid w:val="008E37BC"/>
    <w:rsid w:val="008E3A35"/>
    <w:rsid w:val="008E3A51"/>
    <w:rsid w:val="008E3D95"/>
    <w:rsid w:val="008E3EDB"/>
    <w:rsid w:val="008E3FEB"/>
    <w:rsid w:val="008E4256"/>
    <w:rsid w:val="008E4436"/>
    <w:rsid w:val="008E45AD"/>
    <w:rsid w:val="008E460F"/>
    <w:rsid w:val="008E48AD"/>
    <w:rsid w:val="008E48E8"/>
    <w:rsid w:val="008E4B6C"/>
    <w:rsid w:val="008E4CF1"/>
    <w:rsid w:val="008E4ED2"/>
    <w:rsid w:val="008E4F0C"/>
    <w:rsid w:val="008E4F6A"/>
    <w:rsid w:val="008E503F"/>
    <w:rsid w:val="008E5040"/>
    <w:rsid w:val="008E5070"/>
    <w:rsid w:val="008E53A2"/>
    <w:rsid w:val="008E5434"/>
    <w:rsid w:val="008E5857"/>
    <w:rsid w:val="008E5B2F"/>
    <w:rsid w:val="008E5E6B"/>
    <w:rsid w:val="008E5F69"/>
    <w:rsid w:val="008E62A2"/>
    <w:rsid w:val="008E6841"/>
    <w:rsid w:val="008E694A"/>
    <w:rsid w:val="008E6BB6"/>
    <w:rsid w:val="008E6BBA"/>
    <w:rsid w:val="008E6E8C"/>
    <w:rsid w:val="008E6F38"/>
    <w:rsid w:val="008E7006"/>
    <w:rsid w:val="008E706E"/>
    <w:rsid w:val="008E7163"/>
    <w:rsid w:val="008E72F9"/>
    <w:rsid w:val="008E7362"/>
    <w:rsid w:val="008E75DC"/>
    <w:rsid w:val="008E76FC"/>
    <w:rsid w:val="008E7AEA"/>
    <w:rsid w:val="008E7B49"/>
    <w:rsid w:val="008E7B51"/>
    <w:rsid w:val="008E7CC6"/>
    <w:rsid w:val="008E7D48"/>
    <w:rsid w:val="008F0202"/>
    <w:rsid w:val="008F03B6"/>
    <w:rsid w:val="008F054C"/>
    <w:rsid w:val="008F0CE6"/>
    <w:rsid w:val="008F0D78"/>
    <w:rsid w:val="008F0FAA"/>
    <w:rsid w:val="008F1003"/>
    <w:rsid w:val="008F122E"/>
    <w:rsid w:val="008F1286"/>
    <w:rsid w:val="008F1311"/>
    <w:rsid w:val="008F1540"/>
    <w:rsid w:val="008F1584"/>
    <w:rsid w:val="008F1693"/>
    <w:rsid w:val="008F179B"/>
    <w:rsid w:val="008F18EC"/>
    <w:rsid w:val="008F1A55"/>
    <w:rsid w:val="008F1AF6"/>
    <w:rsid w:val="008F1F72"/>
    <w:rsid w:val="008F2010"/>
    <w:rsid w:val="008F2089"/>
    <w:rsid w:val="008F27AA"/>
    <w:rsid w:val="008F286D"/>
    <w:rsid w:val="008F2ACF"/>
    <w:rsid w:val="008F2BF5"/>
    <w:rsid w:val="008F2D5A"/>
    <w:rsid w:val="008F2E11"/>
    <w:rsid w:val="008F2E39"/>
    <w:rsid w:val="008F2EDB"/>
    <w:rsid w:val="008F313B"/>
    <w:rsid w:val="008F3270"/>
    <w:rsid w:val="008F3286"/>
    <w:rsid w:val="008F32EF"/>
    <w:rsid w:val="008F337D"/>
    <w:rsid w:val="008F3411"/>
    <w:rsid w:val="008F3484"/>
    <w:rsid w:val="008F348C"/>
    <w:rsid w:val="008F389C"/>
    <w:rsid w:val="008F3E59"/>
    <w:rsid w:val="008F3F63"/>
    <w:rsid w:val="008F4055"/>
    <w:rsid w:val="008F45B6"/>
    <w:rsid w:val="008F45F2"/>
    <w:rsid w:val="008F4677"/>
    <w:rsid w:val="008F46DA"/>
    <w:rsid w:val="008F4920"/>
    <w:rsid w:val="008F4C85"/>
    <w:rsid w:val="008F4E07"/>
    <w:rsid w:val="008F4F30"/>
    <w:rsid w:val="008F4F8E"/>
    <w:rsid w:val="008F55E8"/>
    <w:rsid w:val="008F56EA"/>
    <w:rsid w:val="008F596E"/>
    <w:rsid w:val="008F5F8F"/>
    <w:rsid w:val="008F68DC"/>
    <w:rsid w:val="008F6AFF"/>
    <w:rsid w:val="008F6D6F"/>
    <w:rsid w:val="008F7036"/>
    <w:rsid w:val="008F71E8"/>
    <w:rsid w:val="008F725B"/>
    <w:rsid w:val="008F726F"/>
    <w:rsid w:val="008F72B8"/>
    <w:rsid w:val="008F7C31"/>
    <w:rsid w:val="008F7CB3"/>
    <w:rsid w:val="008F7EA1"/>
    <w:rsid w:val="00900429"/>
    <w:rsid w:val="0090044B"/>
    <w:rsid w:val="00900485"/>
    <w:rsid w:val="009005A2"/>
    <w:rsid w:val="009007B4"/>
    <w:rsid w:val="00900C94"/>
    <w:rsid w:val="00900EF3"/>
    <w:rsid w:val="009010AA"/>
    <w:rsid w:val="009011E8"/>
    <w:rsid w:val="009014A7"/>
    <w:rsid w:val="0090153F"/>
    <w:rsid w:val="00901C30"/>
    <w:rsid w:val="00901D93"/>
    <w:rsid w:val="00901E06"/>
    <w:rsid w:val="00901EF1"/>
    <w:rsid w:val="009020C2"/>
    <w:rsid w:val="0090280E"/>
    <w:rsid w:val="0090287A"/>
    <w:rsid w:val="00902E36"/>
    <w:rsid w:val="00902E73"/>
    <w:rsid w:val="00902F19"/>
    <w:rsid w:val="00902FFC"/>
    <w:rsid w:val="009030C4"/>
    <w:rsid w:val="00903532"/>
    <w:rsid w:val="00903648"/>
    <w:rsid w:val="00903906"/>
    <w:rsid w:val="00903914"/>
    <w:rsid w:val="00903B72"/>
    <w:rsid w:val="00903BF8"/>
    <w:rsid w:val="009040B5"/>
    <w:rsid w:val="0090460F"/>
    <w:rsid w:val="009046B5"/>
    <w:rsid w:val="00905201"/>
    <w:rsid w:val="00905396"/>
    <w:rsid w:val="009054A3"/>
    <w:rsid w:val="00905775"/>
    <w:rsid w:val="009057B8"/>
    <w:rsid w:val="00905939"/>
    <w:rsid w:val="0090594B"/>
    <w:rsid w:val="009059C1"/>
    <w:rsid w:val="009059D5"/>
    <w:rsid w:val="00905A22"/>
    <w:rsid w:val="00905DB4"/>
    <w:rsid w:val="00906310"/>
    <w:rsid w:val="009064A7"/>
    <w:rsid w:val="00906817"/>
    <w:rsid w:val="009069DA"/>
    <w:rsid w:val="00906C6F"/>
    <w:rsid w:val="009070A1"/>
    <w:rsid w:val="00907123"/>
    <w:rsid w:val="00907197"/>
    <w:rsid w:val="009073ED"/>
    <w:rsid w:val="0090750F"/>
    <w:rsid w:val="00907604"/>
    <w:rsid w:val="00907AC2"/>
    <w:rsid w:val="00907B27"/>
    <w:rsid w:val="00907BBE"/>
    <w:rsid w:val="00907E9A"/>
    <w:rsid w:val="00907F5A"/>
    <w:rsid w:val="00910071"/>
    <w:rsid w:val="00910259"/>
    <w:rsid w:val="00910422"/>
    <w:rsid w:val="00910455"/>
    <w:rsid w:val="009107F5"/>
    <w:rsid w:val="00910832"/>
    <w:rsid w:val="00910A32"/>
    <w:rsid w:val="00910CED"/>
    <w:rsid w:val="00910EE8"/>
    <w:rsid w:val="00910F83"/>
    <w:rsid w:val="00911278"/>
    <w:rsid w:val="009115BB"/>
    <w:rsid w:val="00911639"/>
    <w:rsid w:val="009117C6"/>
    <w:rsid w:val="00911A21"/>
    <w:rsid w:val="00911A9D"/>
    <w:rsid w:val="00911BBF"/>
    <w:rsid w:val="0091259A"/>
    <w:rsid w:val="00912698"/>
    <w:rsid w:val="00912A00"/>
    <w:rsid w:val="00912BDE"/>
    <w:rsid w:val="00912EEE"/>
    <w:rsid w:val="00912F51"/>
    <w:rsid w:val="009131EC"/>
    <w:rsid w:val="0091324D"/>
    <w:rsid w:val="00913445"/>
    <w:rsid w:val="009136B4"/>
    <w:rsid w:val="009136CA"/>
    <w:rsid w:val="00913DCF"/>
    <w:rsid w:val="009141B2"/>
    <w:rsid w:val="009142AD"/>
    <w:rsid w:val="0091432D"/>
    <w:rsid w:val="0091439C"/>
    <w:rsid w:val="009147E6"/>
    <w:rsid w:val="00914BD1"/>
    <w:rsid w:val="00914CD0"/>
    <w:rsid w:val="00914DC0"/>
    <w:rsid w:val="00914F65"/>
    <w:rsid w:val="0091510F"/>
    <w:rsid w:val="0091541B"/>
    <w:rsid w:val="009154B0"/>
    <w:rsid w:val="009157B2"/>
    <w:rsid w:val="00915A63"/>
    <w:rsid w:val="00915EEB"/>
    <w:rsid w:val="00915EF3"/>
    <w:rsid w:val="00915FC6"/>
    <w:rsid w:val="009168D4"/>
    <w:rsid w:val="0091699D"/>
    <w:rsid w:val="00916CF7"/>
    <w:rsid w:val="00916EB2"/>
    <w:rsid w:val="00916FB9"/>
    <w:rsid w:val="00917175"/>
    <w:rsid w:val="0091762D"/>
    <w:rsid w:val="009177D8"/>
    <w:rsid w:val="00917A4F"/>
    <w:rsid w:val="00917B90"/>
    <w:rsid w:val="0092005C"/>
    <w:rsid w:val="009201DB"/>
    <w:rsid w:val="00920209"/>
    <w:rsid w:val="0092033B"/>
    <w:rsid w:val="009204C4"/>
    <w:rsid w:val="00920561"/>
    <w:rsid w:val="009205C1"/>
    <w:rsid w:val="0092067F"/>
    <w:rsid w:val="009207FA"/>
    <w:rsid w:val="00920876"/>
    <w:rsid w:val="009208FC"/>
    <w:rsid w:val="00920923"/>
    <w:rsid w:val="00920ADB"/>
    <w:rsid w:val="00920BF1"/>
    <w:rsid w:val="00920C92"/>
    <w:rsid w:val="00920CBF"/>
    <w:rsid w:val="00920D77"/>
    <w:rsid w:val="009210F0"/>
    <w:rsid w:val="009211D1"/>
    <w:rsid w:val="009211E1"/>
    <w:rsid w:val="00921348"/>
    <w:rsid w:val="00921543"/>
    <w:rsid w:val="00921768"/>
    <w:rsid w:val="009217D6"/>
    <w:rsid w:val="009217EE"/>
    <w:rsid w:val="00921846"/>
    <w:rsid w:val="0092184A"/>
    <w:rsid w:val="00921B31"/>
    <w:rsid w:val="00921CAD"/>
    <w:rsid w:val="009223C3"/>
    <w:rsid w:val="00922481"/>
    <w:rsid w:val="009226FB"/>
    <w:rsid w:val="00922ECF"/>
    <w:rsid w:val="00923092"/>
    <w:rsid w:val="009231BC"/>
    <w:rsid w:val="009231DC"/>
    <w:rsid w:val="0092330D"/>
    <w:rsid w:val="009233CD"/>
    <w:rsid w:val="009234A1"/>
    <w:rsid w:val="00923881"/>
    <w:rsid w:val="00923A7F"/>
    <w:rsid w:val="00923B39"/>
    <w:rsid w:val="00923CAC"/>
    <w:rsid w:val="00923D1C"/>
    <w:rsid w:val="00924208"/>
    <w:rsid w:val="009246EF"/>
    <w:rsid w:val="009247CB"/>
    <w:rsid w:val="0092498B"/>
    <w:rsid w:val="009249A3"/>
    <w:rsid w:val="00924B8D"/>
    <w:rsid w:val="00924CC4"/>
    <w:rsid w:val="00924D43"/>
    <w:rsid w:val="00924F9A"/>
    <w:rsid w:val="0092510C"/>
    <w:rsid w:val="009251E1"/>
    <w:rsid w:val="009252F0"/>
    <w:rsid w:val="0092575A"/>
    <w:rsid w:val="009257C4"/>
    <w:rsid w:val="00925890"/>
    <w:rsid w:val="00925946"/>
    <w:rsid w:val="00925AD5"/>
    <w:rsid w:val="00925FBF"/>
    <w:rsid w:val="0092606F"/>
    <w:rsid w:val="009263BA"/>
    <w:rsid w:val="0092657E"/>
    <w:rsid w:val="00926582"/>
    <w:rsid w:val="00926837"/>
    <w:rsid w:val="00926A86"/>
    <w:rsid w:val="00927126"/>
    <w:rsid w:val="009276B5"/>
    <w:rsid w:val="00927913"/>
    <w:rsid w:val="00927987"/>
    <w:rsid w:val="00927B2F"/>
    <w:rsid w:val="00927C30"/>
    <w:rsid w:val="00927C80"/>
    <w:rsid w:val="00927F58"/>
    <w:rsid w:val="00930063"/>
    <w:rsid w:val="009305F1"/>
    <w:rsid w:val="0093065A"/>
    <w:rsid w:val="00930B2A"/>
    <w:rsid w:val="00930D85"/>
    <w:rsid w:val="00930F3E"/>
    <w:rsid w:val="00931144"/>
    <w:rsid w:val="009312FC"/>
    <w:rsid w:val="009315BA"/>
    <w:rsid w:val="0093175F"/>
    <w:rsid w:val="0093179E"/>
    <w:rsid w:val="00931AB8"/>
    <w:rsid w:val="00931BC2"/>
    <w:rsid w:val="00931DB3"/>
    <w:rsid w:val="00931E00"/>
    <w:rsid w:val="00931E9E"/>
    <w:rsid w:val="00932045"/>
    <w:rsid w:val="00932106"/>
    <w:rsid w:val="00932542"/>
    <w:rsid w:val="009326FE"/>
    <w:rsid w:val="00932746"/>
    <w:rsid w:val="00932886"/>
    <w:rsid w:val="009328DF"/>
    <w:rsid w:val="00932CA3"/>
    <w:rsid w:val="00933011"/>
    <w:rsid w:val="0093322F"/>
    <w:rsid w:val="00933350"/>
    <w:rsid w:val="00933379"/>
    <w:rsid w:val="0093360C"/>
    <w:rsid w:val="00933621"/>
    <w:rsid w:val="009337AC"/>
    <w:rsid w:val="00933813"/>
    <w:rsid w:val="00933BCC"/>
    <w:rsid w:val="00933D05"/>
    <w:rsid w:val="00933E0F"/>
    <w:rsid w:val="00934129"/>
    <w:rsid w:val="009342D9"/>
    <w:rsid w:val="009342F2"/>
    <w:rsid w:val="00934309"/>
    <w:rsid w:val="00934709"/>
    <w:rsid w:val="00934800"/>
    <w:rsid w:val="0093481E"/>
    <w:rsid w:val="0093485C"/>
    <w:rsid w:val="00934C2A"/>
    <w:rsid w:val="00934E49"/>
    <w:rsid w:val="00934F9A"/>
    <w:rsid w:val="00935410"/>
    <w:rsid w:val="00935562"/>
    <w:rsid w:val="009355EC"/>
    <w:rsid w:val="009355F5"/>
    <w:rsid w:val="00935636"/>
    <w:rsid w:val="00935B2B"/>
    <w:rsid w:val="00935B74"/>
    <w:rsid w:val="00935F85"/>
    <w:rsid w:val="00936605"/>
    <w:rsid w:val="00936658"/>
    <w:rsid w:val="00936CCE"/>
    <w:rsid w:val="00936CF4"/>
    <w:rsid w:val="00936E80"/>
    <w:rsid w:val="009370A1"/>
    <w:rsid w:val="00937175"/>
    <w:rsid w:val="00937760"/>
    <w:rsid w:val="0093779E"/>
    <w:rsid w:val="009377E4"/>
    <w:rsid w:val="00937BB5"/>
    <w:rsid w:val="00937ECD"/>
    <w:rsid w:val="0094008E"/>
    <w:rsid w:val="00940266"/>
    <w:rsid w:val="00940537"/>
    <w:rsid w:val="009406DE"/>
    <w:rsid w:val="00940A54"/>
    <w:rsid w:val="00940CDC"/>
    <w:rsid w:val="00940EBC"/>
    <w:rsid w:val="00940F49"/>
    <w:rsid w:val="009410E1"/>
    <w:rsid w:val="0094112C"/>
    <w:rsid w:val="009412BE"/>
    <w:rsid w:val="009413F8"/>
    <w:rsid w:val="00941635"/>
    <w:rsid w:val="00941920"/>
    <w:rsid w:val="009419EE"/>
    <w:rsid w:val="00941D68"/>
    <w:rsid w:val="00941FAC"/>
    <w:rsid w:val="0094203F"/>
    <w:rsid w:val="00942270"/>
    <w:rsid w:val="0094266C"/>
    <w:rsid w:val="009427AB"/>
    <w:rsid w:val="00942810"/>
    <w:rsid w:val="0094291E"/>
    <w:rsid w:val="009429B6"/>
    <w:rsid w:val="00942C35"/>
    <w:rsid w:val="009431B7"/>
    <w:rsid w:val="0094321B"/>
    <w:rsid w:val="009437FA"/>
    <w:rsid w:val="00943A3D"/>
    <w:rsid w:val="00943DCF"/>
    <w:rsid w:val="00943DE2"/>
    <w:rsid w:val="00943E9A"/>
    <w:rsid w:val="00943EE1"/>
    <w:rsid w:val="009441E4"/>
    <w:rsid w:val="009441F5"/>
    <w:rsid w:val="009442FA"/>
    <w:rsid w:val="00944375"/>
    <w:rsid w:val="0094447D"/>
    <w:rsid w:val="00944845"/>
    <w:rsid w:val="00944B9C"/>
    <w:rsid w:val="00944E0B"/>
    <w:rsid w:val="00944E96"/>
    <w:rsid w:val="009451C8"/>
    <w:rsid w:val="0094538B"/>
    <w:rsid w:val="0094545C"/>
    <w:rsid w:val="009455B1"/>
    <w:rsid w:val="00945742"/>
    <w:rsid w:val="00945824"/>
    <w:rsid w:val="00945988"/>
    <w:rsid w:val="00945A6B"/>
    <w:rsid w:val="00945C7C"/>
    <w:rsid w:val="00945D77"/>
    <w:rsid w:val="00945F9F"/>
    <w:rsid w:val="00946198"/>
    <w:rsid w:val="0094624D"/>
    <w:rsid w:val="009463BF"/>
    <w:rsid w:val="0094667B"/>
    <w:rsid w:val="00946746"/>
    <w:rsid w:val="00946C09"/>
    <w:rsid w:val="00946EE4"/>
    <w:rsid w:val="009470B0"/>
    <w:rsid w:val="009472E9"/>
    <w:rsid w:val="0094730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AB"/>
    <w:rsid w:val="00952CFE"/>
    <w:rsid w:val="00952E27"/>
    <w:rsid w:val="00952E5F"/>
    <w:rsid w:val="0095313A"/>
    <w:rsid w:val="009532AC"/>
    <w:rsid w:val="00953322"/>
    <w:rsid w:val="009537A7"/>
    <w:rsid w:val="00953881"/>
    <w:rsid w:val="00953A4C"/>
    <w:rsid w:val="00953A7E"/>
    <w:rsid w:val="00953CF4"/>
    <w:rsid w:val="00953F73"/>
    <w:rsid w:val="00953FA1"/>
    <w:rsid w:val="009541AC"/>
    <w:rsid w:val="00954263"/>
    <w:rsid w:val="00954286"/>
    <w:rsid w:val="009542A8"/>
    <w:rsid w:val="00954501"/>
    <w:rsid w:val="00954892"/>
    <w:rsid w:val="0095494D"/>
    <w:rsid w:val="009549F9"/>
    <w:rsid w:val="00954ADB"/>
    <w:rsid w:val="00954BF0"/>
    <w:rsid w:val="009552EA"/>
    <w:rsid w:val="0095582B"/>
    <w:rsid w:val="00955861"/>
    <w:rsid w:val="009559B6"/>
    <w:rsid w:val="00955DDE"/>
    <w:rsid w:val="009561EF"/>
    <w:rsid w:val="00956793"/>
    <w:rsid w:val="00956827"/>
    <w:rsid w:val="009568F4"/>
    <w:rsid w:val="00956C96"/>
    <w:rsid w:val="00956E87"/>
    <w:rsid w:val="00956FD3"/>
    <w:rsid w:val="009571A6"/>
    <w:rsid w:val="009571B7"/>
    <w:rsid w:val="0095738D"/>
    <w:rsid w:val="00957665"/>
    <w:rsid w:val="00957C78"/>
    <w:rsid w:val="00957CEF"/>
    <w:rsid w:val="00957E04"/>
    <w:rsid w:val="0096018A"/>
    <w:rsid w:val="0096034D"/>
    <w:rsid w:val="009603BD"/>
    <w:rsid w:val="00960422"/>
    <w:rsid w:val="00960559"/>
    <w:rsid w:val="009606F6"/>
    <w:rsid w:val="00960972"/>
    <w:rsid w:val="00960A27"/>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4FD"/>
    <w:rsid w:val="009645D2"/>
    <w:rsid w:val="00964834"/>
    <w:rsid w:val="00964EA4"/>
    <w:rsid w:val="00964F50"/>
    <w:rsid w:val="009653A7"/>
    <w:rsid w:val="00965421"/>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6A"/>
    <w:rsid w:val="00967EF5"/>
    <w:rsid w:val="00970039"/>
    <w:rsid w:val="00970100"/>
    <w:rsid w:val="009702C1"/>
    <w:rsid w:val="00970389"/>
    <w:rsid w:val="0097041A"/>
    <w:rsid w:val="00970687"/>
    <w:rsid w:val="00970793"/>
    <w:rsid w:val="0097083A"/>
    <w:rsid w:val="00970CD4"/>
    <w:rsid w:val="00970F19"/>
    <w:rsid w:val="0097113C"/>
    <w:rsid w:val="00971146"/>
    <w:rsid w:val="009711A9"/>
    <w:rsid w:val="009711CD"/>
    <w:rsid w:val="00971536"/>
    <w:rsid w:val="0097195B"/>
    <w:rsid w:val="00971E6E"/>
    <w:rsid w:val="00971FDE"/>
    <w:rsid w:val="009720A0"/>
    <w:rsid w:val="00972316"/>
    <w:rsid w:val="0097242F"/>
    <w:rsid w:val="009727B4"/>
    <w:rsid w:val="00972E0C"/>
    <w:rsid w:val="00972F3E"/>
    <w:rsid w:val="00972F5B"/>
    <w:rsid w:val="009732C1"/>
    <w:rsid w:val="009733B4"/>
    <w:rsid w:val="009733D4"/>
    <w:rsid w:val="009734B2"/>
    <w:rsid w:val="00973604"/>
    <w:rsid w:val="00973607"/>
    <w:rsid w:val="009739F4"/>
    <w:rsid w:val="00973BDF"/>
    <w:rsid w:val="00973D97"/>
    <w:rsid w:val="00973FF9"/>
    <w:rsid w:val="009740EE"/>
    <w:rsid w:val="00974552"/>
    <w:rsid w:val="00974559"/>
    <w:rsid w:val="009745C3"/>
    <w:rsid w:val="009745F4"/>
    <w:rsid w:val="00974688"/>
    <w:rsid w:val="00974B6E"/>
    <w:rsid w:val="00974CD8"/>
    <w:rsid w:val="00974CE0"/>
    <w:rsid w:val="00974E5C"/>
    <w:rsid w:val="00975097"/>
    <w:rsid w:val="009752C5"/>
    <w:rsid w:val="009753D0"/>
    <w:rsid w:val="00975444"/>
    <w:rsid w:val="00975594"/>
    <w:rsid w:val="0097578E"/>
    <w:rsid w:val="00975933"/>
    <w:rsid w:val="00975965"/>
    <w:rsid w:val="00975977"/>
    <w:rsid w:val="00975BA7"/>
    <w:rsid w:val="00975D20"/>
    <w:rsid w:val="00975DB5"/>
    <w:rsid w:val="00976045"/>
    <w:rsid w:val="00976088"/>
    <w:rsid w:val="0097626D"/>
    <w:rsid w:val="00976338"/>
    <w:rsid w:val="00976442"/>
    <w:rsid w:val="00976A05"/>
    <w:rsid w:val="00976A8A"/>
    <w:rsid w:val="009772A5"/>
    <w:rsid w:val="00977342"/>
    <w:rsid w:val="00977354"/>
    <w:rsid w:val="00977379"/>
    <w:rsid w:val="00977776"/>
    <w:rsid w:val="009777C2"/>
    <w:rsid w:val="00977866"/>
    <w:rsid w:val="00977C65"/>
    <w:rsid w:val="00977E3C"/>
    <w:rsid w:val="0098003E"/>
    <w:rsid w:val="00980064"/>
    <w:rsid w:val="0098013A"/>
    <w:rsid w:val="00980301"/>
    <w:rsid w:val="009804B5"/>
    <w:rsid w:val="0098050D"/>
    <w:rsid w:val="0098083F"/>
    <w:rsid w:val="00980865"/>
    <w:rsid w:val="00980A67"/>
    <w:rsid w:val="00980B01"/>
    <w:rsid w:val="00980B57"/>
    <w:rsid w:val="00980D08"/>
    <w:rsid w:val="00980E28"/>
    <w:rsid w:val="00980E63"/>
    <w:rsid w:val="009812CB"/>
    <w:rsid w:val="009815EC"/>
    <w:rsid w:val="00981888"/>
    <w:rsid w:val="009818A8"/>
    <w:rsid w:val="00981BA9"/>
    <w:rsid w:val="00981C16"/>
    <w:rsid w:val="00981D00"/>
    <w:rsid w:val="00981D20"/>
    <w:rsid w:val="00981E6F"/>
    <w:rsid w:val="00982465"/>
    <w:rsid w:val="009824A2"/>
    <w:rsid w:val="009824D5"/>
    <w:rsid w:val="00982534"/>
    <w:rsid w:val="00982B37"/>
    <w:rsid w:val="00982B80"/>
    <w:rsid w:val="00982CBB"/>
    <w:rsid w:val="00982E2B"/>
    <w:rsid w:val="00982E47"/>
    <w:rsid w:val="009830E6"/>
    <w:rsid w:val="0098325C"/>
    <w:rsid w:val="0098355B"/>
    <w:rsid w:val="00983580"/>
    <w:rsid w:val="00983B10"/>
    <w:rsid w:val="00983DC3"/>
    <w:rsid w:val="00983E0D"/>
    <w:rsid w:val="0098408A"/>
    <w:rsid w:val="00984141"/>
    <w:rsid w:val="00984240"/>
    <w:rsid w:val="00984369"/>
    <w:rsid w:val="0098449E"/>
    <w:rsid w:val="0098464F"/>
    <w:rsid w:val="00984756"/>
    <w:rsid w:val="0098480B"/>
    <w:rsid w:val="00985149"/>
    <w:rsid w:val="00985488"/>
    <w:rsid w:val="009854FA"/>
    <w:rsid w:val="00985BFE"/>
    <w:rsid w:val="00985C21"/>
    <w:rsid w:val="00985C48"/>
    <w:rsid w:val="00985E24"/>
    <w:rsid w:val="0098673A"/>
    <w:rsid w:val="009867BD"/>
    <w:rsid w:val="00986DA8"/>
    <w:rsid w:val="00986E12"/>
    <w:rsid w:val="009875AA"/>
    <w:rsid w:val="009877AD"/>
    <w:rsid w:val="009877BF"/>
    <w:rsid w:val="00987EE8"/>
    <w:rsid w:val="009902FC"/>
    <w:rsid w:val="00990461"/>
    <w:rsid w:val="00990698"/>
    <w:rsid w:val="00990790"/>
    <w:rsid w:val="0099095D"/>
    <w:rsid w:val="00990A5D"/>
    <w:rsid w:val="00990BE4"/>
    <w:rsid w:val="00990C54"/>
    <w:rsid w:val="00990F0C"/>
    <w:rsid w:val="009910BA"/>
    <w:rsid w:val="0099135D"/>
    <w:rsid w:val="009915E4"/>
    <w:rsid w:val="0099168F"/>
    <w:rsid w:val="009918EC"/>
    <w:rsid w:val="00991C0F"/>
    <w:rsid w:val="00991C91"/>
    <w:rsid w:val="00991D3C"/>
    <w:rsid w:val="00991D93"/>
    <w:rsid w:val="009921C2"/>
    <w:rsid w:val="0099234E"/>
    <w:rsid w:val="00992394"/>
    <w:rsid w:val="0099261C"/>
    <w:rsid w:val="0099264F"/>
    <w:rsid w:val="009928FA"/>
    <w:rsid w:val="00992B2B"/>
    <w:rsid w:val="00992B68"/>
    <w:rsid w:val="00992D80"/>
    <w:rsid w:val="00993183"/>
    <w:rsid w:val="009932C9"/>
    <w:rsid w:val="00993329"/>
    <w:rsid w:val="0099366C"/>
    <w:rsid w:val="00993A2A"/>
    <w:rsid w:val="00993B08"/>
    <w:rsid w:val="00993B7B"/>
    <w:rsid w:val="00993B7C"/>
    <w:rsid w:val="00993CC2"/>
    <w:rsid w:val="00993DF8"/>
    <w:rsid w:val="0099414F"/>
    <w:rsid w:val="00994257"/>
    <w:rsid w:val="00994284"/>
    <w:rsid w:val="009945D8"/>
    <w:rsid w:val="0099470F"/>
    <w:rsid w:val="00994959"/>
    <w:rsid w:val="00994B76"/>
    <w:rsid w:val="00994CA4"/>
    <w:rsid w:val="00995104"/>
    <w:rsid w:val="009951D8"/>
    <w:rsid w:val="00995295"/>
    <w:rsid w:val="00995A66"/>
    <w:rsid w:val="00995AC7"/>
    <w:rsid w:val="00995D14"/>
    <w:rsid w:val="00995D18"/>
    <w:rsid w:val="00995E52"/>
    <w:rsid w:val="00995E56"/>
    <w:rsid w:val="009960AC"/>
    <w:rsid w:val="009965FE"/>
    <w:rsid w:val="009966ED"/>
    <w:rsid w:val="00996942"/>
    <w:rsid w:val="00996960"/>
    <w:rsid w:val="00996ABB"/>
    <w:rsid w:val="00996C2F"/>
    <w:rsid w:val="00996F81"/>
    <w:rsid w:val="00996FA9"/>
    <w:rsid w:val="0099721B"/>
    <w:rsid w:val="00997369"/>
    <w:rsid w:val="0099745B"/>
    <w:rsid w:val="009974D2"/>
    <w:rsid w:val="0099757A"/>
    <w:rsid w:val="0099773F"/>
    <w:rsid w:val="00997E3B"/>
    <w:rsid w:val="00997E9D"/>
    <w:rsid w:val="009A0087"/>
    <w:rsid w:val="009A0410"/>
    <w:rsid w:val="009A0452"/>
    <w:rsid w:val="009A0582"/>
    <w:rsid w:val="009A05E5"/>
    <w:rsid w:val="009A0696"/>
    <w:rsid w:val="009A07BE"/>
    <w:rsid w:val="009A07FB"/>
    <w:rsid w:val="009A0922"/>
    <w:rsid w:val="009A0CE2"/>
    <w:rsid w:val="009A0D05"/>
    <w:rsid w:val="009A0D9F"/>
    <w:rsid w:val="009A0DD2"/>
    <w:rsid w:val="009A0E0E"/>
    <w:rsid w:val="009A0FBF"/>
    <w:rsid w:val="009A11FA"/>
    <w:rsid w:val="009A133C"/>
    <w:rsid w:val="009A15CF"/>
    <w:rsid w:val="009A174C"/>
    <w:rsid w:val="009A1896"/>
    <w:rsid w:val="009A1B20"/>
    <w:rsid w:val="009A1B4B"/>
    <w:rsid w:val="009A1CB7"/>
    <w:rsid w:val="009A1DCB"/>
    <w:rsid w:val="009A1F37"/>
    <w:rsid w:val="009A2048"/>
    <w:rsid w:val="009A207E"/>
    <w:rsid w:val="009A2518"/>
    <w:rsid w:val="009A26C8"/>
    <w:rsid w:val="009A26FF"/>
    <w:rsid w:val="009A27AE"/>
    <w:rsid w:val="009A2BEA"/>
    <w:rsid w:val="009A2C73"/>
    <w:rsid w:val="009A2EA3"/>
    <w:rsid w:val="009A2ECA"/>
    <w:rsid w:val="009A302F"/>
    <w:rsid w:val="009A3191"/>
    <w:rsid w:val="009A39B2"/>
    <w:rsid w:val="009A3DA0"/>
    <w:rsid w:val="009A402B"/>
    <w:rsid w:val="009A41F0"/>
    <w:rsid w:val="009A4321"/>
    <w:rsid w:val="009A450A"/>
    <w:rsid w:val="009A46B9"/>
    <w:rsid w:val="009A4A04"/>
    <w:rsid w:val="009A4A94"/>
    <w:rsid w:val="009A4CD7"/>
    <w:rsid w:val="009A4D3E"/>
    <w:rsid w:val="009A4F66"/>
    <w:rsid w:val="009A50A4"/>
    <w:rsid w:val="009A57C6"/>
    <w:rsid w:val="009A597B"/>
    <w:rsid w:val="009A5985"/>
    <w:rsid w:val="009A60B8"/>
    <w:rsid w:val="009A6382"/>
    <w:rsid w:val="009A6A1A"/>
    <w:rsid w:val="009A6B3E"/>
    <w:rsid w:val="009A6BC5"/>
    <w:rsid w:val="009A6C08"/>
    <w:rsid w:val="009A6CA4"/>
    <w:rsid w:val="009A6EA0"/>
    <w:rsid w:val="009A6FD9"/>
    <w:rsid w:val="009A6FF6"/>
    <w:rsid w:val="009A70AF"/>
    <w:rsid w:val="009A7155"/>
    <w:rsid w:val="009A724D"/>
    <w:rsid w:val="009A727F"/>
    <w:rsid w:val="009A742A"/>
    <w:rsid w:val="009A7692"/>
    <w:rsid w:val="009A772C"/>
    <w:rsid w:val="009A794E"/>
    <w:rsid w:val="009A7968"/>
    <w:rsid w:val="009A7C10"/>
    <w:rsid w:val="009B000F"/>
    <w:rsid w:val="009B010F"/>
    <w:rsid w:val="009B018C"/>
    <w:rsid w:val="009B0629"/>
    <w:rsid w:val="009B094D"/>
    <w:rsid w:val="009B09D9"/>
    <w:rsid w:val="009B0A3C"/>
    <w:rsid w:val="009B0CA1"/>
    <w:rsid w:val="009B0F4B"/>
    <w:rsid w:val="009B106D"/>
    <w:rsid w:val="009B10A9"/>
    <w:rsid w:val="009B1213"/>
    <w:rsid w:val="009B1547"/>
    <w:rsid w:val="009B1561"/>
    <w:rsid w:val="009B15F1"/>
    <w:rsid w:val="009B166F"/>
    <w:rsid w:val="009B172E"/>
    <w:rsid w:val="009B1742"/>
    <w:rsid w:val="009B1BCA"/>
    <w:rsid w:val="009B1CD1"/>
    <w:rsid w:val="009B1E2D"/>
    <w:rsid w:val="009B296B"/>
    <w:rsid w:val="009B2B38"/>
    <w:rsid w:val="009B33C7"/>
    <w:rsid w:val="009B3615"/>
    <w:rsid w:val="009B3B3A"/>
    <w:rsid w:val="009B3B43"/>
    <w:rsid w:val="009B3C12"/>
    <w:rsid w:val="009B3C85"/>
    <w:rsid w:val="009B4268"/>
    <w:rsid w:val="009B433D"/>
    <w:rsid w:val="009B46AF"/>
    <w:rsid w:val="009B4797"/>
    <w:rsid w:val="009B47BE"/>
    <w:rsid w:val="009B4CFD"/>
    <w:rsid w:val="009B4D72"/>
    <w:rsid w:val="009B4E72"/>
    <w:rsid w:val="009B504B"/>
    <w:rsid w:val="009B53BD"/>
    <w:rsid w:val="009B57EC"/>
    <w:rsid w:val="009B5BA4"/>
    <w:rsid w:val="009B5C02"/>
    <w:rsid w:val="009B5E8D"/>
    <w:rsid w:val="009B5F42"/>
    <w:rsid w:val="009B5FC2"/>
    <w:rsid w:val="009B601B"/>
    <w:rsid w:val="009B61B8"/>
    <w:rsid w:val="009B6596"/>
    <w:rsid w:val="009B65AD"/>
    <w:rsid w:val="009B6B3D"/>
    <w:rsid w:val="009B6DA1"/>
    <w:rsid w:val="009B6ED0"/>
    <w:rsid w:val="009B6F81"/>
    <w:rsid w:val="009B7003"/>
    <w:rsid w:val="009B782C"/>
    <w:rsid w:val="009B7E72"/>
    <w:rsid w:val="009B7EC9"/>
    <w:rsid w:val="009C056C"/>
    <w:rsid w:val="009C0732"/>
    <w:rsid w:val="009C091C"/>
    <w:rsid w:val="009C0A90"/>
    <w:rsid w:val="009C0BE8"/>
    <w:rsid w:val="009C11F9"/>
    <w:rsid w:val="009C1250"/>
    <w:rsid w:val="009C1251"/>
    <w:rsid w:val="009C1551"/>
    <w:rsid w:val="009C1694"/>
    <w:rsid w:val="009C181E"/>
    <w:rsid w:val="009C18C4"/>
    <w:rsid w:val="009C1A28"/>
    <w:rsid w:val="009C1CDC"/>
    <w:rsid w:val="009C1D89"/>
    <w:rsid w:val="009C1DDF"/>
    <w:rsid w:val="009C1E4E"/>
    <w:rsid w:val="009C20FD"/>
    <w:rsid w:val="009C22B2"/>
    <w:rsid w:val="009C235B"/>
    <w:rsid w:val="009C23A6"/>
    <w:rsid w:val="009C28FD"/>
    <w:rsid w:val="009C2D47"/>
    <w:rsid w:val="009C2E33"/>
    <w:rsid w:val="009C2F12"/>
    <w:rsid w:val="009C3222"/>
    <w:rsid w:val="009C33D9"/>
    <w:rsid w:val="009C34D0"/>
    <w:rsid w:val="009C3526"/>
    <w:rsid w:val="009C3623"/>
    <w:rsid w:val="009C3A20"/>
    <w:rsid w:val="009C3CD6"/>
    <w:rsid w:val="009C3E2F"/>
    <w:rsid w:val="009C3E87"/>
    <w:rsid w:val="009C40AA"/>
    <w:rsid w:val="009C40EF"/>
    <w:rsid w:val="009C458B"/>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B15"/>
    <w:rsid w:val="009C7C5D"/>
    <w:rsid w:val="009C7D03"/>
    <w:rsid w:val="009D011E"/>
    <w:rsid w:val="009D0161"/>
    <w:rsid w:val="009D019B"/>
    <w:rsid w:val="009D05BF"/>
    <w:rsid w:val="009D0660"/>
    <w:rsid w:val="009D08E3"/>
    <w:rsid w:val="009D08F6"/>
    <w:rsid w:val="009D09B5"/>
    <w:rsid w:val="009D15AE"/>
    <w:rsid w:val="009D16D6"/>
    <w:rsid w:val="009D17EA"/>
    <w:rsid w:val="009D17FA"/>
    <w:rsid w:val="009D18AC"/>
    <w:rsid w:val="009D1A01"/>
    <w:rsid w:val="009D1F0C"/>
    <w:rsid w:val="009D1F29"/>
    <w:rsid w:val="009D203F"/>
    <w:rsid w:val="009D256E"/>
    <w:rsid w:val="009D268F"/>
    <w:rsid w:val="009D2740"/>
    <w:rsid w:val="009D2B9C"/>
    <w:rsid w:val="009D2BD0"/>
    <w:rsid w:val="009D2DE3"/>
    <w:rsid w:val="009D324B"/>
    <w:rsid w:val="009D38C0"/>
    <w:rsid w:val="009D3A3D"/>
    <w:rsid w:val="009D3B39"/>
    <w:rsid w:val="009D3C12"/>
    <w:rsid w:val="009D3D89"/>
    <w:rsid w:val="009D3E57"/>
    <w:rsid w:val="009D4016"/>
    <w:rsid w:val="009D4291"/>
    <w:rsid w:val="009D46EF"/>
    <w:rsid w:val="009D4755"/>
    <w:rsid w:val="009D4778"/>
    <w:rsid w:val="009D51AA"/>
    <w:rsid w:val="009D5417"/>
    <w:rsid w:val="009D569C"/>
    <w:rsid w:val="009D579A"/>
    <w:rsid w:val="009D58F8"/>
    <w:rsid w:val="009D5941"/>
    <w:rsid w:val="009D5C71"/>
    <w:rsid w:val="009D5E2A"/>
    <w:rsid w:val="009D6277"/>
    <w:rsid w:val="009D65CA"/>
    <w:rsid w:val="009D676E"/>
    <w:rsid w:val="009D691F"/>
    <w:rsid w:val="009D69AC"/>
    <w:rsid w:val="009D6A99"/>
    <w:rsid w:val="009D6DDE"/>
    <w:rsid w:val="009D704A"/>
    <w:rsid w:val="009D7112"/>
    <w:rsid w:val="009D72DF"/>
    <w:rsid w:val="009D755F"/>
    <w:rsid w:val="009D7797"/>
    <w:rsid w:val="009D7B15"/>
    <w:rsid w:val="009D7E7F"/>
    <w:rsid w:val="009D7F11"/>
    <w:rsid w:val="009E00DB"/>
    <w:rsid w:val="009E0475"/>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4A0"/>
    <w:rsid w:val="009E276A"/>
    <w:rsid w:val="009E27E3"/>
    <w:rsid w:val="009E29A1"/>
    <w:rsid w:val="009E2AA6"/>
    <w:rsid w:val="009E2D74"/>
    <w:rsid w:val="009E2FE1"/>
    <w:rsid w:val="009E2FF2"/>
    <w:rsid w:val="009E3297"/>
    <w:rsid w:val="009E3E52"/>
    <w:rsid w:val="009E3EBA"/>
    <w:rsid w:val="009E430F"/>
    <w:rsid w:val="009E449A"/>
    <w:rsid w:val="009E44BB"/>
    <w:rsid w:val="009E49DD"/>
    <w:rsid w:val="009E4A53"/>
    <w:rsid w:val="009E4C2D"/>
    <w:rsid w:val="009E4CA1"/>
    <w:rsid w:val="009E4CC5"/>
    <w:rsid w:val="009E4D48"/>
    <w:rsid w:val="009E4F89"/>
    <w:rsid w:val="009E511C"/>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8DA"/>
    <w:rsid w:val="009E6B48"/>
    <w:rsid w:val="009E6CDE"/>
    <w:rsid w:val="009E6D94"/>
    <w:rsid w:val="009E71AF"/>
    <w:rsid w:val="009E72D8"/>
    <w:rsid w:val="009E734D"/>
    <w:rsid w:val="009E7364"/>
    <w:rsid w:val="009E74F7"/>
    <w:rsid w:val="009E76F9"/>
    <w:rsid w:val="009E77FC"/>
    <w:rsid w:val="009E7850"/>
    <w:rsid w:val="009E7C1D"/>
    <w:rsid w:val="009F0014"/>
    <w:rsid w:val="009F028D"/>
    <w:rsid w:val="009F09D7"/>
    <w:rsid w:val="009F09DF"/>
    <w:rsid w:val="009F0A1D"/>
    <w:rsid w:val="009F0BB9"/>
    <w:rsid w:val="009F0DCC"/>
    <w:rsid w:val="009F0E1A"/>
    <w:rsid w:val="009F10CF"/>
    <w:rsid w:val="009F122A"/>
    <w:rsid w:val="009F13D3"/>
    <w:rsid w:val="009F1C9B"/>
    <w:rsid w:val="009F1CC1"/>
    <w:rsid w:val="009F1D06"/>
    <w:rsid w:val="009F2269"/>
    <w:rsid w:val="009F27B5"/>
    <w:rsid w:val="009F28B5"/>
    <w:rsid w:val="009F2E5F"/>
    <w:rsid w:val="009F2F2C"/>
    <w:rsid w:val="009F3077"/>
    <w:rsid w:val="009F30A9"/>
    <w:rsid w:val="009F3581"/>
    <w:rsid w:val="009F3A71"/>
    <w:rsid w:val="009F3AF0"/>
    <w:rsid w:val="009F3CC9"/>
    <w:rsid w:val="009F3DD0"/>
    <w:rsid w:val="009F3DE5"/>
    <w:rsid w:val="009F3FB2"/>
    <w:rsid w:val="009F410E"/>
    <w:rsid w:val="009F4261"/>
    <w:rsid w:val="009F4450"/>
    <w:rsid w:val="009F48C0"/>
    <w:rsid w:val="009F4955"/>
    <w:rsid w:val="009F4BC9"/>
    <w:rsid w:val="009F4E2E"/>
    <w:rsid w:val="009F4E3D"/>
    <w:rsid w:val="009F4F1F"/>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C8E"/>
    <w:rsid w:val="009F7D59"/>
    <w:rsid w:val="009F7D5D"/>
    <w:rsid w:val="00A00089"/>
    <w:rsid w:val="00A000B2"/>
    <w:rsid w:val="00A0010B"/>
    <w:rsid w:val="00A0021C"/>
    <w:rsid w:val="00A0028F"/>
    <w:rsid w:val="00A010DC"/>
    <w:rsid w:val="00A012C7"/>
    <w:rsid w:val="00A01417"/>
    <w:rsid w:val="00A01677"/>
    <w:rsid w:val="00A01B12"/>
    <w:rsid w:val="00A01E2A"/>
    <w:rsid w:val="00A01E81"/>
    <w:rsid w:val="00A022D4"/>
    <w:rsid w:val="00A023B0"/>
    <w:rsid w:val="00A029F2"/>
    <w:rsid w:val="00A02A02"/>
    <w:rsid w:val="00A02D43"/>
    <w:rsid w:val="00A02D4C"/>
    <w:rsid w:val="00A038E0"/>
    <w:rsid w:val="00A03901"/>
    <w:rsid w:val="00A03ADC"/>
    <w:rsid w:val="00A03AE3"/>
    <w:rsid w:val="00A03B33"/>
    <w:rsid w:val="00A03CB8"/>
    <w:rsid w:val="00A03CDD"/>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4B"/>
    <w:rsid w:val="00A06D7F"/>
    <w:rsid w:val="00A073CF"/>
    <w:rsid w:val="00A0752A"/>
    <w:rsid w:val="00A078F4"/>
    <w:rsid w:val="00A07980"/>
    <w:rsid w:val="00A07D10"/>
    <w:rsid w:val="00A102E4"/>
    <w:rsid w:val="00A10649"/>
    <w:rsid w:val="00A10808"/>
    <w:rsid w:val="00A10CC6"/>
    <w:rsid w:val="00A10D11"/>
    <w:rsid w:val="00A10F29"/>
    <w:rsid w:val="00A110CE"/>
    <w:rsid w:val="00A11115"/>
    <w:rsid w:val="00A11444"/>
    <w:rsid w:val="00A11624"/>
    <w:rsid w:val="00A116CA"/>
    <w:rsid w:val="00A116E5"/>
    <w:rsid w:val="00A11800"/>
    <w:rsid w:val="00A11A9A"/>
    <w:rsid w:val="00A11AB8"/>
    <w:rsid w:val="00A11C0C"/>
    <w:rsid w:val="00A11D59"/>
    <w:rsid w:val="00A11D5C"/>
    <w:rsid w:val="00A120FC"/>
    <w:rsid w:val="00A121E6"/>
    <w:rsid w:val="00A1237A"/>
    <w:rsid w:val="00A123D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14B"/>
    <w:rsid w:val="00A15187"/>
    <w:rsid w:val="00A1521B"/>
    <w:rsid w:val="00A15640"/>
    <w:rsid w:val="00A159F7"/>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837"/>
    <w:rsid w:val="00A20925"/>
    <w:rsid w:val="00A20A4E"/>
    <w:rsid w:val="00A20C1B"/>
    <w:rsid w:val="00A211AC"/>
    <w:rsid w:val="00A21277"/>
    <w:rsid w:val="00A212EF"/>
    <w:rsid w:val="00A21569"/>
    <w:rsid w:val="00A217EC"/>
    <w:rsid w:val="00A21AE9"/>
    <w:rsid w:val="00A21B58"/>
    <w:rsid w:val="00A21DF1"/>
    <w:rsid w:val="00A2222A"/>
    <w:rsid w:val="00A224EB"/>
    <w:rsid w:val="00A225CB"/>
    <w:rsid w:val="00A22951"/>
    <w:rsid w:val="00A22B7E"/>
    <w:rsid w:val="00A22CF4"/>
    <w:rsid w:val="00A22D74"/>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463"/>
    <w:rsid w:val="00A266E9"/>
    <w:rsid w:val="00A26B77"/>
    <w:rsid w:val="00A26C45"/>
    <w:rsid w:val="00A26E28"/>
    <w:rsid w:val="00A26E31"/>
    <w:rsid w:val="00A272CE"/>
    <w:rsid w:val="00A2750B"/>
    <w:rsid w:val="00A275C3"/>
    <w:rsid w:val="00A276B9"/>
    <w:rsid w:val="00A2774B"/>
    <w:rsid w:val="00A2776C"/>
    <w:rsid w:val="00A27A5F"/>
    <w:rsid w:val="00A27B69"/>
    <w:rsid w:val="00A27D4B"/>
    <w:rsid w:val="00A27DC4"/>
    <w:rsid w:val="00A27EB5"/>
    <w:rsid w:val="00A3002C"/>
    <w:rsid w:val="00A3022B"/>
    <w:rsid w:val="00A30338"/>
    <w:rsid w:val="00A303BB"/>
    <w:rsid w:val="00A30614"/>
    <w:rsid w:val="00A30835"/>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A45"/>
    <w:rsid w:val="00A32B8B"/>
    <w:rsid w:val="00A32E4F"/>
    <w:rsid w:val="00A3320F"/>
    <w:rsid w:val="00A33220"/>
    <w:rsid w:val="00A33432"/>
    <w:rsid w:val="00A335A9"/>
    <w:rsid w:val="00A3360C"/>
    <w:rsid w:val="00A33618"/>
    <w:rsid w:val="00A336C5"/>
    <w:rsid w:val="00A3376A"/>
    <w:rsid w:val="00A33939"/>
    <w:rsid w:val="00A33BCC"/>
    <w:rsid w:val="00A33CA4"/>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2EC"/>
    <w:rsid w:val="00A367FD"/>
    <w:rsid w:val="00A36965"/>
    <w:rsid w:val="00A36A97"/>
    <w:rsid w:val="00A36CA6"/>
    <w:rsid w:val="00A36CE8"/>
    <w:rsid w:val="00A36D90"/>
    <w:rsid w:val="00A36F02"/>
    <w:rsid w:val="00A36F6A"/>
    <w:rsid w:val="00A37069"/>
    <w:rsid w:val="00A37327"/>
    <w:rsid w:val="00A37465"/>
    <w:rsid w:val="00A374A2"/>
    <w:rsid w:val="00A37603"/>
    <w:rsid w:val="00A376DE"/>
    <w:rsid w:val="00A376E4"/>
    <w:rsid w:val="00A376FE"/>
    <w:rsid w:val="00A37DAF"/>
    <w:rsid w:val="00A37EE1"/>
    <w:rsid w:val="00A37F19"/>
    <w:rsid w:val="00A40343"/>
    <w:rsid w:val="00A403D4"/>
    <w:rsid w:val="00A4047C"/>
    <w:rsid w:val="00A40516"/>
    <w:rsid w:val="00A408FA"/>
    <w:rsid w:val="00A40962"/>
    <w:rsid w:val="00A40B01"/>
    <w:rsid w:val="00A40CB8"/>
    <w:rsid w:val="00A40D3E"/>
    <w:rsid w:val="00A40D9A"/>
    <w:rsid w:val="00A41102"/>
    <w:rsid w:val="00A41371"/>
    <w:rsid w:val="00A41400"/>
    <w:rsid w:val="00A414BE"/>
    <w:rsid w:val="00A41797"/>
    <w:rsid w:val="00A4194F"/>
    <w:rsid w:val="00A41DD3"/>
    <w:rsid w:val="00A41F51"/>
    <w:rsid w:val="00A42067"/>
    <w:rsid w:val="00A42165"/>
    <w:rsid w:val="00A42213"/>
    <w:rsid w:val="00A42463"/>
    <w:rsid w:val="00A427B3"/>
    <w:rsid w:val="00A429F6"/>
    <w:rsid w:val="00A42AC6"/>
    <w:rsid w:val="00A42B71"/>
    <w:rsid w:val="00A42B99"/>
    <w:rsid w:val="00A43042"/>
    <w:rsid w:val="00A4317B"/>
    <w:rsid w:val="00A432EA"/>
    <w:rsid w:val="00A4353D"/>
    <w:rsid w:val="00A43806"/>
    <w:rsid w:val="00A438A2"/>
    <w:rsid w:val="00A43CC0"/>
    <w:rsid w:val="00A43E9C"/>
    <w:rsid w:val="00A43EA3"/>
    <w:rsid w:val="00A44006"/>
    <w:rsid w:val="00A4415C"/>
    <w:rsid w:val="00A443EC"/>
    <w:rsid w:val="00A447DD"/>
    <w:rsid w:val="00A44806"/>
    <w:rsid w:val="00A449DF"/>
    <w:rsid w:val="00A44AA7"/>
    <w:rsid w:val="00A44BF3"/>
    <w:rsid w:val="00A44C6A"/>
    <w:rsid w:val="00A44C83"/>
    <w:rsid w:val="00A44C96"/>
    <w:rsid w:val="00A44F67"/>
    <w:rsid w:val="00A45218"/>
    <w:rsid w:val="00A45437"/>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235"/>
    <w:rsid w:val="00A50335"/>
    <w:rsid w:val="00A507E3"/>
    <w:rsid w:val="00A511D6"/>
    <w:rsid w:val="00A51691"/>
    <w:rsid w:val="00A516D5"/>
    <w:rsid w:val="00A516DB"/>
    <w:rsid w:val="00A5191C"/>
    <w:rsid w:val="00A51C53"/>
    <w:rsid w:val="00A520B6"/>
    <w:rsid w:val="00A5217E"/>
    <w:rsid w:val="00A522FF"/>
    <w:rsid w:val="00A523E0"/>
    <w:rsid w:val="00A52402"/>
    <w:rsid w:val="00A52580"/>
    <w:rsid w:val="00A525D8"/>
    <w:rsid w:val="00A52849"/>
    <w:rsid w:val="00A528BA"/>
    <w:rsid w:val="00A52924"/>
    <w:rsid w:val="00A52925"/>
    <w:rsid w:val="00A52A26"/>
    <w:rsid w:val="00A52D50"/>
    <w:rsid w:val="00A52F74"/>
    <w:rsid w:val="00A530E3"/>
    <w:rsid w:val="00A530E7"/>
    <w:rsid w:val="00A534E0"/>
    <w:rsid w:val="00A535C9"/>
    <w:rsid w:val="00A53708"/>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ECB"/>
    <w:rsid w:val="00A55FD9"/>
    <w:rsid w:val="00A55FE3"/>
    <w:rsid w:val="00A5633E"/>
    <w:rsid w:val="00A5668D"/>
    <w:rsid w:val="00A56B05"/>
    <w:rsid w:val="00A56B33"/>
    <w:rsid w:val="00A57103"/>
    <w:rsid w:val="00A5715D"/>
    <w:rsid w:val="00A57162"/>
    <w:rsid w:val="00A571C1"/>
    <w:rsid w:val="00A57935"/>
    <w:rsid w:val="00A57956"/>
    <w:rsid w:val="00A57B78"/>
    <w:rsid w:val="00A57CF9"/>
    <w:rsid w:val="00A57F85"/>
    <w:rsid w:val="00A602AD"/>
    <w:rsid w:val="00A60708"/>
    <w:rsid w:val="00A60BFE"/>
    <w:rsid w:val="00A60DF7"/>
    <w:rsid w:val="00A60EEA"/>
    <w:rsid w:val="00A611E2"/>
    <w:rsid w:val="00A612B7"/>
    <w:rsid w:val="00A61548"/>
    <w:rsid w:val="00A6192D"/>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79A"/>
    <w:rsid w:val="00A63A52"/>
    <w:rsid w:val="00A63DD5"/>
    <w:rsid w:val="00A63FA6"/>
    <w:rsid w:val="00A6400E"/>
    <w:rsid w:val="00A6433D"/>
    <w:rsid w:val="00A64370"/>
    <w:rsid w:val="00A64432"/>
    <w:rsid w:val="00A64892"/>
    <w:rsid w:val="00A648EF"/>
    <w:rsid w:val="00A64A2F"/>
    <w:rsid w:val="00A64A63"/>
    <w:rsid w:val="00A64C57"/>
    <w:rsid w:val="00A64D7C"/>
    <w:rsid w:val="00A64FEF"/>
    <w:rsid w:val="00A65018"/>
    <w:rsid w:val="00A6514D"/>
    <w:rsid w:val="00A65683"/>
    <w:rsid w:val="00A65740"/>
    <w:rsid w:val="00A65BE7"/>
    <w:rsid w:val="00A65D68"/>
    <w:rsid w:val="00A66005"/>
    <w:rsid w:val="00A6607F"/>
    <w:rsid w:val="00A6632C"/>
    <w:rsid w:val="00A6636C"/>
    <w:rsid w:val="00A663E9"/>
    <w:rsid w:val="00A66431"/>
    <w:rsid w:val="00A664E3"/>
    <w:rsid w:val="00A6659E"/>
    <w:rsid w:val="00A668DD"/>
    <w:rsid w:val="00A66C3D"/>
    <w:rsid w:val="00A66C8C"/>
    <w:rsid w:val="00A671FA"/>
    <w:rsid w:val="00A67383"/>
    <w:rsid w:val="00A67710"/>
    <w:rsid w:val="00A677C7"/>
    <w:rsid w:val="00A70019"/>
    <w:rsid w:val="00A70023"/>
    <w:rsid w:val="00A70394"/>
    <w:rsid w:val="00A703A0"/>
    <w:rsid w:val="00A704B9"/>
    <w:rsid w:val="00A7054C"/>
    <w:rsid w:val="00A7057A"/>
    <w:rsid w:val="00A70747"/>
    <w:rsid w:val="00A7097F"/>
    <w:rsid w:val="00A70A7D"/>
    <w:rsid w:val="00A70C6A"/>
    <w:rsid w:val="00A70C81"/>
    <w:rsid w:val="00A71042"/>
    <w:rsid w:val="00A71044"/>
    <w:rsid w:val="00A710EA"/>
    <w:rsid w:val="00A71343"/>
    <w:rsid w:val="00A714A4"/>
    <w:rsid w:val="00A716C3"/>
    <w:rsid w:val="00A71775"/>
    <w:rsid w:val="00A71875"/>
    <w:rsid w:val="00A71947"/>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BB2"/>
    <w:rsid w:val="00A73CB4"/>
    <w:rsid w:val="00A73D03"/>
    <w:rsid w:val="00A73F50"/>
    <w:rsid w:val="00A7428C"/>
    <w:rsid w:val="00A74739"/>
    <w:rsid w:val="00A74790"/>
    <w:rsid w:val="00A749D2"/>
    <w:rsid w:val="00A74BEE"/>
    <w:rsid w:val="00A74DB9"/>
    <w:rsid w:val="00A751EF"/>
    <w:rsid w:val="00A752D8"/>
    <w:rsid w:val="00A75423"/>
    <w:rsid w:val="00A75E8D"/>
    <w:rsid w:val="00A75F81"/>
    <w:rsid w:val="00A760DF"/>
    <w:rsid w:val="00A762AA"/>
    <w:rsid w:val="00A764A7"/>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2A5"/>
    <w:rsid w:val="00A8050B"/>
    <w:rsid w:val="00A80624"/>
    <w:rsid w:val="00A8089C"/>
    <w:rsid w:val="00A8094A"/>
    <w:rsid w:val="00A80A31"/>
    <w:rsid w:val="00A80C47"/>
    <w:rsid w:val="00A80FCE"/>
    <w:rsid w:val="00A81089"/>
    <w:rsid w:val="00A8111C"/>
    <w:rsid w:val="00A81326"/>
    <w:rsid w:val="00A813B1"/>
    <w:rsid w:val="00A81999"/>
    <w:rsid w:val="00A81D11"/>
    <w:rsid w:val="00A81EFB"/>
    <w:rsid w:val="00A8210E"/>
    <w:rsid w:val="00A8212E"/>
    <w:rsid w:val="00A8236D"/>
    <w:rsid w:val="00A823E1"/>
    <w:rsid w:val="00A82770"/>
    <w:rsid w:val="00A827C8"/>
    <w:rsid w:val="00A828C6"/>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7F0"/>
    <w:rsid w:val="00A8597C"/>
    <w:rsid w:val="00A859E5"/>
    <w:rsid w:val="00A85C13"/>
    <w:rsid w:val="00A85C6A"/>
    <w:rsid w:val="00A861D1"/>
    <w:rsid w:val="00A862C5"/>
    <w:rsid w:val="00A86418"/>
    <w:rsid w:val="00A86617"/>
    <w:rsid w:val="00A86B32"/>
    <w:rsid w:val="00A86E24"/>
    <w:rsid w:val="00A86F5A"/>
    <w:rsid w:val="00A86F95"/>
    <w:rsid w:val="00A870D1"/>
    <w:rsid w:val="00A87180"/>
    <w:rsid w:val="00A87261"/>
    <w:rsid w:val="00A87407"/>
    <w:rsid w:val="00A87514"/>
    <w:rsid w:val="00A875F9"/>
    <w:rsid w:val="00A87648"/>
    <w:rsid w:val="00A87869"/>
    <w:rsid w:val="00A878D1"/>
    <w:rsid w:val="00A87CC9"/>
    <w:rsid w:val="00A90154"/>
    <w:rsid w:val="00A90272"/>
    <w:rsid w:val="00A90657"/>
    <w:rsid w:val="00A906FA"/>
    <w:rsid w:val="00A90944"/>
    <w:rsid w:val="00A90A7F"/>
    <w:rsid w:val="00A90AAD"/>
    <w:rsid w:val="00A90B82"/>
    <w:rsid w:val="00A90FFA"/>
    <w:rsid w:val="00A91051"/>
    <w:rsid w:val="00A91215"/>
    <w:rsid w:val="00A9132A"/>
    <w:rsid w:val="00A9134F"/>
    <w:rsid w:val="00A91BCE"/>
    <w:rsid w:val="00A91E60"/>
    <w:rsid w:val="00A92066"/>
    <w:rsid w:val="00A9216C"/>
    <w:rsid w:val="00A92172"/>
    <w:rsid w:val="00A928CC"/>
    <w:rsid w:val="00A92B1E"/>
    <w:rsid w:val="00A92D10"/>
    <w:rsid w:val="00A92DBF"/>
    <w:rsid w:val="00A930F9"/>
    <w:rsid w:val="00A9343B"/>
    <w:rsid w:val="00A93584"/>
    <w:rsid w:val="00A935EC"/>
    <w:rsid w:val="00A937A1"/>
    <w:rsid w:val="00A93F61"/>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618"/>
    <w:rsid w:val="00A9692E"/>
    <w:rsid w:val="00A969CA"/>
    <w:rsid w:val="00A96AAF"/>
    <w:rsid w:val="00A97011"/>
    <w:rsid w:val="00A970D3"/>
    <w:rsid w:val="00A973E2"/>
    <w:rsid w:val="00A976F1"/>
    <w:rsid w:val="00A9775F"/>
    <w:rsid w:val="00A97A08"/>
    <w:rsid w:val="00A97CE6"/>
    <w:rsid w:val="00AA02CB"/>
    <w:rsid w:val="00AA0532"/>
    <w:rsid w:val="00AA05DF"/>
    <w:rsid w:val="00AA0892"/>
    <w:rsid w:val="00AA0AC1"/>
    <w:rsid w:val="00AA0B79"/>
    <w:rsid w:val="00AA0FDB"/>
    <w:rsid w:val="00AA1092"/>
    <w:rsid w:val="00AA13DA"/>
    <w:rsid w:val="00AA1465"/>
    <w:rsid w:val="00AA1532"/>
    <w:rsid w:val="00AA1757"/>
    <w:rsid w:val="00AA181B"/>
    <w:rsid w:val="00AA1907"/>
    <w:rsid w:val="00AA1B96"/>
    <w:rsid w:val="00AA2174"/>
    <w:rsid w:val="00AA21EC"/>
    <w:rsid w:val="00AA2221"/>
    <w:rsid w:val="00AA260D"/>
    <w:rsid w:val="00AA2801"/>
    <w:rsid w:val="00AA29BD"/>
    <w:rsid w:val="00AA2BE2"/>
    <w:rsid w:val="00AA3671"/>
    <w:rsid w:val="00AA3A33"/>
    <w:rsid w:val="00AA3AFC"/>
    <w:rsid w:val="00AA3CC0"/>
    <w:rsid w:val="00AA3EF2"/>
    <w:rsid w:val="00AA42AC"/>
    <w:rsid w:val="00AA450F"/>
    <w:rsid w:val="00AA467D"/>
    <w:rsid w:val="00AA47BA"/>
    <w:rsid w:val="00AA4802"/>
    <w:rsid w:val="00AA49EF"/>
    <w:rsid w:val="00AA4BDC"/>
    <w:rsid w:val="00AA4BF2"/>
    <w:rsid w:val="00AA4C11"/>
    <w:rsid w:val="00AA4C22"/>
    <w:rsid w:val="00AA4D65"/>
    <w:rsid w:val="00AA4DF6"/>
    <w:rsid w:val="00AA4F53"/>
    <w:rsid w:val="00AA5118"/>
    <w:rsid w:val="00AA54C6"/>
    <w:rsid w:val="00AA54D1"/>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751"/>
    <w:rsid w:val="00AA77EF"/>
    <w:rsid w:val="00AA7AFA"/>
    <w:rsid w:val="00AA7D2E"/>
    <w:rsid w:val="00AB01F2"/>
    <w:rsid w:val="00AB0274"/>
    <w:rsid w:val="00AB036B"/>
    <w:rsid w:val="00AB039D"/>
    <w:rsid w:val="00AB03F7"/>
    <w:rsid w:val="00AB0436"/>
    <w:rsid w:val="00AB07E2"/>
    <w:rsid w:val="00AB0AA1"/>
    <w:rsid w:val="00AB0D3A"/>
    <w:rsid w:val="00AB1196"/>
    <w:rsid w:val="00AB11AB"/>
    <w:rsid w:val="00AB14CC"/>
    <w:rsid w:val="00AB1738"/>
    <w:rsid w:val="00AB173C"/>
    <w:rsid w:val="00AB1950"/>
    <w:rsid w:val="00AB1AD7"/>
    <w:rsid w:val="00AB1D8F"/>
    <w:rsid w:val="00AB1DC2"/>
    <w:rsid w:val="00AB1EF6"/>
    <w:rsid w:val="00AB221A"/>
    <w:rsid w:val="00AB2362"/>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A69"/>
    <w:rsid w:val="00AB3B56"/>
    <w:rsid w:val="00AB3E86"/>
    <w:rsid w:val="00AB4299"/>
    <w:rsid w:val="00AB44AC"/>
    <w:rsid w:val="00AB47D8"/>
    <w:rsid w:val="00AB4865"/>
    <w:rsid w:val="00AB4D93"/>
    <w:rsid w:val="00AB4DA2"/>
    <w:rsid w:val="00AB52DD"/>
    <w:rsid w:val="00AB547C"/>
    <w:rsid w:val="00AB56A2"/>
    <w:rsid w:val="00AB58D2"/>
    <w:rsid w:val="00AB5DE5"/>
    <w:rsid w:val="00AB5E40"/>
    <w:rsid w:val="00AB5F98"/>
    <w:rsid w:val="00AB608D"/>
    <w:rsid w:val="00AB61FB"/>
    <w:rsid w:val="00AB63A6"/>
    <w:rsid w:val="00AB6425"/>
    <w:rsid w:val="00AB650D"/>
    <w:rsid w:val="00AB67D2"/>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612"/>
    <w:rsid w:val="00AC0AB1"/>
    <w:rsid w:val="00AC1217"/>
    <w:rsid w:val="00AC1346"/>
    <w:rsid w:val="00AC1468"/>
    <w:rsid w:val="00AC18D9"/>
    <w:rsid w:val="00AC1B55"/>
    <w:rsid w:val="00AC1C13"/>
    <w:rsid w:val="00AC245D"/>
    <w:rsid w:val="00AC2487"/>
    <w:rsid w:val="00AC27FF"/>
    <w:rsid w:val="00AC2A2F"/>
    <w:rsid w:val="00AC2C04"/>
    <w:rsid w:val="00AC2C70"/>
    <w:rsid w:val="00AC2DC2"/>
    <w:rsid w:val="00AC2F16"/>
    <w:rsid w:val="00AC31EC"/>
    <w:rsid w:val="00AC31FD"/>
    <w:rsid w:val="00AC3293"/>
    <w:rsid w:val="00AC3624"/>
    <w:rsid w:val="00AC37F5"/>
    <w:rsid w:val="00AC39FE"/>
    <w:rsid w:val="00AC3B0B"/>
    <w:rsid w:val="00AC3B27"/>
    <w:rsid w:val="00AC410C"/>
    <w:rsid w:val="00AC429F"/>
    <w:rsid w:val="00AC42B2"/>
    <w:rsid w:val="00AC4321"/>
    <w:rsid w:val="00AC4557"/>
    <w:rsid w:val="00AC463A"/>
    <w:rsid w:val="00AC49CF"/>
    <w:rsid w:val="00AC4A47"/>
    <w:rsid w:val="00AC4B2B"/>
    <w:rsid w:val="00AC527B"/>
    <w:rsid w:val="00AC53F6"/>
    <w:rsid w:val="00AC542C"/>
    <w:rsid w:val="00AC5772"/>
    <w:rsid w:val="00AC59A7"/>
    <w:rsid w:val="00AC5B6C"/>
    <w:rsid w:val="00AC5B79"/>
    <w:rsid w:val="00AC5BE8"/>
    <w:rsid w:val="00AC5C06"/>
    <w:rsid w:val="00AC5EFE"/>
    <w:rsid w:val="00AC68C8"/>
    <w:rsid w:val="00AC6955"/>
    <w:rsid w:val="00AC6AFA"/>
    <w:rsid w:val="00AC6F35"/>
    <w:rsid w:val="00AC717A"/>
    <w:rsid w:val="00AC71E0"/>
    <w:rsid w:val="00AC77CB"/>
    <w:rsid w:val="00AC782D"/>
    <w:rsid w:val="00AC789E"/>
    <w:rsid w:val="00AC7908"/>
    <w:rsid w:val="00AC79A0"/>
    <w:rsid w:val="00AC7A16"/>
    <w:rsid w:val="00AC7C5A"/>
    <w:rsid w:val="00AC7E54"/>
    <w:rsid w:val="00AD0009"/>
    <w:rsid w:val="00AD012E"/>
    <w:rsid w:val="00AD069D"/>
    <w:rsid w:val="00AD081B"/>
    <w:rsid w:val="00AD084B"/>
    <w:rsid w:val="00AD0A55"/>
    <w:rsid w:val="00AD0C38"/>
    <w:rsid w:val="00AD101C"/>
    <w:rsid w:val="00AD1295"/>
    <w:rsid w:val="00AD13DD"/>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4F2A"/>
    <w:rsid w:val="00AD500B"/>
    <w:rsid w:val="00AD51AB"/>
    <w:rsid w:val="00AD5205"/>
    <w:rsid w:val="00AD5708"/>
    <w:rsid w:val="00AD5852"/>
    <w:rsid w:val="00AD598B"/>
    <w:rsid w:val="00AD5A14"/>
    <w:rsid w:val="00AD5E0C"/>
    <w:rsid w:val="00AD6123"/>
    <w:rsid w:val="00AD6845"/>
    <w:rsid w:val="00AD68C1"/>
    <w:rsid w:val="00AD6C00"/>
    <w:rsid w:val="00AD6C74"/>
    <w:rsid w:val="00AD7053"/>
    <w:rsid w:val="00AD748B"/>
    <w:rsid w:val="00AD7659"/>
    <w:rsid w:val="00AD7895"/>
    <w:rsid w:val="00AD79F1"/>
    <w:rsid w:val="00AD79F4"/>
    <w:rsid w:val="00AD7B8E"/>
    <w:rsid w:val="00AD7FC8"/>
    <w:rsid w:val="00AE00E2"/>
    <w:rsid w:val="00AE01CF"/>
    <w:rsid w:val="00AE01E4"/>
    <w:rsid w:val="00AE045E"/>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3E88"/>
    <w:rsid w:val="00AE41B1"/>
    <w:rsid w:val="00AE4240"/>
    <w:rsid w:val="00AE43E9"/>
    <w:rsid w:val="00AE45D5"/>
    <w:rsid w:val="00AE46C8"/>
    <w:rsid w:val="00AE4955"/>
    <w:rsid w:val="00AE4C04"/>
    <w:rsid w:val="00AE4E68"/>
    <w:rsid w:val="00AE4E9D"/>
    <w:rsid w:val="00AE527A"/>
    <w:rsid w:val="00AE539B"/>
    <w:rsid w:val="00AE5404"/>
    <w:rsid w:val="00AE5422"/>
    <w:rsid w:val="00AE5791"/>
    <w:rsid w:val="00AE579B"/>
    <w:rsid w:val="00AE57BB"/>
    <w:rsid w:val="00AE59A6"/>
    <w:rsid w:val="00AE6127"/>
    <w:rsid w:val="00AE6747"/>
    <w:rsid w:val="00AE67EB"/>
    <w:rsid w:val="00AE68F8"/>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777"/>
    <w:rsid w:val="00AF18E7"/>
    <w:rsid w:val="00AF1B7A"/>
    <w:rsid w:val="00AF1BE6"/>
    <w:rsid w:val="00AF1C90"/>
    <w:rsid w:val="00AF1D41"/>
    <w:rsid w:val="00AF1F1A"/>
    <w:rsid w:val="00AF2181"/>
    <w:rsid w:val="00AF24DF"/>
    <w:rsid w:val="00AF263B"/>
    <w:rsid w:val="00AF29A5"/>
    <w:rsid w:val="00AF29F6"/>
    <w:rsid w:val="00AF2A7B"/>
    <w:rsid w:val="00AF2C75"/>
    <w:rsid w:val="00AF2CCD"/>
    <w:rsid w:val="00AF34A0"/>
    <w:rsid w:val="00AF3903"/>
    <w:rsid w:val="00AF3B34"/>
    <w:rsid w:val="00AF3C5C"/>
    <w:rsid w:val="00AF3D83"/>
    <w:rsid w:val="00AF3DCD"/>
    <w:rsid w:val="00AF427C"/>
    <w:rsid w:val="00AF4511"/>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8"/>
    <w:rsid w:val="00AF744E"/>
    <w:rsid w:val="00AF74C2"/>
    <w:rsid w:val="00AF7615"/>
    <w:rsid w:val="00AF76E1"/>
    <w:rsid w:val="00AF79E5"/>
    <w:rsid w:val="00AF7A9B"/>
    <w:rsid w:val="00AF7E44"/>
    <w:rsid w:val="00AF7E92"/>
    <w:rsid w:val="00B00018"/>
    <w:rsid w:val="00B000BE"/>
    <w:rsid w:val="00B0020B"/>
    <w:rsid w:val="00B0030E"/>
    <w:rsid w:val="00B00555"/>
    <w:rsid w:val="00B00879"/>
    <w:rsid w:val="00B00938"/>
    <w:rsid w:val="00B00C29"/>
    <w:rsid w:val="00B00D80"/>
    <w:rsid w:val="00B012CA"/>
    <w:rsid w:val="00B01369"/>
    <w:rsid w:val="00B01D56"/>
    <w:rsid w:val="00B01D9E"/>
    <w:rsid w:val="00B01E3F"/>
    <w:rsid w:val="00B023FD"/>
    <w:rsid w:val="00B0249F"/>
    <w:rsid w:val="00B02584"/>
    <w:rsid w:val="00B029D0"/>
    <w:rsid w:val="00B029EB"/>
    <w:rsid w:val="00B02C47"/>
    <w:rsid w:val="00B035D9"/>
    <w:rsid w:val="00B037FD"/>
    <w:rsid w:val="00B03AAB"/>
    <w:rsid w:val="00B03AC1"/>
    <w:rsid w:val="00B03BF2"/>
    <w:rsid w:val="00B04024"/>
    <w:rsid w:val="00B042BF"/>
    <w:rsid w:val="00B04410"/>
    <w:rsid w:val="00B044CA"/>
    <w:rsid w:val="00B044E2"/>
    <w:rsid w:val="00B0470A"/>
    <w:rsid w:val="00B04734"/>
    <w:rsid w:val="00B0479B"/>
    <w:rsid w:val="00B04867"/>
    <w:rsid w:val="00B048F0"/>
    <w:rsid w:val="00B049F1"/>
    <w:rsid w:val="00B04D56"/>
    <w:rsid w:val="00B0510E"/>
    <w:rsid w:val="00B05139"/>
    <w:rsid w:val="00B05247"/>
    <w:rsid w:val="00B052D4"/>
    <w:rsid w:val="00B052F6"/>
    <w:rsid w:val="00B05423"/>
    <w:rsid w:val="00B05D68"/>
    <w:rsid w:val="00B05E8D"/>
    <w:rsid w:val="00B05FEC"/>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704"/>
    <w:rsid w:val="00B1176C"/>
    <w:rsid w:val="00B118D1"/>
    <w:rsid w:val="00B11A4E"/>
    <w:rsid w:val="00B11B5F"/>
    <w:rsid w:val="00B11BD3"/>
    <w:rsid w:val="00B11F81"/>
    <w:rsid w:val="00B121CA"/>
    <w:rsid w:val="00B12319"/>
    <w:rsid w:val="00B1265F"/>
    <w:rsid w:val="00B12B3E"/>
    <w:rsid w:val="00B12F0E"/>
    <w:rsid w:val="00B12F3B"/>
    <w:rsid w:val="00B13015"/>
    <w:rsid w:val="00B13089"/>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212"/>
    <w:rsid w:val="00B15300"/>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165"/>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4E8"/>
    <w:rsid w:val="00B249E8"/>
    <w:rsid w:val="00B24B30"/>
    <w:rsid w:val="00B24CD7"/>
    <w:rsid w:val="00B24F22"/>
    <w:rsid w:val="00B24F96"/>
    <w:rsid w:val="00B25459"/>
    <w:rsid w:val="00B2545F"/>
    <w:rsid w:val="00B25579"/>
    <w:rsid w:val="00B25609"/>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6FEA"/>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5CC"/>
    <w:rsid w:val="00B3087F"/>
    <w:rsid w:val="00B30929"/>
    <w:rsid w:val="00B3114C"/>
    <w:rsid w:val="00B31308"/>
    <w:rsid w:val="00B313C6"/>
    <w:rsid w:val="00B31441"/>
    <w:rsid w:val="00B31560"/>
    <w:rsid w:val="00B315ED"/>
    <w:rsid w:val="00B31669"/>
    <w:rsid w:val="00B317FA"/>
    <w:rsid w:val="00B3191D"/>
    <w:rsid w:val="00B319AB"/>
    <w:rsid w:val="00B31F13"/>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87C"/>
    <w:rsid w:val="00B35BE0"/>
    <w:rsid w:val="00B35BF4"/>
    <w:rsid w:val="00B35E70"/>
    <w:rsid w:val="00B36121"/>
    <w:rsid w:val="00B3614B"/>
    <w:rsid w:val="00B36273"/>
    <w:rsid w:val="00B36749"/>
    <w:rsid w:val="00B36803"/>
    <w:rsid w:val="00B36921"/>
    <w:rsid w:val="00B36DE3"/>
    <w:rsid w:val="00B3750F"/>
    <w:rsid w:val="00B37757"/>
    <w:rsid w:val="00B37D27"/>
    <w:rsid w:val="00B37D40"/>
    <w:rsid w:val="00B37DE1"/>
    <w:rsid w:val="00B37DFC"/>
    <w:rsid w:val="00B37EA2"/>
    <w:rsid w:val="00B37EF4"/>
    <w:rsid w:val="00B40760"/>
    <w:rsid w:val="00B409C0"/>
    <w:rsid w:val="00B409F4"/>
    <w:rsid w:val="00B40CD0"/>
    <w:rsid w:val="00B40E39"/>
    <w:rsid w:val="00B4113C"/>
    <w:rsid w:val="00B4135A"/>
    <w:rsid w:val="00B4141A"/>
    <w:rsid w:val="00B41471"/>
    <w:rsid w:val="00B414BD"/>
    <w:rsid w:val="00B4159C"/>
    <w:rsid w:val="00B41749"/>
    <w:rsid w:val="00B417DF"/>
    <w:rsid w:val="00B4197F"/>
    <w:rsid w:val="00B41AD3"/>
    <w:rsid w:val="00B42146"/>
    <w:rsid w:val="00B42270"/>
    <w:rsid w:val="00B4258A"/>
    <w:rsid w:val="00B426F8"/>
    <w:rsid w:val="00B42D23"/>
    <w:rsid w:val="00B42FBA"/>
    <w:rsid w:val="00B42FC1"/>
    <w:rsid w:val="00B432AA"/>
    <w:rsid w:val="00B4361C"/>
    <w:rsid w:val="00B4387A"/>
    <w:rsid w:val="00B43A66"/>
    <w:rsid w:val="00B43B10"/>
    <w:rsid w:val="00B43D20"/>
    <w:rsid w:val="00B43D9C"/>
    <w:rsid w:val="00B4413B"/>
    <w:rsid w:val="00B441DB"/>
    <w:rsid w:val="00B443C1"/>
    <w:rsid w:val="00B44422"/>
    <w:rsid w:val="00B44674"/>
    <w:rsid w:val="00B44915"/>
    <w:rsid w:val="00B44BF9"/>
    <w:rsid w:val="00B44C24"/>
    <w:rsid w:val="00B45079"/>
    <w:rsid w:val="00B4556A"/>
    <w:rsid w:val="00B45626"/>
    <w:rsid w:val="00B45687"/>
    <w:rsid w:val="00B45AF9"/>
    <w:rsid w:val="00B45B79"/>
    <w:rsid w:val="00B45B7A"/>
    <w:rsid w:val="00B46B64"/>
    <w:rsid w:val="00B46BDD"/>
    <w:rsid w:val="00B46CC1"/>
    <w:rsid w:val="00B46DBE"/>
    <w:rsid w:val="00B4703E"/>
    <w:rsid w:val="00B4707A"/>
    <w:rsid w:val="00B470EA"/>
    <w:rsid w:val="00B47394"/>
    <w:rsid w:val="00B475A9"/>
    <w:rsid w:val="00B477C1"/>
    <w:rsid w:val="00B47906"/>
    <w:rsid w:val="00B4799D"/>
    <w:rsid w:val="00B47A89"/>
    <w:rsid w:val="00B47D66"/>
    <w:rsid w:val="00B47F0C"/>
    <w:rsid w:val="00B502CA"/>
    <w:rsid w:val="00B50331"/>
    <w:rsid w:val="00B50334"/>
    <w:rsid w:val="00B50C4C"/>
    <w:rsid w:val="00B50C5A"/>
    <w:rsid w:val="00B50D1D"/>
    <w:rsid w:val="00B50DBD"/>
    <w:rsid w:val="00B50EB7"/>
    <w:rsid w:val="00B50EBE"/>
    <w:rsid w:val="00B50F42"/>
    <w:rsid w:val="00B5135D"/>
    <w:rsid w:val="00B5146C"/>
    <w:rsid w:val="00B5160C"/>
    <w:rsid w:val="00B51A16"/>
    <w:rsid w:val="00B51BFA"/>
    <w:rsid w:val="00B51D18"/>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2D3"/>
    <w:rsid w:val="00B53387"/>
    <w:rsid w:val="00B534F0"/>
    <w:rsid w:val="00B535A8"/>
    <w:rsid w:val="00B53AEF"/>
    <w:rsid w:val="00B53BC9"/>
    <w:rsid w:val="00B53D03"/>
    <w:rsid w:val="00B53E86"/>
    <w:rsid w:val="00B5417C"/>
    <w:rsid w:val="00B546E2"/>
    <w:rsid w:val="00B5507B"/>
    <w:rsid w:val="00B5548E"/>
    <w:rsid w:val="00B55645"/>
    <w:rsid w:val="00B55AC6"/>
    <w:rsid w:val="00B55D56"/>
    <w:rsid w:val="00B55F9E"/>
    <w:rsid w:val="00B55FBA"/>
    <w:rsid w:val="00B560F0"/>
    <w:rsid w:val="00B56134"/>
    <w:rsid w:val="00B566BA"/>
    <w:rsid w:val="00B569A4"/>
    <w:rsid w:val="00B569B8"/>
    <w:rsid w:val="00B570F1"/>
    <w:rsid w:val="00B57DC9"/>
    <w:rsid w:val="00B57E2F"/>
    <w:rsid w:val="00B60670"/>
    <w:rsid w:val="00B60686"/>
    <w:rsid w:val="00B60950"/>
    <w:rsid w:val="00B609BB"/>
    <w:rsid w:val="00B60D65"/>
    <w:rsid w:val="00B60D86"/>
    <w:rsid w:val="00B60DEB"/>
    <w:rsid w:val="00B6114D"/>
    <w:rsid w:val="00B612DE"/>
    <w:rsid w:val="00B6132E"/>
    <w:rsid w:val="00B613EC"/>
    <w:rsid w:val="00B615D3"/>
    <w:rsid w:val="00B61650"/>
    <w:rsid w:val="00B618C8"/>
    <w:rsid w:val="00B61EB6"/>
    <w:rsid w:val="00B62148"/>
    <w:rsid w:val="00B62226"/>
    <w:rsid w:val="00B626A3"/>
    <w:rsid w:val="00B62746"/>
    <w:rsid w:val="00B62954"/>
    <w:rsid w:val="00B62C97"/>
    <w:rsid w:val="00B62DAF"/>
    <w:rsid w:val="00B62E1E"/>
    <w:rsid w:val="00B62F2A"/>
    <w:rsid w:val="00B62FE1"/>
    <w:rsid w:val="00B63570"/>
    <w:rsid w:val="00B6392E"/>
    <w:rsid w:val="00B63BA9"/>
    <w:rsid w:val="00B63C03"/>
    <w:rsid w:val="00B63FEA"/>
    <w:rsid w:val="00B63FEC"/>
    <w:rsid w:val="00B64103"/>
    <w:rsid w:val="00B641A2"/>
    <w:rsid w:val="00B6429C"/>
    <w:rsid w:val="00B64AB2"/>
    <w:rsid w:val="00B651FC"/>
    <w:rsid w:val="00B65207"/>
    <w:rsid w:val="00B6522F"/>
    <w:rsid w:val="00B65343"/>
    <w:rsid w:val="00B654FC"/>
    <w:rsid w:val="00B65BE6"/>
    <w:rsid w:val="00B65C8F"/>
    <w:rsid w:val="00B65D39"/>
    <w:rsid w:val="00B65EDD"/>
    <w:rsid w:val="00B65FEF"/>
    <w:rsid w:val="00B6648B"/>
    <w:rsid w:val="00B66508"/>
    <w:rsid w:val="00B665B6"/>
    <w:rsid w:val="00B66615"/>
    <w:rsid w:val="00B66646"/>
    <w:rsid w:val="00B6669F"/>
    <w:rsid w:val="00B66704"/>
    <w:rsid w:val="00B667B3"/>
    <w:rsid w:val="00B66D07"/>
    <w:rsid w:val="00B66D23"/>
    <w:rsid w:val="00B66E04"/>
    <w:rsid w:val="00B67104"/>
    <w:rsid w:val="00B672A1"/>
    <w:rsid w:val="00B67333"/>
    <w:rsid w:val="00B673C4"/>
    <w:rsid w:val="00B67518"/>
    <w:rsid w:val="00B678D5"/>
    <w:rsid w:val="00B678D9"/>
    <w:rsid w:val="00B67B4D"/>
    <w:rsid w:val="00B67CB0"/>
    <w:rsid w:val="00B67DB4"/>
    <w:rsid w:val="00B67DB7"/>
    <w:rsid w:val="00B67DC3"/>
    <w:rsid w:val="00B67E5F"/>
    <w:rsid w:val="00B70554"/>
    <w:rsid w:val="00B706D1"/>
    <w:rsid w:val="00B70A2D"/>
    <w:rsid w:val="00B70BEC"/>
    <w:rsid w:val="00B71015"/>
    <w:rsid w:val="00B71248"/>
    <w:rsid w:val="00B7127C"/>
    <w:rsid w:val="00B713F3"/>
    <w:rsid w:val="00B71505"/>
    <w:rsid w:val="00B71B61"/>
    <w:rsid w:val="00B72018"/>
    <w:rsid w:val="00B72633"/>
    <w:rsid w:val="00B727D2"/>
    <w:rsid w:val="00B72965"/>
    <w:rsid w:val="00B72A38"/>
    <w:rsid w:val="00B72A3E"/>
    <w:rsid w:val="00B72E6C"/>
    <w:rsid w:val="00B72F50"/>
    <w:rsid w:val="00B72FBF"/>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6A9"/>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99"/>
    <w:rsid w:val="00B76706"/>
    <w:rsid w:val="00B76966"/>
    <w:rsid w:val="00B76E0E"/>
    <w:rsid w:val="00B76EBD"/>
    <w:rsid w:val="00B76ECE"/>
    <w:rsid w:val="00B7713D"/>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BB0"/>
    <w:rsid w:val="00B81C89"/>
    <w:rsid w:val="00B81E3E"/>
    <w:rsid w:val="00B82082"/>
    <w:rsid w:val="00B82121"/>
    <w:rsid w:val="00B82321"/>
    <w:rsid w:val="00B8255F"/>
    <w:rsid w:val="00B825B0"/>
    <w:rsid w:val="00B82A7D"/>
    <w:rsid w:val="00B82C01"/>
    <w:rsid w:val="00B82C1F"/>
    <w:rsid w:val="00B82E52"/>
    <w:rsid w:val="00B8304C"/>
    <w:rsid w:val="00B83381"/>
    <w:rsid w:val="00B835A3"/>
    <w:rsid w:val="00B83CCF"/>
    <w:rsid w:val="00B83E46"/>
    <w:rsid w:val="00B843B6"/>
    <w:rsid w:val="00B8456C"/>
    <w:rsid w:val="00B84689"/>
    <w:rsid w:val="00B849C9"/>
    <w:rsid w:val="00B84A62"/>
    <w:rsid w:val="00B84ED3"/>
    <w:rsid w:val="00B84F34"/>
    <w:rsid w:val="00B84F7F"/>
    <w:rsid w:val="00B853C7"/>
    <w:rsid w:val="00B85414"/>
    <w:rsid w:val="00B85465"/>
    <w:rsid w:val="00B85747"/>
    <w:rsid w:val="00B8645C"/>
    <w:rsid w:val="00B866B1"/>
    <w:rsid w:val="00B86801"/>
    <w:rsid w:val="00B86933"/>
    <w:rsid w:val="00B86BB1"/>
    <w:rsid w:val="00B86C48"/>
    <w:rsid w:val="00B87258"/>
    <w:rsid w:val="00B87688"/>
    <w:rsid w:val="00B8777E"/>
    <w:rsid w:val="00B879B4"/>
    <w:rsid w:val="00B87D7A"/>
    <w:rsid w:val="00B9006B"/>
    <w:rsid w:val="00B90888"/>
    <w:rsid w:val="00B908F8"/>
    <w:rsid w:val="00B90B26"/>
    <w:rsid w:val="00B90B5D"/>
    <w:rsid w:val="00B90D71"/>
    <w:rsid w:val="00B90DBE"/>
    <w:rsid w:val="00B90DC1"/>
    <w:rsid w:val="00B9101E"/>
    <w:rsid w:val="00B91027"/>
    <w:rsid w:val="00B9111B"/>
    <w:rsid w:val="00B911E7"/>
    <w:rsid w:val="00B91223"/>
    <w:rsid w:val="00B9141B"/>
    <w:rsid w:val="00B91487"/>
    <w:rsid w:val="00B916A7"/>
    <w:rsid w:val="00B917C1"/>
    <w:rsid w:val="00B91B66"/>
    <w:rsid w:val="00B91D5A"/>
    <w:rsid w:val="00B91F97"/>
    <w:rsid w:val="00B921B0"/>
    <w:rsid w:val="00B92243"/>
    <w:rsid w:val="00B9228D"/>
    <w:rsid w:val="00B9259E"/>
    <w:rsid w:val="00B927AA"/>
    <w:rsid w:val="00B927CB"/>
    <w:rsid w:val="00B92C78"/>
    <w:rsid w:val="00B92CB2"/>
    <w:rsid w:val="00B92DA4"/>
    <w:rsid w:val="00B92DCC"/>
    <w:rsid w:val="00B92FE6"/>
    <w:rsid w:val="00B93044"/>
    <w:rsid w:val="00B9314B"/>
    <w:rsid w:val="00B935F8"/>
    <w:rsid w:val="00B93A10"/>
    <w:rsid w:val="00B93D0B"/>
    <w:rsid w:val="00B93D3B"/>
    <w:rsid w:val="00B93E98"/>
    <w:rsid w:val="00B94161"/>
    <w:rsid w:val="00B943FB"/>
    <w:rsid w:val="00B94852"/>
    <w:rsid w:val="00B94914"/>
    <w:rsid w:val="00B94A79"/>
    <w:rsid w:val="00B94ADD"/>
    <w:rsid w:val="00B94C87"/>
    <w:rsid w:val="00B94D17"/>
    <w:rsid w:val="00B950CA"/>
    <w:rsid w:val="00B952F6"/>
    <w:rsid w:val="00B953B9"/>
    <w:rsid w:val="00B95491"/>
    <w:rsid w:val="00B95568"/>
    <w:rsid w:val="00B9557F"/>
    <w:rsid w:val="00B955E6"/>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1A7"/>
    <w:rsid w:val="00BA0229"/>
    <w:rsid w:val="00BA0860"/>
    <w:rsid w:val="00BA0A8E"/>
    <w:rsid w:val="00BA0ECC"/>
    <w:rsid w:val="00BA103C"/>
    <w:rsid w:val="00BA17E4"/>
    <w:rsid w:val="00BA1A10"/>
    <w:rsid w:val="00BA1B35"/>
    <w:rsid w:val="00BA1B99"/>
    <w:rsid w:val="00BA1C72"/>
    <w:rsid w:val="00BA1C8A"/>
    <w:rsid w:val="00BA2652"/>
    <w:rsid w:val="00BA2914"/>
    <w:rsid w:val="00BA2B6F"/>
    <w:rsid w:val="00BA2DD7"/>
    <w:rsid w:val="00BA2E5F"/>
    <w:rsid w:val="00BA3072"/>
    <w:rsid w:val="00BA30C7"/>
    <w:rsid w:val="00BA35C5"/>
    <w:rsid w:val="00BA3857"/>
    <w:rsid w:val="00BA3A00"/>
    <w:rsid w:val="00BA3CB8"/>
    <w:rsid w:val="00BA3CFD"/>
    <w:rsid w:val="00BA3D55"/>
    <w:rsid w:val="00BA409C"/>
    <w:rsid w:val="00BA4183"/>
    <w:rsid w:val="00BA449D"/>
    <w:rsid w:val="00BA45D8"/>
    <w:rsid w:val="00BA4A98"/>
    <w:rsid w:val="00BA52B6"/>
    <w:rsid w:val="00BA5320"/>
    <w:rsid w:val="00BA532E"/>
    <w:rsid w:val="00BA5695"/>
    <w:rsid w:val="00BA5982"/>
    <w:rsid w:val="00BA5B32"/>
    <w:rsid w:val="00BA5B52"/>
    <w:rsid w:val="00BA5B9A"/>
    <w:rsid w:val="00BA5D39"/>
    <w:rsid w:val="00BA5E53"/>
    <w:rsid w:val="00BA5ED7"/>
    <w:rsid w:val="00BA613A"/>
    <w:rsid w:val="00BA61DB"/>
    <w:rsid w:val="00BA61FB"/>
    <w:rsid w:val="00BA6226"/>
    <w:rsid w:val="00BA6510"/>
    <w:rsid w:val="00BA65AB"/>
    <w:rsid w:val="00BA67CA"/>
    <w:rsid w:val="00BA688B"/>
    <w:rsid w:val="00BA6C06"/>
    <w:rsid w:val="00BA6DF7"/>
    <w:rsid w:val="00BA7246"/>
    <w:rsid w:val="00BA7262"/>
    <w:rsid w:val="00BA7269"/>
    <w:rsid w:val="00BA757B"/>
    <w:rsid w:val="00BA75A2"/>
    <w:rsid w:val="00BA7AAD"/>
    <w:rsid w:val="00BA7AB6"/>
    <w:rsid w:val="00BA7B74"/>
    <w:rsid w:val="00BA7D3A"/>
    <w:rsid w:val="00BB0181"/>
    <w:rsid w:val="00BB0743"/>
    <w:rsid w:val="00BB0E11"/>
    <w:rsid w:val="00BB0F25"/>
    <w:rsid w:val="00BB0F4D"/>
    <w:rsid w:val="00BB1628"/>
    <w:rsid w:val="00BB1803"/>
    <w:rsid w:val="00BB1837"/>
    <w:rsid w:val="00BB1857"/>
    <w:rsid w:val="00BB18C4"/>
    <w:rsid w:val="00BB1C14"/>
    <w:rsid w:val="00BB1CBA"/>
    <w:rsid w:val="00BB239A"/>
    <w:rsid w:val="00BB24E8"/>
    <w:rsid w:val="00BB258C"/>
    <w:rsid w:val="00BB25A9"/>
    <w:rsid w:val="00BB27DE"/>
    <w:rsid w:val="00BB298C"/>
    <w:rsid w:val="00BB29AF"/>
    <w:rsid w:val="00BB2ABC"/>
    <w:rsid w:val="00BB2B29"/>
    <w:rsid w:val="00BB2D92"/>
    <w:rsid w:val="00BB3461"/>
    <w:rsid w:val="00BB3619"/>
    <w:rsid w:val="00BB36B1"/>
    <w:rsid w:val="00BB3700"/>
    <w:rsid w:val="00BB372A"/>
    <w:rsid w:val="00BB3895"/>
    <w:rsid w:val="00BB3990"/>
    <w:rsid w:val="00BB3F05"/>
    <w:rsid w:val="00BB4035"/>
    <w:rsid w:val="00BB4222"/>
    <w:rsid w:val="00BB434B"/>
    <w:rsid w:val="00BB4485"/>
    <w:rsid w:val="00BB453B"/>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09"/>
    <w:rsid w:val="00BB7410"/>
    <w:rsid w:val="00BB761A"/>
    <w:rsid w:val="00BB788E"/>
    <w:rsid w:val="00BB78D1"/>
    <w:rsid w:val="00BC0455"/>
    <w:rsid w:val="00BC092F"/>
    <w:rsid w:val="00BC0974"/>
    <w:rsid w:val="00BC0AB0"/>
    <w:rsid w:val="00BC0C75"/>
    <w:rsid w:val="00BC0E32"/>
    <w:rsid w:val="00BC0E33"/>
    <w:rsid w:val="00BC0F7E"/>
    <w:rsid w:val="00BC126B"/>
    <w:rsid w:val="00BC130F"/>
    <w:rsid w:val="00BC1330"/>
    <w:rsid w:val="00BC1822"/>
    <w:rsid w:val="00BC18C9"/>
    <w:rsid w:val="00BC1918"/>
    <w:rsid w:val="00BC1A76"/>
    <w:rsid w:val="00BC1AB4"/>
    <w:rsid w:val="00BC1B77"/>
    <w:rsid w:val="00BC1FFB"/>
    <w:rsid w:val="00BC2122"/>
    <w:rsid w:val="00BC23A4"/>
    <w:rsid w:val="00BC23A5"/>
    <w:rsid w:val="00BC265E"/>
    <w:rsid w:val="00BC269F"/>
    <w:rsid w:val="00BC29C7"/>
    <w:rsid w:val="00BC2BC9"/>
    <w:rsid w:val="00BC2BE0"/>
    <w:rsid w:val="00BC2D2B"/>
    <w:rsid w:val="00BC2DB1"/>
    <w:rsid w:val="00BC2DD0"/>
    <w:rsid w:val="00BC2FCB"/>
    <w:rsid w:val="00BC328F"/>
    <w:rsid w:val="00BC33CF"/>
    <w:rsid w:val="00BC3482"/>
    <w:rsid w:val="00BC35A6"/>
    <w:rsid w:val="00BC38CE"/>
    <w:rsid w:val="00BC3991"/>
    <w:rsid w:val="00BC3AE0"/>
    <w:rsid w:val="00BC3FD0"/>
    <w:rsid w:val="00BC4609"/>
    <w:rsid w:val="00BC4787"/>
    <w:rsid w:val="00BC4A8B"/>
    <w:rsid w:val="00BC4B45"/>
    <w:rsid w:val="00BC4B70"/>
    <w:rsid w:val="00BC555E"/>
    <w:rsid w:val="00BC569E"/>
    <w:rsid w:val="00BC56C1"/>
    <w:rsid w:val="00BC575C"/>
    <w:rsid w:val="00BC5923"/>
    <w:rsid w:val="00BC5A95"/>
    <w:rsid w:val="00BC5AD6"/>
    <w:rsid w:val="00BC5CC2"/>
    <w:rsid w:val="00BC61C4"/>
    <w:rsid w:val="00BC65D9"/>
    <w:rsid w:val="00BC683D"/>
    <w:rsid w:val="00BC69AA"/>
    <w:rsid w:val="00BC6B48"/>
    <w:rsid w:val="00BC6CC5"/>
    <w:rsid w:val="00BC6D68"/>
    <w:rsid w:val="00BC6DC4"/>
    <w:rsid w:val="00BC7025"/>
    <w:rsid w:val="00BC70F5"/>
    <w:rsid w:val="00BC7240"/>
    <w:rsid w:val="00BC74D6"/>
    <w:rsid w:val="00BC76EA"/>
    <w:rsid w:val="00BC79A6"/>
    <w:rsid w:val="00BC79B3"/>
    <w:rsid w:val="00BC7A27"/>
    <w:rsid w:val="00BC7B8D"/>
    <w:rsid w:val="00BC7C7C"/>
    <w:rsid w:val="00BC9093"/>
    <w:rsid w:val="00BD0322"/>
    <w:rsid w:val="00BD05D8"/>
    <w:rsid w:val="00BD06E7"/>
    <w:rsid w:val="00BD093E"/>
    <w:rsid w:val="00BD0A2B"/>
    <w:rsid w:val="00BD0C7F"/>
    <w:rsid w:val="00BD0CAD"/>
    <w:rsid w:val="00BD16A2"/>
    <w:rsid w:val="00BD1838"/>
    <w:rsid w:val="00BD1BAB"/>
    <w:rsid w:val="00BD1CFD"/>
    <w:rsid w:val="00BD20C3"/>
    <w:rsid w:val="00BD216D"/>
    <w:rsid w:val="00BD2733"/>
    <w:rsid w:val="00BD2C72"/>
    <w:rsid w:val="00BD2CF3"/>
    <w:rsid w:val="00BD3003"/>
    <w:rsid w:val="00BD304A"/>
    <w:rsid w:val="00BD30D1"/>
    <w:rsid w:val="00BD324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E1E"/>
    <w:rsid w:val="00BD4E82"/>
    <w:rsid w:val="00BD4FEC"/>
    <w:rsid w:val="00BD503E"/>
    <w:rsid w:val="00BD5550"/>
    <w:rsid w:val="00BD559C"/>
    <w:rsid w:val="00BD56B8"/>
    <w:rsid w:val="00BD5802"/>
    <w:rsid w:val="00BD5EAA"/>
    <w:rsid w:val="00BD5EBE"/>
    <w:rsid w:val="00BD618C"/>
    <w:rsid w:val="00BD64BE"/>
    <w:rsid w:val="00BD6593"/>
    <w:rsid w:val="00BD6630"/>
    <w:rsid w:val="00BD6640"/>
    <w:rsid w:val="00BD6C37"/>
    <w:rsid w:val="00BD6DFD"/>
    <w:rsid w:val="00BD6FDD"/>
    <w:rsid w:val="00BD7460"/>
    <w:rsid w:val="00BD74BF"/>
    <w:rsid w:val="00BD7ED0"/>
    <w:rsid w:val="00BD7FCB"/>
    <w:rsid w:val="00BE0156"/>
    <w:rsid w:val="00BE05B9"/>
    <w:rsid w:val="00BE0AC6"/>
    <w:rsid w:val="00BE0BE7"/>
    <w:rsid w:val="00BE0F8B"/>
    <w:rsid w:val="00BE0F99"/>
    <w:rsid w:val="00BE101D"/>
    <w:rsid w:val="00BE104E"/>
    <w:rsid w:val="00BE1176"/>
    <w:rsid w:val="00BE12C9"/>
    <w:rsid w:val="00BE140E"/>
    <w:rsid w:val="00BE1529"/>
    <w:rsid w:val="00BE16AB"/>
    <w:rsid w:val="00BE1CB8"/>
    <w:rsid w:val="00BE1EB7"/>
    <w:rsid w:val="00BE20F4"/>
    <w:rsid w:val="00BE21A4"/>
    <w:rsid w:val="00BE2334"/>
    <w:rsid w:val="00BE2550"/>
    <w:rsid w:val="00BE2748"/>
    <w:rsid w:val="00BE2A26"/>
    <w:rsid w:val="00BE2A83"/>
    <w:rsid w:val="00BE2A90"/>
    <w:rsid w:val="00BE2C59"/>
    <w:rsid w:val="00BE3137"/>
    <w:rsid w:val="00BE3459"/>
    <w:rsid w:val="00BE3647"/>
    <w:rsid w:val="00BE3651"/>
    <w:rsid w:val="00BE37FF"/>
    <w:rsid w:val="00BE39B4"/>
    <w:rsid w:val="00BE39DE"/>
    <w:rsid w:val="00BE3AD1"/>
    <w:rsid w:val="00BE3D57"/>
    <w:rsid w:val="00BE3DBE"/>
    <w:rsid w:val="00BE3E6B"/>
    <w:rsid w:val="00BE410A"/>
    <w:rsid w:val="00BE4661"/>
    <w:rsid w:val="00BE47DD"/>
    <w:rsid w:val="00BE48E6"/>
    <w:rsid w:val="00BE4938"/>
    <w:rsid w:val="00BE4DC7"/>
    <w:rsid w:val="00BE4DFE"/>
    <w:rsid w:val="00BE5116"/>
    <w:rsid w:val="00BE534A"/>
    <w:rsid w:val="00BE5ACB"/>
    <w:rsid w:val="00BE5B67"/>
    <w:rsid w:val="00BE5DD0"/>
    <w:rsid w:val="00BE5E4E"/>
    <w:rsid w:val="00BE5F21"/>
    <w:rsid w:val="00BE5FB1"/>
    <w:rsid w:val="00BE6283"/>
    <w:rsid w:val="00BE6458"/>
    <w:rsid w:val="00BE6628"/>
    <w:rsid w:val="00BE67E1"/>
    <w:rsid w:val="00BE6C18"/>
    <w:rsid w:val="00BE6CE4"/>
    <w:rsid w:val="00BE74FD"/>
    <w:rsid w:val="00BE7598"/>
    <w:rsid w:val="00BE78AF"/>
    <w:rsid w:val="00BE7912"/>
    <w:rsid w:val="00BE7CF2"/>
    <w:rsid w:val="00BE7DC5"/>
    <w:rsid w:val="00BF000B"/>
    <w:rsid w:val="00BF0046"/>
    <w:rsid w:val="00BF0052"/>
    <w:rsid w:val="00BF026E"/>
    <w:rsid w:val="00BF02A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6B"/>
    <w:rsid w:val="00BF38CD"/>
    <w:rsid w:val="00BF3B82"/>
    <w:rsid w:val="00BF3E3F"/>
    <w:rsid w:val="00BF428C"/>
    <w:rsid w:val="00BF4775"/>
    <w:rsid w:val="00BF4860"/>
    <w:rsid w:val="00BF48E2"/>
    <w:rsid w:val="00BF4BF3"/>
    <w:rsid w:val="00BF4EE4"/>
    <w:rsid w:val="00BF4F15"/>
    <w:rsid w:val="00BF4F5D"/>
    <w:rsid w:val="00BF5122"/>
    <w:rsid w:val="00BF544F"/>
    <w:rsid w:val="00BF5455"/>
    <w:rsid w:val="00BF5B81"/>
    <w:rsid w:val="00BF5B8E"/>
    <w:rsid w:val="00BF62E6"/>
    <w:rsid w:val="00BF63B6"/>
    <w:rsid w:val="00BF653F"/>
    <w:rsid w:val="00BF65A5"/>
    <w:rsid w:val="00BF676E"/>
    <w:rsid w:val="00BF6A44"/>
    <w:rsid w:val="00BF6B2D"/>
    <w:rsid w:val="00BF6C05"/>
    <w:rsid w:val="00BF6E21"/>
    <w:rsid w:val="00BF6FD1"/>
    <w:rsid w:val="00BF7598"/>
    <w:rsid w:val="00BF7886"/>
    <w:rsid w:val="00C000A3"/>
    <w:rsid w:val="00C0042E"/>
    <w:rsid w:val="00C005D8"/>
    <w:rsid w:val="00C006A0"/>
    <w:rsid w:val="00C008E5"/>
    <w:rsid w:val="00C00E0A"/>
    <w:rsid w:val="00C00EDF"/>
    <w:rsid w:val="00C01169"/>
    <w:rsid w:val="00C012AF"/>
    <w:rsid w:val="00C01844"/>
    <w:rsid w:val="00C01876"/>
    <w:rsid w:val="00C018AE"/>
    <w:rsid w:val="00C01B16"/>
    <w:rsid w:val="00C01CAA"/>
    <w:rsid w:val="00C024A0"/>
    <w:rsid w:val="00C026D5"/>
    <w:rsid w:val="00C0297F"/>
    <w:rsid w:val="00C029D7"/>
    <w:rsid w:val="00C02B16"/>
    <w:rsid w:val="00C02BD0"/>
    <w:rsid w:val="00C02D1E"/>
    <w:rsid w:val="00C030FE"/>
    <w:rsid w:val="00C03530"/>
    <w:rsid w:val="00C036B9"/>
    <w:rsid w:val="00C0370B"/>
    <w:rsid w:val="00C03F43"/>
    <w:rsid w:val="00C03F48"/>
    <w:rsid w:val="00C03FD8"/>
    <w:rsid w:val="00C04513"/>
    <w:rsid w:val="00C04557"/>
    <w:rsid w:val="00C04CDB"/>
    <w:rsid w:val="00C04DD1"/>
    <w:rsid w:val="00C0502A"/>
    <w:rsid w:val="00C05121"/>
    <w:rsid w:val="00C05248"/>
    <w:rsid w:val="00C055F5"/>
    <w:rsid w:val="00C0560B"/>
    <w:rsid w:val="00C056B5"/>
    <w:rsid w:val="00C056C9"/>
    <w:rsid w:val="00C057EB"/>
    <w:rsid w:val="00C05900"/>
    <w:rsid w:val="00C05AB1"/>
    <w:rsid w:val="00C05AE7"/>
    <w:rsid w:val="00C05EFF"/>
    <w:rsid w:val="00C05FFB"/>
    <w:rsid w:val="00C06179"/>
    <w:rsid w:val="00C06186"/>
    <w:rsid w:val="00C06540"/>
    <w:rsid w:val="00C06822"/>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AAA"/>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21"/>
    <w:rsid w:val="00C152E3"/>
    <w:rsid w:val="00C154BB"/>
    <w:rsid w:val="00C154CD"/>
    <w:rsid w:val="00C15507"/>
    <w:rsid w:val="00C15671"/>
    <w:rsid w:val="00C15766"/>
    <w:rsid w:val="00C158D3"/>
    <w:rsid w:val="00C158DA"/>
    <w:rsid w:val="00C15981"/>
    <w:rsid w:val="00C15EB7"/>
    <w:rsid w:val="00C160CD"/>
    <w:rsid w:val="00C165B2"/>
    <w:rsid w:val="00C16703"/>
    <w:rsid w:val="00C16AB2"/>
    <w:rsid w:val="00C16C05"/>
    <w:rsid w:val="00C16CB3"/>
    <w:rsid w:val="00C17036"/>
    <w:rsid w:val="00C17215"/>
    <w:rsid w:val="00C173AD"/>
    <w:rsid w:val="00C17448"/>
    <w:rsid w:val="00C1758F"/>
    <w:rsid w:val="00C176CB"/>
    <w:rsid w:val="00C17A12"/>
    <w:rsid w:val="00C17B66"/>
    <w:rsid w:val="00C17DE5"/>
    <w:rsid w:val="00C17E68"/>
    <w:rsid w:val="00C17F3E"/>
    <w:rsid w:val="00C17FB2"/>
    <w:rsid w:val="00C205F7"/>
    <w:rsid w:val="00C208D5"/>
    <w:rsid w:val="00C20B43"/>
    <w:rsid w:val="00C20CAB"/>
    <w:rsid w:val="00C20F7A"/>
    <w:rsid w:val="00C210E6"/>
    <w:rsid w:val="00C21163"/>
    <w:rsid w:val="00C2128A"/>
    <w:rsid w:val="00C2149F"/>
    <w:rsid w:val="00C214C5"/>
    <w:rsid w:val="00C214E6"/>
    <w:rsid w:val="00C2151A"/>
    <w:rsid w:val="00C219FD"/>
    <w:rsid w:val="00C21A38"/>
    <w:rsid w:val="00C21C30"/>
    <w:rsid w:val="00C21EAB"/>
    <w:rsid w:val="00C21F8F"/>
    <w:rsid w:val="00C220D3"/>
    <w:rsid w:val="00C22154"/>
    <w:rsid w:val="00C224F6"/>
    <w:rsid w:val="00C2251E"/>
    <w:rsid w:val="00C225D6"/>
    <w:rsid w:val="00C22D7F"/>
    <w:rsid w:val="00C22EDF"/>
    <w:rsid w:val="00C23005"/>
    <w:rsid w:val="00C230B7"/>
    <w:rsid w:val="00C23139"/>
    <w:rsid w:val="00C2318D"/>
    <w:rsid w:val="00C233EA"/>
    <w:rsid w:val="00C2346D"/>
    <w:rsid w:val="00C236F1"/>
    <w:rsid w:val="00C2374B"/>
    <w:rsid w:val="00C23C8C"/>
    <w:rsid w:val="00C23E2C"/>
    <w:rsid w:val="00C23EC1"/>
    <w:rsid w:val="00C23F67"/>
    <w:rsid w:val="00C240BF"/>
    <w:rsid w:val="00C24211"/>
    <w:rsid w:val="00C24245"/>
    <w:rsid w:val="00C2479D"/>
    <w:rsid w:val="00C247BF"/>
    <w:rsid w:val="00C24BC2"/>
    <w:rsid w:val="00C24BE2"/>
    <w:rsid w:val="00C24ED1"/>
    <w:rsid w:val="00C24F1D"/>
    <w:rsid w:val="00C24F6C"/>
    <w:rsid w:val="00C25159"/>
    <w:rsid w:val="00C253E2"/>
    <w:rsid w:val="00C25D5F"/>
    <w:rsid w:val="00C26013"/>
    <w:rsid w:val="00C26040"/>
    <w:rsid w:val="00C2613D"/>
    <w:rsid w:val="00C267C6"/>
    <w:rsid w:val="00C26CC7"/>
    <w:rsid w:val="00C27030"/>
    <w:rsid w:val="00C271E2"/>
    <w:rsid w:val="00C27518"/>
    <w:rsid w:val="00C2784F"/>
    <w:rsid w:val="00C27C98"/>
    <w:rsid w:val="00C27D1D"/>
    <w:rsid w:val="00C27F24"/>
    <w:rsid w:val="00C301B8"/>
    <w:rsid w:val="00C3023F"/>
    <w:rsid w:val="00C30438"/>
    <w:rsid w:val="00C304C5"/>
    <w:rsid w:val="00C30873"/>
    <w:rsid w:val="00C30902"/>
    <w:rsid w:val="00C30BFF"/>
    <w:rsid w:val="00C30E82"/>
    <w:rsid w:val="00C3105A"/>
    <w:rsid w:val="00C31313"/>
    <w:rsid w:val="00C313F4"/>
    <w:rsid w:val="00C3143C"/>
    <w:rsid w:val="00C31810"/>
    <w:rsid w:val="00C3184B"/>
    <w:rsid w:val="00C318E5"/>
    <w:rsid w:val="00C31C66"/>
    <w:rsid w:val="00C31D95"/>
    <w:rsid w:val="00C31DE4"/>
    <w:rsid w:val="00C31FBA"/>
    <w:rsid w:val="00C323D1"/>
    <w:rsid w:val="00C32576"/>
    <w:rsid w:val="00C325F9"/>
    <w:rsid w:val="00C32AFA"/>
    <w:rsid w:val="00C32C12"/>
    <w:rsid w:val="00C32C39"/>
    <w:rsid w:val="00C32E32"/>
    <w:rsid w:val="00C333C8"/>
    <w:rsid w:val="00C33439"/>
    <w:rsid w:val="00C33DAD"/>
    <w:rsid w:val="00C33F96"/>
    <w:rsid w:val="00C34374"/>
    <w:rsid w:val="00C348C9"/>
    <w:rsid w:val="00C349B8"/>
    <w:rsid w:val="00C34A49"/>
    <w:rsid w:val="00C34BAA"/>
    <w:rsid w:val="00C34F1C"/>
    <w:rsid w:val="00C35415"/>
    <w:rsid w:val="00C354E3"/>
    <w:rsid w:val="00C355EB"/>
    <w:rsid w:val="00C35B9B"/>
    <w:rsid w:val="00C35D6A"/>
    <w:rsid w:val="00C35E06"/>
    <w:rsid w:val="00C35FB5"/>
    <w:rsid w:val="00C3607B"/>
    <w:rsid w:val="00C36132"/>
    <w:rsid w:val="00C36168"/>
    <w:rsid w:val="00C362BB"/>
    <w:rsid w:val="00C36535"/>
    <w:rsid w:val="00C3665A"/>
    <w:rsid w:val="00C367B2"/>
    <w:rsid w:val="00C36B06"/>
    <w:rsid w:val="00C36C89"/>
    <w:rsid w:val="00C36FA9"/>
    <w:rsid w:val="00C3708F"/>
    <w:rsid w:val="00C3728B"/>
    <w:rsid w:val="00C372B8"/>
    <w:rsid w:val="00C373CB"/>
    <w:rsid w:val="00C378EA"/>
    <w:rsid w:val="00C37BC1"/>
    <w:rsid w:val="00C37C88"/>
    <w:rsid w:val="00C37DE9"/>
    <w:rsid w:val="00C37FB8"/>
    <w:rsid w:val="00C401D1"/>
    <w:rsid w:val="00C403F2"/>
    <w:rsid w:val="00C40483"/>
    <w:rsid w:val="00C40634"/>
    <w:rsid w:val="00C407AB"/>
    <w:rsid w:val="00C40AAF"/>
    <w:rsid w:val="00C40C50"/>
    <w:rsid w:val="00C40F89"/>
    <w:rsid w:val="00C41695"/>
    <w:rsid w:val="00C41B04"/>
    <w:rsid w:val="00C41D69"/>
    <w:rsid w:val="00C41F7A"/>
    <w:rsid w:val="00C42042"/>
    <w:rsid w:val="00C420A7"/>
    <w:rsid w:val="00C4265D"/>
    <w:rsid w:val="00C42674"/>
    <w:rsid w:val="00C428A6"/>
    <w:rsid w:val="00C42D3F"/>
    <w:rsid w:val="00C42D4E"/>
    <w:rsid w:val="00C43908"/>
    <w:rsid w:val="00C43B4A"/>
    <w:rsid w:val="00C43C91"/>
    <w:rsid w:val="00C44069"/>
    <w:rsid w:val="00C443DF"/>
    <w:rsid w:val="00C44476"/>
    <w:rsid w:val="00C444E8"/>
    <w:rsid w:val="00C44613"/>
    <w:rsid w:val="00C44E32"/>
    <w:rsid w:val="00C4500C"/>
    <w:rsid w:val="00C4504E"/>
    <w:rsid w:val="00C45414"/>
    <w:rsid w:val="00C4545E"/>
    <w:rsid w:val="00C4574A"/>
    <w:rsid w:val="00C458FE"/>
    <w:rsid w:val="00C45A28"/>
    <w:rsid w:val="00C45A54"/>
    <w:rsid w:val="00C45C73"/>
    <w:rsid w:val="00C4629F"/>
    <w:rsid w:val="00C463D5"/>
    <w:rsid w:val="00C4644A"/>
    <w:rsid w:val="00C464FE"/>
    <w:rsid w:val="00C465E1"/>
    <w:rsid w:val="00C467FD"/>
    <w:rsid w:val="00C46812"/>
    <w:rsid w:val="00C469D0"/>
    <w:rsid w:val="00C46AA1"/>
    <w:rsid w:val="00C47016"/>
    <w:rsid w:val="00C47186"/>
    <w:rsid w:val="00C472B8"/>
    <w:rsid w:val="00C472DF"/>
    <w:rsid w:val="00C4730A"/>
    <w:rsid w:val="00C4751E"/>
    <w:rsid w:val="00C4751F"/>
    <w:rsid w:val="00C47594"/>
    <w:rsid w:val="00C47831"/>
    <w:rsid w:val="00C47A2C"/>
    <w:rsid w:val="00C47AA1"/>
    <w:rsid w:val="00C47C2D"/>
    <w:rsid w:val="00C501CA"/>
    <w:rsid w:val="00C50676"/>
    <w:rsid w:val="00C50A03"/>
    <w:rsid w:val="00C5100D"/>
    <w:rsid w:val="00C511FC"/>
    <w:rsid w:val="00C51307"/>
    <w:rsid w:val="00C5138B"/>
    <w:rsid w:val="00C51415"/>
    <w:rsid w:val="00C5156D"/>
    <w:rsid w:val="00C517CA"/>
    <w:rsid w:val="00C51864"/>
    <w:rsid w:val="00C51878"/>
    <w:rsid w:val="00C518A9"/>
    <w:rsid w:val="00C51A6C"/>
    <w:rsid w:val="00C523B3"/>
    <w:rsid w:val="00C524BE"/>
    <w:rsid w:val="00C5277B"/>
    <w:rsid w:val="00C529EA"/>
    <w:rsid w:val="00C52BF3"/>
    <w:rsid w:val="00C52DED"/>
    <w:rsid w:val="00C52F8C"/>
    <w:rsid w:val="00C52FFC"/>
    <w:rsid w:val="00C53154"/>
    <w:rsid w:val="00C531B8"/>
    <w:rsid w:val="00C53626"/>
    <w:rsid w:val="00C53708"/>
    <w:rsid w:val="00C53728"/>
    <w:rsid w:val="00C537BB"/>
    <w:rsid w:val="00C53955"/>
    <w:rsid w:val="00C53A76"/>
    <w:rsid w:val="00C53B0B"/>
    <w:rsid w:val="00C53BAC"/>
    <w:rsid w:val="00C53ED9"/>
    <w:rsid w:val="00C53F6B"/>
    <w:rsid w:val="00C540EA"/>
    <w:rsid w:val="00C5420F"/>
    <w:rsid w:val="00C54667"/>
    <w:rsid w:val="00C54668"/>
    <w:rsid w:val="00C546C6"/>
    <w:rsid w:val="00C5472E"/>
    <w:rsid w:val="00C548E5"/>
    <w:rsid w:val="00C54C3E"/>
    <w:rsid w:val="00C54DFB"/>
    <w:rsid w:val="00C54FA4"/>
    <w:rsid w:val="00C55124"/>
    <w:rsid w:val="00C552C8"/>
    <w:rsid w:val="00C5537A"/>
    <w:rsid w:val="00C55395"/>
    <w:rsid w:val="00C55402"/>
    <w:rsid w:val="00C5552B"/>
    <w:rsid w:val="00C5579F"/>
    <w:rsid w:val="00C5599F"/>
    <w:rsid w:val="00C55A42"/>
    <w:rsid w:val="00C55AB2"/>
    <w:rsid w:val="00C55BED"/>
    <w:rsid w:val="00C55D4D"/>
    <w:rsid w:val="00C5610F"/>
    <w:rsid w:val="00C56208"/>
    <w:rsid w:val="00C56897"/>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1"/>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A4"/>
    <w:rsid w:val="00C632C3"/>
    <w:rsid w:val="00C63636"/>
    <w:rsid w:val="00C636CC"/>
    <w:rsid w:val="00C6371E"/>
    <w:rsid w:val="00C6376F"/>
    <w:rsid w:val="00C6386F"/>
    <w:rsid w:val="00C63F0A"/>
    <w:rsid w:val="00C641E9"/>
    <w:rsid w:val="00C646E0"/>
    <w:rsid w:val="00C646F0"/>
    <w:rsid w:val="00C6492D"/>
    <w:rsid w:val="00C649C6"/>
    <w:rsid w:val="00C64AA0"/>
    <w:rsid w:val="00C64AF1"/>
    <w:rsid w:val="00C64B75"/>
    <w:rsid w:val="00C64CA8"/>
    <w:rsid w:val="00C64E07"/>
    <w:rsid w:val="00C652DA"/>
    <w:rsid w:val="00C65572"/>
    <w:rsid w:val="00C65655"/>
    <w:rsid w:val="00C657DD"/>
    <w:rsid w:val="00C65A5E"/>
    <w:rsid w:val="00C65A69"/>
    <w:rsid w:val="00C65A6A"/>
    <w:rsid w:val="00C65D4F"/>
    <w:rsid w:val="00C65FF1"/>
    <w:rsid w:val="00C6607A"/>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10E"/>
    <w:rsid w:val="00C7026C"/>
    <w:rsid w:val="00C7031D"/>
    <w:rsid w:val="00C704C0"/>
    <w:rsid w:val="00C704C9"/>
    <w:rsid w:val="00C70720"/>
    <w:rsid w:val="00C70A1C"/>
    <w:rsid w:val="00C70ABC"/>
    <w:rsid w:val="00C70BC1"/>
    <w:rsid w:val="00C70ED2"/>
    <w:rsid w:val="00C71189"/>
    <w:rsid w:val="00C716C3"/>
    <w:rsid w:val="00C71824"/>
    <w:rsid w:val="00C71889"/>
    <w:rsid w:val="00C7198A"/>
    <w:rsid w:val="00C719FB"/>
    <w:rsid w:val="00C71A82"/>
    <w:rsid w:val="00C72074"/>
    <w:rsid w:val="00C7217C"/>
    <w:rsid w:val="00C7233C"/>
    <w:rsid w:val="00C72406"/>
    <w:rsid w:val="00C72422"/>
    <w:rsid w:val="00C7288A"/>
    <w:rsid w:val="00C72BA9"/>
    <w:rsid w:val="00C72C42"/>
    <w:rsid w:val="00C72FB3"/>
    <w:rsid w:val="00C73027"/>
    <w:rsid w:val="00C732CF"/>
    <w:rsid w:val="00C7363D"/>
    <w:rsid w:val="00C737F5"/>
    <w:rsid w:val="00C73805"/>
    <w:rsid w:val="00C738CF"/>
    <w:rsid w:val="00C73A42"/>
    <w:rsid w:val="00C73CA9"/>
    <w:rsid w:val="00C73D55"/>
    <w:rsid w:val="00C73DD4"/>
    <w:rsid w:val="00C74147"/>
    <w:rsid w:val="00C74327"/>
    <w:rsid w:val="00C747D6"/>
    <w:rsid w:val="00C74FFB"/>
    <w:rsid w:val="00C75145"/>
    <w:rsid w:val="00C75517"/>
    <w:rsid w:val="00C75619"/>
    <w:rsid w:val="00C75861"/>
    <w:rsid w:val="00C75A74"/>
    <w:rsid w:val="00C75AB3"/>
    <w:rsid w:val="00C75C38"/>
    <w:rsid w:val="00C75FB2"/>
    <w:rsid w:val="00C76077"/>
    <w:rsid w:val="00C76228"/>
    <w:rsid w:val="00C7642E"/>
    <w:rsid w:val="00C764E4"/>
    <w:rsid w:val="00C765EE"/>
    <w:rsid w:val="00C766C8"/>
    <w:rsid w:val="00C76A9A"/>
    <w:rsid w:val="00C76AAB"/>
    <w:rsid w:val="00C76BB9"/>
    <w:rsid w:val="00C76C31"/>
    <w:rsid w:val="00C76E57"/>
    <w:rsid w:val="00C770CE"/>
    <w:rsid w:val="00C7724F"/>
    <w:rsid w:val="00C77281"/>
    <w:rsid w:val="00C777A7"/>
    <w:rsid w:val="00C777E9"/>
    <w:rsid w:val="00C77804"/>
    <w:rsid w:val="00C77DE8"/>
    <w:rsid w:val="00C80099"/>
    <w:rsid w:val="00C80A72"/>
    <w:rsid w:val="00C80AF3"/>
    <w:rsid w:val="00C8110D"/>
    <w:rsid w:val="00C81331"/>
    <w:rsid w:val="00C81975"/>
    <w:rsid w:val="00C81BF0"/>
    <w:rsid w:val="00C8244D"/>
    <w:rsid w:val="00C82540"/>
    <w:rsid w:val="00C82624"/>
    <w:rsid w:val="00C82EBF"/>
    <w:rsid w:val="00C82ED3"/>
    <w:rsid w:val="00C82F4E"/>
    <w:rsid w:val="00C82FB5"/>
    <w:rsid w:val="00C83405"/>
    <w:rsid w:val="00C83613"/>
    <w:rsid w:val="00C83958"/>
    <w:rsid w:val="00C83F9A"/>
    <w:rsid w:val="00C84324"/>
    <w:rsid w:val="00C8434D"/>
    <w:rsid w:val="00C8480A"/>
    <w:rsid w:val="00C84898"/>
    <w:rsid w:val="00C848A0"/>
    <w:rsid w:val="00C84A98"/>
    <w:rsid w:val="00C84AE5"/>
    <w:rsid w:val="00C84D61"/>
    <w:rsid w:val="00C850F8"/>
    <w:rsid w:val="00C85145"/>
    <w:rsid w:val="00C85608"/>
    <w:rsid w:val="00C85B6F"/>
    <w:rsid w:val="00C86183"/>
    <w:rsid w:val="00C861EB"/>
    <w:rsid w:val="00C86245"/>
    <w:rsid w:val="00C86370"/>
    <w:rsid w:val="00C866EB"/>
    <w:rsid w:val="00C867AE"/>
    <w:rsid w:val="00C867E1"/>
    <w:rsid w:val="00C86D7B"/>
    <w:rsid w:val="00C86E81"/>
    <w:rsid w:val="00C86EEC"/>
    <w:rsid w:val="00C87318"/>
    <w:rsid w:val="00C875F0"/>
    <w:rsid w:val="00C8771A"/>
    <w:rsid w:val="00C878A7"/>
    <w:rsid w:val="00C87C1D"/>
    <w:rsid w:val="00C87D8A"/>
    <w:rsid w:val="00C900C3"/>
    <w:rsid w:val="00C901F6"/>
    <w:rsid w:val="00C90233"/>
    <w:rsid w:val="00C904A8"/>
    <w:rsid w:val="00C90603"/>
    <w:rsid w:val="00C90DA1"/>
    <w:rsid w:val="00C90F11"/>
    <w:rsid w:val="00C9131E"/>
    <w:rsid w:val="00C915A0"/>
    <w:rsid w:val="00C9185A"/>
    <w:rsid w:val="00C919DA"/>
    <w:rsid w:val="00C91A1D"/>
    <w:rsid w:val="00C91AB0"/>
    <w:rsid w:val="00C91B90"/>
    <w:rsid w:val="00C91BE3"/>
    <w:rsid w:val="00C91E07"/>
    <w:rsid w:val="00C91E87"/>
    <w:rsid w:val="00C91E8F"/>
    <w:rsid w:val="00C91F7A"/>
    <w:rsid w:val="00C91F87"/>
    <w:rsid w:val="00C9215C"/>
    <w:rsid w:val="00C92222"/>
    <w:rsid w:val="00C9228E"/>
    <w:rsid w:val="00C922CB"/>
    <w:rsid w:val="00C9250E"/>
    <w:rsid w:val="00C9256F"/>
    <w:rsid w:val="00C92609"/>
    <w:rsid w:val="00C9268B"/>
    <w:rsid w:val="00C9268D"/>
    <w:rsid w:val="00C92957"/>
    <w:rsid w:val="00C92C0C"/>
    <w:rsid w:val="00C92CFA"/>
    <w:rsid w:val="00C92F0A"/>
    <w:rsid w:val="00C92F77"/>
    <w:rsid w:val="00C930C9"/>
    <w:rsid w:val="00C9310B"/>
    <w:rsid w:val="00C93579"/>
    <w:rsid w:val="00C937E9"/>
    <w:rsid w:val="00C93A91"/>
    <w:rsid w:val="00C93C21"/>
    <w:rsid w:val="00C93CB0"/>
    <w:rsid w:val="00C93E12"/>
    <w:rsid w:val="00C93ECB"/>
    <w:rsid w:val="00C941E2"/>
    <w:rsid w:val="00C942CD"/>
    <w:rsid w:val="00C945E1"/>
    <w:rsid w:val="00C94744"/>
    <w:rsid w:val="00C95083"/>
    <w:rsid w:val="00C95394"/>
    <w:rsid w:val="00C953CB"/>
    <w:rsid w:val="00C95639"/>
    <w:rsid w:val="00C95761"/>
    <w:rsid w:val="00C9579C"/>
    <w:rsid w:val="00C95ED5"/>
    <w:rsid w:val="00C9619A"/>
    <w:rsid w:val="00C9653E"/>
    <w:rsid w:val="00C966AC"/>
    <w:rsid w:val="00C969DE"/>
    <w:rsid w:val="00C96B91"/>
    <w:rsid w:val="00C96FEF"/>
    <w:rsid w:val="00C97168"/>
    <w:rsid w:val="00C9732D"/>
    <w:rsid w:val="00C976DF"/>
    <w:rsid w:val="00C97969"/>
    <w:rsid w:val="00C97A74"/>
    <w:rsid w:val="00C97AB4"/>
    <w:rsid w:val="00C97ADC"/>
    <w:rsid w:val="00C97BE8"/>
    <w:rsid w:val="00C97C93"/>
    <w:rsid w:val="00C97D4F"/>
    <w:rsid w:val="00C97E59"/>
    <w:rsid w:val="00C97E64"/>
    <w:rsid w:val="00C97EBC"/>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BA2"/>
    <w:rsid w:val="00CA1C94"/>
    <w:rsid w:val="00CA1C97"/>
    <w:rsid w:val="00CA2278"/>
    <w:rsid w:val="00CA23ED"/>
    <w:rsid w:val="00CA24D9"/>
    <w:rsid w:val="00CA2EE2"/>
    <w:rsid w:val="00CA326D"/>
    <w:rsid w:val="00CA38C3"/>
    <w:rsid w:val="00CA3AD1"/>
    <w:rsid w:val="00CA3B75"/>
    <w:rsid w:val="00CA3CDD"/>
    <w:rsid w:val="00CA3DCC"/>
    <w:rsid w:val="00CA3EBD"/>
    <w:rsid w:val="00CA404F"/>
    <w:rsid w:val="00CA463C"/>
    <w:rsid w:val="00CA474B"/>
    <w:rsid w:val="00CA4760"/>
    <w:rsid w:val="00CA4863"/>
    <w:rsid w:val="00CA4C2D"/>
    <w:rsid w:val="00CA4C6A"/>
    <w:rsid w:val="00CA51AB"/>
    <w:rsid w:val="00CA51C3"/>
    <w:rsid w:val="00CA5A3C"/>
    <w:rsid w:val="00CA5B28"/>
    <w:rsid w:val="00CA5CEA"/>
    <w:rsid w:val="00CA5D19"/>
    <w:rsid w:val="00CA633D"/>
    <w:rsid w:val="00CA63D9"/>
    <w:rsid w:val="00CA6685"/>
    <w:rsid w:val="00CA6759"/>
    <w:rsid w:val="00CA68C1"/>
    <w:rsid w:val="00CA76F9"/>
    <w:rsid w:val="00CA7700"/>
    <w:rsid w:val="00CA7755"/>
    <w:rsid w:val="00CA776B"/>
    <w:rsid w:val="00CA777E"/>
    <w:rsid w:val="00CA7A40"/>
    <w:rsid w:val="00CA7A99"/>
    <w:rsid w:val="00CA7AA0"/>
    <w:rsid w:val="00CA7BAC"/>
    <w:rsid w:val="00CA7D9A"/>
    <w:rsid w:val="00CB0237"/>
    <w:rsid w:val="00CB03D4"/>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A34"/>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82"/>
    <w:rsid w:val="00CB52FD"/>
    <w:rsid w:val="00CB5470"/>
    <w:rsid w:val="00CB56EC"/>
    <w:rsid w:val="00CB56F2"/>
    <w:rsid w:val="00CB5A25"/>
    <w:rsid w:val="00CB5B93"/>
    <w:rsid w:val="00CB5E6C"/>
    <w:rsid w:val="00CB5F55"/>
    <w:rsid w:val="00CB6064"/>
    <w:rsid w:val="00CB623C"/>
    <w:rsid w:val="00CB63B4"/>
    <w:rsid w:val="00CB6733"/>
    <w:rsid w:val="00CB6737"/>
    <w:rsid w:val="00CB6A01"/>
    <w:rsid w:val="00CB6FA6"/>
    <w:rsid w:val="00CB724B"/>
    <w:rsid w:val="00CB7274"/>
    <w:rsid w:val="00CB72C9"/>
    <w:rsid w:val="00CB740D"/>
    <w:rsid w:val="00CB7483"/>
    <w:rsid w:val="00CB78B6"/>
    <w:rsid w:val="00CB7B22"/>
    <w:rsid w:val="00CB7C5C"/>
    <w:rsid w:val="00CB7DE0"/>
    <w:rsid w:val="00CC0543"/>
    <w:rsid w:val="00CC05D3"/>
    <w:rsid w:val="00CC0609"/>
    <w:rsid w:val="00CC071E"/>
    <w:rsid w:val="00CC083E"/>
    <w:rsid w:val="00CC1002"/>
    <w:rsid w:val="00CC1463"/>
    <w:rsid w:val="00CC158D"/>
    <w:rsid w:val="00CC168E"/>
    <w:rsid w:val="00CC1758"/>
    <w:rsid w:val="00CC1C59"/>
    <w:rsid w:val="00CC1D4B"/>
    <w:rsid w:val="00CC1E96"/>
    <w:rsid w:val="00CC20BF"/>
    <w:rsid w:val="00CC2255"/>
    <w:rsid w:val="00CC237C"/>
    <w:rsid w:val="00CC246F"/>
    <w:rsid w:val="00CC25A8"/>
    <w:rsid w:val="00CC263C"/>
    <w:rsid w:val="00CC2775"/>
    <w:rsid w:val="00CC2D05"/>
    <w:rsid w:val="00CC2E07"/>
    <w:rsid w:val="00CC31E7"/>
    <w:rsid w:val="00CC3491"/>
    <w:rsid w:val="00CC3A21"/>
    <w:rsid w:val="00CC3A34"/>
    <w:rsid w:val="00CC3CEC"/>
    <w:rsid w:val="00CC3DC2"/>
    <w:rsid w:val="00CC40EB"/>
    <w:rsid w:val="00CC4179"/>
    <w:rsid w:val="00CC4314"/>
    <w:rsid w:val="00CC4522"/>
    <w:rsid w:val="00CC469F"/>
    <w:rsid w:val="00CC474D"/>
    <w:rsid w:val="00CC4818"/>
    <w:rsid w:val="00CC4869"/>
    <w:rsid w:val="00CC49F5"/>
    <w:rsid w:val="00CC4B9D"/>
    <w:rsid w:val="00CC4E02"/>
    <w:rsid w:val="00CC4FFC"/>
    <w:rsid w:val="00CC50F1"/>
    <w:rsid w:val="00CC5105"/>
    <w:rsid w:val="00CC5180"/>
    <w:rsid w:val="00CC51D6"/>
    <w:rsid w:val="00CC5280"/>
    <w:rsid w:val="00CC52A6"/>
    <w:rsid w:val="00CC554A"/>
    <w:rsid w:val="00CC5A20"/>
    <w:rsid w:val="00CC5B50"/>
    <w:rsid w:val="00CC5C70"/>
    <w:rsid w:val="00CC5DBC"/>
    <w:rsid w:val="00CC6139"/>
    <w:rsid w:val="00CC6282"/>
    <w:rsid w:val="00CC67AF"/>
    <w:rsid w:val="00CC6897"/>
    <w:rsid w:val="00CC68DC"/>
    <w:rsid w:val="00CC6A7E"/>
    <w:rsid w:val="00CC6F8F"/>
    <w:rsid w:val="00CC745A"/>
    <w:rsid w:val="00CC7832"/>
    <w:rsid w:val="00CC783C"/>
    <w:rsid w:val="00CC7D5E"/>
    <w:rsid w:val="00CC7E1E"/>
    <w:rsid w:val="00CC7E5C"/>
    <w:rsid w:val="00CC7FD7"/>
    <w:rsid w:val="00CD0113"/>
    <w:rsid w:val="00CD0127"/>
    <w:rsid w:val="00CD028A"/>
    <w:rsid w:val="00CD040A"/>
    <w:rsid w:val="00CD052F"/>
    <w:rsid w:val="00CD057B"/>
    <w:rsid w:val="00CD05A1"/>
    <w:rsid w:val="00CD0667"/>
    <w:rsid w:val="00CD06E4"/>
    <w:rsid w:val="00CD076C"/>
    <w:rsid w:val="00CD07A1"/>
    <w:rsid w:val="00CD087F"/>
    <w:rsid w:val="00CD0AD1"/>
    <w:rsid w:val="00CD0E95"/>
    <w:rsid w:val="00CD124E"/>
    <w:rsid w:val="00CD13A4"/>
    <w:rsid w:val="00CD16F6"/>
    <w:rsid w:val="00CD18D9"/>
    <w:rsid w:val="00CD19EB"/>
    <w:rsid w:val="00CD1B28"/>
    <w:rsid w:val="00CD1B29"/>
    <w:rsid w:val="00CD1C40"/>
    <w:rsid w:val="00CD1E87"/>
    <w:rsid w:val="00CD2013"/>
    <w:rsid w:val="00CD208C"/>
    <w:rsid w:val="00CD2242"/>
    <w:rsid w:val="00CD2296"/>
    <w:rsid w:val="00CD22BE"/>
    <w:rsid w:val="00CD249B"/>
    <w:rsid w:val="00CD2523"/>
    <w:rsid w:val="00CD2912"/>
    <w:rsid w:val="00CD291D"/>
    <w:rsid w:val="00CD2B2F"/>
    <w:rsid w:val="00CD2C3B"/>
    <w:rsid w:val="00CD2E1F"/>
    <w:rsid w:val="00CD2EB3"/>
    <w:rsid w:val="00CD30ED"/>
    <w:rsid w:val="00CD3197"/>
    <w:rsid w:val="00CD34DD"/>
    <w:rsid w:val="00CD34FA"/>
    <w:rsid w:val="00CD3544"/>
    <w:rsid w:val="00CD39B7"/>
    <w:rsid w:val="00CD3A9F"/>
    <w:rsid w:val="00CD3E8B"/>
    <w:rsid w:val="00CD4068"/>
    <w:rsid w:val="00CD41DD"/>
    <w:rsid w:val="00CD47F2"/>
    <w:rsid w:val="00CD4E1C"/>
    <w:rsid w:val="00CD4EBB"/>
    <w:rsid w:val="00CD5571"/>
    <w:rsid w:val="00CD5575"/>
    <w:rsid w:val="00CD5991"/>
    <w:rsid w:val="00CD5AC0"/>
    <w:rsid w:val="00CD5DA8"/>
    <w:rsid w:val="00CD5DAA"/>
    <w:rsid w:val="00CD5F0A"/>
    <w:rsid w:val="00CD5F4D"/>
    <w:rsid w:val="00CD6331"/>
    <w:rsid w:val="00CD6406"/>
    <w:rsid w:val="00CD64C9"/>
    <w:rsid w:val="00CD6540"/>
    <w:rsid w:val="00CD6703"/>
    <w:rsid w:val="00CD6A12"/>
    <w:rsid w:val="00CD6A6D"/>
    <w:rsid w:val="00CD6DD4"/>
    <w:rsid w:val="00CD6E3A"/>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88A"/>
    <w:rsid w:val="00CE19D8"/>
    <w:rsid w:val="00CE1A6A"/>
    <w:rsid w:val="00CE1BFB"/>
    <w:rsid w:val="00CE1EF2"/>
    <w:rsid w:val="00CE1FA2"/>
    <w:rsid w:val="00CE1FBD"/>
    <w:rsid w:val="00CE2001"/>
    <w:rsid w:val="00CE20D4"/>
    <w:rsid w:val="00CE2517"/>
    <w:rsid w:val="00CE2C4C"/>
    <w:rsid w:val="00CE2FEC"/>
    <w:rsid w:val="00CE3343"/>
    <w:rsid w:val="00CE3552"/>
    <w:rsid w:val="00CE3589"/>
    <w:rsid w:val="00CE3C8A"/>
    <w:rsid w:val="00CE3D2A"/>
    <w:rsid w:val="00CE4340"/>
    <w:rsid w:val="00CE436D"/>
    <w:rsid w:val="00CE44A8"/>
    <w:rsid w:val="00CE48FA"/>
    <w:rsid w:val="00CE495C"/>
    <w:rsid w:val="00CE4B61"/>
    <w:rsid w:val="00CE4EB1"/>
    <w:rsid w:val="00CE5216"/>
    <w:rsid w:val="00CE52E3"/>
    <w:rsid w:val="00CE533E"/>
    <w:rsid w:val="00CE5986"/>
    <w:rsid w:val="00CE5DD1"/>
    <w:rsid w:val="00CE5E30"/>
    <w:rsid w:val="00CE5E85"/>
    <w:rsid w:val="00CE5FAA"/>
    <w:rsid w:val="00CE63FA"/>
    <w:rsid w:val="00CE6EC3"/>
    <w:rsid w:val="00CE6EEE"/>
    <w:rsid w:val="00CE7572"/>
    <w:rsid w:val="00CE7675"/>
    <w:rsid w:val="00CE76EE"/>
    <w:rsid w:val="00CE7B52"/>
    <w:rsid w:val="00CE7E4D"/>
    <w:rsid w:val="00CE7E70"/>
    <w:rsid w:val="00CF0243"/>
    <w:rsid w:val="00CF02A7"/>
    <w:rsid w:val="00CF02FB"/>
    <w:rsid w:val="00CF0607"/>
    <w:rsid w:val="00CF08E2"/>
    <w:rsid w:val="00CF0D39"/>
    <w:rsid w:val="00CF0E85"/>
    <w:rsid w:val="00CF0E99"/>
    <w:rsid w:val="00CF0FAC"/>
    <w:rsid w:val="00CF0FFE"/>
    <w:rsid w:val="00CF101F"/>
    <w:rsid w:val="00CF130D"/>
    <w:rsid w:val="00CF132F"/>
    <w:rsid w:val="00CF1558"/>
    <w:rsid w:val="00CF1565"/>
    <w:rsid w:val="00CF162A"/>
    <w:rsid w:val="00CF177B"/>
    <w:rsid w:val="00CF192F"/>
    <w:rsid w:val="00CF194F"/>
    <w:rsid w:val="00CF1A06"/>
    <w:rsid w:val="00CF1B11"/>
    <w:rsid w:val="00CF1DF8"/>
    <w:rsid w:val="00CF1F60"/>
    <w:rsid w:val="00CF1FD6"/>
    <w:rsid w:val="00CF203C"/>
    <w:rsid w:val="00CF2145"/>
    <w:rsid w:val="00CF2348"/>
    <w:rsid w:val="00CF2435"/>
    <w:rsid w:val="00CF2501"/>
    <w:rsid w:val="00CF255C"/>
    <w:rsid w:val="00CF2631"/>
    <w:rsid w:val="00CF27A9"/>
    <w:rsid w:val="00CF27DB"/>
    <w:rsid w:val="00CF29A3"/>
    <w:rsid w:val="00CF29EB"/>
    <w:rsid w:val="00CF2D06"/>
    <w:rsid w:val="00CF3014"/>
    <w:rsid w:val="00CF32FA"/>
    <w:rsid w:val="00CF3310"/>
    <w:rsid w:val="00CF36BD"/>
    <w:rsid w:val="00CF3769"/>
    <w:rsid w:val="00CF3BF3"/>
    <w:rsid w:val="00CF3C30"/>
    <w:rsid w:val="00CF45CE"/>
    <w:rsid w:val="00CF474B"/>
    <w:rsid w:val="00CF547E"/>
    <w:rsid w:val="00CF5895"/>
    <w:rsid w:val="00CF592F"/>
    <w:rsid w:val="00CF5954"/>
    <w:rsid w:val="00CF5A41"/>
    <w:rsid w:val="00CF5B65"/>
    <w:rsid w:val="00CF5BD9"/>
    <w:rsid w:val="00CF5D8A"/>
    <w:rsid w:val="00CF5D99"/>
    <w:rsid w:val="00CF5F23"/>
    <w:rsid w:val="00CF6013"/>
    <w:rsid w:val="00CF62EA"/>
    <w:rsid w:val="00CF64BB"/>
    <w:rsid w:val="00CF650A"/>
    <w:rsid w:val="00CF69B7"/>
    <w:rsid w:val="00CF6BE8"/>
    <w:rsid w:val="00CF6BFC"/>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300"/>
    <w:rsid w:val="00D00402"/>
    <w:rsid w:val="00D0064D"/>
    <w:rsid w:val="00D00664"/>
    <w:rsid w:val="00D0075D"/>
    <w:rsid w:val="00D007E4"/>
    <w:rsid w:val="00D008E3"/>
    <w:rsid w:val="00D00993"/>
    <w:rsid w:val="00D0099E"/>
    <w:rsid w:val="00D009AA"/>
    <w:rsid w:val="00D009BA"/>
    <w:rsid w:val="00D00B45"/>
    <w:rsid w:val="00D00BBC"/>
    <w:rsid w:val="00D00C3D"/>
    <w:rsid w:val="00D00CA9"/>
    <w:rsid w:val="00D00DC1"/>
    <w:rsid w:val="00D010FD"/>
    <w:rsid w:val="00D0114A"/>
    <w:rsid w:val="00D01230"/>
    <w:rsid w:val="00D015EF"/>
    <w:rsid w:val="00D01688"/>
    <w:rsid w:val="00D016DD"/>
    <w:rsid w:val="00D01865"/>
    <w:rsid w:val="00D01AD7"/>
    <w:rsid w:val="00D01DEF"/>
    <w:rsid w:val="00D01E2C"/>
    <w:rsid w:val="00D01E95"/>
    <w:rsid w:val="00D01F9A"/>
    <w:rsid w:val="00D02198"/>
    <w:rsid w:val="00D0238E"/>
    <w:rsid w:val="00D0239F"/>
    <w:rsid w:val="00D029A6"/>
    <w:rsid w:val="00D02C42"/>
    <w:rsid w:val="00D0325A"/>
    <w:rsid w:val="00D0325B"/>
    <w:rsid w:val="00D03BDB"/>
    <w:rsid w:val="00D03C56"/>
    <w:rsid w:val="00D03E40"/>
    <w:rsid w:val="00D04064"/>
    <w:rsid w:val="00D04154"/>
    <w:rsid w:val="00D04171"/>
    <w:rsid w:val="00D04509"/>
    <w:rsid w:val="00D04ABA"/>
    <w:rsid w:val="00D04AEC"/>
    <w:rsid w:val="00D05038"/>
    <w:rsid w:val="00D050ED"/>
    <w:rsid w:val="00D05236"/>
    <w:rsid w:val="00D05591"/>
    <w:rsid w:val="00D055E1"/>
    <w:rsid w:val="00D056D4"/>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84"/>
    <w:rsid w:val="00D07D37"/>
    <w:rsid w:val="00D07D5C"/>
    <w:rsid w:val="00D07F1F"/>
    <w:rsid w:val="00D10049"/>
    <w:rsid w:val="00D1010F"/>
    <w:rsid w:val="00D102D3"/>
    <w:rsid w:val="00D102E3"/>
    <w:rsid w:val="00D1065D"/>
    <w:rsid w:val="00D1082E"/>
    <w:rsid w:val="00D10AB9"/>
    <w:rsid w:val="00D10D79"/>
    <w:rsid w:val="00D10E13"/>
    <w:rsid w:val="00D10E94"/>
    <w:rsid w:val="00D110A2"/>
    <w:rsid w:val="00D1136C"/>
    <w:rsid w:val="00D11599"/>
    <w:rsid w:val="00D118DD"/>
    <w:rsid w:val="00D1199D"/>
    <w:rsid w:val="00D11A1C"/>
    <w:rsid w:val="00D11BF4"/>
    <w:rsid w:val="00D11F64"/>
    <w:rsid w:val="00D12070"/>
    <w:rsid w:val="00D1211D"/>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82"/>
    <w:rsid w:val="00D13FA5"/>
    <w:rsid w:val="00D14003"/>
    <w:rsid w:val="00D14040"/>
    <w:rsid w:val="00D14131"/>
    <w:rsid w:val="00D1414C"/>
    <w:rsid w:val="00D142FA"/>
    <w:rsid w:val="00D148DD"/>
    <w:rsid w:val="00D14A67"/>
    <w:rsid w:val="00D14B0B"/>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99"/>
    <w:rsid w:val="00D202EB"/>
    <w:rsid w:val="00D20639"/>
    <w:rsid w:val="00D20878"/>
    <w:rsid w:val="00D2089A"/>
    <w:rsid w:val="00D208BA"/>
    <w:rsid w:val="00D20933"/>
    <w:rsid w:val="00D209FF"/>
    <w:rsid w:val="00D20C9E"/>
    <w:rsid w:val="00D21573"/>
    <w:rsid w:val="00D21614"/>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310"/>
    <w:rsid w:val="00D23458"/>
    <w:rsid w:val="00D234CA"/>
    <w:rsid w:val="00D23750"/>
    <w:rsid w:val="00D23769"/>
    <w:rsid w:val="00D2381F"/>
    <w:rsid w:val="00D23A25"/>
    <w:rsid w:val="00D23A7E"/>
    <w:rsid w:val="00D23D17"/>
    <w:rsid w:val="00D241EF"/>
    <w:rsid w:val="00D24287"/>
    <w:rsid w:val="00D2434F"/>
    <w:rsid w:val="00D24364"/>
    <w:rsid w:val="00D244FC"/>
    <w:rsid w:val="00D24586"/>
    <w:rsid w:val="00D2475A"/>
    <w:rsid w:val="00D24874"/>
    <w:rsid w:val="00D248F3"/>
    <w:rsid w:val="00D24920"/>
    <w:rsid w:val="00D24D69"/>
    <w:rsid w:val="00D24F74"/>
    <w:rsid w:val="00D25094"/>
    <w:rsid w:val="00D250D2"/>
    <w:rsid w:val="00D250E9"/>
    <w:rsid w:val="00D250EF"/>
    <w:rsid w:val="00D25168"/>
    <w:rsid w:val="00D252A6"/>
    <w:rsid w:val="00D25351"/>
    <w:rsid w:val="00D256E6"/>
    <w:rsid w:val="00D25773"/>
    <w:rsid w:val="00D257D5"/>
    <w:rsid w:val="00D25CBB"/>
    <w:rsid w:val="00D25CCA"/>
    <w:rsid w:val="00D26150"/>
    <w:rsid w:val="00D2641F"/>
    <w:rsid w:val="00D265C6"/>
    <w:rsid w:val="00D2662D"/>
    <w:rsid w:val="00D268BE"/>
    <w:rsid w:val="00D2691A"/>
    <w:rsid w:val="00D26A66"/>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7A1"/>
    <w:rsid w:val="00D32912"/>
    <w:rsid w:val="00D32A27"/>
    <w:rsid w:val="00D32F54"/>
    <w:rsid w:val="00D3307A"/>
    <w:rsid w:val="00D3320F"/>
    <w:rsid w:val="00D3343E"/>
    <w:rsid w:val="00D334D5"/>
    <w:rsid w:val="00D33919"/>
    <w:rsid w:val="00D33A4A"/>
    <w:rsid w:val="00D33AAD"/>
    <w:rsid w:val="00D33B8B"/>
    <w:rsid w:val="00D34189"/>
    <w:rsid w:val="00D3423E"/>
    <w:rsid w:val="00D343D7"/>
    <w:rsid w:val="00D34589"/>
    <w:rsid w:val="00D34757"/>
    <w:rsid w:val="00D349D7"/>
    <w:rsid w:val="00D34CAB"/>
    <w:rsid w:val="00D34FE4"/>
    <w:rsid w:val="00D35223"/>
    <w:rsid w:val="00D3540D"/>
    <w:rsid w:val="00D3552E"/>
    <w:rsid w:val="00D3553D"/>
    <w:rsid w:val="00D3576B"/>
    <w:rsid w:val="00D358EF"/>
    <w:rsid w:val="00D35B03"/>
    <w:rsid w:val="00D35C4C"/>
    <w:rsid w:val="00D35FD5"/>
    <w:rsid w:val="00D3612A"/>
    <w:rsid w:val="00D361A7"/>
    <w:rsid w:val="00D3694D"/>
    <w:rsid w:val="00D36A01"/>
    <w:rsid w:val="00D36A0C"/>
    <w:rsid w:val="00D36ADA"/>
    <w:rsid w:val="00D36D5B"/>
    <w:rsid w:val="00D36E44"/>
    <w:rsid w:val="00D36F14"/>
    <w:rsid w:val="00D3736D"/>
    <w:rsid w:val="00D37550"/>
    <w:rsid w:val="00D376ED"/>
    <w:rsid w:val="00D37715"/>
    <w:rsid w:val="00D37B46"/>
    <w:rsid w:val="00D400B0"/>
    <w:rsid w:val="00D4030A"/>
    <w:rsid w:val="00D403C0"/>
    <w:rsid w:val="00D4075C"/>
    <w:rsid w:val="00D40BF8"/>
    <w:rsid w:val="00D40CD6"/>
    <w:rsid w:val="00D40CE6"/>
    <w:rsid w:val="00D40E31"/>
    <w:rsid w:val="00D40F7B"/>
    <w:rsid w:val="00D412B0"/>
    <w:rsid w:val="00D4152D"/>
    <w:rsid w:val="00D417F7"/>
    <w:rsid w:val="00D41A0D"/>
    <w:rsid w:val="00D41BC7"/>
    <w:rsid w:val="00D41BE4"/>
    <w:rsid w:val="00D41C06"/>
    <w:rsid w:val="00D41C33"/>
    <w:rsid w:val="00D41CFB"/>
    <w:rsid w:val="00D41D0D"/>
    <w:rsid w:val="00D41FA5"/>
    <w:rsid w:val="00D41FF4"/>
    <w:rsid w:val="00D42013"/>
    <w:rsid w:val="00D42531"/>
    <w:rsid w:val="00D42928"/>
    <w:rsid w:val="00D42A21"/>
    <w:rsid w:val="00D42AB7"/>
    <w:rsid w:val="00D42D74"/>
    <w:rsid w:val="00D42FF7"/>
    <w:rsid w:val="00D43376"/>
    <w:rsid w:val="00D43385"/>
    <w:rsid w:val="00D4340D"/>
    <w:rsid w:val="00D435F9"/>
    <w:rsid w:val="00D43693"/>
    <w:rsid w:val="00D43856"/>
    <w:rsid w:val="00D438FB"/>
    <w:rsid w:val="00D43EFA"/>
    <w:rsid w:val="00D44103"/>
    <w:rsid w:val="00D44230"/>
    <w:rsid w:val="00D442C7"/>
    <w:rsid w:val="00D446BC"/>
    <w:rsid w:val="00D44B15"/>
    <w:rsid w:val="00D44B2B"/>
    <w:rsid w:val="00D44B5D"/>
    <w:rsid w:val="00D44EC2"/>
    <w:rsid w:val="00D4517E"/>
    <w:rsid w:val="00D4543F"/>
    <w:rsid w:val="00D45502"/>
    <w:rsid w:val="00D45508"/>
    <w:rsid w:val="00D457C5"/>
    <w:rsid w:val="00D4589B"/>
    <w:rsid w:val="00D45EFB"/>
    <w:rsid w:val="00D460EB"/>
    <w:rsid w:val="00D463E2"/>
    <w:rsid w:val="00D4659C"/>
    <w:rsid w:val="00D465DE"/>
    <w:rsid w:val="00D46635"/>
    <w:rsid w:val="00D468D0"/>
    <w:rsid w:val="00D46AE2"/>
    <w:rsid w:val="00D46C8F"/>
    <w:rsid w:val="00D46E4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6B5"/>
    <w:rsid w:val="00D518D4"/>
    <w:rsid w:val="00D51AB2"/>
    <w:rsid w:val="00D51D3E"/>
    <w:rsid w:val="00D51D9F"/>
    <w:rsid w:val="00D51ED2"/>
    <w:rsid w:val="00D51F0A"/>
    <w:rsid w:val="00D5200B"/>
    <w:rsid w:val="00D52478"/>
    <w:rsid w:val="00D524BE"/>
    <w:rsid w:val="00D52956"/>
    <w:rsid w:val="00D52A9A"/>
    <w:rsid w:val="00D52BBC"/>
    <w:rsid w:val="00D52C38"/>
    <w:rsid w:val="00D52CE1"/>
    <w:rsid w:val="00D52CE3"/>
    <w:rsid w:val="00D53235"/>
    <w:rsid w:val="00D536A4"/>
    <w:rsid w:val="00D5392B"/>
    <w:rsid w:val="00D53980"/>
    <w:rsid w:val="00D53989"/>
    <w:rsid w:val="00D5399E"/>
    <w:rsid w:val="00D539DD"/>
    <w:rsid w:val="00D53E5D"/>
    <w:rsid w:val="00D53FF4"/>
    <w:rsid w:val="00D541E0"/>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1B1"/>
    <w:rsid w:val="00D57446"/>
    <w:rsid w:val="00D576BC"/>
    <w:rsid w:val="00D579A6"/>
    <w:rsid w:val="00D579CC"/>
    <w:rsid w:val="00D579EC"/>
    <w:rsid w:val="00D57A73"/>
    <w:rsid w:val="00D57D22"/>
    <w:rsid w:val="00D6022A"/>
    <w:rsid w:val="00D60235"/>
    <w:rsid w:val="00D60339"/>
    <w:rsid w:val="00D6035A"/>
    <w:rsid w:val="00D6053E"/>
    <w:rsid w:val="00D60564"/>
    <w:rsid w:val="00D6083C"/>
    <w:rsid w:val="00D6088B"/>
    <w:rsid w:val="00D6097F"/>
    <w:rsid w:val="00D60C5B"/>
    <w:rsid w:val="00D60EED"/>
    <w:rsid w:val="00D60F21"/>
    <w:rsid w:val="00D615AD"/>
    <w:rsid w:val="00D617CC"/>
    <w:rsid w:val="00D61820"/>
    <w:rsid w:val="00D6183D"/>
    <w:rsid w:val="00D61A02"/>
    <w:rsid w:val="00D61A64"/>
    <w:rsid w:val="00D62208"/>
    <w:rsid w:val="00D625F2"/>
    <w:rsid w:val="00D62868"/>
    <w:rsid w:val="00D62AAF"/>
    <w:rsid w:val="00D62B8A"/>
    <w:rsid w:val="00D634A7"/>
    <w:rsid w:val="00D634E9"/>
    <w:rsid w:val="00D636AA"/>
    <w:rsid w:val="00D63AF6"/>
    <w:rsid w:val="00D63CDA"/>
    <w:rsid w:val="00D643C5"/>
    <w:rsid w:val="00D64791"/>
    <w:rsid w:val="00D647D7"/>
    <w:rsid w:val="00D6480C"/>
    <w:rsid w:val="00D64965"/>
    <w:rsid w:val="00D64A46"/>
    <w:rsid w:val="00D64B5A"/>
    <w:rsid w:val="00D64CE8"/>
    <w:rsid w:val="00D64F53"/>
    <w:rsid w:val="00D65064"/>
    <w:rsid w:val="00D6563A"/>
    <w:rsid w:val="00D656B9"/>
    <w:rsid w:val="00D65A8B"/>
    <w:rsid w:val="00D65BA6"/>
    <w:rsid w:val="00D65E4D"/>
    <w:rsid w:val="00D66132"/>
    <w:rsid w:val="00D66287"/>
    <w:rsid w:val="00D662C9"/>
    <w:rsid w:val="00D665A3"/>
    <w:rsid w:val="00D66B5C"/>
    <w:rsid w:val="00D66CB3"/>
    <w:rsid w:val="00D66CDA"/>
    <w:rsid w:val="00D66CDB"/>
    <w:rsid w:val="00D66EFF"/>
    <w:rsid w:val="00D66F39"/>
    <w:rsid w:val="00D67710"/>
    <w:rsid w:val="00D677CA"/>
    <w:rsid w:val="00D67C18"/>
    <w:rsid w:val="00D70039"/>
    <w:rsid w:val="00D70318"/>
    <w:rsid w:val="00D70604"/>
    <w:rsid w:val="00D70631"/>
    <w:rsid w:val="00D70686"/>
    <w:rsid w:val="00D708BC"/>
    <w:rsid w:val="00D709D6"/>
    <w:rsid w:val="00D70B9C"/>
    <w:rsid w:val="00D70C68"/>
    <w:rsid w:val="00D70C6E"/>
    <w:rsid w:val="00D70E1F"/>
    <w:rsid w:val="00D70EFA"/>
    <w:rsid w:val="00D70F11"/>
    <w:rsid w:val="00D711FF"/>
    <w:rsid w:val="00D714AE"/>
    <w:rsid w:val="00D7165F"/>
    <w:rsid w:val="00D717C5"/>
    <w:rsid w:val="00D71A02"/>
    <w:rsid w:val="00D720F7"/>
    <w:rsid w:val="00D724E2"/>
    <w:rsid w:val="00D72500"/>
    <w:rsid w:val="00D72826"/>
    <w:rsid w:val="00D728E2"/>
    <w:rsid w:val="00D729DC"/>
    <w:rsid w:val="00D72A84"/>
    <w:rsid w:val="00D72B1F"/>
    <w:rsid w:val="00D72D1D"/>
    <w:rsid w:val="00D730FD"/>
    <w:rsid w:val="00D73108"/>
    <w:rsid w:val="00D731EB"/>
    <w:rsid w:val="00D7358E"/>
    <w:rsid w:val="00D7392E"/>
    <w:rsid w:val="00D740D6"/>
    <w:rsid w:val="00D740DB"/>
    <w:rsid w:val="00D7476D"/>
    <w:rsid w:val="00D74933"/>
    <w:rsid w:val="00D749DD"/>
    <w:rsid w:val="00D74A63"/>
    <w:rsid w:val="00D74AF0"/>
    <w:rsid w:val="00D74BDE"/>
    <w:rsid w:val="00D74BFD"/>
    <w:rsid w:val="00D74D0C"/>
    <w:rsid w:val="00D750BA"/>
    <w:rsid w:val="00D750EC"/>
    <w:rsid w:val="00D75160"/>
    <w:rsid w:val="00D7517F"/>
    <w:rsid w:val="00D751B6"/>
    <w:rsid w:val="00D755E7"/>
    <w:rsid w:val="00D756AA"/>
    <w:rsid w:val="00D757BD"/>
    <w:rsid w:val="00D75843"/>
    <w:rsid w:val="00D75DE5"/>
    <w:rsid w:val="00D75FA2"/>
    <w:rsid w:val="00D76097"/>
    <w:rsid w:val="00D765A0"/>
    <w:rsid w:val="00D765D0"/>
    <w:rsid w:val="00D76709"/>
    <w:rsid w:val="00D767A0"/>
    <w:rsid w:val="00D767DB"/>
    <w:rsid w:val="00D7682A"/>
    <w:rsid w:val="00D76E51"/>
    <w:rsid w:val="00D7703D"/>
    <w:rsid w:val="00D776D4"/>
    <w:rsid w:val="00D77800"/>
    <w:rsid w:val="00D779F9"/>
    <w:rsid w:val="00D77BBF"/>
    <w:rsid w:val="00D8040B"/>
    <w:rsid w:val="00D80512"/>
    <w:rsid w:val="00D80567"/>
    <w:rsid w:val="00D80889"/>
    <w:rsid w:val="00D80912"/>
    <w:rsid w:val="00D809AE"/>
    <w:rsid w:val="00D80AF6"/>
    <w:rsid w:val="00D80C3D"/>
    <w:rsid w:val="00D80FB0"/>
    <w:rsid w:val="00D812B7"/>
    <w:rsid w:val="00D81550"/>
    <w:rsid w:val="00D818DD"/>
    <w:rsid w:val="00D81DF1"/>
    <w:rsid w:val="00D81FDE"/>
    <w:rsid w:val="00D820EF"/>
    <w:rsid w:val="00D8231D"/>
    <w:rsid w:val="00D82569"/>
    <w:rsid w:val="00D825DD"/>
    <w:rsid w:val="00D82658"/>
    <w:rsid w:val="00D8297C"/>
    <w:rsid w:val="00D82A80"/>
    <w:rsid w:val="00D82D2A"/>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14D"/>
    <w:rsid w:val="00D85500"/>
    <w:rsid w:val="00D8562E"/>
    <w:rsid w:val="00D85B61"/>
    <w:rsid w:val="00D85C68"/>
    <w:rsid w:val="00D85E34"/>
    <w:rsid w:val="00D85FDD"/>
    <w:rsid w:val="00D862D7"/>
    <w:rsid w:val="00D866CC"/>
    <w:rsid w:val="00D86929"/>
    <w:rsid w:val="00D869CB"/>
    <w:rsid w:val="00D86AF6"/>
    <w:rsid w:val="00D86BC4"/>
    <w:rsid w:val="00D86CDC"/>
    <w:rsid w:val="00D86D0A"/>
    <w:rsid w:val="00D870FF"/>
    <w:rsid w:val="00D874B9"/>
    <w:rsid w:val="00D879F1"/>
    <w:rsid w:val="00D87A10"/>
    <w:rsid w:val="00D87A6E"/>
    <w:rsid w:val="00D87EAA"/>
    <w:rsid w:val="00D900EF"/>
    <w:rsid w:val="00D9026F"/>
    <w:rsid w:val="00D90555"/>
    <w:rsid w:val="00D90689"/>
    <w:rsid w:val="00D907B3"/>
    <w:rsid w:val="00D9089A"/>
    <w:rsid w:val="00D90932"/>
    <w:rsid w:val="00D90C91"/>
    <w:rsid w:val="00D90CD2"/>
    <w:rsid w:val="00D91148"/>
    <w:rsid w:val="00D912E6"/>
    <w:rsid w:val="00D913F5"/>
    <w:rsid w:val="00D9151E"/>
    <w:rsid w:val="00D91D74"/>
    <w:rsid w:val="00D91E52"/>
    <w:rsid w:val="00D91E68"/>
    <w:rsid w:val="00D9201D"/>
    <w:rsid w:val="00D925AB"/>
    <w:rsid w:val="00D927FF"/>
    <w:rsid w:val="00D92877"/>
    <w:rsid w:val="00D9294C"/>
    <w:rsid w:val="00D92A24"/>
    <w:rsid w:val="00D92BFF"/>
    <w:rsid w:val="00D92DA4"/>
    <w:rsid w:val="00D92DE5"/>
    <w:rsid w:val="00D92F09"/>
    <w:rsid w:val="00D930B9"/>
    <w:rsid w:val="00D9341E"/>
    <w:rsid w:val="00D93624"/>
    <w:rsid w:val="00D93725"/>
    <w:rsid w:val="00D937F1"/>
    <w:rsid w:val="00D93FD0"/>
    <w:rsid w:val="00D940D6"/>
    <w:rsid w:val="00D941A4"/>
    <w:rsid w:val="00D944F1"/>
    <w:rsid w:val="00D94521"/>
    <w:rsid w:val="00D9471D"/>
    <w:rsid w:val="00D94A2A"/>
    <w:rsid w:val="00D94A4A"/>
    <w:rsid w:val="00D94A8C"/>
    <w:rsid w:val="00D94BA6"/>
    <w:rsid w:val="00D94C8A"/>
    <w:rsid w:val="00D94E8F"/>
    <w:rsid w:val="00D94F9F"/>
    <w:rsid w:val="00D95051"/>
    <w:rsid w:val="00D9508E"/>
    <w:rsid w:val="00D95460"/>
    <w:rsid w:val="00D95638"/>
    <w:rsid w:val="00D95963"/>
    <w:rsid w:val="00D95B84"/>
    <w:rsid w:val="00D95CB4"/>
    <w:rsid w:val="00D95E94"/>
    <w:rsid w:val="00D95F9E"/>
    <w:rsid w:val="00D96231"/>
    <w:rsid w:val="00D9665C"/>
    <w:rsid w:val="00D96714"/>
    <w:rsid w:val="00D9682F"/>
    <w:rsid w:val="00D969F4"/>
    <w:rsid w:val="00D96AFE"/>
    <w:rsid w:val="00D96EA9"/>
    <w:rsid w:val="00D97320"/>
    <w:rsid w:val="00D97358"/>
    <w:rsid w:val="00D9784A"/>
    <w:rsid w:val="00D978E5"/>
    <w:rsid w:val="00D97D00"/>
    <w:rsid w:val="00D97EFE"/>
    <w:rsid w:val="00DA008F"/>
    <w:rsid w:val="00DA01BF"/>
    <w:rsid w:val="00DA051C"/>
    <w:rsid w:val="00DA08BB"/>
    <w:rsid w:val="00DA09AF"/>
    <w:rsid w:val="00DA09D2"/>
    <w:rsid w:val="00DA0B44"/>
    <w:rsid w:val="00DA14F6"/>
    <w:rsid w:val="00DA1801"/>
    <w:rsid w:val="00DA1803"/>
    <w:rsid w:val="00DA1923"/>
    <w:rsid w:val="00DA1EB1"/>
    <w:rsid w:val="00DA1F2D"/>
    <w:rsid w:val="00DA1F83"/>
    <w:rsid w:val="00DA2176"/>
    <w:rsid w:val="00DA2223"/>
    <w:rsid w:val="00DA2238"/>
    <w:rsid w:val="00DA22ED"/>
    <w:rsid w:val="00DA24E6"/>
    <w:rsid w:val="00DA26FA"/>
    <w:rsid w:val="00DA2720"/>
    <w:rsid w:val="00DA2838"/>
    <w:rsid w:val="00DA2885"/>
    <w:rsid w:val="00DA2890"/>
    <w:rsid w:val="00DA291F"/>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4BE7"/>
    <w:rsid w:val="00DA5281"/>
    <w:rsid w:val="00DA5446"/>
    <w:rsid w:val="00DA5E4B"/>
    <w:rsid w:val="00DA6189"/>
    <w:rsid w:val="00DA64D7"/>
    <w:rsid w:val="00DA6A3D"/>
    <w:rsid w:val="00DA7613"/>
    <w:rsid w:val="00DA7622"/>
    <w:rsid w:val="00DA7637"/>
    <w:rsid w:val="00DA77EB"/>
    <w:rsid w:val="00DA7BE9"/>
    <w:rsid w:val="00DA7C43"/>
    <w:rsid w:val="00DA7D70"/>
    <w:rsid w:val="00DA7E37"/>
    <w:rsid w:val="00DA7FD7"/>
    <w:rsid w:val="00DB0259"/>
    <w:rsid w:val="00DB072F"/>
    <w:rsid w:val="00DB0B56"/>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2AEC"/>
    <w:rsid w:val="00DB3507"/>
    <w:rsid w:val="00DB37CD"/>
    <w:rsid w:val="00DB39D1"/>
    <w:rsid w:val="00DB3F0A"/>
    <w:rsid w:val="00DB40AC"/>
    <w:rsid w:val="00DB41CC"/>
    <w:rsid w:val="00DB4665"/>
    <w:rsid w:val="00DB46B9"/>
    <w:rsid w:val="00DB4937"/>
    <w:rsid w:val="00DB49E5"/>
    <w:rsid w:val="00DB4AFF"/>
    <w:rsid w:val="00DB4B12"/>
    <w:rsid w:val="00DB4B7C"/>
    <w:rsid w:val="00DB4C97"/>
    <w:rsid w:val="00DB52BA"/>
    <w:rsid w:val="00DB53FD"/>
    <w:rsid w:val="00DB5400"/>
    <w:rsid w:val="00DB54EB"/>
    <w:rsid w:val="00DB5A4C"/>
    <w:rsid w:val="00DB5AA2"/>
    <w:rsid w:val="00DB5B85"/>
    <w:rsid w:val="00DB5E56"/>
    <w:rsid w:val="00DB6066"/>
    <w:rsid w:val="00DB6115"/>
    <w:rsid w:val="00DB61CF"/>
    <w:rsid w:val="00DB61F1"/>
    <w:rsid w:val="00DB68DD"/>
    <w:rsid w:val="00DB6958"/>
    <w:rsid w:val="00DB6A30"/>
    <w:rsid w:val="00DB6B9B"/>
    <w:rsid w:val="00DB6BDA"/>
    <w:rsid w:val="00DB6E0A"/>
    <w:rsid w:val="00DB6F45"/>
    <w:rsid w:val="00DB7168"/>
    <w:rsid w:val="00DB7670"/>
    <w:rsid w:val="00DB76E4"/>
    <w:rsid w:val="00DB7A6D"/>
    <w:rsid w:val="00DB7BE0"/>
    <w:rsid w:val="00DB7C25"/>
    <w:rsid w:val="00DB7FA0"/>
    <w:rsid w:val="00DB7FF4"/>
    <w:rsid w:val="00DC00FF"/>
    <w:rsid w:val="00DC0129"/>
    <w:rsid w:val="00DC0191"/>
    <w:rsid w:val="00DC0211"/>
    <w:rsid w:val="00DC022C"/>
    <w:rsid w:val="00DC02B3"/>
    <w:rsid w:val="00DC0646"/>
    <w:rsid w:val="00DC07AC"/>
    <w:rsid w:val="00DC07F1"/>
    <w:rsid w:val="00DC09CD"/>
    <w:rsid w:val="00DC0A11"/>
    <w:rsid w:val="00DC0AA5"/>
    <w:rsid w:val="00DC0F1F"/>
    <w:rsid w:val="00DC1121"/>
    <w:rsid w:val="00DC12EB"/>
    <w:rsid w:val="00DC135F"/>
    <w:rsid w:val="00DC16EC"/>
    <w:rsid w:val="00DC1B38"/>
    <w:rsid w:val="00DC1BA2"/>
    <w:rsid w:val="00DC1BD3"/>
    <w:rsid w:val="00DC1C8D"/>
    <w:rsid w:val="00DC22CF"/>
    <w:rsid w:val="00DC23C5"/>
    <w:rsid w:val="00DC2492"/>
    <w:rsid w:val="00DC252C"/>
    <w:rsid w:val="00DC25B5"/>
    <w:rsid w:val="00DC26F6"/>
    <w:rsid w:val="00DC27BC"/>
    <w:rsid w:val="00DC2904"/>
    <w:rsid w:val="00DC2926"/>
    <w:rsid w:val="00DC29B5"/>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4FCC"/>
    <w:rsid w:val="00DC511F"/>
    <w:rsid w:val="00DC551C"/>
    <w:rsid w:val="00DC58BD"/>
    <w:rsid w:val="00DC5931"/>
    <w:rsid w:val="00DC5A0D"/>
    <w:rsid w:val="00DC5C6C"/>
    <w:rsid w:val="00DC5E12"/>
    <w:rsid w:val="00DC5F93"/>
    <w:rsid w:val="00DC6203"/>
    <w:rsid w:val="00DC62FB"/>
    <w:rsid w:val="00DC6387"/>
    <w:rsid w:val="00DC6685"/>
    <w:rsid w:val="00DC6868"/>
    <w:rsid w:val="00DC6B52"/>
    <w:rsid w:val="00DC6BD3"/>
    <w:rsid w:val="00DC6DCC"/>
    <w:rsid w:val="00DC6F0E"/>
    <w:rsid w:val="00DC7000"/>
    <w:rsid w:val="00DC742E"/>
    <w:rsid w:val="00DC78B7"/>
    <w:rsid w:val="00DC7CB1"/>
    <w:rsid w:val="00DC7F46"/>
    <w:rsid w:val="00DC7FD6"/>
    <w:rsid w:val="00DD0135"/>
    <w:rsid w:val="00DD0249"/>
    <w:rsid w:val="00DD042F"/>
    <w:rsid w:val="00DD05DC"/>
    <w:rsid w:val="00DD061A"/>
    <w:rsid w:val="00DD0948"/>
    <w:rsid w:val="00DD0A75"/>
    <w:rsid w:val="00DD0A7A"/>
    <w:rsid w:val="00DD0B37"/>
    <w:rsid w:val="00DD0D06"/>
    <w:rsid w:val="00DD1017"/>
    <w:rsid w:val="00DD1042"/>
    <w:rsid w:val="00DD1105"/>
    <w:rsid w:val="00DD1213"/>
    <w:rsid w:val="00DD12B1"/>
    <w:rsid w:val="00DD14EB"/>
    <w:rsid w:val="00DD1511"/>
    <w:rsid w:val="00DD168F"/>
    <w:rsid w:val="00DD16DB"/>
    <w:rsid w:val="00DD17AC"/>
    <w:rsid w:val="00DD19B2"/>
    <w:rsid w:val="00DD1B07"/>
    <w:rsid w:val="00DD1CDB"/>
    <w:rsid w:val="00DD20D2"/>
    <w:rsid w:val="00DD247B"/>
    <w:rsid w:val="00DD255F"/>
    <w:rsid w:val="00DD270C"/>
    <w:rsid w:val="00DD274B"/>
    <w:rsid w:val="00DD277A"/>
    <w:rsid w:val="00DD2A72"/>
    <w:rsid w:val="00DD2A99"/>
    <w:rsid w:val="00DD2AAB"/>
    <w:rsid w:val="00DD2F61"/>
    <w:rsid w:val="00DD30B6"/>
    <w:rsid w:val="00DD3386"/>
    <w:rsid w:val="00DD3534"/>
    <w:rsid w:val="00DD37B6"/>
    <w:rsid w:val="00DD38C7"/>
    <w:rsid w:val="00DD3949"/>
    <w:rsid w:val="00DD3AB4"/>
    <w:rsid w:val="00DD3AEB"/>
    <w:rsid w:val="00DD3BAA"/>
    <w:rsid w:val="00DD3C15"/>
    <w:rsid w:val="00DD4022"/>
    <w:rsid w:val="00DD419B"/>
    <w:rsid w:val="00DD4212"/>
    <w:rsid w:val="00DD42BA"/>
    <w:rsid w:val="00DD450E"/>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5F03"/>
    <w:rsid w:val="00DD60CD"/>
    <w:rsid w:val="00DD6C24"/>
    <w:rsid w:val="00DD70F4"/>
    <w:rsid w:val="00DD786C"/>
    <w:rsid w:val="00DD7A73"/>
    <w:rsid w:val="00DE0181"/>
    <w:rsid w:val="00DE0556"/>
    <w:rsid w:val="00DE074F"/>
    <w:rsid w:val="00DE0B91"/>
    <w:rsid w:val="00DE0CD8"/>
    <w:rsid w:val="00DE0EA8"/>
    <w:rsid w:val="00DE110E"/>
    <w:rsid w:val="00DE12F3"/>
    <w:rsid w:val="00DE14EF"/>
    <w:rsid w:val="00DE1911"/>
    <w:rsid w:val="00DE1B4F"/>
    <w:rsid w:val="00DE1D2D"/>
    <w:rsid w:val="00DE1D7C"/>
    <w:rsid w:val="00DE2066"/>
    <w:rsid w:val="00DE26F6"/>
    <w:rsid w:val="00DE28F2"/>
    <w:rsid w:val="00DE291A"/>
    <w:rsid w:val="00DE2C38"/>
    <w:rsid w:val="00DE2D63"/>
    <w:rsid w:val="00DE2DB0"/>
    <w:rsid w:val="00DE305A"/>
    <w:rsid w:val="00DE30C2"/>
    <w:rsid w:val="00DE33E1"/>
    <w:rsid w:val="00DE352E"/>
    <w:rsid w:val="00DE354E"/>
    <w:rsid w:val="00DE35B6"/>
    <w:rsid w:val="00DE3600"/>
    <w:rsid w:val="00DE3658"/>
    <w:rsid w:val="00DE3660"/>
    <w:rsid w:val="00DE3678"/>
    <w:rsid w:val="00DE3740"/>
    <w:rsid w:val="00DE3825"/>
    <w:rsid w:val="00DE3DFE"/>
    <w:rsid w:val="00DE3F79"/>
    <w:rsid w:val="00DE4462"/>
    <w:rsid w:val="00DE4561"/>
    <w:rsid w:val="00DE4976"/>
    <w:rsid w:val="00DE4C64"/>
    <w:rsid w:val="00DE4ED8"/>
    <w:rsid w:val="00DE5059"/>
    <w:rsid w:val="00DE525F"/>
    <w:rsid w:val="00DE5337"/>
    <w:rsid w:val="00DE534B"/>
    <w:rsid w:val="00DE5CD3"/>
    <w:rsid w:val="00DE5DAE"/>
    <w:rsid w:val="00DE5E17"/>
    <w:rsid w:val="00DE5F9A"/>
    <w:rsid w:val="00DE6233"/>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5DA"/>
    <w:rsid w:val="00DF06D1"/>
    <w:rsid w:val="00DF08F5"/>
    <w:rsid w:val="00DF0AC7"/>
    <w:rsid w:val="00DF0BC6"/>
    <w:rsid w:val="00DF0D75"/>
    <w:rsid w:val="00DF0EE1"/>
    <w:rsid w:val="00DF1197"/>
    <w:rsid w:val="00DF1548"/>
    <w:rsid w:val="00DF16FA"/>
    <w:rsid w:val="00DF17C5"/>
    <w:rsid w:val="00DF1827"/>
    <w:rsid w:val="00DF1B32"/>
    <w:rsid w:val="00DF1D3D"/>
    <w:rsid w:val="00DF1F3B"/>
    <w:rsid w:val="00DF2199"/>
    <w:rsid w:val="00DF227B"/>
    <w:rsid w:val="00DF22D3"/>
    <w:rsid w:val="00DF24C3"/>
    <w:rsid w:val="00DF24D4"/>
    <w:rsid w:val="00DF24D5"/>
    <w:rsid w:val="00DF2741"/>
    <w:rsid w:val="00DF28C3"/>
    <w:rsid w:val="00DF28CB"/>
    <w:rsid w:val="00DF2983"/>
    <w:rsid w:val="00DF2E58"/>
    <w:rsid w:val="00DF2E73"/>
    <w:rsid w:val="00DF3087"/>
    <w:rsid w:val="00DF32A0"/>
    <w:rsid w:val="00DF35EF"/>
    <w:rsid w:val="00DF3705"/>
    <w:rsid w:val="00DF3848"/>
    <w:rsid w:val="00DF3A86"/>
    <w:rsid w:val="00DF3CC2"/>
    <w:rsid w:val="00DF3D7C"/>
    <w:rsid w:val="00DF3FB0"/>
    <w:rsid w:val="00DF40BD"/>
    <w:rsid w:val="00DF418E"/>
    <w:rsid w:val="00DF4758"/>
    <w:rsid w:val="00DF48F5"/>
    <w:rsid w:val="00DF4927"/>
    <w:rsid w:val="00DF4F79"/>
    <w:rsid w:val="00DF507F"/>
    <w:rsid w:val="00DF554D"/>
    <w:rsid w:val="00DF576F"/>
    <w:rsid w:val="00DF58BC"/>
    <w:rsid w:val="00DF5BE3"/>
    <w:rsid w:val="00DF5D06"/>
    <w:rsid w:val="00DF5F70"/>
    <w:rsid w:val="00DF6122"/>
    <w:rsid w:val="00DF6148"/>
    <w:rsid w:val="00DF62DB"/>
    <w:rsid w:val="00DF6353"/>
    <w:rsid w:val="00DF6667"/>
    <w:rsid w:val="00DF66B7"/>
    <w:rsid w:val="00DF68C4"/>
    <w:rsid w:val="00DF6C35"/>
    <w:rsid w:val="00DF6DD9"/>
    <w:rsid w:val="00DF7124"/>
    <w:rsid w:val="00DF7233"/>
    <w:rsid w:val="00DF7320"/>
    <w:rsid w:val="00DF7433"/>
    <w:rsid w:val="00DF7465"/>
    <w:rsid w:val="00DF7560"/>
    <w:rsid w:val="00DF7682"/>
    <w:rsid w:val="00DF78DE"/>
    <w:rsid w:val="00DF7CA6"/>
    <w:rsid w:val="00DF7CA7"/>
    <w:rsid w:val="00DF7D59"/>
    <w:rsid w:val="00DF7F6D"/>
    <w:rsid w:val="00DF7F9B"/>
    <w:rsid w:val="00E003DE"/>
    <w:rsid w:val="00E005AA"/>
    <w:rsid w:val="00E005D4"/>
    <w:rsid w:val="00E0095A"/>
    <w:rsid w:val="00E00A7F"/>
    <w:rsid w:val="00E00B7F"/>
    <w:rsid w:val="00E00BAB"/>
    <w:rsid w:val="00E00CA8"/>
    <w:rsid w:val="00E00E2E"/>
    <w:rsid w:val="00E010F1"/>
    <w:rsid w:val="00E01174"/>
    <w:rsid w:val="00E01404"/>
    <w:rsid w:val="00E017F5"/>
    <w:rsid w:val="00E019FC"/>
    <w:rsid w:val="00E01A90"/>
    <w:rsid w:val="00E01EF8"/>
    <w:rsid w:val="00E0209A"/>
    <w:rsid w:val="00E02147"/>
    <w:rsid w:val="00E02795"/>
    <w:rsid w:val="00E02815"/>
    <w:rsid w:val="00E0316F"/>
    <w:rsid w:val="00E0353D"/>
    <w:rsid w:val="00E03549"/>
    <w:rsid w:val="00E03709"/>
    <w:rsid w:val="00E0370A"/>
    <w:rsid w:val="00E03898"/>
    <w:rsid w:val="00E03AC2"/>
    <w:rsid w:val="00E03C94"/>
    <w:rsid w:val="00E04144"/>
    <w:rsid w:val="00E04386"/>
    <w:rsid w:val="00E044A6"/>
    <w:rsid w:val="00E0470E"/>
    <w:rsid w:val="00E04B1D"/>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A3D"/>
    <w:rsid w:val="00E05B55"/>
    <w:rsid w:val="00E05B8F"/>
    <w:rsid w:val="00E05F66"/>
    <w:rsid w:val="00E063E2"/>
    <w:rsid w:val="00E06454"/>
    <w:rsid w:val="00E06E26"/>
    <w:rsid w:val="00E0712A"/>
    <w:rsid w:val="00E07179"/>
    <w:rsid w:val="00E074A7"/>
    <w:rsid w:val="00E07511"/>
    <w:rsid w:val="00E0760B"/>
    <w:rsid w:val="00E07955"/>
    <w:rsid w:val="00E07B62"/>
    <w:rsid w:val="00E07DD8"/>
    <w:rsid w:val="00E07E21"/>
    <w:rsid w:val="00E07E9C"/>
    <w:rsid w:val="00E07EB8"/>
    <w:rsid w:val="00E07F78"/>
    <w:rsid w:val="00E1015B"/>
    <w:rsid w:val="00E10385"/>
    <w:rsid w:val="00E103F8"/>
    <w:rsid w:val="00E105EA"/>
    <w:rsid w:val="00E114E8"/>
    <w:rsid w:val="00E11A5E"/>
    <w:rsid w:val="00E11A99"/>
    <w:rsid w:val="00E11B19"/>
    <w:rsid w:val="00E11BAF"/>
    <w:rsid w:val="00E11BE3"/>
    <w:rsid w:val="00E11E72"/>
    <w:rsid w:val="00E11E7E"/>
    <w:rsid w:val="00E12054"/>
    <w:rsid w:val="00E12088"/>
    <w:rsid w:val="00E120CF"/>
    <w:rsid w:val="00E121DE"/>
    <w:rsid w:val="00E122A5"/>
    <w:rsid w:val="00E1247E"/>
    <w:rsid w:val="00E125FB"/>
    <w:rsid w:val="00E129D0"/>
    <w:rsid w:val="00E12A19"/>
    <w:rsid w:val="00E12B44"/>
    <w:rsid w:val="00E12D6F"/>
    <w:rsid w:val="00E12FDB"/>
    <w:rsid w:val="00E12FE6"/>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43C6"/>
    <w:rsid w:val="00E145FF"/>
    <w:rsid w:val="00E14731"/>
    <w:rsid w:val="00E14759"/>
    <w:rsid w:val="00E148D1"/>
    <w:rsid w:val="00E149FB"/>
    <w:rsid w:val="00E14A23"/>
    <w:rsid w:val="00E14A5F"/>
    <w:rsid w:val="00E14E2B"/>
    <w:rsid w:val="00E1521C"/>
    <w:rsid w:val="00E1524E"/>
    <w:rsid w:val="00E152EE"/>
    <w:rsid w:val="00E15474"/>
    <w:rsid w:val="00E15572"/>
    <w:rsid w:val="00E159CE"/>
    <w:rsid w:val="00E15A95"/>
    <w:rsid w:val="00E15B88"/>
    <w:rsid w:val="00E15E01"/>
    <w:rsid w:val="00E15FE0"/>
    <w:rsid w:val="00E15FEE"/>
    <w:rsid w:val="00E1628B"/>
    <w:rsid w:val="00E163A6"/>
    <w:rsid w:val="00E16D4A"/>
    <w:rsid w:val="00E16E02"/>
    <w:rsid w:val="00E16E17"/>
    <w:rsid w:val="00E16E1B"/>
    <w:rsid w:val="00E16F85"/>
    <w:rsid w:val="00E172CA"/>
    <w:rsid w:val="00E1738E"/>
    <w:rsid w:val="00E173E4"/>
    <w:rsid w:val="00E174D6"/>
    <w:rsid w:val="00E17545"/>
    <w:rsid w:val="00E17A6E"/>
    <w:rsid w:val="00E20190"/>
    <w:rsid w:val="00E2034C"/>
    <w:rsid w:val="00E20392"/>
    <w:rsid w:val="00E204DE"/>
    <w:rsid w:val="00E204FE"/>
    <w:rsid w:val="00E206C3"/>
    <w:rsid w:val="00E20AA7"/>
    <w:rsid w:val="00E20AD5"/>
    <w:rsid w:val="00E20B39"/>
    <w:rsid w:val="00E20DF1"/>
    <w:rsid w:val="00E20E9D"/>
    <w:rsid w:val="00E20F3E"/>
    <w:rsid w:val="00E20FCC"/>
    <w:rsid w:val="00E21139"/>
    <w:rsid w:val="00E211C5"/>
    <w:rsid w:val="00E21364"/>
    <w:rsid w:val="00E21697"/>
    <w:rsid w:val="00E21823"/>
    <w:rsid w:val="00E21A01"/>
    <w:rsid w:val="00E21BC5"/>
    <w:rsid w:val="00E21E37"/>
    <w:rsid w:val="00E21E47"/>
    <w:rsid w:val="00E21E5E"/>
    <w:rsid w:val="00E21F7B"/>
    <w:rsid w:val="00E22096"/>
    <w:rsid w:val="00E221B9"/>
    <w:rsid w:val="00E22335"/>
    <w:rsid w:val="00E2251F"/>
    <w:rsid w:val="00E228E5"/>
    <w:rsid w:val="00E22B6E"/>
    <w:rsid w:val="00E22C48"/>
    <w:rsid w:val="00E22C52"/>
    <w:rsid w:val="00E22D99"/>
    <w:rsid w:val="00E230E5"/>
    <w:rsid w:val="00E23159"/>
    <w:rsid w:val="00E23263"/>
    <w:rsid w:val="00E23366"/>
    <w:rsid w:val="00E233D1"/>
    <w:rsid w:val="00E2347F"/>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83"/>
    <w:rsid w:val="00E24ED2"/>
    <w:rsid w:val="00E25213"/>
    <w:rsid w:val="00E25A72"/>
    <w:rsid w:val="00E25B4C"/>
    <w:rsid w:val="00E25CCF"/>
    <w:rsid w:val="00E25D73"/>
    <w:rsid w:val="00E25F74"/>
    <w:rsid w:val="00E25FD4"/>
    <w:rsid w:val="00E26300"/>
    <w:rsid w:val="00E263D8"/>
    <w:rsid w:val="00E269D7"/>
    <w:rsid w:val="00E26D53"/>
    <w:rsid w:val="00E26E81"/>
    <w:rsid w:val="00E26F32"/>
    <w:rsid w:val="00E270B1"/>
    <w:rsid w:val="00E2716E"/>
    <w:rsid w:val="00E27435"/>
    <w:rsid w:val="00E27527"/>
    <w:rsid w:val="00E2767F"/>
    <w:rsid w:val="00E276DE"/>
    <w:rsid w:val="00E278F2"/>
    <w:rsid w:val="00E27A53"/>
    <w:rsid w:val="00E27C79"/>
    <w:rsid w:val="00E27D41"/>
    <w:rsid w:val="00E300BD"/>
    <w:rsid w:val="00E3083D"/>
    <w:rsid w:val="00E30897"/>
    <w:rsid w:val="00E309D2"/>
    <w:rsid w:val="00E30ACA"/>
    <w:rsid w:val="00E30AFB"/>
    <w:rsid w:val="00E30E94"/>
    <w:rsid w:val="00E30FC5"/>
    <w:rsid w:val="00E31057"/>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30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3F"/>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259"/>
    <w:rsid w:val="00E375BA"/>
    <w:rsid w:val="00E3763A"/>
    <w:rsid w:val="00E3769A"/>
    <w:rsid w:val="00E378C4"/>
    <w:rsid w:val="00E378EC"/>
    <w:rsid w:val="00E379F2"/>
    <w:rsid w:val="00E37AA0"/>
    <w:rsid w:val="00E37B9B"/>
    <w:rsid w:val="00E37BA8"/>
    <w:rsid w:val="00E37CD4"/>
    <w:rsid w:val="00E37E8E"/>
    <w:rsid w:val="00E37F75"/>
    <w:rsid w:val="00E37FD7"/>
    <w:rsid w:val="00E4019B"/>
    <w:rsid w:val="00E4081E"/>
    <w:rsid w:val="00E40AEB"/>
    <w:rsid w:val="00E40F6D"/>
    <w:rsid w:val="00E410A5"/>
    <w:rsid w:val="00E413E9"/>
    <w:rsid w:val="00E41465"/>
    <w:rsid w:val="00E41728"/>
    <w:rsid w:val="00E418F5"/>
    <w:rsid w:val="00E4198A"/>
    <w:rsid w:val="00E42218"/>
    <w:rsid w:val="00E422FC"/>
    <w:rsid w:val="00E42357"/>
    <w:rsid w:val="00E424A4"/>
    <w:rsid w:val="00E42525"/>
    <w:rsid w:val="00E4269E"/>
    <w:rsid w:val="00E426F9"/>
    <w:rsid w:val="00E427CE"/>
    <w:rsid w:val="00E429DB"/>
    <w:rsid w:val="00E42CF7"/>
    <w:rsid w:val="00E42D92"/>
    <w:rsid w:val="00E42D96"/>
    <w:rsid w:val="00E4313D"/>
    <w:rsid w:val="00E431E9"/>
    <w:rsid w:val="00E43322"/>
    <w:rsid w:val="00E4340D"/>
    <w:rsid w:val="00E43453"/>
    <w:rsid w:val="00E4361F"/>
    <w:rsid w:val="00E438F9"/>
    <w:rsid w:val="00E439B7"/>
    <w:rsid w:val="00E4420B"/>
    <w:rsid w:val="00E44235"/>
    <w:rsid w:val="00E44521"/>
    <w:rsid w:val="00E445A4"/>
    <w:rsid w:val="00E44813"/>
    <w:rsid w:val="00E44907"/>
    <w:rsid w:val="00E44E88"/>
    <w:rsid w:val="00E45159"/>
    <w:rsid w:val="00E4522F"/>
    <w:rsid w:val="00E4524E"/>
    <w:rsid w:val="00E4531F"/>
    <w:rsid w:val="00E455C8"/>
    <w:rsid w:val="00E456B8"/>
    <w:rsid w:val="00E456D5"/>
    <w:rsid w:val="00E45D0B"/>
    <w:rsid w:val="00E45DD3"/>
    <w:rsid w:val="00E45E50"/>
    <w:rsid w:val="00E460D5"/>
    <w:rsid w:val="00E46116"/>
    <w:rsid w:val="00E46235"/>
    <w:rsid w:val="00E46249"/>
    <w:rsid w:val="00E4656D"/>
    <w:rsid w:val="00E46676"/>
    <w:rsid w:val="00E46989"/>
    <w:rsid w:val="00E46CB0"/>
    <w:rsid w:val="00E46D65"/>
    <w:rsid w:val="00E4702F"/>
    <w:rsid w:val="00E47530"/>
    <w:rsid w:val="00E47550"/>
    <w:rsid w:val="00E477B9"/>
    <w:rsid w:val="00E47A00"/>
    <w:rsid w:val="00E47A5E"/>
    <w:rsid w:val="00E47B48"/>
    <w:rsid w:val="00E47F05"/>
    <w:rsid w:val="00E500A1"/>
    <w:rsid w:val="00E5019D"/>
    <w:rsid w:val="00E501CA"/>
    <w:rsid w:val="00E502F0"/>
    <w:rsid w:val="00E50475"/>
    <w:rsid w:val="00E508AD"/>
    <w:rsid w:val="00E509AB"/>
    <w:rsid w:val="00E509DF"/>
    <w:rsid w:val="00E50CEC"/>
    <w:rsid w:val="00E50EF3"/>
    <w:rsid w:val="00E50F46"/>
    <w:rsid w:val="00E519BB"/>
    <w:rsid w:val="00E51B67"/>
    <w:rsid w:val="00E51E55"/>
    <w:rsid w:val="00E52544"/>
    <w:rsid w:val="00E52569"/>
    <w:rsid w:val="00E53101"/>
    <w:rsid w:val="00E53182"/>
    <w:rsid w:val="00E533B0"/>
    <w:rsid w:val="00E53404"/>
    <w:rsid w:val="00E53541"/>
    <w:rsid w:val="00E536F4"/>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4D66"/>
    <w:rsid w:val="00E550BE"/>
    <w:rsid w:val="00E55275"/>
    <w:rsid w:val="00E552C2"/>
    <w:rsid w:val="00E553FE"/>
    <w:rsid w:val="00E55531"/>
    <w:rsid w:val="00E5556D"/>
    <w:rsid w:val="00E55679"/>
    <w:rsid w:val="00E55F2E"/>
    <w:rsid w:val="00E561B5"/>
    <w:rsid w:val="00E5640A"/>
    <w:rsid w:val="00E56599"/>
    <w:rsid w:val="00E568A7"/>
    <w:rsid w:val="00E56C87"/>
    <w:rsid w:val="00E56F06"/>
    <w:rsid w:val="00E57630"/>
    <w:rsid w:val="00E57AE6"/>
    <w:rsid w:val="00E57B97"/>
    <w:rsid w:val="00E57CA4"/>
    <w:rsid w:val="00E57CB5"/>
    <w:rsid w:val="00E57DE8"/>
    <w:rsid w:val="00E57EEF"/>
    <w:rsid w:val="00E600E4"/>
    <w:rsid w:val="00E60523"/>
    <w:rsid w:val="00E60648"/>
    <w:rsid w:val="00E608B4"/>
    <w:rsid w:val="00E608D3"/>
    <w:rsid w:val="00E608FC"/>
    <w:rsid w:val="00E60C56"/>
    <w:rsid w:val="00E60FA3"/>
    <w:rsid w:val="00E6110C"/>
    <w:rsid w:val="00E613AB"/>
    <w:rsid w:val="00E6148E"/>
    <w:rsid w:val="00E6178E"/>
    <w:rsid w:val="00E61919"/>
    <w:rsid w:val="00E61B0B"/>
    <w:rsid w:val="00E61C4A"/>
    <w:rsid w:val="00E61D79"/>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BB1"/>
    <w:rsid w:val="00E63FEC"/>
    <w:rsid w:val="00E64107"/>
    <w:rsid w:val="00E6462F"/>
    <w:rsid w:val="00E64C05"/>
    <w:rsid w:val="00E64EF3"/>
    <w:rsid w:val="00E64F2A"/>
    <w:rsid w:val="00E65083"/>
    <w:rsid w:val="00E65200"/>
    <w:rsid w:val="00E653A1"/>
    <w:rsid w:val="00E6599E"/>
    <w:rsid w:val="00E65A14"/>
    <w:rsid w:val="00E65A52"/>
    <w:rsid w:val="00E65A67"/>
    <w:rsid w:val="00E65B5E"/>
    <w:rsid w:val="00E65B73"/>
    <w:rsid w:val="00E65D02"/>
    <w:rsid w:val="00E65E44"/>
    <w:rsid w:val="00E65EE9"/>
    <w:rsid w:val="00E65F8A"/>
    <w:rsid w:val="00E65FFC"/>
    <w:rsid w:val="00E6608E"/>
    <w:rsid w:val="00E6609F"/>
    <w:rsid w:val="00E661E3"/>
    <w:rsid w:val="00E6657D"/>
    <w:rsid w:val="00E665A5"/>
    <w:rsid w:val="00E665F0"/>
    <w:rsid w:val="00E66621"/>
    <w:rsid w:val="00E666EC"/>
    <w:rsid w:val="00E66729"/>
    <w:rsid w:val="00E667C1"/>
    <w:rsid w:val="00E66824"/>
    <w:rsid w:val="00E66858"/>
    <w:rsid w:val="00E668BA"/>
    <w:rsid w:val="00E66F28"/>
    <w:rsid w:val="00E6731C"/>
    <w:rsid w:val="00E67357"/>
    <w:rsid w:val="00E674BF"/>
    <w:rsid w:val="00E676B8"/>
    <w:rsid w:val="00E67998"/>
    <w:rsid w:val="00E67BA0"/>
    <w:rsid w:val="00E67E01"/>
    <w:rsid w:val="00E70014"/>
    <w:rsid w:val="00E701E5"/>
    <w:rsid w:val="00E701EB"/>
    <w:rsid w:val="00E7034D"/>
    <w:rsid w:val="00E703D6"/>
    <w:rsid w:val="00E705A6"/>
    <w:rsid w:val="00E7065B"/>
    <w:rsid w:val="00E70682"/>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7F"/>
    <w:rsid w:val="00E71CB7"/>
    <w:rsid w:val="00E71DA5"/>
    <w:rsid w:val="00E7206D"/>
    <w:rsid w:val="00E720FB"/>
    <w:rsid w:val="00E7219D"/>
    <w:rsid w:val="00E72697"/>
    <w:rsid w:val="00E72926"/>
    <w:rsid w:val="00E72C50"/>
    <w:rsid w:val="00E72ECE"/>
    <w:rsid w:val="00E72F7C"/>
    <w:rsid w:val="00E72FD4"/>
    <w:rsid w:val="00E7337C"/>
    <w:rsid w:val="00E73745"/>
    <w:rsid w:val="00E73865"/>
    <w:rsid w:val="00E73A7D"/>
    <w:rsid w:val="00E73BF9"/>
    <w:rsid w:val="00E74064"/>
    <w:rsid w:val="00E740BA"/>
    <w:rsid w:val="00E74148"/>
    <w:rsid w:val="00E74228"/>
    <w:rsid w:val="00E74BA6"/>
    <w:rsid w:val="00E74EA0"/>
    <w:rsid w:val="00E74ED0"/>
    <w:rsid w:val="00E750C5"/>
    <w:rsid w:val="00E75156"/>
    <w:rsid w:val="00E75422"/>
    <w:rsid w:val="00E75467"/>
    <w:rsid w:val="00E75947"/>
    <w:rsid w:val="00E7596A"/>
    <w:rsid w:val="00E759B2"/>
    <w:rsid w:val="00E75B45"/>
    <w:rsid w:val="00E75FC2"/>
    <w:rsid w:val="00E76045"/>
    <w:rsid w:val="00E7623A"/>
    <w:rsid w:val="00E762C5"/>
    <w:rsid w:val="00E763A2"/>
    <w:rsid w:val="00E7641C"/>
    <w:rsid w:val="00E7642C"/>
    <w:rsid w:val="00E764AC"/>
    <w:rsid w:val="00E765E8"/>
    <w:rsid w:val="00E766E3"/>
    <w:rsid w:val="00E77057"/>
    <w:rsid w:val="00E77111"/>
    <w:rsid w:val="00E771EC"/>
    <w:rsid w:val="00E772AD"/>
    <w:rsid w:val="00E7732E"/>
    <w:rsid w:val="00E7737B"/>
    <w:rsid w:val="00E773E4"/>
    <w:rsid w:val="00E7740C"/>
    <w:rsid w:val="00E77432"/>
    <w:rsid w:val="00E776BB"/>
    <w:rsid w:val="00E777E4"/>
    <w:rsid w:val="00E77A5F"/>
    <w:rsid w:val="00E77B4C"/>
    <w:rsid w:val="00E77CAD"/>
    <w:rsid w:val="00E77FA8"/>
    <w:rsid w:val="00E80015"/>
    <w:rsid w:val="00E8026D"/>
    <w:rsid w:val="00E8030A"/>
    <w:rsid w:val="00E8033A"/>
    <w:rsid w:val="00E80500"/>
    <w:rsid w:val="00E8094F"/>
    <w:rsid w:val="00E80A2B"/>
    <w:rsid w:val="00E80C42"/>
    <w:rsid w:val="00E813C0"/>
    <w:rsid w:val="00E81459"/>
    <w:rsid w:val="00E81557"/>
    <w:rsid w:val="00E81D3F"/>
    <w:rsid w:val="00E81F9B"/>
    <w:rsid w:val="00E82093"/>
    <w:rsid w:val="00E821F0"/>
    <w:rsid w:val="00E82324"/>
    <w:rsid w:val="00E82471"/>
    <w:rsid w:val="00E8265B"/>
    <w:rsid w:val="00E826FB"/>
    <w:rsid w:val="00E8271A"/>
    <w:rsid w:val="00E8286F"/>
    <w:rsid w:val="00E8293D"/>
    <w:rsid w:val="00E82AE3"/>
    <w:rsid w:val="00E82B66"/>
    <w:rsid w:val="00E82FD4"/>
    <w:rsid w:val="00E8303D"/>
    <w:rsid w:val="00E8324C"/>
    <w:rsid w:val="00E835C1"/>
    <w:rsid w:val="00E83F5F"/>
    <w:rsid w:val="00E83F95"/>
    <w:rsid w:val="00E840FB"/>
    <w:rsid w:val="00E84114"/>
    <w:rsid w:val="00E84258"/>
    <w:rsid w:val="00E84526"/>
    <w:rsid w:val="00E846A9"/>
    <w:rsid w:val="00E84719"/>
    <w:rsid w:val="00E848C4"/>
    <w:rsid w:val="00E84A60"/>
    <w:rsid w:val="00E84F79"/>
    <w:rsid w:val="00E8511A"/>
    <w:rsid w:val="00E853C8"/>
    <w:rsid w:val="00E853F5"/>
    <w:rsid w:val="00E85449"/>
    <w:rsid w:val="00E854D5"/>
    <w:rsid w:val="00E8596B"/>
    <w:rsid w:val="00E859F1"/>
    <w:rsid w:val="00E85A91"/>
    <w:rsid w:val="00E85B5F"/>
    <w:rsid w:val="00E85BE3"/>
    <w:rsid w:val="00E85C82"/>
    <w:rsid w:val="00E85F3D"/>
    <w:rsid w:val="00E85F49"/>
    <w:rsid w:val="00E8639A"/>
    <w:rsid w:val="00E86577"/>
    <w:rsid w:val="00E86799"/>
    <w:rsid w:val="00E86D56"/>
    <w:rsid w:val="00E86D66"/>
    <w:rsid w:val="00E87307"/>
    <w:rsid w:val="00E87313"/>
    <w:rsid w:val="00E87333"/>
    <w:rsid w:val="00E87362"/>
    <w:rsid w:val="00E8748C"/>
    <w:rsid w:val="00E87722"/>
    <w:rsid w:val="00E87744"/>
    <w:rsid w:val="00E87A47"/>
    <w:rsid w:val="00E87D94"/>
    <w:rsid w:val="00E87F55"/>
    <w:rsid w:val="00E87FC4"/>
    <w:rsid w:val="00E90120"/>
    <w:rsid w:val="00E909B3"/>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3126"/>
    <w:rsid w:val="00E93279"/>
    <w:rsid w:val="00E93799"/>
    <w:rsid w:val="00E93D4E"/>
    <w:rsid w:val="00E93FE0"/>
    <w:rsid w:val="00E946BB"/>
    <w:rsid w:val="00E9543D"/>
    <w:rsid w:val="00E955DB"/>
    <w:rsid w:val="00E95626"/>
    <w:rsid w:val="00E95723"/>
    <w:rsid w:val="00E95859"/>
    <w:rsid w:val="00E95AE1"/>
    <w:rsid w:val="00E95B16"/>
    <w:rsid w:val="00E95C9A"/>
    <w:rsid w:val="00E95CBA"/>
    <w:rsid w:val="00E95D68"/>
    <w:rsid w:val="00E95E51"/>
    <w:rsid w:val="00E95E95"/>
    <w:rsid w:val="00E95EC2"/>
    <w:rsid w:val="00E95F2C"/>
    <w:rsid w:val="00E95FB8"/>
    <w:rsid w:val="00E96035"/>
    <w:rsid w:val="00E961B1"/>
    <w:rsid w:val="00E9629C"/>
    <w:rsid w:val="00E962BC"/>
    <w:rsid w:val="00E96972"/>
    <w:rsid w:val="00E96DD1"/>
    <w:rsid w:val="00E96E58"/>
    <w:rsid w:val="00E96E77"/>
    <w:rsid w:val="00E96F2D"/>
    <w:rsid w:val="00E97485"/>
    <w:rsid w:val="00E97584"/>
    <w:rsid w:val="00E9772C"/>
    <w:rsid w:val="00E97795"/>
    <w:rsid w:val="00E977AA"/>
    <w:rsid w:val="00E977DB"/>
    <w:rsid w:val="00E97864"/>
    <w:rsid w:val="00E97B39"/>
    <w:rsid w:val="00E97D5E"/>
    <w:rsid w:val="00E97E68"/>
    <w:rsid w:val="00E97F83"/>
    <w:rsid w:val="00EA0241"/>
    <w:rsid w:val="00EA045F"/>
    <w:rsid w:val="00EA04DA"/>
    <w:rsid w:val="00EA05F6"/>
    <w:rsid w:val="00EA0667"/>
    <w:rsid w:val="00EA0B1E"/>
    <w:rsid w:val="00EA0B68"/>
    <w:rsid w:val="00EA0D59"/>
    <w:rsid w:val="00EA0E05"/>
    <w:rsid w:val="00EA0E76"/>
    <w:rsid w:val="00EA0EBE"/>
    <w:rsid w:val="00EA12F1"/>
    <w:rsid w:val="00EA135B"/>
    <w:rsid w:val="00EA1460"/>
    <w:rsid w:val="00EA16CF"/>
    <w:rsid w:val="00EA196E"/>
    <w:rsid w:val="00EA1A07"/>
    <w:rsid w:val="00EA1A27"/>
    <w:rsid w:val="00EA1B8C"/>
    <w:rsid w:val="00EA2194"/>
    <w:rsid w:val="00EA2267"/>
    <w:rsid w:val="00EA23E6"/>
    <w:rsid w:val="00EA2441"/>
    <w:rsid w:val="00EA2741"/>
    <w:rsid w:val="00EA2903"/>
    <w:rsid w:val="00EA298F"/>
    <w:rsid w:val="00EA2B7A"/>
    <w:rsid w:val="00EA2F75"/>
    <w:rsid w:val="00EA3018"/>
    <w:rsid w:val="00EA3324"/>
    <w:rsid w:val="00EA33A6"/>
    <w:rsid w:val="00EA3CB6"/>
    <w:rsid w:val="00EA3D57"/>
    <w:rsid w:val="00EA3E2B"/>
    <w:rsid w:val="00EA4240"/>
    <w:rsid w:val="00EA42F1"/>
    <w:rsid w:val="00EA4682"/>
    <w:rsid w:val="00EA4794"/>
    <w:rsid w:val="00EA487F"/>
    <w:rsid w:val="00EA493D"/>
    <w:rsid w:val="00EA49CD"/>
    <w:rsid w:val="00EA4A6D"/>
    <w:rsid w:val="00EA4AAC"/>
    <w:rsid w:val="00EA4EA4"/>
    <w:rsid w:val="00EA4EA8"/>
    <w:rsid w:val="00EA50D8"/>
    <w:rsid w:val="00EA522B"/>
    <w:rsid w:val="00EA5733"/>
    <w:rsid w:val="00EA5A22"/>
    <w:rsid w:val="00EA5A4F"/>
    <w:rsid w:val="00EA5AFA"/>
    <w:rsid w:val="00EA5B6F"/>
    <w:rsid w:val="00EA5B73"/>
    <w:rsid w:val="00EA60F5"/>
    <w:rsid w:val="00EA615B"/>
    <w:rsid w:val="00EA61C0"/>
    <w:rsid w:val="00EA6602"/>
    <w:rsid w:val="00EA6ECA"/>
    <w:rsid w:val="00EA7007"/>
    <w:rsid w:val="00EA70D8"/>
    <w:rsid w:val="00EA73A2"/>
    <w:rsid w:val="00EA75DC"/>
    <w:rsid w:val="00EA7828"/>
    <w:rsid w:val="00EA7A72"/>
    <w:rsid w:val="00EA7C4C"/>
    <w:rsid w:val="00EB0340"/>
    <w:rsid w:val="00EB0556"/>
    <w:rsid w:val="00EB077B"/>
    <w:rsid w:val="00EB0B6C"/>
    <w:rsid w:val="00EB0EB9"/>
    <w:rsid w:val="00EB0EEC"/>
    <w:rsid w:val="00EB1654"/>
    <w:rsid w:val="00EB190B"/>
    <w:rsid w:val="00EB1CD5"/>
    <w:rsid w:val="00EB1CE6"/>
    <w:rsid w:val="00EB1DAC"/>
    <w:rsid w:val="00EB1E29"/>
    <w:rsid w:val="00EB21C8"/>
    <w:rsid w:val="00EB2769"/>
    <w:rsid w:val="00EB2874"/>
    <w:rsid w:val="00EB28DB"/>
    <w:rsid w:val="00EB29DD"/>
    <w:rsid w:val="00EB2E3C"/>
    <w:rsid w:val="00EB2F87"/>
    <w:rsid w:val="00EB2FD2"/>
    <w:rsid w:val="00EB2FDD"/>
    <w:rsid w:val="00EB3011"/>
    <w:rsid w:val="00EB303B"/>
    <w:rsid w:val="00EB3664"/>
    <w:rsid w:val="00EB3DA5"/>
    <w:rsid w:val="00EB3F1C"/>
    <w:rsid w:val="00EB416E"/>
    <w:rsid w:val="00EB4A71"/>
    <w:rsid w:val="00EB4D0F"/>
    <w:rsid w:val="00EB534E"/>
    <w:rsid w:val="00EB5353"/>
    <w:rsid w:val="00EB53A9"/>
    <w:rsid w:val="00EB59CA"/>
    <w:rsid w:val="00EB5AF8"/>
    <w:rsid w:val="00EB5B9D"/>
    <w:rsid w:val="00EB5F5F"/>
    <w:rsid w:val="00EB6333"/>
    <w:rsid w:val="00EB66A7"/>
    <w:rsid w:val="00EB68EF"/>
    <w:rsid w:val="00EB6A76"/>
    <w:rsid w:val="00EB6B54"/>
    <w:rsid w:val="00EB6BF9"/>
    <w:rsid w:val="00EB7333"/>
    <w:rsid w:val="00EB749E"/>
    <w:rsid w:val="00EB74A6"/>
    <w:rsid w:val="00EB76E7"/>
    <w:rsid w:val="00EB7788"/>
    <w:rsid w:val="00EB7AE0"/>
    <w:rsid w:val="00EB7EDD"/>
    <w:rsid w:val="00EB7EF5"/>
    <w:rsid w:val="00EB7F52"/>
    <w:rsid w:val="00EB7FF5"/>
    <w:rsid w:val="00EC01B0"/>
    <w:rsid w:val="00EC02E9"/>
    <w:rsid w:val="00EC0667"/>
    <w:rsid w:val="00EC0743"/>
    <w:rsid w:val="00EC0947"/>
    <w:rsid w:val="00EC094E"/>
    <w:rsid w:val="00EC096A"/>
    <w:rsid w:val="00EC0B35"/>
    <w:rsid w:val="00EC0ED6"/>
    <w:rsid w:val="00EC0F76"/>
    <w:rsid w:val="00EC13C2"/>
    <w:rsid w:val="00EC16BB"/>
    <w:rsid w:val="00EC1834"/>
    <w:rsid w:val="00EC1861"/>
    <w:rsid w:val="00EC19EA"/>
    <w:rsid w:val="00EC19F4"/>
    <w:rsid w:val="00EC1A25"/>
    <w:rsid w:val="00EC1A4F"/>
    <w:rsid w:val="00EC1B80"/>
    <w:rsid w:val="00EC1DEF"/>
    <w:rsid w:val="00EC215D"/>
    <w:rsid w:val="00EC245B"/>
    <w:rsid w:val="00EC269B"/>
    <w:rsid w:val="00EC26D3"/>
    <w:rsid w:val="00EC2C0C"/>
    <w:rsid w:val="00EC2CA9"/>
    <w:rsid w:val="00EC30F2"/>
    <w:rsid w:val="00EC3261"/>
    <w:rsid w:val="00EC32C8"/>
    <w:rsid w:val="00EC3557"/>
    <w:rsid w:val="00EC37A8"/>
    <w:rsid w:val="00EC38B5"/>
    <w:rsid w:val="00EC39C6"/>
    <w:rsid w:val="00EC3A6B"/>
    <w:rsid w:val="00EC3A75"/>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A03"/>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55B"/>
    <w:rsid w:val="00ED067C"/>
    <w:rsid w:val="00ED0CB4"/>
    <w:rsid w:val="00ED1353"/>
    <w:rsid w:val="00ED15F0"/>
    <w:rsid w:val="00ED1664"/>
    <w:rsid w:val="00ED1686"/>
    <w:rsid w:val="00ED1CD0"/>
    <w:rsid w:val="00ED20C8"/>
    <w:rsid w:val="00ED21AB"/>
    <w:rsid w:val="00ED2824"/>
    <w:rsid w:val="00ED2C72"/>
    <w:rsid w:val="00ED316D"/>
    <w:rsid w:val="00ED3181"/>
    <w:rsid w:val="00ED3995"/>
    <w:rsid w:val="00ED3B96"/>
    <w:rsid w:val="00ED4495"/>
    <w:rsid w:val="00ED44C0"/>
    <w:rsid w:val="00ED44D6"/>
    <w:rsid w:val="00ED465C"/>
    <w:rsid w:val="00ED4867"/>
    <w:rsid w:val="00ED4C9F"/>
    <w:rsid w:val="00ED4E07"/>
    <w:rsid w:val="00ED5047"/>
    <w:rsid w:val="00ED542F"/>
    <w:rsid w:val="00ED5905"/>
    <w:rsid w:val="00ED59D0"/>
    <w:rsid w:val="00ED5C0F"/>
    <w:rsid w:val="00ED5E9F"/>
    <w:rsid w:val="00ED602B"/>
    <w:rsid w:val="00ED6042"/>
    <w:rsid w:val="00ED61AC"/>
    <w:rsid w:val="00ED63A3"/>
    <w:rsid w:val="00ED64BA"/>
    <w:rsid w:val="00ED6AD4"/>
    <w:rsid w:val="00ED6B96"/>
    <w:rsid w:val="00ED6D5D"/>
    <w:rsid w:val="00ED71E1"/>
    <w:rsid w:val="00ED71EE"/>
    <w:rsid w:val="00ED7309"/>
    <w:rsid w:val="00ED78C3"/>
    <w:rsid w:val="00ED7A53"/>
    <w:rsid w:val="00ED7AE2"/>
    <w:rsid w:val="00ED7B5E"/>
    <w:rsid w:val="00ED7DBE"/>
    <w:rsid w:val="00ED7F43"/>
    <w:rsid w:val="00EE035C"/>
    <w:rsid w:val="00EE05F4"/>
    <w:rsid w:val="00EE079F"/>
    <w:rsid w:val="00EE0926"/>
    <w:rsid w:val="00EE0932"/>
    <w:rsid w:val="00EE0A27"/>
    <w:rsid w:val="00EE0A6D"/>
    <w:rsid w:val="00EE0B43"/>
    <w:rsid w:val="00EE0D82"/>
    <w:rsid w:val="00EE0DA7"/>
    <w:rsid w:val="00EE0ED5"/>
    <w:rsid w:val="00EE1019"/>
    <w:rsid w:val="00EE10D5"/>
    <w:rsid w:val="00EE161B"/>
    <w:rsid w:val="00EE1622"/>
    <w:rsid w:val="00EE1951"/>
    <w:rsid w:val="00EE1B3E"/>
    <w:rsid w:val="00EE1B8D"/>
    <w:rsid w:val="00EE1BB6"/>
    <w:rsid w:val="00EE1E5C"/>
    <w:rsid w:val="00EE204E"/>
    <w:rsid w:val="00EE21AE"/>
    <w:rsid w:val="00EE272B"/>
    <w:rsid w:val="00EE27E9"/>
    <w:rsid w:val="00EE281B"/>
    <w:rsid w:val="00EE28ED"/>
    <w:rsid w:val="00EE29B5"/>
    <w:rsid w:val="00EE2AAE"/>
    <w:rsid w:val="00EE2D67"/>
    <w:rsid w:val="00EE2DB3"/>
    <w:rsid w:val="00EE2ED0"/>
    <w:rsid w:val="00EE3010"/>
    <w:rsid w:val="00EE3073"/>
    <w:rsid w:val="00EE3153"/>
    <w:rsid w:val="00EE3257"/>
    <w:rsid w:val="00EE3916"/>
    <w:rsid w:val="00EE3964"/>
    <w:rsid w:val="00EE3B00"/>
    <w:rsid w:val="00EE442F"/>
    <w:rsid w:val="00EE4465"/>
    <w:rsid w:val="00EE45B8"/>
    <w:rsid w:val="00EE4A2C"/>
    <w:rsid w:val="00EE4AA2"/>
    <w:rsid w:val="00EE4BBF"/>
    <w:rsid w:val="00EE4CC5"/>
    <w:rsid w:val="00EE4EC1"/>
    <w:rsid w:val="00EE5154"/>
    <w:rsid w:val="00EE56C9"/>
    <w:rsid w:val="00EE5AAD"/>
    <w:rsid w:val="00EE5ADD"/>
    <w:rsid w:val="00EE5B54"/>
    <w:rsid w:val="00EE5D24"/>
    <w:rsid w:val="00EE5F0D"/>
    <w:rsid w:val="00EE623A"/>
    <w:rsid w:val="00EE650E"/>
    <w:rsid w:val="00EE664D"/>
    <w:rsid w:val="00EE67DD"/>
    <w:rsid w:val="00EE69ED"/>
    <w:rsid w:val="00EE6C68"/>
    <w:rsid w:val="00EE6F30"/>
    <w:rsid w:val="00EE6F77"/>
    <w:rsid w:val="00EE71FA"/>
    <w:rsid w:val="00EE72E4"/>
    <w:rsid w:val="00EE7551"/>
    <w:rsid w:val="00EE7572"/>
    <w:rsid w:val="00EE75D7"/>
    <w:rsid w:val="00EE77A2"/>
    <w:rsid w:val="00EE793E"/>
    <w:rsid w:val="00EE7C63"/>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13"/>
    <w:rsid w:val="00EF3D6D"/>
    <w:rsid w:val="00EF3DFF"/>
    <w:rsid w:val="00EF3FCC"/>
    <w:rsid w:val="00EF42D1"/>
    <w:rsid w:val="00EF4699"/>
    <w:rsid w:val="00EF46A9"/>
    <w:rsid w:val="00EF46CC"/>
    <w:rsid w:val="00EF49F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EF7EA7"/>
    <w:rsid w:val="00F009AF"/>
    <w:rsid w:val="00F00ABB"/>
    <w:rsid w:val="00F00AD5"/>
    <w:rsid w:val="00F00B17"/>
    <w:rsid w:val="00F00D8E"/>
    <w:rsid w:val="00F0135A"/>
    <w:rsid w:val="00F01A65"/>
    <w:rsid w:val="00F01C12"/>
    <w:rsid w:val="00F02197"/>
    <w:rsid w:val="00F0219B"/>
    <w:rsid w:val="00F023D8"/>
    <w:rsid w:val="00F02440"/>
    <w:rsid w:val="00F02465"/>
    <w:rsid w:val="00F02500"/>
    <w:rsid w:val="00F02637"/>
    <w:rsid w:val="00F02759"/>
    <w:rsid w:val="00F027C0"/>
    <w:rsid w:val="00F02862"/>
    <w:rsid w:val="00F02901"/>
    <w:rsid w:val="00F02B21"/>
    <w:rsid w:val="00F02F8B"/>
    <w:rsid w:val="00F037F9"/>
    <w:rsid w:val="00F03801"/>
    <w:rsid w:val="00F03837"/>
    <w:rsid w:val="00F03934"/>
    <w:rsid w:val="00F03A8E"/>
    <w:rsid w:val="00F03A90"/>
    <w:rsid w:val="00F03B2B"/>
    <w:rsid w:val="00F03B5F"/>
    <w:rsid w:val="00F03D6F"/>
    <w:rsid w:val="00F03DB0"/>
    <w:rsid w:val="00F045F1"/>
    <w:rsid w:val="00F0480B"/>
    <w:rsid w:val="00F0481A"/>
    <w:rsid w:val="00F049E6"/>
    <w:rsid w:val="00F049E8"/>
    <w:rsid w:val="00F04B91"/>
    <w:rsid w:val="00F04F72"/>
    <w:rsid w:val="00F050D8"/>
    <w:rsid w:val="00F0544C"/>
    <w:rsid w:val="00F054F5"/>
    <w:rsid w:val="00F05602"/>
    <w:rsid w:val="00F05A7F"/>
    <w:rsid w:val="00F05A8D"/>
    <w:rsid w:val="00F05AC7"/>
    <w:rsid w:val="00F05C9A"/>
    <w:rsid w:val="00F05D80"/>
    <w:rsid w:val="00F06148"/>
    <w:rsid w:val="00F0673A"/>
    <w:rsid w:val="00F06830"/>
    <w:rsid w:val="00F06A6B"/>
    <w:rsid w:val="00F06D2A"/>
    <w:rsid w:val="00F06E36"/>
    <w:rsid w:val="00F074CA"/>
    <w:rsid w:val="00F07501"/>
    <w:rsid w:val="00F07789"/>
    <w:rsid w:val="00F07875"/>
    <w:rsid w:val="00F078E3"/>
    <w:rsid w:val="00F102C5"/>
    <w:rsid w:val="00F104E1"/>
    <w:rsid w:val="00F10541"/>
    <w:rsid w:val="00F10586"/>
    <w:rsid w:val="00F109AA"/>
    <w:rsid w:val="00F110EE"/>
    <w:rsid w:val="00F11159"/>
    <w:rsid w:val="00F11193"/>
    <w:rsid w:val="00F11195"/>
    <w:rsid w:val="00F11230"/>
    <w:rsid w:val="00F1133A"/>
    <w:rsid w:val="00F1160A"/>
    <w:rsid w:val="00F11A18"/>
    <w:rsid w:val="00F11C38"/>
    <w:rsid w:val="00F11F62"/>
    <w:rsid w:val="00F12941"/>
    <w:rsid w:val="00F12BFC"/>
    <w:rsid w:val="00F12E19"/>
    <w:rsid w:val="00F12F69"/>
    <w:rsid w:val="00F13051"/>
    <w:rsid w:val="00F13119"/>
    <w:rsid w:val="00F133E3"/>
    <w:rsid w:val="00F133E9"/>
    <w:rsid w:val="00F133F2"/>
    <w:rsid w:val="00F13433"/>
    <w:rsid w:val="00F1362E"/>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7D4"/>
    <w:rsid w:val="00F15A67"/>
    <w:rsid w:val="00F15A89"/>
    <w:rsid w:val="00F15BAF"/>
    <w:rsid w:val="00F15D1D"/>
    <w:rsid w:val="00F15ED3"/>
    <w:rsid w:val="00F16074"/>
    <w:rsid w:val="00F1677A"/>
    <w:rsid w:val="00F1680A"/>
    <w:rsid w:val="00F16886"/>
    <w:rsid w:val="00F16C62"/>
    <w:rsid w:val="00F173E4"/>
    <w:rsid w:val="00F17590"/>
    <w:rsid w:val="00F17716"/>
    <w:rsid w:val="00F177F5"/>
    <w:rsid w:val="00F17953"/>
    <w:rsid w:val="00F17C03"/>
    <w:rsid w:val="00F17D11"/>
    <w:rsid w:val="00F17F15"/>
    <w:rsid w:val="00F17F43"/>
    <w:rsid w:val="00F17FB2"/>
    <w:rsid w:val="00F2014C"/>
    <w:rsid w:val="00F203AB"/>
    <w:rsid w:val="00F2063F"/>
    <w:rsid w:val="00F20857"/>
    <w:rsid w:val="00F208E2"/>
    <w:rsid w:val="00F20A76"/>
    <w:rsid w:val="00F20C58"/>
    <w:rsid w:val="00F20F07"/>
    <w:rsid w:val="00F20F16"/>
    <w:rsid w:val="00F20F96"/>
    <w:rsid w:val="00F21120"/>
    <w:rsid w:val="00F2127C"/>
    <w:rsid w:val="00F213C7"/>
    <w:rsid w:val="00F213C8"/>
    <w:rsid w:val="00F21550"/>
    <w:rsid w:val="00F21D0B"/>
    <w:rsid w:val="00F21DA8"/>
    <w:rsid w:val="00F221E1"/>
    <w:rsid w:val="00F229BD"/>
    <w:rsid w:val="00F22B34"/>
    <w:rsid w:val="00F22B5D"/>
    <w:rsid w:val="00F22B63"/>
    <w:rsid w:val="00F22C32"/>
    <w:rsid w:val="00F22C8C"/>
    <w:rsid w:val="00F22D71"/>
    <w:rsid w:val="00F22D81"/>
    <w:rsid w:val="00F2357D"/>
    <w:rsid w:val="00F23605"/>
    <w:rsid w:val="00F23C41"/>
    <w:rsid w:val="00F23DB4"/>
    <w:rsid w:val="00F23DC8"/>
    <w:rsid w:val="00F23F9F"/>
    <w:rsid w:val="00F2424F"/>
    <w:rsid w:val="00F2443F"/>
    <w:rsid w:val="00F24580"/>
    <w:rsid w:val="00F24607"/>
    <w:rsid w:val="00F247D1"/>
    <w:rsid w:val="00F247D4"/>
    <w:rsid w:val="00F24A48"/>
    <w:rsid w:val="00F24A59"/>
    <w:rsid w:val="00F25012"/>
    <w:rsid w:val="00F25045"/>
    <w:rsid w:val="00F25485"/>
    <w:rsid w:val="00F25E1A"/>
    <w:rsid w:val="00F26131"/>
    <w:rsid w:val="00F26220"/>
    <w:rsid w:val="00F262FC"/>
    <w:rsid w:val="00F26331"/>
    <w:rsid w:val="00F2658D"/>
    <w:rsid w:val="00F26666"/>
    <w:rsid w:val="00F26E9E"/>
    <w:rsid w:val="00F26EEF"/>
    <w:rsid w:val="00F26F51"/>
    <w:rsid w:val="00F26F8E"/>
    <w:rsid w:val="00F2708E"/>
    <w:rsid w:val="00F270A8"/>
    <w:rsid w:val="00F271CD"/>
    <w:rsid w:val="00F276C5"/>
    <w:rsid w:val="00F277CB"/>
    <w:rsid w:val="00F278CF"/>
    <w:rsid w:val="00F279D3"/>
    <w:rsid w:val="00F27AAF"/>
    <w:rsid w:val="00F27AC7"/>
    <w:rsid w:val="00F27AF0"/>
    <w:rsid w:val="00F27B03"/>
    <w:rsid w:val="00F27F48"/>
    <w:rsid w:val="00F27F89"/>
    <w:rsid w:val="00F30122"/>
    <w:rsid w:val="00F30153"/>
    <w:rsid w:val="00F305C3"/>
    <w:rsid w:val="00F30976"/>
    <w:rsid w:val="00F30A24"/>
    <w:rsid w:val="00F30A9C"/>
    <w:rsid w:val="00F30EF5"/>
    <w:rsid w:val="00F31569"/>
    <w:rsid w:val="00F3162D"/>
    <w:rsid w:val="00F31911"/>
    <w:rsid w:val="00F31B14"/>
    <w:rsid w:val="00F31EF1"/>
    <w:rsid w:val="00F320E2"/>
    <w:rsid w:val="00F322A0"/>
    <w:rsid w:val="00F32681"/>
    <w:rsid w:val="00F3269A"/>
    <w:rsid w:val="00F3281E"/>
    <w:rsid w:val="00F3296B"/>
    <w:rsid w:val="00F32E03"/>
    <w:rsid w:val="00F32E28"/>
    <w:rsid w:val="00F32F0D"/>
    <w:rsid w:val="00F32FA0"/>
    <w:rsid w:val="00F32FBD"/>
    <w:rsid w:val="00F32FED"/>
    <w:rsid w:val="00F33122"/>
    <w:rsid w:val="00F331EE"/>
    <w:rsid w:val="00F3329B"/>
    <w:rsid w:val="00F3336A"/>
    <w:rsid w:val="00F3348C"/>
    <w:rsid w:val="00F33789"/>
    <w:rsid w:val="00F338BB"/>
    <w:rsid w:val="00F33B2C"/>
    <w:rsid w:val="00F33B7B"/>
    <w:rsid w:val="00F33BD4"/>
    <w:rsid w:val="00F3437D"/>
    <w:rsid w:val="00F34561"/>
    <w:rsid w:val="00F34622"/>
    <w:rsid w:val="00F34AA8"/>
    <w:rsid w:val="00F34ADB"/>
    <w:rsid w:val="00F34D94"/>
    <w:rsid w:val="00F35014"/>
    <w:rsid w:val="00F35160"/>
    <w:rsid w:val="00F351CA"/>
    <w:rsid w:val="00F35587"/>
    <w:rsid w:val="00F35870"/>
    <w:rsid w:val="00F35A7F"/>
    <w:rsid w:val="00F35FE0"/>
    <w:rsid w:val="00F36149"/>
    <w:rsid w:val="00F3623A"/>
    <w:rsid w:val="00F36674"/>
    <w:rsid w:val="00F36729"/>
    <w:rsid w:val="00F369AB"/>
    <w:rsid w:val="00F36F60"/>
    <w:rsid w:val="00F3716D"/>
    <w:rsid w:val="00F37280"/>
    <w:rsid w:val="00F37762"/>
    <w:rsid w:val="00F377AF"/>
    <w:rsid w:val="00F37864"/>
    <w:rsid w:val="00F37875"/>
    <w:rsid w:val="00F3793F"/>
    <w:rsid w:val="00F37E31"/>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770"/>
    <w:rsid w:val="00F41895"/>
    <w:rsid w:val="00F418EC"/>
    <w:rsid w:val="00F41971"/>
    <w:rsid w:val="00F419A1"/>
    <w:rsid w:val="00F419BB"/>
    <w:rsid w:val="00F41A96"/>
    <w:rsid w:val="00F41C8E"/>
    <w:rsid w:val="00F42490"/>
    <w:rsid w:val="00F42694"/>
    <w:rsid w:val="00F42752"/>
    <w:rsid w:val="00F42C82"/>
    <w:rsid w:val="00F42E32"/>
    <w:rsid w:val="00F43066"/>
    <w:rsid w:val="00F4309B"/>
    <w:rsid w:val="00F430BF"/>
    <w:rsid w:val="00F431DB"/>
    <w:rsid w:val="00F43328"/>
    <w:rsid w:val="00F4339C"/>
    <w:rsid w:val="00F436A4"/>
    <w:rsid w:val="00F43ABF"/>
    <w:rsid w:val="00F43C91"/>
    <w:rsid w:val="00F43D0D"/>
    <w:rsid w:val="00F43E2F"/>
    <w:rsid w:val="00F43EB1"/>
    <w:rsid w:val="00F44238"/>
    <w:rsid w:val="00F44506"/>
    <w:rsid w:val="00F445B7"/>
    <w:rsid w:val="00F44ABA"/>
    <w:rsid w:val="00F45578"/>
    <w:rsid w:val="00F4557D"/>
    <w:rsid w:val="00F45818"/>
    <w:rsid w:val="00F45842"/>
    <w:rsid w:val="00F4587C"/>
    <w:rsid w:val="00F45B75"/>
    <w:rsid w:val="00F45C13"/>
    <w:rsid w:val="00F45DE6"/>
    <w:rsid w:val="00F45EAC"/>
    <w:rsid w:val="00F4621E"/>
    <w:rsid w:val="00F46254"/>
    <w:rsid w:val="00F4657D"/>
    <w:rsid w:val="00F465AF"/>
    <w:rsid w:val="00F46677"/>
    <w:rsid w:val="00F466C8"/>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9DE"/>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141"/>
    <w:rsid w:val="00F52641"/>
    <w:rsid w:val="00F526B3"/>
    <w:rsid w:val="00F526F2"/>
    <w:rsid w:val="00F52808"/>
    <w:rsid w:val="00F5297C"/>
    <w:rsid w:val="00F52AFE"/>
    <w:rsid w:val="00F52CBD"/>
    <w:rsid w:val="00F52D02"/>
    <w:rsid w:val="00F52D1C"/>
    <w:rsid w:val="00F52D5B"/>
    <w:rsid w:val="00F53379"/>
    <w:rsid w:val="00F534AA"/>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5E7D"/>
    <w:rsid w:val="00F55EBE"/>
    <w:rsid w:val="00F55FE5"/>
    <w:rsid w:val="00F560EB"/>
    <w:rsid w:val="00F562DA"/>
    <w:rsid w:val="00F564A3"/>
    <w:rsid w:val="00F564A4"/>
    <w:rsid w:val="00F56655"/>
    <w:rsid w:val="00F566D5"/>
    <w:rsid w:val="00F56940"/>
    <w:rsid w:val="00F56B2A"/>
    <w:rsid w:val="00F56CFC"/>
    <w:rsid w:val="00F56DE5"/>
    <w:rsid w:val="00F56E21"/>
    <w:rsid w:val="00F571FA"/>
    <w:rsid w:val="00F5741C"/>
    <w:rsid w:val="00F575D2"/>
    <w:rsid w:val="00F575E0"/>
    <w:rsid w:val="00F578FC"/>
    <w:rsid w:val="00F57AA8"/>
    <w:rsid w:val="00F57ADE"/>
    <w:rsid w:val="00F57BB8"/>
    <w:rsid w:val="00F57C34"/>
    <w:rsid w:val="00F57E78"/>
    <w:rsid w:val="00F57FB2"/>
    <w:rsid w:val="00F5CF51"/>
    <w:rsid w:val="00F60108"/>
    <w:rsid w:val="00F60127"/>
    <w:rsid w:val="00F601CB"/>
    <w:rsid w:val="00F603BA"/>
    <w:rsid w:val="00F61124"/>
    <w:rsid w:val="00F61178"/>
    <w:rsid w:val="00F614AF"/>
    <w:rsid w:val="00F61505"/>
    <w:rsid w:val="00F619A9"/>
    <w:rsid w:val="00F61CC0"/>
    <w:rsid w:val="00F61DDA"/>
    <w:rsid w:val="00F62114"/>
    <w:rsid w:val="00F623A6"/>
    <w:rsid w:val="00F623D5"/>
    <w:rsid w:val="00F624BA"/>
    <w:rsid w:val="00F62577"/>
    <w:rsid w:val="00F62583"/>
    <w:rsid w:val="00F62986"/>
    <w:rsid w:val="00F629CC"/>
    <w:rsid w:val="00F62A46"/>
    <w:rsid w:val="00F62C12"/>
    <w:rsid w:val="00F62CC8"/>
    <w:rsid w:val="00F63311"/>
    <w:rsid w:val="00F63851"/>
    <w:rsid w:val="00F63A58"/>
    <w:rsid w:val="00F63D94"/>
    <w:rsid w:val="00F63E86"/>
    <w:rsid w:val="00F64115"/>
    <w:rsid w:val="00F6434A"/>
    <w:rsid w:val="00F645F4"/>
    <w:rsid w:val="00F646F5"/>
    <w:rsid w:val="00F64751"/>
    <w:rsid w:val="00F64C53"/>
    <w:rsid w:val="00F64C6D"/>
    <w:rsid w:val="00F65515"/>
    <w:rsid w:val="00F6564C"/>
    <w:rsid w:val="00F65CC6"/>
    <w:rsid w:val="00F65D6B"/>
    <w:rsid w:val="00F65FCB"/>
    <w:rsid w:val="00F66039"/>
    <w:rsid w:val="00F66117"/>
    <w:rsid w:val="00F661DC"/>
    <w:rsid w:val="00F6629F"/>
    <w:rsid w:val="00F664DE"/>
    <w:rsid w:val="00F66AFB"/>
    <w:rsid w:val="00F670CE"/>
    <w:rsid w:val="00F673B6"/>
    <w:rsid w:val="00F67603"/>
    <w:rsid w:val="00F6765F"/>
    <w:rsid w:val="00F6796C"/>
    <w:rsid w:val="00F67AA3"/>
    <w:rsid w:val="00F67BC2"/>
    <w:rsid w:val="00F67E5B"/>
    <w:rsid w:val="00F67F9C"/>
    <w:rsid w:val="00F70381"/>
    <w:rsid w:val="00F709B2"/>
    <w:rsid w:val="00F70B5F"/>
    <w:rsid w:val="00F7118F"/>
    <w:rsid w:val="00F712A5"/>
    <w:rsid w:val="00F714F9"/>
    <w:rsid w:val="00F715FB"/>
    <w:rsid w:val="00F7161A"/>
    <w:rsid w:val="00F717EA"/>
    <w:rsid w:val="00F71882"/>
    <w:rsid w:val="00F71943"/>
    <w:rsid w:val="00F719C9"/>
    <w:rsid w:val="00F71ACF"/>
    <w:rsid w:val="00F71BB1"/>
    <w:rsid w:val="00F71C38"/>
    <w:rsid w:val="00F71D32"/>
    <w:rsid w:val="00F71E64"/>
    <w:rsid w:val="00F71E7E"/>
    <w:rsid w:val="00F71F2D"/>
    <w:rsid w:val="00F71FC2"/>
    <w:rsid w:val="00F721A3"/>
    <w:rsid w:val="00F726C0"/>
    <w:rsid w:val="00F72B89"/>
    <w:rsid w:val="00F72C22"/>
    <w:rsid w:val="00F72C5A"/>
    <w:rsid w:val="00F72DC8"/>
    <w:rsid w:val="00F72F1D"/>
    <w:rsid w:val="00F73277"/>
    <w:rsid w:val="00F73330"/>
    <w:rsid w:val="00F7381F"/>
    <w:rsid w:val="00F742FE"/>
    <w:rsid w:val="00F74427"/>
    <w:rsid w:val="00F747D4"/>
    <w:rsid w:val="00F7480D"/>
    <w:rsid w:val="00F7481E"/>
    <w:rsid w:val="00F74B21"/>
    <w:rsid w:val="00F74BC8"/>
    <w:rsid w:val="00F7520F"/>
    <w:rsid w:val="00F756D4"/>
    <w:rsid w:val="00F759AF"/>
    <w:rsid w:val="00F75BBD"/>
    <w:rsid w:val="00F75F2B"/>
    <w:rsid w:val="00F76562"/>
    <w:rsid w:val="00F765D2"/>
    <w:rsid w:val="00F76BDA"/>
    <w:rsid w:val="00F76D01"/>
    <w:rsid w:val="00F770BE"/>
    <w:rsid w:val="00F773E1"/>
    <w:rsid w:val="00F776DF"/>
    <w:rsid w:val="00F77EAA"/>
    <w:rsid w:val="00F8018C"/>
    <w:rsid w:val="00F80270"/>
    <w:rsid w:val="00F806AC"/>
    <w:rsid w:val="00F807CA"/>
    <w:rsid w:val="00F808E9"/>
    <w:rsid w:val="00F80CE2"/>
    <w:rsid w:val="00F80D68"/>
    <w:rsid w:val="00F80D79"/>
    <w:rsid w:val="00F80FBB"/>
    <w:rsid w:val="00F8102E"/>
    <w:rsid w:val="00F810C5"/>
    <w:rsid w:val="00F81434"/>
    <w:rsid w:val="00F81457"/>
    <w:rsid w:val="00F81509"/>
    <w:rsid w:val="00F815A4"/>
    <w:rsid w:val="00F81671"/>
    <w:rsid w:val="00F81765"/>
    <w:rsid w:val="00F817D8"/>
    <w:rsid w:val="00F81814"/>
    <w:rsid w:val="00F81832"/>
    <w:rsid w:val="00F81A9C"/>
    <w:rsid w:val="00F81B84"/>
    <w:rsid w:val="00F81CB7"/>
    <w:rsid w:val="00F81DCD"/>
    <w:rsid w:val="00F81E23"/>
    <w:rsid w:val="00F81F8D"/>
    <w:rsid w:val="00F81FBF"/>
    <w:rsid w:val="00F81FC0"/>
    <w:rsid w:val="00F82192"/>
    <w:rsid w:val="00F821AA"/>
    <w:rsid w:val="00F821B5"/>
    <w:rsid w:val="00F821B7"/>
    <w:rsid w:val="00F822A0"/>
    <w:rsid w:val="00F825BB"/>
    <w:rsid w:val="00F82643"/>
    <w:rsid w:val="00F8269D"/>
    <w:rsid w:val="00F826E7"/>
    <w:rsid w:val="00F82BA1"/>
    <w:rsid w:val="00F82F93"/>
    <w:rsid w:val="00F83289"/>
    <w:rsid w:val="00F834DC"/>
    <w:rsid w:val="00F835CA"/>
    <w:rsid w:val="00F83990"/>
    <w:rsid w:val="00F83BAB"/>
    <w:rsid w:val="00F83F41"/>
    <w:rsid w:val="00F840B5"/>
    <w:rsid w:val="00F8419D"/>
    <w:rsid w:val="00F84D8D"/>
    <w:rsid w:val="00F84E62"/>
    <w:rsid w:val="00F84EA8"/>
    <w:rsid w:val="00F84EF1"/>
    <w:rsid w:val="00F8553A"/>
    <w:rsid w:val="00F858A8"/>
    <w:rsid w:val="00F858E4"/>
    <w:rsid w:val="00F859E6"/>
    <w:rsid w:val="00F85D02"/>
    <w:rsid w:val="00F85D63"/>
    <w:rsid w:val="00F861B8"/>
    <w:rsid w:val="00F8625C"/>
    <w:rsid w:val="00F864F0"/>
    <w:rsid w:val="00F8664B"/>
    <w:rsid w:val="00F86B80"/>
    <w:rsid w:val="00F86EDE"/>
    <w:rsid w:val="00F86F57"/>
    <w:rsid w:val="00F86F7B"/>
    <w:rsid w:val="00F8723B"/>
    <w:rsid w:val="00F875D2"/>
    <w:rsid w:val="00F8769A"/>
    <w:rsid w:val="00F8769C"/>
    <w:rsid w:val="00F876CC"/>
    <w:rsid w:val="00F876E5"/>
    <w:rsid w:val="00F87AA6"/>
    <w:rsid w:val="00F87E55"/>
    <w:rsid w:val="00F87F8A"/>
    <w:rsid w:val="00F90229"/>
    <w:rsid w:val="00F90345"/>
    <w:rsid w:val="00F9051C"/>
    <w:rsid w:val="00F906EB"/>
    <w:rsid w:val="00F90788"/>
    <w:rsid w:val="00F909DD"/>
    <w:rsid w:val="00F90C44"/>
    <w:rsid w:val="00F90C5C"/>
    <w:rsid w:val="00F90D7F"/>
    <w:rsid w:val="00F90DA1"/>
    <w:rsid w:val="00F91322"/>
    <w:rsid w:val="00F9198D"/>
    <w:rsid w:val="00F91A11"/>
    <w:rsid w:val="00F91A18"/>
    <w:rsid w:val="00F91F66"/>
    <w:rsid w:val="00F92955"/>
    <w:rsid w:val="00F92987"/>
    <w:rsid w:val="00F92996"/>
    <w:rsid w:val="00F92BE5"/>
    <w:rsid w:val="00F92E01"/>
    <w:rsid w:val="00F93000"/>
    <w:rsid w:val="00F930CB"/>
    <w:rsid w:val="00F93288"/>
    <w:rsid w:val="00F93304"/>
    <w:rsid w:val="00F934D3"/>
    <w:rsid w:val="00F93733"/>
    <w:rsid w:val="00F937B7"/>
    <w:rsid w:val="00F939CB"/>
    <w:rsid w:val="00F93F83"/>
    <w:rsid w:val="00F94395"/>
    <w:rsid w:val="00F94462"/>
    <w:rsid w:val="00F945E0"/>
    <w:rsid w:val="00F94837"/>
    <w:rsid w:val="00F9484E"/>
    <w:rsid w:val="00F94BDC"/>
    <w:rsid w:val="00F94E4A"/>
    <w:rsid w:val="00F954AB"/>
    <w:rsid w:val="00F95666"/>
    <w:rsid w:val="00F95689"/>
    <w:rsid w:val="00F956F3"/>
    <w:rsid w:val="00F95A4D"/>
    <w:rsid w:val="00F95C96"/>
    <w:rsid w:val="00F95D78"/>
    <w:rsid w:val="00F96289"/>
    <w:rsid w:val="00F9651A"/>
    <w:rsid w:val="00F96752"/>
    <w:rsid w:val="00F968F9"/>
    <w:rsid w:val="00F96AD5"/>
    <w:rsid w:val="00F96C3F"/>
    <w:rsid w:val="00F96E2C"/>
    <w:rsid w:val="00F97088"/>
    <w:rsid w:val="00F9753E"/>
    <w:rsid w:val="00F976C0"/>
    <w:rsid w:val="00F97836"/>
    <w:rsid w:val="00F97DDA"/>
    <w:rsid w:val="00FA0156"/>
    <w:rsid w:val="00FA04D6"/>
    <w:rsid w:val="00FA04EF"/>
    <w:rsid w:val="00FA0795"/>
    <w:rsid w:val="00FA08C2"/>
    <w:rsid w:val="00FA091D"/>
    <w:rsid w:val="00FA0986"/>
    <w:rsid w:val="00FA09D7"/>
    <w:rsid w:val="00FA0DA2"/>
    <w:rsid w:val="00FA0E2B"/>
    <w:rsid w:val="00FA104D"/>
    <w:rsid w:val="00FA113C"/>
    <w:rsid w:val="00FA120B"/>
    <w:rsid w:val="00FA12DD"/>
    <w:rsid w:val="00FA145F"/>
    <w:rsid w:val="00FA162C"/>
    <w:rsid w:val="00FA17F0"/>
    <w:rsid w:val="00FA1933"/>
    <w:rsid w:val="00FA1B8D"/>
    <w:rsid w:val="00FA2708"/>
    <w:rsid w:val="00FA2727"/>
    <w:rsid w:val="00FA2771"/>
    <w:rsid w:val="00FA2A3D"/>
    <w:rsid w:val="00FA2B96"/>
    <w:rsid w:val="00FA2E23"/>
    <w:rsid w:val="00FA31E3"/>
    <w:rsid w:val="00FA35E8"/>
    <w:rsid w:val="00FA3A0A"/>
    <w:rsid w:val="00FA3D26"/>
    <w:rsid w:val="00FA4141"/>
    <w:rsid w:val="00FA4329"/>
    <w:rsid w:val="00FA47DA"/>
    <w:rsid w:val="00FA4906"/>
    <w:rsid w:val="00FA4C39"/>
    <w:rsid w:val="00FA4F7A"/>
    <w:rsid w:val="00FA5078"/>
    <w:rsid w:val="00FA5244"/>
    <w:rsid w:val="00FA55DB"/>
    <w:rsid w:val="00FA583B"/>
    <w:rsid w:val="00FA58D6"/>
    <w:rsid w:val="00FA5CA8"/>
    <w:rsid w:val="00FA5E89"/>
    <w:rsid w:val="00FA624C"/>
    <w:rsid w:val="00FA6446"/>
    <w:rsid w:val="00FA6547"/>
    <w:rsid w:val="00FA657E"/>
    <w:rsid w:val="00FA67D1"/>
    <w:rsid w:val="00FA68C1"/>
    <w:rsid w:val="00FA68D3"/>
    <w:rsid w:val="00FA6D4F"/>
    <w:rsid w:val="00FA6DA4"/>
    <w:rsid w:val="00FA6E10"/>
    <w:rsid w:val="00FA6E35"/>
    <w:rsid w:val="00FA7474"/>
    <w:rsid w:val="00FA74C2"/>
    <w:rsid w:val="00FA78A6"/>
    <w:rsid w:val="00FA7C15"/>
    <w:rsid w:val="00FA7E24"/>
    <w:rsid w:val="00FA7E3D"/>
    <w:rsid w:val="00FA7E56"/>
    <w:rsid w:val="00FA7EDE"/>
    <w:rsid w:val="00FB0085"/>
    <w:rsid w:val="00FB0447"/>
    <w:rsid w:val="00FB052C"/>
    <w:rsid w:val="00FB06D8"/>
    <w:rsid w:val="00FB07E8"/>
    <w:rsid w:val="00FB0947"/>
    <w:rsid w:val="00FB0C9E"/>
    <w:rsid w:val="00FB0F08"/>
    <w:rsid w:val="00FB0F10"/>
    <w:rsid w:val="00FB11FE"/>
    <w:rsid w:val="00FB1393"/>
    <w:rsid w:val="00FB140B"/>
    <w:rsid w:val="00FB1859"/>
    <w:rsid w:val="00FB1935"/>
    <w:rsid w:val="00FB1A41"/>
    <w:rsid w:val="00FB1AE4"/>
    <w:rsid w:val="00FB1B1F"/>
    <w:rsid w:val="00FB1C06"/>
    <w:rsid w:val="00FB1C1E"/>
    <w:rsid w:val="00FB1D13"/>
    <w:rsid w:val="00FB22EF"/>
    <w:rsid w:val="00FB242F"/>
    <w:rsid w:val="00FB2508"/>
    <w:rsid w:val="00FB27B9"/>
    <w:rsid w:val="00FB27C1"/>
    <w:rsid w:val="00FB2BAD"/>
    <w:rsid w:val="00FB2D6D"/>
    <w:rsid w:val="00FB3151"/>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318"/>
    <w:rsid w:val="00FB6449"/>
    <w:rsid w:val="00FB6504"/>
    <w:rsid w:val="00FB6773"/>
    <w:rsid w:val="00FB67E7"/>
    <w:rsid w:val="00FB69CF"/>
    <w:rsid w:val="00FB6B07"/>
    <w:rsid w:val="00FB6BA1"/>
    <w:rsid w:val="00FB6C90"/>
    <w:rsid w:val="00FB6CB2"/>
    <w:rsid w:val="00FB6D4D"/>
    <w:rsid w:val="00FB6EDE"/>
    <w:rsid w:val="00FB7222"/>
    <w:rsid w:val="00FB7396"/>
    <w:rsid w:val="00FB76B8"/>
    <w:rsid w:val="00FB77C5"/>
    <w:rsid w:val="00FB7934"/>
    <w:rsid w:val="00FB7B97"/>
    <w:rsid w:val="00FB7EF3"/>
    <w:rsid w:val="00FB7F6F"/>
    <w:rsid w:val="00FC0004"/>
    <w:rsid w:val="00FC0013"/>
    <w:rsid w:val="00FC00FE"/>
    <w:rsid w:val="00FC0193"/>
    <w:rsid w:val="00FC036F"/>
    <w:rsid w:val="00FC0D0E"/>
    <w:rsid w:val="00FC0DD5"/>
    <w:rsid w:val="00FC0E23"/>
    <w:rsid w:val="00FC128B"/>
    <w:rsid w:val="00FC13FD"/>
    <w:rsid w:val="00FC143F"/>
    <w:rsid w:val="00FC162E"/>
    <w:rsid w:val="00FC1D1C"/>
    <w:rsid w:val="00FC1D70"/>
    <w:rsid w:val="00FC1E5C"/>
    <w:rsid w:val="00FC1E9F"/>
    <w:rsid w:val="00FC1EE3"/>
    <w:rsid w:val="00FC20E6"/>
    <w:rsid w:val="00FC23F1"/>
    <w:rsid w:val="00FC242A"/>
    <w:rsid w:val="00FC2434"/>
    <w:rsid w:val="00FC2537"/>
    <w:rsid w:val="00FC2867"/>
    <w:rsid w:val="00FC2886"/>
    <w:rsid w:val="00FC29ED"/>
    <w:rsid w:val="00FC2E4F"/>
    <w:rsid w:val="00FC301E"/>
    <w:rsid w:val="00FC32CE"/>
    <w:rsid w:val="00FC32D5"/>
    <w:rsid w:val="00FC33E2"/>
    <w:rsid w:val="00FC3413"/>
    <w:rsid w:val="00FC34E1"/>
    <w:rsid w:val="00FC380C"/>
    <w:rsid w:val="00FC3E5D"/>
    <w:rsid w:val="00FC4058"/>
    <w:rsid w:val="00FC4181"/>
    <w:rsid w:val="00FC42E9"/>
    <w:rsid w:val="00FC4528"/>
    <w:rsid w:val="00FC4725"/>
    <w:rsid w:val="00FC48FE"/>
    <w:rsid w:val="00FC4D41"/>
    <w:rsid w:val="00FC4FC3"/>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7B9"/>
    <w:rsid w:val="00FC6C6D"/>
    <w:rsid w:val="00FC6C8E"/>
    <w:rsid w:val="00FC6CCF"/>
    <w:rsid w:val="00FC720C"/>
    <w:rsid w:val="00FC73EB"/>
    <w:rsid w:val="00FC7926"/>
    <w:rsid w:val="00FC7A43"/>
    <w:rsid w:val="00FD01AF"/>
    <w:rsid w:val="00FD01EB"/>
    <w:rsid w:val="00FD0BB7"/>
    <w:rsid w:val="00FD0CD2"/>
    <w:rsid w:val="00FD0E43"/>
    <w:rsid w:val="00FD0EEE"/>
    <w:rsid w:val="00FD0F39"/>
    <w:rsid w:val="00FD111E"/>
    <w:rsid w:val="00FD1555"/>
    <w:rsid w:val="00FD15B5"/>
    <w:rsid w:val="00FD1856"/>
    <w:rsid w:val="00FD1BD1"/>
    <w:rsid w:val="00FD1EA3"/>
    <w:rsid w:val="00FD1FBF"/>
    <w:rsid w:val="00FD2046"/>
    <w:rsid w:val="00FD2054"/>
    <w:rsid w:val="00FD20D6"/>
    <w:rsid w:val="00FD20F4"/>
    <w:rsid w:val="00FD21B0"/>
    <w:rsid w:val="00FD2236"/>
    <w:rsid w:val="00FD22F7"/>
    <w:rsid w:val="00FD243D"/>
    <w:rsid w:val="00FD24E4"/>
    <w:rsid w:val="00FD2504"/>
    <w:rsid w:val="00FD2617"/>
    <w:rsid w:val="00FD275C"/>
    <w:rsid w:val="00FD2778"/>
    <w:rsid w:val="00FD2B0D"/>
    <w:rsid w:val="00FD2DB6"/>
    <w:rsid w:val="00FD2ED7"/>
    <w:rsid w:val="00FD326C"/>
    <w:rsid w:val="00FD3303"/>
    <w:rsid w:val="00FD34F9"/>
    <w:rsid w:val="00FD35E7"/>
    <w:rsid w:val="00FD3605"/>
    <w:rsid w:val="00FD38DE"/>
    <w:rsid w:val="00FD38EA"/>
    <w:rsid w:val="00FD39D3"/>
    <w:rsid w:val="00FD39E2"/>
    <w:rsid w:val="00FD3B83"/>
    <w:rsid w:val="00FD3D49"/>
    <w:rsid w:val="00FD3ECC"/>
    <w:rsid w:val="00FD4063"/>
    <w:rsid w:val="00FD4291"/>
    <w:rsid w:val="00FD4954"/>
    <w:rsid w:val="00FD4E68"/>
    <w:rsid w:val="00FD4EB0"/>
    <w:rsid w:val="00FD4F58"/>
    <w:rsid w:val="00FD4FAA"/>
    <w:rsid w:val="00FD5054"/>
    <w:rsid w:val="00FD5093"/>
    <w:rsid w:val="00FD52C1"/>
    <w:rsid w:val="00FD5566"/>
    <w:rsid w:val="00FD55BE"/>
    <w:rsid w:val="00FD56F4"/>
    <w:rsid w:val="00FD5709"/>
    <w:rsid w:val="00FD5732"/>
    <w:rsid w:val="00FD591D"/>
    <w:rsid w:val="00FD5E6B"/>
    <w:rsid w:val="00FD5FB0"/>
    <w:rsid w:val="00FD602A"/>
    <w:rsid w:val="00FD604E"/>
    <w:rsid w:val="00FD60B3"/>
    <w:rsid w:val="00FD61DA"/>
    <w:rsid w:val="00FD6223"/>
    <w:rsid w:val="00FD6381"/>
    <w:rsid w:val="00FD643E"/>
    <w:rsid w:val="00FD6503"/>
    <w:rsid w:val="00FD6584"/>
    <w:rsid w:val="00FD65A8"/>
    <w:rsid w:val="00FD6833"/>
    <w:rsid w:val="00FD6CE6"/>
    <w:rsid w:val="00FD6EEB"/>
    <w:rsid w:val="00FD6F5F"/>
    <w:rsid w:val="00FD6F78"/>
    <w:rsid w:val="00FD7445"/>
    <w:rsid w:val="00FD7AF4"/>
    <w:rsid w:val="00FD7B19"/>
    <w:rsid w:val="00FD7FD1"/>
    <w:rsid w:val="00FE00A5"/>
    <w:rsid w:val="00FE00B6"/>
    <w:rsid w:val="00FE00BC"/>
    <w:rsid w:val="00FE03D6"/>
    <w:rsid w:val="00FE04B8"/>
    <w:rsid w:val="00FE0523"/>
    <w:rsid w:val="00FE05A8"/>
    <w:rsid w:val="00FE0B3C"/>
    <w:rsid w:val="00FE1077"/>
    <w:rsid w:val="00FE1136"/>
    <w:rsid w:val="00FE12BF"/>
    <w:rsid w:val="00FE1773"/>
    <w:rsid w:val="00FE1813"/>
    <w:rsid w:val="00FE1AEA"/>
    <w:rsid w:val="00FE1F1C"/>
    <w:rsid w:val="00FE1FFC"/>
    <w:rsid w:val="00FE21BD"/>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CBC"/>
    <w:rsid w:val="00FE4DE0"/>
    <w:rsid w:val="00FE4DF5"/>
    <w:rsid w:val="00FE4E3A"/>
    <w:rsid w:val="00FE4EF4"/>
    <w:rsid w:val="00FE5281"/>
    <w:rsid w:val="00FE52E1"/>
    <w:rsid w:val="00FE549E"/>
    <w:rsid w:val="00FE55D6"/>
    <w:rsid w:val="00FE5668"/>
    <w:rsid w:val="00FE5A05"/>
    <w:rsid w:val="00FE5B78"/>
    <w:rsid w:val="00FE5D14"/>
    <w:rsid w:val="00FE5EDE"/>
    <w:rsid w:val="00FE5F4A"/>
    <w:rsid w:val="00FE6003"/>
    <w:rsid w:val="00FE6183"/>
    <w:rsid w:val="00FE619E"/>
    <w:rsid w:val="00FE6462"/>
    <w:rsid w:val="00FE6682"/>
    <w:rsid w:val="00FE6A92"/>
    <w:rsid w:val="00FE6B9A"/>
    <w:rsid w:val="00FE6CFE"/>
    <w:rsid w:val="00FE6FB2"/>
    <w:rsid w:val="00FE7026"/>
    <w:rsid w:val="00FE728A"/>
    <w:rsid w:val="00FE738E"/>
    <w:rsid w:val="00FE7399"/>
    <w:rsid w:val="00FE7614"/>
    <w:rsid w:val="00FE76B0"/>
    <w:rsid w:val="00FE7B92"/>
    <w:rsid w:val="00FF0004"/>
    <w:rsid w:val="00FF0264"/>
    <w:rsid w:val="00FF037E"/>
    <w:rsid w:val="00FF04A0"/>
    <w:rsid w:val="00FF0771"/>
    <w:rsid w:val="00FF082C"/>
    <w:rsid w:val="00FF0A08"/>
    <w:rsid w:val="00FF0BD3"/>
    <w:rsid w:val="00FF0FD8"/>
    <w:rsid w:val="00FF100D"/>
    <w:rsid w:val="00FF1015"/>
    <w:rsid w:val="00FF1171"/>
    <w:rsid w:val="00FF1278"/>
    <w:rsid w:val="00FF1807"/>
    <w:rsid w:val="00FF184D"/>
    <w:rsid w:val="00FF18F1"/>
    <w:rsid w:val="00FF1E31"/>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CE0"/>
    <w:rsid w:val="00FF3DF5"/>
    <w:rsid w:val="00FF3EA1"/>
    <w:rsid w:val="00FF3F26"/>
    <w:rsid w:val="00FF3F55"/>
    <w:rsid w:val="00FF4044"/>
    <w:rsid w:val="00FF43F0"/>
    <w:rsid w:val="00FF4B3F"/>
    <w:rsid w:val="00FF4D84"/>
    <w:rsid w:val="00FF4F55"/>
    <w:rsid w:val="00FF5073"/>
    <w:rsid w:val="00FF524E"/>
    <w:rsid w:val="00FF52B6"/>
    <w:rsid w:val="00FF562A"/>
    <w:rsid w:val="00FF57D9"/>
    <w:rsid w:val="00FF585E"/>
    <w:rsid w:val="00FF5975"/>
    <w:rsid w:val="00FF59F0"/>
    <w:rsid w:val="00FF5B6B"/>
    <w:rsid w:val="00FF5C2A"/>
    <w:rsid w:val="00FF5E4C"/>
    <w:rsid w:val="00FF5EEB"/>
    <w:rsid w:val="00FF6037"/>
    <w:rsid w:val="00FF6664"/>
    <w:rsid w:val="00FF6806"/>
    <w:rsid w:val="00FF6832"/>
    <w:rsid w:val="00FF6A9D"/>
    <w:rsid w:val="00FF6BB9"/>
    <w:rsid w:val="00FF6DE6"/>
    <w:rsid w:val="00FF6F78"/>
    <w:rsid w:val="00FF6FBA"/>
    <w:rsid w:val="00FF7211"/>
    <w:rsid w:val="00FF7617"/>
    <w:rsid w:val="01050619"/>
    <w:rsid w:val="0138FCED"/>
    <w:rsid w:val="013CEF83"/>
    <w:rsid w:val="0143CCC2"/>
    <w:rsid w:val="014FD2CF"/>
    <w:rsid w:val="0153CF30"/>
    <w:rsid w:val="016927E8"/>
    <w:rsid w:val="019964B9"/>
    <w:rsid w:val="01D461CB"/>
    <w:rsid w:val="01EFC0BC"/>
    <w:rsid w:val="020A3CAD"/>
    <w:rsid w:val="0218AD67"/>
    <w:rsid w:val="029C017F"/>
    <w:rsid w:val="029C80E2"/>
    <w:rsid w:val="0315794E"/>
    <w:rsid w:val="0342B9AC"/>
    <w:rsid w:val="0344018D"/>
    <w:rsid w:val="036706A8"/>
    <w:rsid w:val="03D22A8A"/>
    <w:rsid w:val="03F2F124"/>
    <w:rsid w:val="03FE0ECD"/>
    <w:rsid w:val="040D7C09"/>
    <w:rsid w:val="040ED9E8"/>
    <w:rsid w:val="040FC221"/>
    <w:rsid w:val="048EC9C6"/>
    <w:rsid w:val="04A20634"/>
    <w:rsid w:val="04B1FA0C"/>
    <w:rsid w:val="04B33679"/>
    <w:rsid w:val="04CD3C63"/>
    <w:rsid w:val="04CF1D64"/>
    <w:rsid w:val="0509A1AC"/>
    <w:rsid w:val="0527E402"/>
    <w:rsid w:val="05325EB8"/>
    <w:rsid w:val="05613C05"/>
    <w:rsid w:val="057C10DB"/>
    <w:rsid w:val="0586AB4D"/>
    <w:rsid w:val="05BA6B34"/>
    <w:rsid w:val="05EA0FF3"/>
    <w:rsid w:val="05FCB03F"/>
    <w:rsid w:val="0660022B"/>
    <w:rsid w:val="068750C7"/>
    <w:rsid w:val="06986DD9"/>
    <w:rsid w:val="06E2F7FB"/>
    <w:rsid w:val="06F26F47"/>
    <w:rsid w:val="0736C448"/>
    <w:rsid w:val="0768C860"/>
    <w:rsid w:val="0787D909"/>
    <w:rsid w:val="07E463CC"/>
    <w:rsid w:val="07EDF7CC"/>
    <w:rsid w:val="080CC414"/>
    <w:rsid w:val="0811BF5A"/>
    <w:rsid w:val="082E0985"/>
    <w:rsid w:val="08329EE5"/>
    <w:rsid w:val="08459874"/>
    <w:rsid w:val="086DBC80"/>
    <w:rsid w:val="08703429"/>
    <w:rsid w:val="088B8045"/>
    <w:rsid w:val="088F2123"/>
    <w:rsid w:val="08A6247E"/>
    <w:rsid w:val="08C3425D"/>
    <w:rsid w:val="08DDB7FD"/>
    <w:rsid w:val="08E47EA1"/>
    <w:rsid w:val="08FCFEA9"/>
    <w:rsid w:val="090CAF4B"/>
    <w:rsid w:val="092F79ED"/>
    <w:rsid w:val="094EA149"/>
    <w:rsid w:val="09536A78"/>
    <w:rsid w:val="09789EB7"/>
    <w:rsid w:val="099AE850"/>
    <w:rsid w:val="09CC44D2"/>
    <w:rsid w:val="09FEBA8C"/>
    <w:rsid w:val="0A15DDF9"/>
    <w:rsid w:val="0A37BCD0"/>
    <w:rsid w:val="0A8915A8"/>
    <w:rsid w:val="0A8C40F2"/>
    <w:rsid w:val="0A95CF57"/>
    <w:rsid w:val="0A97958B"/>
    <w:rsid w:val="0AF01F1C"/>
    <w:rsid w:val="0AFAAD30"/>
    <w:rsid w:val="0B2D2F10"/>
    <w:rsid w:val="0B96854C"/>
    <w:rsid w:val="0B9CAD8C"/>
    <w:rsid w:val="0BA70441"/>
    <w:rsid w:val="0C16CD48"/>
    <w:rsid w:val="0C259A80"/>
    <w:rsid w:val="0C843628"/>
    <w:rsid w:val="0C95FD91"/>
    <w:rsid w:val="0CC12847"/>
    <w:rsid w:val="0CEE3471"/>
    <w:rsid w:val="0D6FDBB9"/>
    <w:rsid w:val="0D91CDDB"/>
    <w:rsid w:val="0D9A310B"/>
    <w:rsid w:val="0DA8C840"/>
    <w:rsid w:val="0DEF712E"/>
    <w:rsid w:val="0E56F25F"/>
    <w:rsid w:val="0E5FBE18"/>
    <w:rsid w:val="0E88A880"/>
    <w:rsid w:val="0E89916E"/>
    <w:rsid w:val="0EF160C2"/>
    <w:rsid w:val="0F29A81D"/>
    <w:rsid w:val="0F2C1511"/>
    <w:rsid w:val="0F2E73F4"/>
    <w:rsid w:val="0F413CAD"/>
    <w:rsid w:val="0F6FEAA4"/>
    <w:rsid w:val="0F80174D"/>
    <w:rsid w:val="0F8C84AD"/>
    <w:rsid w:val="0F987D9C"/>
    <w:rsid w:val="0FB87645"/>
    <w:rsid w:val="0FDF2171"/>
    <w:rsid w:val="104DC8D7"/>
    <w:rsid w:val="106586D5"/>
    <w:rsid w:val="1094C547"/>
    <w:rsid w:val="10AE4593"/>
    <w:rsid w:val="10C1E18C"/>
    <w:rsid w:val="10E376DF"/>
    <w:rsid w:val="11021ED3"/>
    <w:rsid w:val="1103D3E1"/>
    <w:rsid w:val="111FEF0E"/>
    <w:rsid w:val="112B66FE"/>
    <w:rsid w:val="114F9259"/>
    <w:rsid w:val="11728D65"/>
    <w:rsid w:val="117DF8F2"/>
    <w:rsid w:val="11BEFC99"/>
    <w:rsid w:val="11C0CBBF"/>
    <w:rsid w:val="11CE214A"/>
    <w:rsid w:val="1200A049"/>
    <w:rsid w:val="120B4C57"/>
    <w:rsid w:val="124E7B7A"/>
    <w:rsid w:val="126955BC"/>
    <w:rsid w:val="127B5BB4"/>
    <w:rsid w:val="12915A83"/>
    <w:rsid w:val="129D7018"/>
    <w:rsid w:val="12AF1497"/>
    <w:rsid w:val="12E98EE5"/>
    <w:rsid w:val="12F39D02"/>
    <w:rsid w:val="12F702BE"/>
    <w:rsid w:val="13398B63"/>
    <w:rsid w:val="13410915"/>
    <w:rsid w:val="135BEF02"/>
    <w:rsid w:val="1367504D"/>
    <w:rsid w:val="13702C85"/>
    <w:rsid w:val="1382D8BE"/>
    <w:rsid w:val="13B2920D"/>
    <w:rsid w:val="13B845B5"/>
    <w:rsid w:val="13C3BDBD"/>
    <w:rsid w:val="13D77038"/>
    <w:rsid w:val="1418BB56"/>
    <w:rsid w:val="142B9A44"/>
    <w:rsid w:val="1459BE27"/>
    <w:rsid w:val="1463C221"/>
    <w:rsid w:val="14909C8E"/>
    <w:rsid w:val="14AADBD2"/>
    <w:rsid w:val="14CFCF56"/>
    <w:rsid w:val="14DE5C42"/>
    <w:rsid w:val="14F8E8E6"/>
    <w:rsid w:val="15213D39"/>
    <w:rsid w:val="153A45C0"/>
    <w:rsid w:val="15577225"/>
    <w:rsid w:val="1572BFC7"/>
    <w:rsid w:val="159B96FD"/>
    <w:rsid w:val="159EAF87"/>
    <w:rsid w:val="15A9D406"/>
    <w:rsid w:val="15E2ACCF"/>
    <w:rsid w:val="15F0CC3A"/>
    <w:rsid w:val="160291A2"/>
    <w:rsid w:val="1619AD1B"/>
    <w:rsid w:val="161D79AD"/>
    <w:rsid w:val="1629D096"/>
    <w:rsid w:val="16546652"/>
    <w:rsid w:val="16B39686"/>
    <w:rsid w:val="16B735A0"/>
    <w:rsid w:val="16CBB72C"/>
    <w:rsid w:val="16E94AD8"/>
    <w:rsid w:val="16EFFE05"/>
    <w:rsid w:val="16F62047"/>
    <w:rsid w:val="16F746E2"/>
    <w:rsid w:val="17157616"/>
    <w:rsid w:val="174292C9"/>
    <w:rsid w:val="17F17A94"/>
    <w:rsid w:val="17F85CCE"/>
    <w:rsid w:val="1822D645"/>
    <w:rsid w:val="18246A91"/>
    <w:rsid w:val="183D3CD8"/>
    <w:rsid w:val="186481B9"/>
    <w:rsid w:val="187BE8AB"/>
    <w:rsid w:val="1897014D"/>
    <w:rsid w:val="18C2642A"/>
    <w:rsid w:val="193AA2FA"/>
    <w:rsid w:val="194661B6"/>
    <w:rsid w:val="19635B8A"/>
    <w:rsid w:val="199C9BFF"/>
    <w:rsid w:val="199CED15"/>
    <w:rsid w:val="19C44B3E"/>
    <w:rsid w:val="19EC2EC9"/>
    <w:rsid w:val="1A08C77C"/>
    <w:rsid w:val="1A0A8534"/>
    <w:rsid w:val="1A0D113B"/>
    <w:rsid w:val="1A528209"/>
    <w:rsid w:val="1A57DF34"/>
    <w:rsid w:val="1A6D21A8"/>
    <w:rsid w:val="1A79655D"/>
    <w:rsid w:val="1A817156"/>
    <w:rsid w:val="1A8887D0"/>
    <w:rsid w:val="1A92F4D9"/>
    <w:rsid w:val="1AF0EA14"/>
    <w:rsid w:val="1AFCD682"/>
    <w:rsid w:val="1B063E23"/>
    <w:rsid w:val="1B2FD9E8"/>
    <w:rsid w:val="1B7983FC"/>
    <w:rsid w:val="1B89CA95"/>
    <w:rsid w:val="1B96B352"/>
    <w:rsid w:val="1BA69B8C"/>
    <w:rsid w:val="1BB2AC74"/>
    <w:rsid w:val="1BDAA6EB"/>
    <w:rsid w:val="1BF8CBA2"/>
    <w:rsid w:val="1C703591"/>
    <w:rsid w:val="1CB43B03"/>
    <w:rsid w:val="1CCA5C9B"/>
    <w:rsid w:val="1CCFBC21"/>
    <w:rsid w:val="1D1452D0"/>
    <w:rsid w:val="1DB5B8D5"/>
    <w:rsid w:val="1DCB1F00"/>
    <w:rsid w:val="1DCFD97C"/>
    <w:rsid w:val="1DD3EB10"/>
    <w:rsid w:val="1DE7774F"/>
    <w:rsid w:val="1DECF280"/>
    <w:rsid w:val="1DFA7142"/>
    <w:rsid w:val="1E0DDD91"/>
    <w:rsid w:val="1E424182"/>
    <w:rsid w:val="1E53F533"/>
    <w:rsid w:val="1E617E89"/>
    <w:rsid w:val="1EDA8348"/>
    <w:rsid w:val="1EE113BA"/>
    <w:rsid w:val="1EE20EF7"/>
    <w:rsid w:val="1F427FB2"/>
    <w:rsid w:val="1F435D64"/>
    <w:rsid w:val="1F7AE4EF"/>
    <w:rsid w:val="1F9F3C23"/>
    <w:rsid w:val="1F9F6D60"/>
    <w:rsid w:val="1FAA801C"/>
    <w:rsid w:val="1FB4A95F"/>
    <w:rsid w:val="1FC07123"/>
    <w:rsid w:val="1FD3ED3C"/>
    <w:rsid w:val="1FDE13D5"/>
    <w:rsid w:val="1FDE4C30"/>
    <w:rsid w:val="1FFA349E"/>
    <w:rsid w:val="2063F561"/>
    <w:rsid w:val="20AA5902"/>
    <w:rsid w:val="20AC2AC8"/>
    <w:rsid w:val="20C08A8A"/>
    <w:rsid w:val="20DB060A"/>
    <w:rsid w:val="20F1F734"/>
    <w:rsid w:val="20FC7C86"/>
    <w:rsid w:val="211DDE7C"/>
    <w:rsid w:val="21435B8B"/>
    <w:rsid w:val="21878A74"/>
    <w:rsid w:val="21C40E3C"/>
    <w:rsid w:val="224790E8"/>
    <w:rsid w:val="226417AE"/>
    <w:rsid w:val="22677E80"/>
    <w:rsid w:val="2269B439"/>
    <w:rsid w:val="227D9345"/>
    <w:rsid w:val="228C9E72"/>
    <w:rsid w:val="22A8D2C9"/>
    <w:rsid w:val="22B05379"/>
    <w:rsid w:val="22B5174B"/>
    <w:rsid w:val="22D0EC8A"/>
    <w:rsid w:val="22E71767"/>
    <w:rsid w:val="22F875BD"/>
    <w:rsid w:val="23182654"/>
    <w:rsid w:val="23273135"/>
    <w:rsid w:val="238382B4"/>
    <w:rsid w:val="2384CD77"/>
    <w:rsid w:val="23B1C4BD"/>
    <w:rsid w:val="2421DD51"/>
    <w:rsid w:val="243B3498"/>
    <w:rsid w:val="24752F76"/>
    <w:rsid w:val="247B2D74"/>
    <w:rsid w:val="2483D0A6"/>
    <w:rsid w:val="24DD93E3"/>
    <w:rsid w:val="2509F78D"/>
    <w:rsid w:val="250B26A7"/>
    <w:rsid w:val="254FCED2"/>
    <w:rsid w:val="255F6070"/>
    <w:rsid w:val="25A95DC2"/>
    <w:rsid w:val="25A993FF"/>
    <w:rsid w:val="25FD69B1"/>
    <w:rsid w:val="2635AF0C"/>
    <w:rsid w:val="265AE59B"/>
    <w:rsid w:val="26CADC6E"/>
    <w:rsid w:val="26E29682"/>
    <w:rsid w:val="2714C4DD"/>
    <w:rsid w:val="2730634E"/>
    <w:rsid w:val="27863661"/>
    <w:rsid w:val="279C2C8B"/>
    <w:rsid w:val="27BCFD34"/>
    <w:rsid w:val="27D3D98E"/>
    <w:rsid w:val="27D848FE"/>
    <w:rsid w:val="27E55665"/>
    <w:rsid w:val="27F2AE79"/>
    <w:rsid w:val="280126B3"/>
    <w:rsid w:val="280A1C1C"/>
    <w:rsid w:val="286DD8CE"/>
    <w:rsid w:val="288A55AB"/>
    <w:rsid w:val="289CD115"/>
    <w:rsid w:val="28CA464B"/>
    <w:rsid w:val="28CD4E55"/>
    <w:rsid w:val="28E38A08"/>
    <w:rsid w:val="28EC3BE9"/>
    <w:rsid w:val="28ECACB7"/>
    <w:rsid w:val="29106B8C"/>
    <w:rsid w:val="2911C09F"/>
    <w:rsid w:val="294FBFA5"/>
    <w:rsid w:val="295459A7"/>
    <w:rsid w:val="296010E7"/>
    <w:rsid w:val="2979483C"/>
    <w:rsid w:val="2982AD14"/>
    <w:rsid w:val="29AF6B65"/>
    <w:rsid w:val="29C8BF59"/>
    <w:rsid w:val="29D6AD5A"/>
    <w:rsid w:val="29ED6016"/>
    <w:rsid w:val="2A007BD0"/>
    <w:rsid w:val="2A381246"/>
    <w:rsid w:val="2A55EC11"/>
    <w:rsid w:val="2A8E6B93"/>
    <w:rsid w:val="2A9385FD"/>
    <w:rsid w:val="2ABC894A"/>
    <w:rsid w:val="2AD0A454"/>
    <w:rsid w:val="2AE0CD53"/>
    <w:rsid w:val="2B05E8C6"/>
    <w:rsid w:val="2B35D5E3"/>
    <w:rsid w:val="2BC10CAC"/>
    <w:rsid w:val="2BDD77FF"/>
    <w:rsid w:val="2BF6CFB5"/>
    <w:rsid w:val="2C1C01C6"/>
    <w:rsid w:val="2C8D865B"/>
    <w:rsid w:val="2CCE582D"/>
    <w:rsid w:val="2CDC6234"/>
    <w:rsid w:val="2CEA0D6A"/>
    <w:rsid w:val="2D008936"/>
    <w:rsid w:val="2D04C6AA"/>
    <w:rsid w:val="2D0B5B79"/>
    <w:rsid w:val="2D294145"/>
    <w:rsid w:val="2D29FE81"/>
    <w:rsid w:val="2D3CB575"/>
    <w:rsid w:val="2D5FAB08"/>
    <w:rsid w:val="2D6594CE"/>
    <w:rsid w:val="2D7FC594"/>
    <w:rsid w:val="2DA98E9C"/>
    <w:rsid w:val="2DB62BAE"/>
    <w:rsid w:val="2DD0A328"/>
    <w:rsid w:val="2DD26A58"/>
    <w:rsid w:val="2E39469E"/>
    <w:rsid w:val="2E4583F4"/>
    <w:rsid w:val="2E66150F"/>
    <w:rsid w:val="2E8413B5"/>
    <w:rsid w:val="2E98AF21"/>
    <w:rsid w:val="2E9C8D63"/>
    <w:rsid w:val="2EAEE716"/>
    <w:rsid w:val="2ECB3222"/>
    <w:rsid w:val="2EF9307F"/>
    <w:rsid w:val="2F0A101A"/>
    <w:rsid w:val="2F12C73A"/>
    <w:rsid w:val="2F58DE33"/>
    <w:rsid w:val="2F6CEB4D"/>
    <w:rsid w:val="2F83C90C"/>
    <w:rsid w:val="300FFD9A"/>
    <w:rsid w:val="304FC72C"/>
    <w:rsid w:val="30672101"/>
    <w:rsid w:val="30C163DC"/>
    <w:rsid w:val="30CB1C10"/>
    <w:rsid w:val="313C6383"/>
    <w:rsid w:val="313E3274"/>
    <w:rsid w:val="3158507C"/>
    <w:rsid w:val="31B47518"/>
    <w:rsid w:val="31C0A738"/>
    <w:rsid w:val="31C7ED89"/>
    <w:rsid w:val="31D00485"/>
    <w:rsid w:val="31DD6411"/>
    <w:rsid w:val="31F9BAAC"/>
    <w:rsid w:val="32115A15"/>
    <w:rsid w:val="32123F94"/>
    <w:rsid w:val="3239FAF3"/>
    <w:rsid w:val="323F8CB3"/>
    <w:rsid w:val="32562E40"/>
    <w:rsid w:val="328A857C"/>
    <w:rsid w:val="32D73D45"/>
    <w:rsid w:val="32F294CC"/>
    <w:rsid w:val="32F304DD"/>
    <w:rsid w:val="3308A14A"/>
    <w:rsid w:val="33754C7A"/>
    <w:rsid w:val="3376A03D"/>
    <w:rsid w:val="3397DFC5"/>
    <w:rsid w:val="33C11E13"/>
    <w:rsid w:val="33F3CE75"/>
    <w:rsid w:val="33FD79F5"/>
    <w:rsid w:val="34227BC8"/>
    <w:rsid w:val="34232D03"/>
    <w:rsid w:val="342C418A"/>
    <w:rsid w:val="343924B6"/>
    <w:rsid w:val="343E7D01"/>
    <w:rsid w:val="34AD89F8"/>
    <w:rsid w:val="34B86488"/>
    <w:rsid w:val="34B8D9B2"/>
    <w:rsid w:val="34BB8090"/>
    <w:rsid w:val="34BE7144"/>
    <w:rsid w:val="3509BDDF"/>
    <w:rsid w:val="350B5DEF"/>
    <w:rsid w:val="3514FD78"/>
    <w:rsid w:val="3533D4AA"/>
    <w:rsid w:val="35566973"/>
    <w:rsid w:val="356078A2"/>
    <w:rsid w:val="357F6439"/>
    <w:rsid w:val="359B3ED5"/>
    <w:rsid w:val="359FF88E"/>
    <w:rsid w:val="35B3599C"/>
    <w:rsid w:val="35B56BEA"/>
    <w:rsid w:val="35BC94A2"/>
    <w:rsid w:val="35D62D70"/>
    <w:rsid w:val="3615ECF4"/>
    <w:rsid w:val="36313B6A"/>
    <w:rsid w:val="36386020"/>
    <w:rsid w:val="366B6E36"/>
    <w:rsid w:val="36828514"/>
    <w:rsid w:val="3684EAF2"/>
    <w:rsid w:val="36A9F04C"/>
    <w:rsid w:val="36FFF356"/>
    <w:rsid w:val="3720CB84"/>
    <w:rsid w:val="37294A50"/>
    <w:rsid w:val="372BD7D4"/>
    <w:rsid w:val="37B14FE5"/>
    <w:rsid w:val="37BDD1B5"/>
    <w:rsid w:val="3834C3E4"/>
    <w:rsid w:val="384E5482"/>
    <w:rsid w:val="38560615"/>
    <w:rsid w:val="38601618"/>
    <w:rsid w:val="38A02734"/>
    <w:rsid w:val="39137C38"/>
    <w:rsid w:val="392ABF13"/>
    <w:rsid w:val="392BD66D"/>
    <w:rsid w:val="393A8319"/>
    <w:rsid w:val="39524A13"/>
    <w:rsid w:val="395F8563"/>
    <w:rsid w:val="3989FBEA"/>
    <w:rsid w:val="399B8AF4"/>
    <w:rsid w:val="39A09C17"/>
    <w:rsid w:val="39AEC4C6"/>
    <w:rsid w:val="39D4509C"/>
    <w:rsid w:val="39FA9030"/>
    <w:rsid w:val="3A2D8A52"/>
    <w:rsid w:val="3A3CF95C"/>
    <w:rsid w:val="3A413F80"/>
    <w:rsid w:val="3A90F261"/>
    <w:rsid w:val="3AD22FAC"/>
    <w:rsid w:val="3AE137B1"/>
    <w:rsid w:val="3AE95BA5"/>
    <w:rsid w:val="3AEAFDE7"/>
    <w:rsid w:val="3B1CB83B"/>
    <w:rsid w:val="3B2BD557"/>
    <w:rsid w:val="3B808BCC"/>
    <w:rsid w:val="3B952ACF"/>
    <w:rsid w:val="3C00E81D"/>
    <w:rsid w:val="3C07B03B"/>
    <w:rsid w:val="3C356ABB"/>
    <w:rsid w:val="3C396467"/>
    <w:rsid w:val="3C3F980A"/>
    <w:rsid w:val="3C570530"/>
    <w:rsid w:val="3C622CE7"/>
    <w:rsid w:val="3C74BD2B"/>
    <w:rsid w:val="3CD758B3"/>
    <w:rsid w:val="3CE23E6A"/>
    <w:rsid w:val="3D0D6732"/>
    <w:rsid w:val="3D0E8850"/>
    <w:rsid w:val="3D1C5173"/>
    <w:rsid w:val="3D4FB02D"/>
    <w:rsid w:val="3D684A12"/>
    <w:rsid w:val="3D705A4F"/>
    <w:rsid w:val="3DB31F0B"/>
    <w:rsid w:val="3DE27F08"/>
    <w:rsid w:val="3E0EC747"/>
    <w:rsid w:val="3E33A212"/>
    <w:rsid w:val="3E48C43C"/>
    <w:rsid w:val="3E5B7C50"/>
    <w:rsid w:val="3E654070"/>
    <w:rsid w:val="3E95EDF4"/>
    <w:rsid w:val="3F0CE03B"/>
    <w:rsid w:val="3F4E9341"/>
    <w:rsid w:val="3F5471F5"/>
    <w:rsid w:val="3F622B2A"/>
    <w:rsid w:val="3F70E838"/>
    <w:rsid w:val="3FB46FF6"/>
    <w:rsid w:val="3FED8B67"/>
    <w:rsid w:val="4014AEED"/>
    <w:rsid w:val="403994D3"/>
    <w:rsid w:val="40A62ED4"/>
    <w:rsid w:val="40B60079"/>
    <w:rsid w:val="40BA03C6"/>
    <w:rsid w:val="40C15BBA"/>
    <w:rsid w:val="40C1D919"/>
    <w:rsid w:val="411C5F5E"/>
    <w:rsid w:val="4153FB5D"/>
    <w:rsid w:val="415B4045"/>
    <w:rsid w:val="416BAE0D"/>
    <w:rsid w:val="41878A41"/>
    <w:rsid w:val="41B23417"/>
    <w:rsid w:val="41C34C39"/>
    <w:rsid w:val="4204A9C8"/>
    <w:rsid w:val="4210DFAD"/>
    <w:rsid w:val="4220BA00"/>
    <w:rsid w:val="424CB951"/>
    <w:rsid w:val="425A707B"/>
    <w:rsid w:val="4260F200"/>
    <w:rsid w:val="42D47E6F"/>
    <w:rsid w:val="42E659F4"/>
    <w:rsid w:val="43026F91"/>
    <w:rsid w:val="4339A1B1"/>
    <w:rsid w:val="43968624"/>
    <w:rsid w:val="439FB91F"/>
    <w:rsid w:val="43A224D9"/>
    <w:rsid w:val="43C00E5F"/>
    <w:rsid w:val="4416D62F"/>
    <w:rsid w:val="444D425A"/>
    <w:rsid w:val="4459DC1D"/>
    <w:rsid w:val="445BDCDE"/>
    <w:rsid w:val="446D8E05"/>
    <w:rsid w:val="4488F115"/>
    <w:rsid w:val="448C4106"/>
    <w:rsid w:val="44A3CD04"/>
    <w:rsid w:val="44BB6A65"/>
    <w:rsid w:val="45743110"/>
    <w:rsid w:val="457754E4"/>
    <w:rsid w:val="4585DCD0"/>
    <w:rsid w:val="45867E04"/>
    <w:rsid w:val="458B69DE"/>
    <w:rsid w:val="45E83890"/>
    <w:rsid w:val="4611377F"/>
    <w:rsid w:val="461E5325"/>
    <w:rsid w:val="466852D3"/>
    <w:rsid w:val="46C9F3B7"/>
    <w:rsid w:val="46CEAEF1"/>
    <w:rsid w:val="46E4FEE1"/>
    <w:rsid w:val="47541B6E"/>
    <w:rsid w:val="476F2AFD"/>
    <w:rsid w:val="47985416"/>
    <w:rsid w:val="47BE1E34"/>
    <w:rsid w:val="47CE500D"/>
    <w:rsid w:val="4800F80D"/>
    <w:rsid w:val="48201730"/>
    <w:rsid w:val="48411204"/>
    <w:rsid w:val="4886D93E"/>
    <w:rsid w:val="4894911B"/>
    <w:rsid w:val="48C52C23"/>
    <w:rsid w:val="48FD352A"/>
    <w:rsid w:val="491ECA25"/>
    <w:rsid w:val="4923332B"/>
    <w:rsid w:val="4959B55B"/>
    <w:rsid w:val="496487D0"/>
    <w:rsid w:val="49659A59"/>
    <w:rsid w:val="496CD864"/>
    <w:rsid w:val="496CF2E2"/>
    <w:rsid w:val="49A1CB84"/>
    <w:rsid w:val="49A9037A"/>
    <w:rsid w:val="49A91F45"/>
    <w:rsid w:val="49ADEDF9"/>
    <w:rsid w:val="49C59CBB"/>
    <w:rsid w:val="4A3ECC73"/>
    <w:rsid w:val="4A4CD6F8"/>
    <w:rsid w:val="4A52D00D"/>
    <w:rsid w:val="4A728AE1"/>
    <w:rsid w:val="4AE065B0"/>
    <w:rsid w:val="4AE253E2"/>
    <w:rsid w:val="4AF4AB61"/>
    <w:rsid w:val="4B1286F3"/>
    <w:rsid w:val="4B40E8E7"/>
    <w:rsid w:val="4B44C810"/>
    <w:rsid w:val="4BA9F7BF"/>
    <w:rsid w:val="4BADB936"/>
    <w:rsid w:val="4BCFF099"/>
    <w:rsid w:val="4BD3CBE8"/>
    <w:rsid w:val="4BEEB7D7"/>
    <w:rsid w:val="4C3E5C4A"/>
    <w:rsid w:val="4C5B8874"/>
    <w:rsid w:val="4C9D559C"/>
    <w:rsid w:val="4CA2C192"/>
    <w:rsid w:val="4CA9F264"/>
    <w:rsid w:val="4D0698B8"/>
    <w:rsid w:val="4D1621A7"/>
    <w:rsid w:val="4D7B25BB"/>
    <w:rsid w:val="4DAF359E"/>
    <w:rsid w:val="4DB1E06D"/>
    <w:rsid w:val="4DB72FD8"/>
    <w:rsid w:val="4DBBC46D"/>
    <w:rsid w:val="4DF957A4"/>
    <w:rsid w:val="4DFC869E"/>
    <w:rsid w:val="4E0A77AE"/>
    <w:rsid w:val="4E4EC1A0"/>
    <w:rsid w:val="4E64FAFA"/>
    <w:rsid w:val="4E743AD2"/>
    <w:rsid w:val="4EC325A2"/>
    <w:rsid w:val="4EDE0530"/>
    <w:rsid w:val="4F3CDE6E"/>
    <w:rsid w:val="4F749B66"/>
    <w:rsid w:val="4F9D7766"/>
    <w:rsid w:val="4FCC868C"/>
    <w:rsid w:val="50019BBA"/>
    <w:rsid w:val="5058C8A9"/>
    <w:rsid w:val="50D8B929"/>
    <w:rsid w:val="50F38D85"/>
    <w:rsid w:val="512BD842"/>
    <w:rsid w:val="5147ACC4"/>
    <w:rsid w:val="51AFC1A4"/>
    <w:rsid w:val="5239C5F3"/>
    <w:rsid w:val="5263A598"/>
    <w:rsid w:val="528B8AE4"/>
    <w:rsid w:val="5308EDCB"/>
    <w:rsid w:val="536784E4"/>
    <w:rsid w:val="537A22A0"/>
    <w:rsid w:val="53BBF581"/>
    <w:rsid w:val="53E1CE93"/>
    <w:rsid w:val="540E01C3"/>
    <w:rsid w:val="5440CC77"/>
    <w:rsid w:val="545C8EE7"/>
    <w:rsid w:val="548A066B"/>
    <w:rsid w:val="54BF6B1E"/>
    <w:rsid w:val="54DF4F9D"/>
    <w:rsid w:val="54E7D956"/>
    <w:rsid w:val="55062F23"/>
    <w:rsid w:val="55169B5F"/>
    <w:rsid w:val="5531D81F"/>
    <w:rsid w:val="554721CB"/>
    <w:rsid w:val="5570F5F1"/>
    <w:rsid w:val="55755DA5"/>
    <w:rsid w:val="55811214"/>
    <w:rsid w:val="559A69A2"/>
    <w:rsid w:val="55BD989D"/>
    <w:rsid w:val="55C15820"/>
    <w:rsid w:val="55FDB12B"/>
    <w:rsid w:val="56240096"/>
    <w:rsid w:val="562BB3DE"/>
    <w:rsid w:val="567E7B10"/>
    <w:rsid w:val="569BD67A"/>
    <w:rsid w:val="56EB4632"/>
    <w:rsid w:val="5713B110"/>
    <w:rsid w:val="577BFC8F"/>
    <w:rsid w:val="57A50AEA"/>
    <w:rsid w:val="57E21C5E"/>
    <w:rsid w:val="57E540F6"/>
    <w:rsid w:val="57E860AB"/>
    <w:rsid w:val="57EA7840"/>
    <w:rsid w:val="5831E2E2"/>
    <w:rsid w:val="586E7F31"/>
    <w:rsid w:val="58C0E5AE"/>
    <w:rsid w:val="58D3AA42"/>
    <w:rsid w:val="591E555C"/>
    <w:rsid w:val="5934215C"/>
    <w:rsid w:val="5934B565"/>
    <w:rsid w:val="593ED509"/>
    <w:rsid w:val="59600B2B"/>
    <w:rsid w:val="5967C970"/>
    <w:rsid w:val="598BC294"/>
    <w:rsid w:val="598DB1A5"/>
    <w:rsid w:val="598EFAEB"/>
    <w:rsid w:val="59AFFE51"/>
    <w:rsid w:val="59C1799A"/>
    <w:rsid w:val="59C1FF0B"/>
    <w:rsid w:val="59E514A6"/>
    <w:rsid w:val="59F314A1"/>
    <w:rsid w:val="59FAD73D"/>
    <w:rsid w:val="5A5A9428"/>
    <w:rsid w:val="5A9E5F29"/>
    <w:rsid w:val="5AD77A92"/>
    <w:rsid w:val="5B034899"/>
    <w:rsid w:val="5B1B973B"/>
    <w:rsid w:val="5B5D3A52"/>
    <w:rsid w:val="5BBAB4FC"/>
    <w:rsid w:val="5C213D81"/>
    <w:rsid w:val="5C2AFCA8"/>
    <w:rsid w:val="5C5657EC"/>
    <w:rsid w:val="5C572D01"/>
    <w:rsid w:val="5CDFE7A4"/>
    <w:rsid w:val="5D23E2C8"/>
    <w:rsid w:val="5D634DEB"/>
    <w:rsid w:val="5DA47B6A"/>
    <w:rsid w:val="5DDF654F"/>
    <w:rsid w:val="5DEEE238"/>
    <w:rsid w:val="5DF62E69"/>
    <w:rsid w:val="5E3452CD"/>
    <w:rsid w:val="5E435722"/>
    <w:rsid w:val="5E4D74EA"/>
    <w:rsid w:val="5E6B38A6"/>
    <w:rsid w:val="5E7BF00B"/>
    <w:rsid w:val="5ECED422"/>
    <w:rsid w:val="5F165B29"/>
    <w:rsid w:val="5F2A05D7"/>
    <w:rsid w:val="5F3BE60A"/>
    <w:rsid w:val="5F3C512F"/>
    <w:rsid w:val="5F3D8031"/>
    <w:rsid w:val="5F43C028"/>
    <w:rsid w:val="5F5BB7DE"/>
    <w:rsid w:val="5F6E169F"/>
    <w:rsid w:val="5FBCAF27"/>
    <w:rsid w:val="604FC085"/>
    <w:rsid w:val="6083F0AD"/>
    <w:rsid w:val="60B02366"/>
    <w:rsid w:val="60CDDE45"/>
    <w:rsid w:val="60FCA9F7"/>
    <w:rsid w:val="611EA9F6"/>
    <w:rsid w:val="612890F3"/>
    <w:rsid w:val="6162872D"/>
    <w:rsid w:val="616C942F"/>
    <w:rsid w:val="6181A0A0"/>
    <w:rsid w:val="61D9E6F1"/>
    <w:rsid w:val="623B8475"/>
    <w:rsid w:val="6255C677"/>
    <w:rsid w:val="62A3D71A"/>
    <w:rsid w:val="62F113FF"/>
    <w:rsid w:val="62F2D832"/>
    <w:rsid w:val="633E12CD"/>
    <w:rsid w:val="634A6D4A"/>
    <w:rsid w:val="6350BBBF"/>
    <w:rsid w:val="63C5A4D7"/>
    <w:rsid w:val="63CA90F4"/>
    <w:rsid w:val="63E45F0C"/>
    <w:rsid w:val="640D3BB6"/>
    <w:rsid w:val="64297F3B"/>
    <w:rsid w:val="6432003C"/>
    <w:rsid w:val="6449BE0D"/>
    <w:rsid w:val="64D9CE96"/>
    <w:rsid w:val="64EA0E5C"/>
    <w:rsid w:val="64EF3BC7"/>
    <w:rsid w:val="65032837"/>
    <w:rsid w:val="651201C1"/>
    <w:rsid w:val="65255F37"/>
    <w:rsid w:val="653A6AB0"/>
    <w:rsid w:val="657C6C38"/>
    <w:rsid w:val="6580D4B2"/>
    <w:rsid w:val="658CE558"/>
    <w:rsid w:val="65D0636E"/>
    <w:rsid w:val="65DBB387"/>
    <w:rsid w:val="66335B7C"/>
    <w:rsid w:val="6647164B"/>
    <w:rsid w:val="6661EDFE"/>
    <w:rsid w:val="66A2D24A"/>
    <w:rsid w:val="67167064"/>
    <w:rsid w:val="6747596A"/>
    <w:rsid w:val="67839862"/>
    <w:rsid w:val="67D7B2EE"/>
    <w:rsid w:val="67DB0F6F"/>
    <w:rsid w:val="6820465E"/>
    <w:rsid w:val="683BAE8D"/>
    <w:rsid w:val="68B098B7"/>
    <w:rsid w:val="68D5A953"/>
    <w:rsid w:val="68DAF05F"/>
    <w:rsid w:val="691D2EAF"/>
    <w:rsid w:val="69432D9F"/>
    <w:rsid w:val="694E8241"/>
    <w:rsid w:val="69541DC7"/>
    <w:rsid w:val="6958D837"/>
    <w:rsid w:val="6969F2C4"/>
    <w:rsid w:val="69865FBB"/>
    <w:rsid w:val="698D6FF9"/>
    <w:rsid w:val="69C5E085"/>
    <w:rsid w:val="69F17E9C"/>
    <w:rsid w:val="69FCCC64"/>
    <w:rsid w:val="6A226041"/>
    <w:rsid w:val="6A254C2E"/>
    <w:rsid w:val="6A88D592"/>
    <w:rsid w:val="6A94B899"/>
    <w:rsid w:val="6AB956FA"/>
    <w:rsid w:val="6AC28778"/>
    <w:rsid w:val="6AE1E764"/>
    <w:rsid w:val="6AEA3CE3"/>
    <w:rsid w:val="6AEBD0CC"/>
    <w:rsid w:val="6AF0E532"/>
    <w:rsid w:val="6B61FB31"/>
    <w:rsid w:val="6BA8B052"/>
    <w:rsid w:val="6BBD42EA"/>
    <w:rsid w:val="6BC89972"/>
    <w:rsid w:val="6C1C434C"/>
    <w:rsid w:val="6C509BBB"/>
    <w:rsid w:val="6C8A7871"/>
    <w:rsid w:val="6CC6F1E2"/>
    <w:rsid w:val="6CE0ED65"/>
    <w:rsid w:val="6D0D0616"/>
    <w:rsid w:val="6D33B049"/>
    <w:rsid w:val="6D440EE7"/>
    <w:rsid w:val="6D4737DB"/>
    <w:rsid w:val="6D4D6FFB"/>
    <w:rsid w:val="6D639C00"/>
    <w:rsid w:val="6D63E2F6"/>
    <w:rsid w:val="6D715A40"/>
    <w:rsid w:val="6DC56185"/>
    <w:rsid w:val="6DD57ADA"/>
    <w:rsid w:val="6DED868B"/>
    <w:rsid w:val="6DF5BE65"/>
    <w:rsid w:val="6E1D5431"/>
    <w:rsid w:val="6E45F778"/>
    <w:rsid w:val="6E477E88"/>
    <w:rsid w:val="6E4C0CBC"/>
    <w:rsid w:val="6E4C57F0"/>
    <w:rsid w:val="6E569D74"/>
    <w:rsid w:val="6E579F8E"/>
    <w:rsid w:val="6E8F71A4"/>
    <w:rsid w:val="6E96F6D0"/>
    <w:rsid w:val="6ECFD21C"/>
    <w:rsid w:val="6EFC4BBD"/>
    <w:rsid w:val="6F094395"/>
    <w:rsid w:val="6F2B8951"/>
    <w:rsid w:val="6F5E9742"/>
    <w:rsid w:val="6F8C35AC"/>
    <w:rsid w:val="6FA23454"/>
    <w:rsid w:val="6FA395B7"/>
    <w:rsid w:val="707CF233"/>
    <w:rsid w:val="70A8C10C"/>
    <w:rsid w:val="70C29912"/>
    <w:rsid w:val="70F068E6"/>
    <w:rsid w:val="71030729"/>
    <w:rsid w:val="7107A733"/>
    <w:rsid w:val="7140A73D"/>
    <w:rsid w:val="714AEDB7"/>
    <w:rsid w:val="71668678"/>
    <w:rsid w:val="716C4328"/>
    <w:rsid w:val="717F750C"/>
    <w:rsid w:val="719876BF"/>
    <w:rsid w:val="71B0F4E9"/>
    <w:rsid w:val="71B47747"/>
    <w:rsid w:val="71E31754"/>
    <w:rsid w:val="720A3E64"/>
    <w:rsid w:val="7241C28E"/>
    <w:rsid w:val="726F2350"/>
    <w:rsid w:val="7299247D"/>
    <w:rsid w:val="72D218CF"/>
    <w:rsid w:val="72D4183D"/>
    <w:rsid w:val="731210EB"/>
    <w:rsid w:val="73190BD5"/>
    <w:rsid w:val="737E74E6"/>
    <w:rsid w:val="73B4F775"/>
    <w:rsid w:val="74021E92"/>
    <w:rsid w:val="74107A31"/>
    <w:rsid w:val="74749B4F"/>
    <w:rsid w:val="7485E1EC"/>
    <w:rsid w:val="749DF16A"/>
    <w:rsid w:val="74A209F0"/>
    <w:rsid w:val="74D6A8B6"/>
    <w:rsid w:val="74F9A456"/>
    <w:rsid w:val="7518C478"/>
    <w:rsid w:val="7541077A"/>
    <w:rsid w:val="759C05C9"/>
    <w:rsid w:val="75BAAC64"/>
    <w:rsid w:val="75F4256E"/>
    <w:rsid w:val="76580892"/>
    <w:rsid w:val="7666A881"/>
    <w:rsid w:val="7673881F"/>
    <w:rsid w:val="76914A4D"/>
    <w:rsid w:val="76FE766E"/>
    <w:rsid w:val="772D03EC"/>
    <w:rsid w:val="7740B618"/>
    <w:rsid w:val="775F0E3A"/>
    <w:rsid w:val="77739F05"/>
    <w:rsid w:val="77749C13"/>
    <w:rsid w:val="779459DD"/>
    <w:rsid w:val="779D3E97"/>
    <w:rsid w:val="77AEB214"/>
    <w:rsid w:val="77D0BD56"/>
    <w:rsid w:val="77EDC9D3"/>
    <w:rsid w:val="780357F6"/>
    <w:rsid w:val="781B9ECB"/>
    <w:rsid w:val="784DD609"/>
    <w:rsid w:val="7850244E"/>
    <w:rsid w:val="78813C88"/>
    <w:rsid w:val="7884A269"/>
    <w:rsid w:val="78C8327A"/>
    <w:rsid w:val="7920796D"/>
    <w:rsid w:val="7932303D"/>
    <w:rsid w:val="793EF4DA"/>
    <w:rsid w:val="79484194"/>
    <w:rsid w:val="794B4345"/>
    <w:rsid w:val="7958D701"/>
    <w:rsid w:val="79687226"/>
    <w:rsid w:val="796B18BE"/>
    <w:rsid w:val="79798BED"/>
    <w:rsid w:val="798741FA"/>
    <w:rsid w:val="79DB52E4"/>
    <w:rsid w:val="79FDBFD3"/>
    <w:rsid w:val="7A34E707"/>
    <w:rsid w:val="7AA910E9"/>
    <w:rsid w:val="7AAB2466"/>
    <w:rsid w:val="7AC3C8D6"/>
    <w:rsid w:val="7ADCECC8"/>
    <w:rsid w:val="7AE44583"/>
    <w:rsid w:val="7B719E03"/>
    <w:rsid w:val="7BB0C79C"/>
    <w:rsid w:val="7BC6A11E"/>
    <w:rsid w:val="7BF0836E"/>
    <w:rsid w:val="7C778A1B"/>
    <w:rsid w:val="7C9EB11E"/>
    <w:rsid w:val="7CA2D870"/>
    <w:rsid w:val="7CA4F8AE"/>
    <w:rsid w:val="7CBE369D"/>
    <w:rsid w:val="7CC37E94"/>
    <w:rsid w:val="7CFABCC9"/>
    <w:rsid w:val="7CFB81E4"/>
    <w:rsid w:val="7D1A7CBB"/>
    <w:rsid w:val="7D1EF037"/>
    <w:rsid w:val="7D341348"/>
    <w:rsid w:val="7D8D0F38"/>
    <w:rsid w:val="7DBEFBEF"/>
    <w:rsid w:val="7DCDF763"/>
    <w:rsid w:val="7DE0BB57"/>
    <w:rsid w:val="7EA2346B"/>
    <w:rsid w:val="7EF1A7CF"/>
    <w:rsid w:val="7EF483A5"/>
    <w:rsid w:val="7F652859"/>
    <w:rsid w:val="7F6EBC2D"/>
    <w:rsid w:val="7F990DC2"/>
    <w:rsid w:val="7FB286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33143"/>
  <w15:docId w15:val="{D606E8FA-E5BB-45E6-9967-A6A795CDC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n-US"/>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val="fr-BE"/>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rPr>
      <w:lang w:val="fr-FR"/>
    </w:rPr>
  </w:style>
  <w:style w:type="paragraph" w:customStyle="1" w:styleId="Commissionparlementaire">
    <w:name w:val="Commission parlementaire"/>
    <w:basedOn w:val="Titreobjet"/>
    <w:next w:val="Normal"/>
    <w:pPr>
      <w:spacing w:after="480"/>
    </w:pPr>
    <w:rPr>
      <w:lang w:val="fr-FR"/>
    </w:r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val="fr-BE"/>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val="fr-BE"/>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en-GB" w:eastAsia="en-GB" w:bidi="ar-SA"/>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n-GB"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n-US"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n-GB"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uiPriority w:val="99"/>
    <w:rsid w:val="0092510C"/>
    <w:pPr>
      <w:spacing w:after="160" w:line="240" w:lineRule="exact"/>
      <w:jc w:val="left"/>
    </w:pPr>
    <w:rPr>
      <w:rFonts w:ascii="Tahoma" w:hAnsi="Tahoma"/>
      <w:sz w:val="20"/>
    </w:rPr>
  </w:style>
  <w:style w:type="paragraph" w:customStyle="1" w:styleId="CharCharChar0">
    <w:name w:val="Char Char Char0"/>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en-GB"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lang w:val="fr-FR"/>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uiPriority w:val="99"/>
    <w:rsid w:val="00103DE9"/>
    <w:rPr>
      <w:rFonts w:ascii="Courier New" w:hAnsi="Courier New"/>
      <w:lang w:val="en-GB"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en-GB"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n-GB"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en-GB"/>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n-GB"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n-GB"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n-GB"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n-GB"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en-GB" w:eastAsia="en-US" w:bidi="ar-SA"/>
    </w:rPr>
  </w:style>
  <w:style w:type="character" w:customStyle="1" w:styleId="Normal12HangingZnak">
    <w:name w:val="Normal12Hanging Znak"/>
    <w:rsid w:val="006474F2"/>
    <w:rPr>
      <w:sz w:val="24"/>
      <w:lang w:val="en-GB" w:eastAsia="en-GB" w:bidi="ar-SA"/>
    </w:rPr>
  </w:style>
  <w:style w:type="character" w:customStyle="1" w:styleId="Text2Char1">
    <w:name w:val="Text 2 Char1"/>
    <w:link w:val="Text2"/>
    <w:rsid w:val="006474F2"/>
    <w:rPr>
      <w:rFonts w:ascii="Courier New" w:hAnsi="Courier New"/>
      <w:sz w:val="24"/>
      <w:lang w:val="en-GB"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lang w:val="fr-FR"/>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n-GB"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n-GB"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n-GB"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val="de-DE"/>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en-GB" w:eastAsia="en-GB" w:bidi="ar-SA"/>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en-GB"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en-GB"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val="fr-FR"/>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es-ES_tradnl" w:eastAsia="en-GB" w:bidi="ar-SA"/>
    </w:rPr>
  </w:style>
  <w:style w:type="character" w:customStyle="1" w:styleId="InitialChar">
    <w:name w:val="Initial Char"/>
    <w:link w:val="Initial"/>
    <w:rsid w:val="00FD22F7"/>
    <w:rPr>
      <w:spacing w:val="-3"/>
      <w:sz w:val="24"/>
      <w:lang w:val="en-US"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n-GB" w:eastAsia="en-GB" w:bidi="ar-SA"/>
    </w:rPr>
  </w:style>
  <w:style w:type="paragraph" w:customStyle="1" w:styleId="ZnakZnak">
    <w:name w:val="Znak Znak"/>
    <w:basedOn w:val="Normal"/>
    <w:link w:val="NoList"/>
    <w:rsid w:val="00E61FC7"/>
    <w:pPr>
      <w:spacing w:after="0" w:line="360" w:lineRule="auto"/>
    </w:pPr>
    <w:rPr>
      <w:rFonts w:ascii="Verdana" w:hAnsi="Verdana"/>
      <w:sz w:val="20"/>
      <w:lang w:val="pl-PL"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n-GB"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n-GB"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val="pl-PL"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val="en-GB" w:eastAsia="en-GB"/>
    </w:rPr>
  </w:style>
  <w:style w:type="paragraph" w:customStyle="1" w:styleId="CM3">
    <w:name w:val="CM3"/>
    <w:basedOn w:val="Default"/>
    <w:next w:val="Default"/>
    <w:uiPriority w:val="99"/>
    <w:rsid w:val="007C5D8A"/>
    <w:rPr>
      <w:rFonts w:ascii="EUAlbertina" w:hAnsi="EUAlbertina"/>
      <w:color w:val="auto"/>
      <w:lang w:val="en-GB" w:eastAsia="en-GB"/>
    </w:rPr>
  </w:style>
  <w:style w:type="paragraph" w:customStyle="1" w:styleId="CM4">
    <w:name w:val="CM4"/>
    <w:basedOn w:val="Default"/>
    <w:next w:val="Default"/>
    <w:uiPriority w:val="99"/>
    <w:rsid w:val="007C5D8A"/>
    <w:rPr>
      <w:rFonts w:ascii="EUAlbertina" w:hAnsi="EUAlbertina"/>
      <w:color w:val="auto"/>
      <w:lang w:val="en-GB"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en-US"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one" w:sz="96" w:space="31" w:color="FFFFFF" w:frame="1"/>
        <w:left w:val="none" w:sz="96" w:space="31" w:color="FFFFFF" w:frame="1"/>
        <w:bottom w:val="none" w:sz="96" w:space="31" w:color="FFFFFF" w:frame="1"/>
        <w:right w:val="none" w:sz="96" w:space="31" w:color="FFFFFF" w:frame="1"/>
      </w:pBdr>
      <w:spacing w:after="240"/>
      <w:jc w:val="both"/>
    </w:pPr>
    <w:rPr>
      <w:color w:val="000000"/>
      <w:sz w:val="24"/>
      <w:szCs w:val="24"/>
      <w:u w:color="000000"/>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rPr>
  </w:style>
  <w:style w:type="character" w:styleId="UnresolvedMention">
    <w:name w:val="Unresolved Mention"/>
    <w:uiPriority w:val="99"/>
    <w:semiHidden/>
    <w:unhideWhenUsed/>
    <w:rsid w:val="00835361"/>
    <w:rPr>
      <w:color w:val="605E5C"/>
      <w:shd w:val="clear" w:color="auto" w:fill="E1DFDD"/>
    </w:rPr>
  </w:style>
  <w:style w:type="character" w:styleId="Mention">
    <w:name w:val="Mention"/>
    <w:uiPriority w:val="99"/>
    <w:unhideWhenUsed/>
    <w:rsid w:val="006F26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8468">
      <w:bodyDiv w:val="1"/>
      <w:marLeft w:val="0"/>
      <w:marRight w:val="0"/>
      <w:marTop w:val="0"/>
      <w:marBottom w:val="0"/>
      <w:divBdr>
        <w:top w:val="none" w:sz="0" w:space="0" w:color="auto"/>
        <w:left w:val="none" w:sz="0" w:space="0" w:color="auto"/>
        <w:bottom w:val="none" w:sz="0" w:space="0" w:color="auto"/>
        <w:right w:val="none" w:sz="0" w:space="0" w:color="auto"/>
      </w:divBdr>
    </w:div>
    <w:div w:id="750928749">
      <w:bodyDiv w:val="1"/>
      <w:marLeft w:val="0"/>
      <w:marRight w:val="0"/>
      <w:marTop w:val="0"/>
      <w:marBottom w:val="0"/>
      <w:divBdr>
        <w:top w:val="none" w:sz="0" w:space="0" w:color="auto"/>
        <w:left w:val="none" w:sz="0" w:space="0" w:color="auto"/>
        <w:bottom w:val="none" w:sz="0" w:space="0" w:color="auto"/>
        <w:right w:val="none" w:sz="0" w:space="0" w:color="auto"/>
      </w:divBdr>
    </w:div>
    <w:div w:id="916479106">
      <w:bodyDiv w:val="1"/>
      <w:marLeft w:val="0"/>
      <w:marRight w:val="0"/>
      <w:marTop w:val="0"/>
      <w:marBottom w:val="0"/>
      <w:divBdr>
        <w:top w:val="none" w:sz="0" w:space="0" w:color="auto"/>
        <w:left w:val="none" w:sz="0" w:space="0" w:color="auto"/>
        <w:bottom w:val="none" w:sz="0" w:space="0" w:color="auto"/>
        <w:right w:val="none" w:sz="0" w:space="0" w:color="auto"/>
      </w:divBdr>
    </w:div>
    <w:div w:id="1536501351">
      <w:bodyDiv w:val="1"/>
      <w:marLeft w:val="0"/>
      <w:marRight w:val="0"/>
      <w:marTop w:val="0"/>
      <w:marBottom w:val="0"/>
      <w:divBdr>
        <w:top w:val="none" w:sz="0" w:space="0" w:color="auto"/>
        <w:left w:val="none" w:sz="0" w:space="0" w:color="auto"/>
        <w:bottom w:val="none" w:sz="0" w:space="0" w:color="auto"/>
        <w:right w:val="none" w:sz="0" w:space="0" w:color="auto"/>
      </w:divBdr>
    </w:div>
    <w:div w:id="1628782318">
      <w:bodyDiv w:val="1"/>
      <w:marLeft w:val="0"/>
      <w:marRight w:val="0"/>
      <w:marTop w:val="0"/>
      <w:marBottom w:val="0"/>
      <w:divBdr>
        <w:top w:val="none" w:sz="0" w:space="0" w:color="auto"/>
        <w:left w:val="none" w:sz="0" w:space="0" w:color="auto"/>
        <w:bottom w:val="none" w:sz="0" w:space="0" w:color="auto"/>
        <w:right w:val="none" w:sz="0" w:space="0" w:color="auto"/>
      </w:divBdr>
    </w:div>
    <w:div w:id="1650671435">
      <w:bodyDiv w:val="1"/>
      <w:marLeft w:val="0"/>
      <w:marRight w:val="0"/>
      <w:marTop w:val="0"/>
      <w:marBottom w:val="0"/>
      <w:divBdr>
        <w:top w:val="none" w:sz="0" w:space="0" w:color="auto"/>
        <w:left w:val="none" w:sz="0" w:space="0" w:color="auto"/>
        <w:bottom w:val="none" w:sz="0" w:space="0" w:color="auto"/>
        <w:right w:val="none" w:sz="0" w:space="0" w:color="auto"/>
      </w:divBdr>
    </w:div>
    <w:div w:id="1984046134">
      <w:bodyDiv w:val="1"/>
      <w:marLeft w:val="0"/>
      <w:marRight w:val="0"/>
      <w:marTop w:val="0"/>
      <w:marBottom w:val="0"/>
      <w:divBdr>
        <w:top w:val="none" w:sz="0" w:space="0" w:color="auto"/>
        <w:left w:val="none" w:sz="0" w:space="0" w:color="auto"/>
        <w:bottom w:val="none" w:sz="0" w:space="0" w:color="auto"/>
        <w:right w:val="none" w:sz="0" w:space="0" w:color="auto"/>
      </w:divBdr>
    </w:div>
    <w:div w:id="205515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900/oj" TargetMode="External"/><Relationship Id="rId2" Type="http://schemas.openxmlformats.org/officeDocument/2006/relationships/hyperlink" Target="https://eur-lex.europa.eu/legal-content/EN/TXT/PDF/?uri=CELEX:52024DC0269" TargetMode="External"/><Relationship Id="rId1" Type="http://schemas.openxmlformats.org/officeDocument/2006/relationships/hyperlink" Target="https://eur-lex.europa.eu/legal-content/EN/TXT/?uri=CELEX%3A52023JC0012" TargetMode="External"/><Relationship Id="rId4" Type="http://schemas.openxmlformats.org/officeDocument/2006/relationships/hyperlink" Target="https://commission.europa.eu/publications/2023-annual-report-monitoring-application-eu-law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1" ma:contentTypeDescription="Create a new document." ma:contentTypeScope="" ma:versionID="2f7a1b070784ad07a273cb79b2e0bffb">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efdbc7de6c019c70dd2b077576fdba83"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2.xml><?xml version="1.0" encoding="utf-8"?>
<ds:datastoreItem xmlns:ds="http://schemas.openxmlformats.org/officeDocument/2006/customXml" ds:itemID="{0483EBF4-5F3B-4BE9-9C5F-8521D9740A8C}"/>
</file>

<file path=customXml/itemProps3.xml><?xml version="1.0" encoding="utf-8"?>
<ds:datastoreItem xmlns:ds="http://schemas.openxmlformats.org/officeDocument/2006/customXml" ds:itemID="{B6D305E2-704C-4453-9B92-D48EA98CEC34}">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4.xml><?xml version="1.0" encoding="utf-8"?>
<ds:datastoreItem xmlns:ds="http://schemas.openxmlformats.org/officeDocument/2006/customXml" ds:itemID="{60E8DBBB-2182-4CF7-A85B-397FDB4C8A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5570</Words>
  <Characters>30917</Characters>
  <Application>Microsoft Office Word</Application>
  <DocSecurity>0</DocSecurity>
  <PresentationFormat>Microsoft Word 8.0b</PresentationFormat>
  <Lines>429</Lines>
  <Paragraphs>36</Paragraphs>
  <ScaleCrop>false</ScaleCrop>
  <Company/>
  <LinksUpToDate>false</LinksUpToDate>
  <CharactersWithSpaces>36451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BALLEGOOIJ Wouter (JUST)</dc:creator>
  <cp:keywords/>
  <cp:lastModifiedBy>DODEKOVA Gabriela (SG)</cp:lastModifiedBy>
  <cp:revision>12</cp:revision>
  <dcterms:created xsi:type="dcterms:W3CDTF">2025-09-25T13:22:00Z</dcterms:created>
  <dcterms:modified xsi:type="dcterms:W3CDTF">2025-09-25T13:32:00Z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2025-08-08T13:06:49Z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a8820206-fd52-4f6e-b1f1-5a588e98d429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0x010100271BB73A879EDE41AFDC9232B9EB1EA9</vt:lpwstr>
  </property>
  <property fmtid="{D5CDD505-2E9C-101B-9397-08002B2CF9AE}" pid="11" name="MediaServiceImageTags">
    <vt:lpwstr/>
  </property>
</Properties>
</file>