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184B6" w14:textId="77777777" w:rsidR="00D541E0" w:rsidRPr="00B47906" w:rsidRDefault="00D541E0" w:rsidP="00D541E0">
      <w:pPr>
        <w:spacing w:after="720"/>
        <w:jc w:val="center"/>
        <w:rPr>
          <w:rFonts w:ascii="Times New Roman" w:hAnsi="Times New Roman"/>
          <w:b/>
          <w:bCs/>
          <w:szCs w:val="24"/>
        </w:rPr>
      </w:pPr>
      <w:r>
        <w:rPr>
          <w:rFonts w:ascii="Times New Roman" w:hAnsi="Times New Roman"/>
          <w:b/>
        </w:rPr>
        <w:t>Suite donnée à la résolution non législative du Parlement européen sur le rapport 2024 de la Commission sur l’état de droit</w:t>
      </w:r>
    </w:p>
    <w:p w14:paraId="75CD0BA3" w14:textId="5C9435C2" w:rsidR="00D541E0" w:rsidRPr="00B47906" w:rsidRDefault="00D541E0" w:rsidP="00D541E0">
      <w:pPr>
        <w:numPr>
          <w:ilvl w:val="0"/>
          <w:numId w:val="34"/>
        </w:numPr>
        <w:ind w:left="567" w:hanging="567"/>
        <w:rPr>
          <w:rFonts w:ascii="Times New Roman" w:hAnsi="Times New Roman"/>
        </w:rPr>
      </w:pPr>
      <w:r>
        <w:rPr>
          <w:rFonts w:ascii="Times New Roman" w:hAnsi="Times New Roman"/>
          <w:b/>
        </w:rPr>
        <w:t>Rapporteure</w:t>
      </w:r>
      <w:r w:rsidR="003B51D6">
        <w:rPr>
          <w:rFonts w:ascii="Times New Roman" w:hAnsi="Times New Roman"/>
          <w:b/>
        </w:rPr>
        <w:t> :</w:t>
      </w:r>
      <w:r>
        <w:rPr>
          <w:rFonts w:ascii="Times New Roman" w:hAnsi="Times New Roman"/>
        </w:rPr>
        <w:t xml:space="preserve"> Ana Catarina MENDES (S&amp;D / PT)</w:t>
      </w:r>
    </w:p>
    <w:p w14:paraId="56445E08" w14:textId="5AFF5565" w:rsidR="00D541E0" w:rsidRPr="00B47906" w:rsidRDefault="00D541E0" w:rsidP="00D541E0">
      <w:pPr>
        <w:pStyle w:val="Default"/>
        <w:numPr>
          <w:ilvl w:val="0"/>
          <w:numId w:val="34"/>
        </w:numPr>
        <w:spacing w:after="240"/>
        <w:ind w:left="567" w:hanging="567"/>
        <w:jc w:val="both"/>
        <w:rPr>
          <w:color w:val="auto"/>
        </w:rPr>
      </w:pPr>
      <w:r>
        <w:rPr>
          <w:b/>
          <w:color w:val="auto"/>
        </w:rPr>
        <w:t>Numéros de référence du PE</w:t>
      </w:r>
      <w:r w:rsidR="003B51D6">
        <w:rPr>
          <w:b/>
          <w:color w:val="auto"/>
        </w:rPr>
        <w:t> :</w:t>
      </w:r>
      <w:r>
        <w:rPr>
          <w:b/>
          <w:color w:val="auto"/>
        </w:rPr>
        <w:t xml:space="preserve"> </w:t>
      </w:r>
      <w:r>
        <w:t>2024/2078(INI) / A10-0100/2025 / P10_TA(2025)0129</w:t>
      </w:r>
    </w:p>
    <w:p w14:paraId="17D82F74" w14:textId="6C29AB1D" w:rsidR="00D541E0" w:rsidRPr="00B47906" w:rsidRDefault="00D541E0" w:rsidP="00D541E0">
      <w:pPr>
        <w:numPr>
          <w:ilvl w:val="0"/>
          <w:numId w:val="34"/>
        </w:numPr>
        <w:ind w:left="567" w:hanging="567"/>
        <w:rPr>
          <w:rFonts w:ascii="Times New Roman" w:hAnsi="Times New Roman"/>
          <w:szCs w:val="24"/>
        </w:rPr>
      </w:pPr>
      <w:r>
        <w:rPr>
          <w:rFonts w:ascii="Times New Roman" w:hAnsi="Times New Roman"/>
          <w:b/>
        </w:rPr>
        <w:t>Date d’adoption de la résolution</w:t>
      </w:r>
      <w:r w:rsidR="003B51D6">
        <w:rPr>
          <w:rFonts w:ascii="Times New Roman" w:hAnsi="Times New Roman"/>
          <w:b/>
        </w:rPr>
        <w:t> :</w:t>
      </w:r>
      <w:r>
        <w:rPr>
          <w:rFonts w:ascii="Times New Roman" w:hAnsi="Times New Roman"/>
        </w:rPr>
        <w:t xml:space="preserve"> 18</w:t>
      </w:r>
      <w:r w:rsidR="003B51D6">
        <w:rPr>
          <w:rFonts w:ascii="Times New Roman" w:hAnsi="Times New Roman"/>
        </w:rPr>
        <w:t> </w:t>
      </w:r>
      <w:r>
        <w:rPr>
          <w:rFonts w:ascii="Times New Roman" w:hAnsi="Times New Roman"/>
        </w:rPr>
        <w:t>juin 2025</w:t>
      </w:r>
    </w:p>
    <w:p w14:paraId="5BA120BF" w14:textId="7F9A5045" w:rsidR="00D541E0" w:rsidRPr="00B47906" w:rsidRDefault="00D541E0" w:rsidP="00D541E0">
      <w:pPr>
        <w:numPr>
          <w:ilvl w:val="0"/>
          <w:numId w:val="34"/>
        </w:numPr>
        <w:ind w:left="567" w:hanging="567"/>
        <w:rPr>
          <w:rFonts w:ascii="Times New Roman" w:hAnsi="Times New Roman"/>
        </w:rPr>
      </w:pPr>
      <w:r>
        <w:rPr>
          <w:rFonts w:ascii="Times New Roman" w:hAnsi="Times New Roman"/>
          <w:b/>
        </w:rPr>
        <w:t>Commission parlementaire compétente</w:t>
      </w:r>
      <w:r w:rsidR="003B51D6">
        <w:rPr>
          <w:rFonts w:ascii="Times New Roman" w:hAnsi="Times New Roman"/>
          <w:b/>
        </w:rPr>
        <w:t> :</w:t>
      </w:r>
      <w:r>
        <w:rPr>
          <w:rFonts w:ascii="Times New Roman" w:hAnsi="Times New Roman"/>
          <w:b/>
        </w:rPr>
        <w:t xml:space="preserve"> </w:t>
      </w:r>
      <w:r>
        <w:rPr>
          <w:rFonts w:ascii="Times New Roman" w:hAnsi="Times New Roman"/>
        </w:rPr>
        <w:t>commission des libertés civiles, de la justice et des affaires intérieures (LIBE)</w:t>
      </w:r>
    </w:p>
    <w:p w14:paraId="4F7234A6" w14:textId="4EDF75F3" w:rsidR="00D541E0" w:rsidRPr="00B47906" w:rsidRDefault="00D541E0" w:rsidP="00D541E0">
      <w:pPr>
        <w:widowControl w:val="0"/>
        <w:numPr>
          <w:ilvl w:val="0"/>
          <w:numId w:val="34"/>
        </w:numPr>
        <w:ind w:left="567" w:hanging="567"/>
        <w:rPr>
          <w:rFonts w:ascii="Times New Roman" w:hAnsi="Times New Roman"/>
          <w:b/>
          <w:szCs w:val="24"/>
        </w:rPr>
      </w:pPr>
      <w:r>
        <w:rPr>
          <w:rFonts w:ascii="Times New Roman" w:hAnsi="Times New Roman"/>
          <w:b/>
        </w:rPr>
        <w:t>Analyse/évaluation succincte de la résolution et des demandes qu’elle contient</w:t>
      </w:r>
      <w:r w:rsidR="003B51D6">
        <w:rPr>
          <w:rFonts w:ascii="Times New Roman" w:hAnsi="Times New Roman"/>
          <w:b/>
        </w:rPr>
        <w:t> :</w:t>
      </w:r>
    </w:p>
    <w:p w14:paraId="070B3A30" w14:textId="4F4720EF" w:rsidR="00AF1777" w:rsidRPr="00B47906" w:rsidRDefault="00D541E0" w:rsidP="00D541E0">
      <w:pPr>
        <w:widowControl w:val="0"/>
        <w:spacing w:line="259" w:lineRule="auto"/>
        <w:rPr>
          <w:rFonts w:ascii="Times New Roman" w:hAnsi="Times New Roman"/>
        </w:rPr>
      </w:pPr>
      <w:r>
        <w:rPr>
          <w:rFonts w:ascii="Times New Roman" w:hAnsi="Times New Roman"/>
        </w:rPr>
        <w:t>La résolution se félicite des outils préventifs de la boîte à outils pour l’état de droit, tels que le cycle annuel de l’état de droit, le tableau de bord de la justice dans l’Union européenne, le Semestre européen, les fonds de l’Union destinés à soutenir la société civile, les réseaux judiciaires et la liberté des médias ainsi que l’introduction des jalons relatifs à l’état de droit dans la facilité pour la reprise et la résilience (paragraphe</w:t>
      </w:r>
      <w:r w:rsidR="003B51D6">
        <w:rPr>
          <w:rFonts w:ascii="Times New Roman" w:hAnsi="Times New Roman"/>
        </w:rPr>
        <w:t> </w:t>
      </w:r>
      <w:r>
        <w:rPr>
          <w:rFonts w:ascii="Times New Roman" w:hAnsi="Times New Roman"/>
        </w:rPr>
        <w:t>75). Elle reconnaît que le rapport de la Commission sur l’état de droit est un outil préventif essentiel pour surveiller l’état de droit dans l’ensemble de l’UE, faciliter le dialogue entre les États membres et orienter les réformes dans des domaines tels que l’indépendance de la justice, la lutte contre la corruption, la liberté des médias et d’autres mécanismes d’équilibre des pouvoirs (paragraphe</w:t>
      </w:r>
      <w:r w:rsidR="003B51D6">
        <w:rPr>
          <w:rFonts w:ascii="Times New Roman" w:hAnsi="Times New Roman"/>
        </w:rPr>
        <w:t> </w:t>
      </w:r>
      <w:r>
        <w:rPr>
          <w:rFonts w:ascii="Times New Roman" w:hAnsi="Times New Roman"/>
        </w:rPr>
        <w:t>91) et elle reconnaît que le rapport de la Commission sur l’état de droit est devenu plus complet depuis sa création en 2020 (paragraphe</w:t>
      </w:r>
      <w:r w:rsidR="003B51D6">
        <w:rPr>
          <w:rFonts w:ascii="Times New Roman" w:hAnsi="Times New Roman"/>
        </w:rPr>
        <w:t> </w:t>
      </w:r>
      <w:r>
        <w:rPr>
          <w:rFonts w:ascii="Times New Roman" w:hAnsi="Times New Roman"/>
        </w:rPr>
        <w:t>92). La résolution appelle de ses vœux un mécanisme interinstitutionnel global sur la démocratie, l’état de droit et les droits fondamentaux fondé sur un accord interinstitutionnel (paragraphes</w:t>
      </w:r>
      <w:r w:rsidR="003B51D6">
        <w:rPr>
          <w:rFonts w:ascii="Times New Roman" w:hAnsi="Times New Roman"/>
        </w:rPr>
        <w:t> 99</w:t>
      </w:r>
      <w:r>
        <w:rPr>
          <w:rFonts w:ascii="Times New Roman" w:hAnsi="Times New Roman"/>
        </w:rPr>
        <w:t xml:space="preserve"> et</w:t>
      </w:r>
      <w:r w:rsidR="003B51D6">
        <w:rPr>
          <w:rFonts w:ascii="Times New Roman" w:hAnsi="Times New Roman"/>
        </w:rPr>
        <w:t> </w:t>
      </w:r>
      <w:r>
        <w:rPr>
          <w:rFonts w:ascii="Times New Roman" w:hAnsi="Times New Roman"/>
        </w:rPr>
        <w:t>100). Elle exprime son soutien à l’inclusion d’une dimension relative au marché unique dans le rapport sur l’état de droit (paragraphes</w:t>
      </w:r>
      <w:r w:rsidR="003B51D6">
        <w:rPr>
          <w:rFonts w:ascii="Times New Roman" w:hAnsi="Times New Roman"/>
        </w:rPr>
        <w:t> 66</w:t>
      </w:r>
      <w:r>
        <w:rPr>
          <w:rFonts w:ascii="Times New Roman" w:hAnsi="Times New Roman"/>
        </w:rPr>
        <w:t xml:space="preserve"> à</w:t>
      </w:r>
      <w:r w:rsidR="003B51D6">
        <w:rPr>
          <w:rFonts w:ascii="Times New Roman" w:hAnsi="Times New Roman"/>
        </w:rPr>
        <w:t> </w:t>
      </w:r>
      <w:r>
        <w:rPr>
          <w:rFonts w:ascii="Times New Roman" w:hAnsi="Times New Roman"/>
        </w:rPr>
        <w:t>72) ainsi qu’à son extension aux pays visés par l’élargissement (paragraphe</w:t>
      </w:r>
      <w:r w:rsidR="003B51D6">
        <w:rPr>
          <w:rFonts w:ascii="Times New Roman" w:hAnsi="Times New Roman"/>
        </w:rPr>
        <w:t> </w:t>
      </w:r>
      <w:r>
        <w:rPr>
          <w:rFonts w:ascii="Times New Roman" w:hAnsi="Times New Roman"/>
        </w:rPr>
        <w:t>105). Elle se félicite du renforcement du lien avec les mesures budgétaires (paragraphes</w:t>
      </w:r>
      <w:r w:rsidR="003B51D6">
        <w:rPr>
          <w:rFonts w:ascii="Times New Roman" w:hAnsi="Times New Roman"/>
        </w:rPr>
        <w:t> 73, 75</w:t>
      </w:r>
      <w:r>
        <w:rPr>
          <w:rFonts w:ascii="Times New Roman" w:hAnsi="Times New Roman"/>
        </w:rPr>
        <w:t xml:space="preserve"> et</w:t>
      </w:r>
      <w:r w:rsidR="003B51D6">
        <w:rPr>
          <w:rFonts w:ascii="Times New Roman" w:hAnsi="Times New Roman"/>
        </w:rPr>
        <w:t> </w:t>
      </w:r>
      <w:r>
        <w:rPr>
          <w:rFonts w:ascii="Times New Roman" w:hAnsi="Times New Roman"/>
        </w:rPr>
        <w:t>77 à 79). Dans le même temps, la résolution demande l’inclusion dans le rapport sur l’état de droit d’un pilier distinct sur l’égalité (</w:t>
      </w:r>
      <w:bookmarkStart w:id="0" w:name="_Hlk202173518"/>
      <w:bookmarkEnd w:id="0"/>
      <w:r>
        <w:rPr>
          <w:rFonts w:ascii="Times New Roman" w:hAnsi="Times New Roman"/>
        </w:rPr>
        <w:t>paragraphes</w:t>
      </w:r>
      <w:r w:rsidR="003B51D6">
        <w:rPr>
          <w:rFonts w:ascii="Times New Roman" w:hAnsi="Times New Roman"/>
        </w:rPr>
        <w:t> 51</w:t>
      </w:r>
      <w:r>
        <w:rPr>
          <w:rFonts w:ascii="Times New Roman" w:hAnsi="Times New Roman"/>
        </w:rPr>
        <w:t xml:space="preserve"> à</w:t>
      </w:r>
      <w:r w:rsidR="003B51D6">
        <w:rPr>
          <w:rFonts w:ascii="Times New Roman" w:hAnsi="Times New Roman"/>
        </w:rPr>
        <w:t> </w:t>
      </w:r>
      <w:r>
        <w:rPr>
          <w:rFonts w:ascii="Times New Roman" w:hAnsi="Times New Roman"/>
        </w:rPr>
        <w:t>63, 92 et 93) et demande que le rapport couvre l’adhésion des institutions de l’Union à l’état de droit (paragraphes</w:t>
      </w:r>
      <w:r w:rsidR="003B51D6">
        <w:rPr>
          <w:rFonts w:ascii="Times New Roman" w:hAnsi="Times New Roman"/>
        </w:rPr>
        <w:t> 22</w:t>
      </w:r>
      <w:r>
        <w:rPr>
          <w:rFonts w:ascii="Times New Roman" w:hAnsi="Times New Roman"/>
        </w:rPr>
        <w:t xml:space="preserve"> et</w:t>
      </w:r>
      <w:r w:rsidR="003B51D6">
        <w:rPr>
          <w:rFonts w:ascii="Times New Roman" w:hAnsi="Times New Roman"/>
        </w:rPr>
        <w:t> </w:t>
      </w:r>
      <w:r>
        <w:rPr>
          <w:rFonts w:ascii="Times New Roman" w:hAnsi="Times New Roman"/>
        </w:rPr>
        <w:t>98).</w:t>
      </w:r>
      <w:bookmarkStart w:id="1" w:name="_Hlk202191808"/>
      <w:bookmarkStart w:id="2" w:name="_Hlk202184692"/>
    </w:p>
    <w:p w14:paraId="096FB058" w14:textId="29A5E291" w:rsidR="00AF1777" w:rsidRPr="00B47906" w:rsidRDefault="00D541E0" w:rsidP="00D541E0">
      <w:pPr>
        <w:widowControl w:val="0"/>
        <w:spacing w:line="259" w:lineRule="auto"/>
        <w:rPr>
          <w:rFonts w:ascii="Times New Roman" w:hAnsi="Times New Roman"/>
        </w:rPr>
      </w:pPr>
      <w:r>
        <w:rPr>
          <w:rFonts w:ascii="Times New Roman" w:hAnsi="Times New Roman"/>
        </w:rPr>
        <w:t>Elle examine les défis en matière d’indépendance, de qualité et d’efficacité de la justice (paragraphes</w:t>
      </w:r>
      <w:r w:rsidR="003B51D6">
        <w:rPr>
          <w:rFonts w:ascii="Times New Roman" w:hAnsi="Times New Roman"/>
        </w:rPr>
        <w:t> 1</w:t>
      </w:r>
      <w:r>
        <w:rPr>
          <w:rFonts w:ascii="Times New Roman" w:hAnsi="Times New Roman"/>
        </w:rPr>
        <w:t xml:space="preserve"> à</w:t>
      </w:r>
      <w:r w:rsidR="003B51D6">
        <w:rPr>
          <w:rFonts w:ascii="Times New Roman" w:hAnsi="Times New Roman"/>
        </w:rPr>
        <w:t> </w:t>
      </w:r>
      <w:r>
        <w:rPr>
          <w:rFonts w:ascii="Times New Roman" w:hAnsi="Times New Roman"/>
        </w:rPr>
        <w:t>11) et demande que les conditions de détention soient couvertes par le rapport (paragraphe</w:t>
      </w:r>
      <w:r w:rsidR="003B51D6">
        <w:rPr>
          <w:rFonts w:ascii="Times New Roman" w:hAnsi="Times New Roman"/>
        </w:rPr>
        <w:t> </w:t>
      </w:r>
      <w:r>
        <w:rPr>
          <w:rFonts w:ascii="Times New Roman" w:hAnsi="Times New Roman"/>
        </w:rPr>
        <w:t xml:space="preserve">18). </w:t>
      </w:r>
      <w:bookmarkEnd w:id="1"/>
      <w:r>
        <w:rPr>
          <w:rFonts w:ascii="Times New Roman" w:hAnsi="Times New Roman"/>
        </w:rPr>
        <w:t>La résolution déplore l’absence de progrès dans la lutte contre la corruption de haut niveau dans certains États membres, tout en se félicitant de la proposition de directive anticorruption, appelant à une révision accélérée du règlement sur le Parquet européen et de la directive PIF et à l’adhésion de l’UE au GRECO (paragraphes</w:t>
      </w:r>
      <w:r w:rsidR="003B51D6">
        <w:rPr>
          <w:rFonts w:ascii="Times New Roman" w:hAnsi="Times New Roman"/>
        </w:rPr>
        <w:t> 21</w:t>
      </w:r>
      <w:r>
        <w:rPr>
          <w:rFonts w:ascii="Times New Roman" w:hAnsi="Times New Roman"/>
        </w:rPr>
        <w:t xml:space="preserve"> à</w:t>
      </w:r>
      <w:r w:rsidR="003B51D6">
        <w:rPr>
          <w:rFonts w:ascii="Times New Roman" w:hAnsi="Times New Roman"/>
        </w:rPr>
        <w:t> </w:t>
      </w:r>
      <w:r>
        <w:rPr>
          <w:rFonts w:ascii="Times New Roman" w:hAnsi="Times New Roman"/>
        </w:rPr>
        <w:t xml:space="preserve">23, 25 à 27 et 29). </w:t>
      </w:r>
      <w:bookmarkStart w:id="3" w:name="_Hlk202191739"/>
      <w:r w:rsidRPr="00A042A0">
        <w:rPr>
          <w:rFonts w:ascii="Times New Roman" w:hAnsi="Times New Roman"/>
        </w:rPr>
        <w:t>Elle appelle à une mise en œuvre rapide de la législation européenne sur la liberté des médias et de la directive relative à la lutte contre les poursuites-bâillons (paragraphes</w:t>
      </w:r>
      <w:r w:rsidR="003B51D6">
        <w:rPr>
          <w:rFonts w:ascii="Times New Roman" w:hAnsi="Times New Roman"/>
        </w:rPr>
        <w:t> 32</w:t>
      </w:r>
      <w:r w:rsidRPr="00A042A0">
        <w:rPr>
          <w:rFonts w:ascii="Times New Roman" w:hAnsi="Times New Roman"/>
        </w:rPr>
        <w:t xml:space="preserve"> et</w:t>
      </w:r>
      <w:r w:rsidR="003B51D6">
        <w:rPr>
          <w:rFonts w:ascii="Times New Roman" w:hAnsi="Times New Roman"/>
        </w:rPr>
        <w:t> </w:t>
      </w:r>
      <w:r w:rsidRPr="00A042A0">
        <w:rPr>
          <w:rFonts w:ascii="Times New Roman" w:hAnsi="Times New Roman"/>
        </w:rPr>
        <w:t>35),</w:t>
      </w:r>
      <w:bookmarkStart w:id="4" w:name="_Hlk202260966"/>
      <w:r w:rsidRPr="00A042A0">
        <w:rPr>
          <w:rFonts w:ascii="Times New Roman" w:hAnsi="Times New Roman"/>
        </w:rPr>
        <w:t xml:space="preserve"> condamne l’ingérence politique de l’État dans les médias de service public (paragraphe</w:t>
      </w:r>
      <w:r w:rsidR="003B51D6">
        <w:rPr>
          <w:rFonts w:ascii="Times New Roman" w:hAnsi="Times New Roman"/>
        </w:rPr>
        <w:t> </w:t>
      </w:r>
      <w:r w:rsidRPr="00A042A0">
        <w:rPr>
          <w:rFonts w:ascii="Times New Roman" w:hAnsi="Times New Roman"/>
        </w:rPr>
        <w:t>39), demande l’interdiction de la surveillance motivée par des considérations politiques (paragraphe</w:t>
      </w:r>
      <w:r w:rsidR="003B51D6">
        <w:rPr>
          <w:rFonts w:ascii="Times New Roman" w:hAnsi="Times New Roman"/>
        </w:rPr>
        <w:t> </w:t>
      </w:r>
      <w:r w:rsidRPr="00A042A0">
        <w:rPr>
          <w:rFonts w:ascii="Times New Roman" w:hAnsi="Times New Roman"/>
        </w:rPr>
        <w:t>40), condamne les discours de haine (paragraphe</w:t>
      </w:r>
      <w:r w:rsidR="003B51D6">
        <w:rPr>
          <w:rFonts w:ascii="Times New Roman" w:hAnsi="Times New Roman"/>
        </w:rPr>
        <w:t> </w:t>
      </w:r>
      <w:r w:rsidRPr="00A042A0">
        <w:rPr>
          <w:rFonts w:ascii="Times New Roman" w:hAnsi="Times New Roman"/>
        </w:rPr>
        <w:t>37) et appelle à lutter contre l’ingérence et la manipulation étrangères, y compris par l’intermédiaire des médias sociaux (paragraphes</w:t>
      </w:r>
      <w:r w:rsidR="003B51D6">
        <w:rPr>
          <w:rFonts w:ascii="Times New Roman" w:hAnsi="Times New Roman"/>
        </w:rPr>
        <w:t> 38</w:t>
      </w:r>
      <w:r w:rsidRPr="00A042A0">
        <w:rPr>
          <w:rFonts w:ascii="Times New Roman" w:hAnsi="Times New Roman"/>
        </w:rPr>
        <w:t xml:space="preserve"> et</w:t>
      </w:r>
      <w:r w:rsidR="003B51D6">
        <w:rPr>
          <w:rFonts w:ascii="Times New Roman" w:hAnsi="Times New Roman"/>
        </w:rPr>
        <w:t> </w:t>
      </w:r>
      <w:r w:rsidRPr="00A042A0">
        <w:rPr>
          <w:rFonts w:ascii="Times New Roman" w:hAnsi="Times New Roman"/>
        </w:rPr>
        <w:t>88).</w:t>
      </w:r>
      <w:r>
        <w:rPr>
          <w:rFonts w:ascii="Times New Roman" w:hAnsi="Times New Roman"/>
        </w:rPr>
        <w:t xml:space="preserve"> </w:t>
      </w:r>
      <w:bookmarkEnd w:id="3"/>
      <w:bookmarkEnd w:id="4"/>
      <w:r>
        <w:rPr>
          <w:rFonts w:ascii="Times New Roman" w:hAnsi="Times New Roman"/>
        </w:rPr>
        <w:t xml:space="preserve">Elle exprime sa préoccupation face aux restrictions légales, </w:t>
      </w:r>
      <w:r>
        <w:rPr>
          <w:rFonts w:ascii="Times New Roman" w:hAnsi="Times New Roman"/>
        </w:rPr>
        <w:lastRenderedPageBreak/>
        <w:t>au manque de financement et aux attaques (paragraphe</w:t>
      </w:r>
      <w:r w:rsidR="003B51D6">
        <w:rPr>
          <w:rFonts w:ascii="Times New Roman" w:hAnsi="Times New Roman"/>
        </w:rPr>
        <w:t> </w:t>
      </w:r>
      <w:r>
        <w:rPr>
          <w:rFonts w:ascii="Times New Roman" w:hAnsi="Times New Roman"/>
        </w:rPr>
        <w:t>45), invite la Commission et les États membres à améliorer les mécanismes de financement des OSC (paragraphe</w:t>
      </w:r>
      <w:r w:rsidR="003B51D6">
        <w:rPr>
          <w:rFonts w:ascii="Times New Roman" w:hAnsi="Times New Roman"/>
        </w:rPr>
        <w:t> </w:t>
      </w:r>
      <w:r>
        <w:rPr>
          <w:rFonts w:ascii="Times New Roman" w:hAnsi="Times New Roman"/>
        </w:rPr>
        <w:t>47) et salue le projet de la Commission d’élaborer une stratégie pour la protection de la société civile et des défenseurs des droits de l’homme (paragraphe</w:t>
      </w:r>
      <w:r w:rsidR="003B51D6">
        <w:rPr>
          <w:rFonts w:ascii="Times New Roman" w:hAnsi="Times New Roman"/>
        </w:rPr>
        <w:t> </w:t>
      </w:r>
      <w:r>
        <w:rPr>
          <w:rFonts w:ascii="Times New Roman" w:hAnsi="Times New Roman"/>
        </w:rPr>
        <w:t xml:space="preserve">50). </w:t>
      </w:r>
      <w:r w:rsidRPr="00A042A0">
        <w:rPr>
          <w:rFonts w:ascii="Times New Roman" w:hAnsi="Times New Roman"/>
        </w:rPr>
        <w:t>En ce qui concerne la méthodologie, la résolution demande la mise en place d’un cadre de dialogue civil structuré qui permettrait d’intégrer les contributions de la société civile dans le cycle annuel d’élaboration du rapport sur l’état de droit, «comme le recommande le CESE» (paragraphe</w:t>
      </w:r>
      <w:r w:rsidR="003B51D6">
        <w:rPr>
          <w:rFonts w:ascii="Times New Roman" w:hAnsi="Times New Roman"/>
        </w:rPr>
        <w:t> </w:t>
      </w:r>
      <w:r w:rsidRPr="00A042A0">
        <w:rPr>
          <w:rFonts w:ascii="Times New Roman" w:hAnsi="Times New Roman"/>
        </w:rPr>
        <w:t>44)</w:t>
      </w:r>
      <w:bookmarkEnd w:id="2"/>
      <w:r w:rsidRPr="00A042A0">
        <w:rPr>
          <w:rFonts w:ascii="Times New Roman" w:hAnsi="Times New Roman"/>
        </w:rPr>
        <w:t>, d’utiliser un langage plus clair et des règles d’évaluation transparentes pour évaluer le respect des valeurs de l’UE et de mettre davantage l’accent sur la mise en œuvre des recommandations assorties de mécanismes de suivi spécifiques et de critères de référence mesurables (paragraphe</w:t>
      </w:r>
      <w:r w:rsidR="003B51D6">
        <w:rPr>
          <w:rFonts w:ascii="Times New Roman" w:hAnsi="Times New Roman"/>
        </w:rPr>
        <w:t> </w:t>
      </w:r>
      <w:r w:rsidRPr="00A042A0">
        <w:rPr>
          <w:rFonts w:ascii="Times New Roman" w:hAnsi="Times New Roman"/>
        </w:rPr>
        <w:t>95).</w:t>
      </w:r>
    </w:p>
    <w:p w14:paraId="6B5AA868" w14:textId="300FC49F" w:rsidR="00D541E0" w:rsidRPr="00B47906" w:rsidRDefault="00D541E0" w:rsidP="00D541E0">
      <w:pPr>
        <w:widowControl w:val="0"/>
        <w:spacing w:line="259" w:lineRule="auto"/>
        <w:rPr>
          <w:rFonts w:ascii="Times New Roman" w:hAnsi="Times New Roman"/>
        </w:rPr>
      </w:pPr>
      <w:r>
        <w:rPr>
          <w:rFonts w:ascii="Times New Roman" w:hAnsi="Times New Roman"/>
        </w:rPr>
        <w:t>La résolution invite les États membres à mettre rapidement en œuvre les arrêts de la CJUE et les arrêts nationaux (paragraphes</w:t>
      </w:r>
      <w:r w:rsidR="003B51D6">
        <w:rPr>
          <w:rFonts w:ascii="Times New Roman" w:hAnsi="Times New Roman"/>
        </w:rPr>
        <w:t> 13</w:t>
      </w:r>
      <w:r>
        <w:rPr>
          <w:rFonts w:ascii="Times New Roman" w:hAnsi="Times New Roman"/>
        </w:rPr>
        <w:t xml:space="preserve"> et</w:t>
      </w:r>
      <w:r w:rsidR="003B51D6">
        <w:rPr>
          <w:rFonts w:ascii="Times New Roman" w:hAnsi="Times New Roman"/>
        </w:rPr>
        <w:t> </w:t>
      </w:r>
      <w:r>
        <w:rPr>
          <w:rFonts w:ascii="Times New Roman" w:hAnsi="Times New Roman"/>
        </w:rPr>
        <w:t>15) et invite la Commission à développer davantage le lien entre le rapport et les instruments réactifs en appelant à une action plus forte en ce qui concerne les infractions, dans le cadre de la procédure prévue à l’article 7 du traité UE (paragraphes</w:t>
      </w:r>
      <w:r w:rsidR="003B51D6">
        <w:rPr>
          <w:rFonts w:ascii="Times New Roman" w:hAnsi="Times New Roman"/>
        </w:rPr>
        <w:t> 74</w:t>
      </w:r>
      <w:r>
        <w:rPr>
          <w:rFonts w:ascii="Times New Roman" w:hAnsi="Times New Roman"/>
        </w:rPr>
        <w:t xml:space="preserve"> à</w:t>
      </w:r>
      <w:r w:rsidR="003B51D6">
        <w:rPr>
          <w:rFonts w:ascii="Times New Roman" w:hAnsi="Times New Roman"/>
        </w:rPr>
        <w:t> </w:t>
      </w:r>
      <w:r>
        <w:rPr>
          <w:rFonts w:ascii="Times New Roman" w:hAnsi="Times New Roman"/>
        </w:rPr>
        <w:t>76) et dans l’application du règlement relatif à la conditionnalité. Enfin, elle demande l’intégration de jalons en matière d’état de droit dans les instruments budgétaires, l’inclusion dans le futur cadre financier pluriannuel (CFP) de garanties solides en matière d’état de droit applicables à tous les fonds de l’Union et une «conditionnalité intelligente» permettant aux fonds de l’Union de contourner les gouvernements nationaux qui portent atteinte à l’état de droit (paragraphes</w:t>
      </w:r>
      <w:r w:rsidR="003B51D6">
        <w:rPr>
          <w:rFonts w:ascii="Times New Roman" w:hAnsi="Times New Roman"/>
        </w:rPr>
        <w:t> 73</w:t>
      </w:r>
      <w:r>
        <w:rPr>
          <w:rFonts w:ascii="Times New Roman" w:hAnsi="Times New Roman"/>
        </w:rPr>
        <w:t xml:space="preserve"> et</w:t>
      </w:r>
      <w:r w:rsidR="003B51D6">
        <w:rPr>
          <w:rFonts w:ascii="Times New Roman" w:hAnsi="Times New Roman"/>
        </w:rPr>
        <w:t> </w:t>
      </w:r>
      <w:r>
        <w:rPr>
          <w:rFonts w:ascii="Times New Roman" w:hAnsi="Times New Roman"/>
        </w:rPr>
        <w:t>77 à 79).</w:t>
      </w:r>
    </w:p>
    <w:p w14:paraId="0FFB9166" w14:textId="77777777" w:rsidR="00D541E0" w:rsidRPr="00A042A0" w:rsidRDefault="00D541E0" w:rsidP="00D541E0">
      <w:pPr>
        <w:rPr>
          <w:rFonts w:ascii="Times New Roman" w:hAnsi="Times New Roman"/>
          <w:iCs/>
          <w:szCs w:val="24"/>
          <w:lang w:val="fr-BE"/>
        </w:rPr>
      </w:pPr>
    </w:p>
    <w:p w14:paraId="4105B405" w14:textId="0226060E" w:rsidR="00D541E0" w:rsidRPr="00B47906" w:rsidRDefault="00D541E0" w:rsidP="00D541E0">
      <w:pPr>
        <w:widowControl w:val="0"/>
        <w:numPr>
          <w:ilvl w:val="0"/>
          <w:numId w:val="34"/>
        </w:numPr>
        <w:ind w:left="567" w:hanging="567"/>
        <w:rPr>
          <w:rFonts w:ascii="Times New Roman" w:hAnsi="Times New Roman"/>
        </w:rPr>
      </w:pPr>
      <w:r>
        <w:rPr>
          <w:rFonts w:ascii="Times New Roman" w:hAnsi="Times New Roman"/>
          <w:b/>
        </w:rPr>
        <w:t>Réponse à ces demandes et aperçu des mesures que la Commission a prises ou envisage de prendre</w:t>
      </w:r>
      <w:r w:rsidR="003B51D6">
        <w:rPr>
          <w:rFonts w:ascii="Times New Roman" w:hAnsi="Times New Roman"/>
          <w:b/>
        </w:rPr>
        <w:t> :</w:t>
      </w:r>
    </w:p>
    <w:p w14:paraId="23FC62A5" w14:textId="70FE7624" w:rsidR="00454882" w:rsidRPr="00B47906" w:rsidRDefault="00D541E0" w:rsidP="00454882">
      <w:pPr>
        <w:widowControl w:val="0"/>
        <w:spacing w:after="120" w:line="259" w:lineRule="auto"/>
        <w:rPr>
          <w:rFonts w:ascii="Times New Roman" w:hAnsi="Times New Roman"/>
        </w:rPr>
      </w:pPr>
      <w:r>
        <w:rPr>
          <w:rFonts w:ascii="Times New Roman" w:hAnsi="Times New Roman"/>
        </w:rPr>
        <w:t>La Commission salue la résolution du Parlement européen et partage pleinement les objectifs de promotion, de protection et de renforcement des valeurs de l’Union, conformément à l’article 2 du traité UE. Elle a examiné la résolution attentivement. De nombreux éléments reflètent l’approche qu’elle suit dans son rapport annuel sur l’état de droit. La Commission se réjouit de poursuivre le dialogue avec le Parlement européen sur la base du rapport 2025 sur l’état de droit, qui a été adopté le 8</w:t>
      </w:r>
      <w:r w:rsidR="003B51D6">
        <w:rPr>
          <w:rFonts w:ascii="Times New Roman" w:hAnsi="Times New Roman"/>
        </w:rPr>
        <w:t xml:space="preserve"> juillet </w:t>
      </w:r>
      <w:r>
        <w:rPr>
          <w:rFonts w:ascii="Times New Roman" w:hAnsi="Times New Roman"/>
        </w:rPr>
        <w:t>2025</w:t>
      </w:r>
      <w:r>
        <w:rPr>
          <w:rStyle w:val="FootnoteReference"/>
          <w:rFonts w:ascii="Times New Roman" w:hAnsi="Times New Roman"/>
          <w:lang w:val="en-GB"/>
        </w:rPr>
        <w:footnoteReference w:id="2"/>
      </w:r>
      <w:r>
        <w:rPr>
          <w:rFonts w:ascii="Times New Roman" w:hAnsi="Times New Roman"/>
        </w:rPr>
        <w:t>. La Commission apprécie la coopération étroite avec le Parlement européen. Au-delà des débats en plénière, elle a participé à diverses auditions et réunions organisées par la commission LIBE et son groupe de travail sur la démocratie, l’état de droit et les droits fondamentaux, tant sur des questions horizontales que sur la situation de l’état de droit dans les différents États membres. Si un accord interinstitutionnel (paragraphes</w:t>
      </w:r>
      <w:r w:rsidR="003B51D6">
        <w:rPr>
          <w:rFonts w:ascii="Times New Roman" w:hAnsi="Times New Roman"/>
        </w:rPr>
        <w:t> 99</w:t>
      </w:r>
      <w:r>
        <w:rPr>
          <w:rFonts w:ascii="Times New Roman" w:hAnsi="Times New Roman"/>
        </w:rPr>
        <w:t xml:space="preserve"> et</w:t>
      </w:r>
      <w:r w:rsidR="003B51D6">
        <w:rPr>
          <w:rFonts w:ascii="Times New Roman" w:hAnsi="Times New Roman"/>
        </w:rPr>
        <w:t> </w:t>
      </w:r>
      <w:r>
        <w:rPr>
          <w:rFonts w:ascii="Times New Roman" w:hAnsi="Times New Roman"/>
        </w:rPr>
        <w:t>100) pourrait contribuer à encadrer la discussion, il pourrait être difficile de négocier, avec le risque que les discussions se concentrent sur la procédure plutôt que sur le fond. À ce stade, la Commission préconise de tirer le meilleur parti du cadre de coopération interinstitutionnelle tel qu’il existe, en exploitant pleinement le potentiel de développement qu’il recèle. La Commission est ouverte à la mise sur pied d’un groupe de contact informel, au sein duquel des représentants de la Commission seraient disponibles pour mener des discussions régulières avec les députés et au sein duquel la présidence du Conseil et les États membres concernés pourraient également être invités.</w:t>
      </w:r>
    </w:p>
    <w:p w14:paraId="4F93533B" w14:textId="42F166D2" w:rsidR="00454882" w:rsidRPr="00B47906" w:rsidRDefault="00D541E0" w:rsidP="00454882">
      <w:pPr>
        <w:widowControl w:val="0"/>
        <w:spacing w:after="120" w:line="259" w:lineRule="auto"/>
        <w:rPr>
          <w:rFonts w:ascii="Times New Roman" w:hAnsi="Times New Roman"/>
        </w:rPr>
      </w:pPr>
      <w:r>
        <w:rPr>
          <w:rFonts w:ascii="Times New Roman" w:hAnsi="Times New Roman"/>
        </w:rPr>
        <w:t xml:space="preserve">La Commission se félicite du soutien du Parlement européen à l’inclusion, dans le rapport sur </w:t>
      </w:r>
      <w:r>
        <w:rPr>
          <w:rFonts w:ascii="Times New Roman" w:hAnsi="Times New Roman"/>
        </w:rPr>
        <w:lastRenderedPageBreak/>
        <w:t>l’état de droit, d’une dimension relative au marché unique (paragraphes</w:t>
      </w:r>
      <w:r w:rsidR="003B51D6">
        <w:rPr>
          <w:rFonts w:ascii="Times New Roman" w:hAnsi="Times New Roman"/>
        </w:rPr>
        <w:t> 66</w:t>
      </w:r>
      <w:r>
        <w:rPr>
          <w:rFonts w:ascii="Times New Roman" w:hAnsi="Times New Roman"/>
        </w:rPr>
        <w:t xml:space="preserve"> à</w:t>
      </w:r>
      <w:r w:rsidR="003B51D6">
        <w:rPr>
          <w:rFonts w:ascii="Times New Roman" w:hAnsi="Times New Roman"/>
        </w:rPr>
        <w:t> </w:t>
      </w:r>
      <w:r>
        <w:rPr>
          <w:rFonts w:ascii="Times New Roman" w:hAnsi="Times New Roman"/>
        </w:rPr>
        <w:t>72) et à son extension aux pays visés par l’élargissement (paragraphe</w:t>
      </w:r>
      <w:r w:rsidR="003B51D6">
        <w:rPr>
          <w:rFonts w:ascii="Times New Roman" w:hAnsi="Times New Roman"/>
        </w:rPr>
        <w:t> </w:t>
      </w:r>
      <w:r>
        <w:rPr>
          <w:rFonts w:ascii="Times New Roman" w:hAnsi="Times New Roman"/>
        </w:rPr>
        <w:t>105). L’état de droit et la bonne gouvernance sont essentiels afin de créer un environnement économique global stable et les conditions nécessaires pour que les opérateurs économiques puissent tirer pleinement parti des possibilités offertes par le marché unique. L’inclusion des pays visés par l’élargissement aux côtés des États membres soutiendra les réformes de l’état de droit visant à ancrer fermement et irréversiblement la démocratie et l’état de droit dans les pays concernés par l’élargissement avant et après leur adhésion. Cette approche est parfaitement compatible avec le processus d’élargissement actuel, en particulier, étant donné que les recommandations adressées aux pays concernés par l’élargissement continueront d’être formulées dans les rapports annuels sur l’élargissement. L’état de droit est au cœur du processus d’élargissement, conformément à la méthodologie révisée en matière d’élargissement convenue en 2020, et tant les progrès accomplis que l’état des lieux dans ce domaine continuent à faire l’objet d’une évaluation approfondie dans ce contexte. Il est important de tenir compte de l’évolution de l’UE en incluant d’autres pays concernés par l’élargissement dans le rapport sur l’état de droit à mesure qu’ils seront prêts.</w:t>
      </w:r>
    </w:p>
    <w:p w14:paraId="1392E307" w14:textId="30655136" w:rsidR="00454882" w:rsidRPr="00B47906" w:rsidRDefault="00F85D63" w:rsidP="00D541E0">
      <w:pPr>
        <w:widowControl w:val="0"/>
        <w:spacing w:after="120" w:line="259" w:lineRule="auto"/>
        <w:rPr>
          <w:rFonts w:ascii="Times New Roman" w:hAnsi="Times New Roman"/>
        </w:rPr>
      </w:pPr>
      <w:r>
        <w:rPr>
          <w:rFonts w:ascii="Times New Roman" w:hAnsi="Times New Roman"/>
        </w:rPr>
        <w:t>En ce qui concerne le lien renforcé entre l’état de droit et les fonds de l’UE (points</w:t>
      </w:r>
      <w:r w:rsidR="003B51D6">
        <w:rPr>
          <w:rFonts w:ascii="Times New Roman" w:hAnsi="Times New Roman"/>
        </w:rPr>
        <w:t> 73, 75</w:t>
      </w:r>
      <w:r>
        <w:rPr>
          <w:rFonts w:ascii="Times New Roman" w:hAnsi="Times New Roman"/>
        </w:rPr>
        <w:t xml:space="preserve"> et</w:t>
      </w:r>
      <w:r w:rsidR="003B51D6">
        <w:rPr>
          <w:rFonts w:ascii="Times New Roman" w:hAnsi="Times New Roman"/>
        </w:rPr>
        <w:t> </w:t>
      </w:r>
      <w:r>
        <w:rPr>
          <w:rFonts w:ascii="Times New Roman" w:hAnsi="Times New Roman"/>
        </w:rPr>
        <w:t>77 à 79), comme indiqué dans les orientations politiques de la présidente von der Leyen, le respect de l’état de droit est une nécessité pour bénéficier des fonds de l’UE. Le 16</w:t>
      </w:r>
      <w:r w:rsidR="003B51D6">
        <w:rPr>
          <w:rFonts w:ascii="Times New Roman" w:hAnsi="Times New Roman"/>
        </w:rPr>
        <w:t> </w:t>
      </w:r>
      <w:r>
        <w:rPr>
          <w:rFonts w:ascii="Times New Roman" w:hAnsi="Times New Roman"/>
        </w:rPr>
        <w:t>juillet 2025, la Commission a adopté sa proposition relative au CFP 2028-2034</w:t>
      </w:r>
      <w:r>
        <w:rPr>
          <w:rStyle w:val="FootnoteReference"/>
          <w:rFonts w:ascii="Times New Roman" w:eastAsia="Calibri" w:hAnsi="Times New Roman"/>
          <w:lang w:val="en-GB"/>
        </w:rPr>
        <w:footnoteReference w:id="3"/>
      </w:r>
      <w:r>
        <w:rPr>
          <w:rFonts w:ascii="Times New Roman" w:hAnsi="Times New Roman"/>
        </w:rPr>
        <w:t>, dans laquelle elle indique clairement que les principes de l’état de droit et la charte des droits fondamentaux ne sont pas négociables. Il est essentiel, pour assurer la protection des intérêts financiers de l’UE, que les dépenses de l’Union aillent de pair avec des garanties solides en matière d’état de droit. Par conséquent, cela confirme que le règlement relatif à la conditionnalité</w:t>
      </w:r>
      <w:r>
        <w:rPr>
          <w:rStyle w:val="FootnoteReference"/>
          <w:rFonts w:ascii="Times New Roman" w:eastAsia="Calibri" w:hAnsi="Times New Roman"/>
          <w:lang w:val="en-GB"/>
        </w:rPr>
        <w:footnoteReference w:id="4"/>
      </w:r>
      <w:r>
        <w:rPr>
          <w:rFonts w:ascii="Times New Roman" w:hAnsi="Times New Roman"/>
        </w:rPr>
        <w:t xml:space="preserve"> continuera de s’appliquer à l’ensemble du budget de l’UE. Au demeurant, l’expérience acquise avec les instruments de financement actuels montre que le soutien financier de l’UE aux investissements et aux réformes qui renforcent l’état de droit peut avoir une réelle valeur ajoutée. Grâce aux plans de partenariat nationaux et régionaux, il existe un lien fort entre les recommandations du rapport sur l’état de droit et le soutien financier destiné à des réformes et mesures ciblées qui renforcent la capacité des institutions et de la société civile à faire respecter l’état de droit. </w:t>
      </w:r>
      <w:r w:rsidRPr="00A042A0">
        <w:rPr>
          <w:rFonts w:ascii="Times New Roman" w:hAnsi="Times New Roman"/>
        </w:rPr>
        <w:t>Ces plans exigent des États membres qu’ils respectent les principes de l’état de droit et la charte des droits fondamentaux, en s’appuyant sur les caractéristiques du règlement portant dispositions communes et de la facilité pour la reprise et la résilience. Le prochain cadre financier devrait prévoir, comme c’est le cas aujourd’hui dans NextGenerationEU, la possibilité de bloquer les paiements en cas de défaillances systémiques liées à l’état de droit.</w:t>
      </w:r>
    </w:p>
    <w:p w14:paraId="521F3663" w14:textId="0ECAD99B" w:rsidR="00D541E0" w:rsidRPr="00057144" w:rsidRDefault="00D541E0" w:rsidP="00D541E0">
      <w:pPr>
        <w:widowControl w:val="0"/>
        <w:spacing w:after="120" w:line="259" w:lineRule="auto"/>
        <w:rPr>
          <w:rFonts w:ascii="Times New Roman" w:hAnsi="Times New Roman"/>
        </w:rPr>
      </w:pPr>
      <w:r>
        <w:rPr>
          <w:rFonts w:ascii="Times New Roman" w:hAnsi="Times New Roman"/>
        </w:rPr>
        <w:t xml:space="preserve">En ce qui concerne l’appel à étendre la portée du rapport à toutes les valeurs visées à l’article 2 du traité UE (paragraphe 93), la Commission souligne que le rapport ne constitue qu’un élément d’un effort plus large au niveau de l’Union visant à renforcer les valeurs fondatrices de l’Union, y compris la démocratie, l’égalité et le respect des droits de l’homme. Il s’agit </w:t>
      </w:r>
      <w:r>
        <w:rPr>
          <w:rFonts w:ascii="Times New Roman" w:hAnsi="Times New Roman"/>
        </w:rPr>
        <w:lastRenderedPageBreak/>
        <w:t>notamment des mesures, y compris la législation</w:t>
      </w:r>
      <w:r>
        <w:rPr>
          <w:rStyle w:val="FootnoteReference"/>
          <w:rFonts w:ascii="Times New Roman" w:eastAsia="Calibri" w:hAnsi="Times New Roman"/>
          <w:lang w:val="en-GB"/>
        </w:rPr>
        <w:footnoteReference w:id="5"/>
      </w:r>
      <w:r>
        <w:rPr>
          <w:rFonts w:ascii="Times New Roman" w:hAnsi="Times New Roman"/>
        </w:rPr>
        <w:t>, déjà en place à la suite du plan d’action pour la démocratie européenne et du train de mesures sur la défense de la démocratie, et ayant fait l’objet d’un examen, entre autres, dans le rapport de 2024 sur les élections au Parlement européen</w:t>
      </w:r>
      <w:r>
        <w:rPr>
          <w:rStyle w:val="FootnoteReference"/>
          <w:rFonts w:ascii="Times New Roman" w:eastAsia="Calibri" w:hAnsi="Times New Roman"/>
          <w:lang w:val="en-GB"/>
        </w:rPr>
        <w:footnoteReference w:id="6"/>
      </w:r>
      <w:r>
        <w:rPr>
          <w:rFonts w:ascii="Times New Roman" w:hAnsi="Times New Roman"/>
        </w:rPr>
        <w:t>. Celles-ci seront développées plus avant, y compris en 2025, lorsque la Commission proposera un bouclier européen de la démocratie, qui fournira une approche stratégique pour préserver, renforcer et promouvoir la démocratie dans l’UE, renforçant ainsi la confiance du public. Ces mesures comprennent également la stratégie de 2020 visant à renforcer l’application de la charte des droits fondamentaux dans l’UE (ci-après dénommée «stratégie relative à la charte») et ses rapports thématiques annuels, ainsi que des stratégies et des mesures ciblées visant à répondre aux besoins et aux défis de groupes spécifiques de titulaires de droits. En outre, la Commission surveille le respect du droit de l’Union, y compris de la charte des droits fondamentaux de l’UE, dans le cadre de son rôle de gardienne des traités et lance des procédures d’infraction, le cas échéant. En ce qui concerne la publication éventuelle de tous les rapports relatifs aux valeurs de l’UE en même temps (paragraphe</w:t>
      </w:r>
      <w:r w:rsidR="003B51D6">
        <w:rPr>
          <w:rFonts w:ascii="Times New Roman" w:hAnsi="Times New Roman"/>
        </w:rPr>
        <w:t> </w:t>
      </w:r>
      <w:r>
        <w:rPr>
          <w:rFonts w:ascii="Times New Roman" w:hAnsi="Times New Roman"/>
        </w:rPr>
        <w:t>92), la Commission note que le rapport sur les droits fondamentaux de l’Agence des droits fondamentaux de l’Union européenne (FRA) est déjà publié en été, de même que le rapport de la Commission sur l’état de droit. La révision à mi-parcours de la stratégie relative à la charte devrait être publiée en décembre</w:t>
      </w:r>
      <w:r w:rsidR="003B51D6">
        <w:rPr>
          <w:rFonts w:ascii="Times New Roman" w:hAnsi="Times New Roman"/>
        </w:rPr>
        <w:t> </w:t>
      </w:r>
      <w:r>
        <w:rPr>
          <w:rFonts w:ascii="Times New Roman" w:hAnsi="Times New Roman"/>
        </w:rPr>
        <w:t>2025.</w:t>
      </w:r>
    </w:p>
    <w:p w14:paraId="4B3D6C1E" w14:textId="1988F116" w:rsidR="00454882" w:rsidRPr="00057144" w:rsidRDefault="00D541E0" w:rsidP="00D541E0">
      <w:pPr>
        <w:widowControl w:val="0"/>
        <w:spacing w:after="120" w:line="259" w:lineRule="auto"/>
        <w:rPr>
          <w:rFonts w:ascii="Times New Roman" w:eastAsia="Calibri" w:hAnsi="Times New Roman"/>
        </w:rPr>
      </w:pPr>
      <w:r>
        <w:rPr>
          <w:rFonts w:ascii="Times New Roman" w:hAnsi="Times New Roman"/>
        </w:rPr>
        <w:t>En ce qui concerne l’appel à ajouter un pilier consacré à l’égalité (paragraphes</w:t>
      </w:r>
      <w:r w:rsidR="003B51D6">
        <w:rPr>
          <w:rFonts w:ascii="Times New Roman" w:hAnsi="Times New Roman"/>
        </w:rPr>
        <w:t> 63</w:t>
      </w:r>
      <w:r>
        <w:rPr>
          <w:rFonts w:ascii="Times New Roman" w:hAnsi="Times New Roman"/>
        </w:rPr>
        <w:t xml:space="preserve"> et</w:t>
      </w:r>
      <w:r w:rsidR="003B51D6">
        <w:rPr>
          <w:rFonts w:ascii="Times New Roman" w:hAnsi="Times New Roman"/>
        </w:rPr>
        <w:t> </w:t>
      </w:r>
      <w:r>
        <w:rPr>
          <w:rFonts w:ascii="Times New Roman" w:hAnsi="Times New Roman"/>
        </w:rPr>
        <w:t>92), comme indiqué ci-dessus, la Commission a élaboré des stratégies et des mesures ciblées pour répondre aux besoins et aux défis de groupes spécifiques de titulaires de droits. La Commission tient notamment à attirer l’attention sur la publication du rapport sur l’état d’avancement du plan d’action de l’UE contre le racisme, qui donne un aperçu des progrès accomplis au cours des trois premières années de sa mise en œuvre</w:t>
      </w:r>
      <w:r>
        <w:rPr>
          <w:rStyle w:val="FootnoteReference"/>
          <w:rFonts w:ascii="Times New Roman" w:eastAsia="Calibri" w:hAnsi="Times New Roman"/>
          <w:lang w:val="en-GB"/>
        </w:rPr>
        <w:footnoteReference w:id="7"/>
      </w:r>
      <w:r>
        <w:rPr>
          <w:rFonts w:ascii="Times New Roman" w:hAnsi="Times New Roman"/>
        </w:rPr>
        <w:t>. En outre, la Commission a publié son rapport sur la stratégie LGBTIQ</w:t>
      </w:r>
      <w:r>
        <w:rPr>
          <w:rStyle w:val="FootnoteReference"/>
          <w:rFonts w:ascii="Times New Roman" w:eastAsia="Calibri" w:hAnsi="Times New Roman"/>
          <w:lang w:val="en-GB"/>
        </w:rPr>
        <w:footnoteReference w:id="8"/>
      </w:r>
      <w:r>
        <w:rPr>
          <w:rFonts w:ascii="Times New Roman" w:hAnsi="Times New Roman"/>
        </w:rPr>
        <w:t xml:space="preserve">, qui analysait l’évolution de la situation des personnes LGBTIQ dans l’UE, les progrès accomplis et les domaines nécessitant une plus grande attention pour mettre pleinement en œuvre la stratégie d’ici à 2025. En outre, la Commission publie un rapport annuel sur l’égalité entre les femmes et les hommes, qui fait le point sur la situation de l’UE et de ses États membres en matière d’égalité entre les femmes et les hommes. Il met en évidence les réalisations de l’UE dans les cinq domaines clés couverts par la stratégie en faveur de l’égalité entre les hommes et les femmes et présente des exemples inspirants de projets financés par l’UE et ses États membres dans ces domaines. La Commission prend note de l’appel du Parlement européen à inscrire le droit d’accès à un avortement légal et sûr dans la charte. Elle rappelle que toute révision de la charte devrait suivre la même procédure qu’une révision des traités et exiger un vote unanime de tous les États membres en faveur d’une telle révision. La Commission reste déterminée à faire tout ce qui est en son pouvoir pour faire progresser les droits fondamentaux et l’égalité entre les hommes et les femmes dans le cadre de sa compétence. À cet égard, la feuille de route pour </w:t>
      </w:r>
      <w:r>
        <w:rPr>
          <w:rFonts w:ascii="Times New Roman" w:hAnsi="Times New Roman"/>
        </w:rPr>
        <w:lastRenderedPageBreak/>
        <w:t>les droits des femmes</w:t>
      </w:r>
      <w:r>
        <w:rPr>
          <w:rStyle w:val="FootnoteReference"/>
          <w:rFonts w:ascii="Times New Roman" w:eastAsia="Calibri" w:hAnsi="Times New Roman"/>
          <w:lang w:val="en-GB"/>
        </w:rPr>
        <w:footnoteReference w:id="9"/>
      </w:r>
      <w:r>
        <w:rPr>
          <w:rFonts w:ascii="Times New Roman" w:hAnsi="Times New Roman"/>
        </w:rPr>
        <w:t xml:space="preserve"> renforce la protection de la santé des femmes en soutenant et en complétant les actions des États membres concernant l’accès des femmes à la santé et aux droits sexuels et génésiques, dans le plein respect des traités. La Commission se félicite de la condamnation par le Parlement européen de la violence fondée sur le genre et reste déterminée à construire une Union dans laquelle les femmes et les hommes, dans toute leur diversité, peuvent vivre à l’abri de la violence et des stéréotypes. À cet égard, la Commission est déterminée à assurer une mise en œuvre rapide de la directive (UE) 2024/1385 («directive sur la lutte contre la violence à l’égard des femmes») dans tous les États membres, compte tenu de son importance dans la prévention et la lutte contre la violence à l’égard des femmes et la violence domestique.</w:t>
      </w:r>
    </w:p>
    <w:p w14:paraId="62230C05" w14:textId="3BA21B33" w:rsidR="00D541E0" w:rsidRPr="00057144" w:rsidRDefault="00D541E0" w:rsidP="00D541E0">
      <w:pPr>
        <w:widowControl w:val="0"/>
        <w:spacing w:after="120" w:line="259" w:lineRule="auto"/>
        <w:rPr>
          <w:rFonts w:ascii="Times New Roman" w:eastAsia="Calibri" w:hAnsi="Times New Roman"/>
        </w:rPr>
      </w:pPr>
      <w:r>
        <w:rPr>
          <w:rFonts w:ascii="Times New Roman" w:hAnsi="Times New Roman"/>
        </w:rPr>
        <w:t>L’état de droit est une valeur fondatrice de l’Union européenne, que les États membres, les institutions et les organes de l’UE doivent respecter. La Commission n’envisage pas d’ajouter un chapitre consacré aux institutions de l’Union (paragraphes</w:t>
      </w:r>
      <w:r w:rsidR="003B51D6">
        <w:rPr>
          <w:rFonts w:ascii="Times New Roman" w:hAnsi="Times New Roman"/>
        </w:rPr>
        <w:t> 22</w:t>
      </w:r>
      <w:r>
        <w:rPr>
          <w:rFonts w:ascii="Times New Roman" w:hAnsi="Times New Roman"/>
        </w:rPr>
        <w:t xml:space="preserve"> et</w:t>
      </w:r>
      <w:r w:rsidR="003B51D6">
        <w:rPr>
          <w:rFonts w:ascii="Times New Roman" w:hAnsi="Times New Roman"/>
        </w:rPr>
        <w:t> </w:t>
      </w:r>
      <w:r>
        <w:rPr>
          <w:rFonts w:ascii="Times New Roman" w:hAnsi="Times New Roman"/>
        </w:rPr>
        <w:t>98) au rapport de la Commission sur l’état de droit. Les compétences des institutions de l’Union sont clairement définies dans les traités de l’UE et la légalité des actes des institutions de l’Union peut être contrôlée par la Cour de justice. Les décisions de la Cour de justice sont contraignantes pour toutes les institutions de l’UE. En outre, l’Office européen de lutte antifraude et la Cour des comptes européenne veillent à ce que les institutions de l’UE respectent les règles lorsqu’elles versent des fonds de l’UE, tandis que le Parquet européen est compétent pour enquêter sur les infractions pénales portant atteinte aux intérêts financiers de l’Union et engager des poursuites en la matière. En outre, le Médiateur européen indépendant enquête sur les plaintes pour mauvaise administration de la part des institutions de l’UE. En outre, l’inclusion d’un chapitre sur les institutions de l’Union imposerait à la Commission de faire un rapport sur elle-même, ce qui susciterait des inquiétudes sur le plan de l’impartialité et du conflit d’intérêts.</w:t>
      </w:r>
    </w:p>
    <w:p w14:paraId="759108AF" w14:textId="66650A9D" w:rsidR="00D541E0" w:rsidRPr="00057144" w:rsidRDefault="00D541E0" w:rsidP="00D541E0">
      <w:pPr>
        <w:widowControl w:val="0"/>
        <w:spacing w:before="240" w:after="120" w:line="259" w:lineRule="auto"/>
        <w:rPr>
          <w:rFonts w:ascii="Times New Roman" w:eastAsia="Calibri" w:hAnsi="Times New Roman"/>
        </w:rPr>
      </w:pPr>
      <w:r>
        <w:rPr>
          <w:rFonts w:ascii="Times New Roman" w:hAnsi="Times New Roman"/>
        </w:rPr>
        <w:t>Le rapport couvre déjà quatre domaines d’importance systémique</w:t>
      </w:r>
      <w:r w:rsidR="003B51D6">
        <w:rPr>
          <w:rFonts w:ascii="Times New Roman" w:hAnsi="Times New Roman"/>
        </w:rPr>
        <w:t> :</w:t>
      </w:r>
      <w:r>
        <w:rPr>
          <w:rFonts w:ascii="Times New Roman" w:hAnsi="Times New Roman"/>
        </w:rPr>
        <w:t xml:space="preserve"> les systèmes de justice nationaux, les cadres de lutte contre la corruption, le pluralisme et la liberté des médias ainsi que d’autres mécanismes d’équilibre des pouvoirs, tels que l’espace civique. La Commission a pris bonne note des observations détaillées du Parlement européen sur ses conclusions et recommandations dans ces domaines. Des systèmes de justice efficaces, qui fonctionnent correctement et qui sont totalement indépendants sont essentiels à l’application et à la mise en œuvre de la législation de l’UE et de la législation nationale (paragraphes</w:t>
      </w:r>
      <w:r w:rsidR="003B51D6">
        <w:rPr>
          <w:rFonts w:ascii="Times New Roman" w:hAnsi="Times New Roman"/>
        </w:rPr>
        <w:t> 1</w:t>
      </w:r>
      <w:r>
        <w:rPr>
          <w:rFonts w:ascii="Times New Roman" w:hAnsi="Times New Roman"/>
        </w:rPr>
        <w:t xml:space="preserve"> à</w:t>
      </w:r>
      <w:r w:rsidR="003B51D6">
        <w:rPr>
          <w:rFonts w:ascii="Times New Roman" w:hAnsi="Times New Roman"/>
        </w:rPr>
        <w:t> </w:t>
      </w:r>
      <w:r>
        <w:rPr>
          <w:rFonts w:ascii="Times New Roman" w:hAnsi="Times New Roman"/>
        </w:rPr>
        <w:t>11). En ce qui concerne l’appel à ce que les conditions de détention soient couvertes par le rapport (paragraphe</w:t>
      </w:r>
      <w:r w:rsidR="003B51D6">
        <w:rPr>
          <w:rFonts w:ascii="Times New Roman" w:hAnsi="Times New Roman"/>
        </w:rPr>
        <w:t> </w:t>
      </w:r>
      <w:r>
        <w:rPr>
          <w:rFonts w:ascii="Times New Roman" w:hAnsi="Times New Roman"/>
        </w:rPr>
        <w:t>18), il convient de noter que, le 8</w:t>
      </w:r>
      <w:r w:rsidR="003B51D6">
        <w:rPr>
          <w:rFonts w:ascii="Times New Roman" w:hAnsi="Times New Roman"/>
        </w:rPr>
        <w:t> </w:t>
      </w:r>
      <w:r>
        <w:rPr>
          <w:rFonts w:ascii="Times New Roman" w:hAnsi="Times New Roman"/>
        </w:rPr>
        <w:t>décembre 2022, la Commission a adopté la recommandation (UE) 2023/681 relative aux droits procéduraux des suspects et des personnes poursuivies faisant l’objet d’une détention provisoire ainsi qu’aux conditions matérielles de détention.</w:t>
      </w:r>
      <w:r>
        <w:rPr>
          <w:rFonts w:ascii="Times New Roman" w:hAnsi="Times New Roman"/>
          <w:color w:val="000000"/>
        </w:rPr>
        <w:t xml:space="preserve"> </w:t>
      </w:r>
      <w:r>
        <w:rPr>
          <w:rFonts w:ascii="Times New Roman" w:hAnsi="Times New Roman"/>
        </w:rPr>
        <w:t>Les normes minimales définies dans la recommandation ne sont pas juridiquement contraignantes pour les États membres. Cependant, elles servent de référence afin d’améliorer la situation dans les prisons sur le territoire de l’UE. La Commission évalue actuellement les réponses fournies par les États membres sur le suivi de la recommandation et prévoit de présenter un rapport d’ici la fin de 2025.</w:t>
      </w:r>
    </w:p>
    <w:p w14:paraId="58071EDA" w14:textId="3F1CE63B" w:rsidR="00D541E0" w:rsidRPr="00057144" w:rsidRDefault="00D541E0" w:rsidP="00D541E0">
      <w:pPr>
        <w:widowControl w:val="0"/>
        <w:spacing w:after="120" w:line="259" w:lineRule="auto"/>
        <w:rPr>
          <w:rFonts w:ascii="Times New Roman" w:eastAsia="Calibri" w:hAnsi="Times New Roman"/>
        </w:rPr>
      </w:pPr>
      <w:r>
        <w:rPr>
          <w:rFonts w:ascii="Times New Roman" w:hAnsi="Times New Roman"/>
        </w:rPr>
        <w:t xml:space="preserve">La Commission se félicite du soutien et de l’engagement du Parlement européen en faveur de sa proposition de directive relative à la lutte contre la corruption, ainsi que des efforts constructifs déployés jusqu’à présent pour faire avancer les négociations. Elle invite instamment les colégislateurs à résoudre rapidement les questions en suspens et à conclure </w:t>
      </w:r>
      <w:r>
        <w:rPr>
          <w:rFonts w:ascii="Times New Roman" w:hAnsi="Times New Roman"/>
        </w:rPr>
        <w:lastRenderedPageBreak/>
        <w:t>leurs discussions d’ici la fin de 2025. La Commission continuera de soutenir les colégislateurs dans leurs efforts visant à obtenir un résultat équilibré et significatif qui préserve l’objectif initial de la Commission consistant à prévenir et à combattre la corruption de manière efficace et efficiente dans l’ensemble de l’UE. La Commission continuera également de suivre et d’évaluer l’efficacité des cadres de lutte contre la corruption dans les États membres dans le contexte de son cycle annuel sur l’état de droit (paragraphe</w:t>
      </w:r>
      <w:r w:rsidR="003B51D6">
        <w:rPr>
          <w:rFonts w:ascii="Times New Roman" w:hAnsi="Times New Roman"/>
        </w:rPr>
        <w:t> </w:t>
      </w:r>
      <w:r>
        <w:rPr>
          <w:rFonts w:ascii="Times New Roman" w:hAnsi="Times New Roman"/>
        </w:rPr>
        <w:t>29). Elle continue en outre d’examiner, avec les autres institutions, la possibilité de faire évoluer le statut de l’UE vers une participation pleine et entière au GRECO (paragraphes 22 et 23)</w:t>
      </w:r>
      <w:r>
        <w:rPr>
          <w:rFonts w:ascii="Times New Roman" w:eastAsia="Calibri" w:hAnsi="Times New Roman"/>
          <w:vertAlign w:val="superscript"/>
          <w:lang w:val="en-GB"/>
        </w:rPr>
        <w:footnoteReference w:id="10"/>
      </w:r>
      <w:r>
        <w:rPr>
          <w:rFonts w:ascii="Times New Roman" w:hAnsi="Times New Roman"/>
        </w:rPr>
        <w:t>. Il convient avec le Parlement européen que le Parquet européen joue un rôle essentiel dans la sauvegarde de l’état de droit et la lutte contre la corruption dans l’Union et que les informations actualisées sur la coopération entre les États membres et le Parquet européen soient abordées dans le rapport sur l’état de droit. Des réflexions sur les avantages de l’extension de la compétence du Parquet européen à d’autres formes de criminalité transfrontière, conformément aux orientations politiques de la présidente von der Leyen et à la lettre de mission qu’elle a adressée au commissaire McGrath, ont débuté dans le cadre du forum de haut niveau sur l’avenir de la justice pénale dans l’UE, auquel le Parlement européen participe également. Le processus d’évaluation du règlement sur le Parquet européen est en cours et devrait être achevé au plus tard le 1</w:t>
      </w:r>
      <w:r>
        <w:rPr>
          <w:rFonts w:ascii="Times New Roman" w:hAnsi="Times New Roman"/>
          <w:vertAlign w:val="superscript"/>
        </w:rPr>
        <w:t>er</w:t>
      </w:r>
      <w:r w:rsidR="003B51D6">
        <w:rPr>
          <w:rFonts w:ascii="Times New Roman" w:hAnsi="Times New Roman"/>
        </w:rPr>
        <w:t> </w:t>
      </w:r>
      <w:r>
        <w:rPr>
          <w:rFonts w:ascii="Times New Roman" w:hAnsi="Times New Roman"/>
        </w:rPr>
        <w:t>juin 2026. Sur cette base, la Commission lancera également une réflexion sur une éventuelle proposition de révision du règlement sur le Parquet européen. De même, en 2026, la Commission présentera le troisième rapport sur la mise en œuvre de la directive PIF, qui pourrait être suivi d’une proposition législative visant à réviser la directive. La Commission soutient l’appel du Parlement européen aux États membres non participants à adhérer au Parquet européen, à tous les pays candidats et candidats potentiels à établir un cadre pour une coopération efficace avec le Parquet européen, et à tous les acteurs concernés de la lutte contre la fraude (Eurojust, Europol, la Cour des comptes européenne, l’OLAF et le Parquet européen)à intensifier leur coopération dans la lutte contre les infractions portant atteinte au budget de l’Union (paragraphes</w:t>
      </w:r>
      <w:r w:rsidR="003B51D6">
        <w:rPr>
          <w:rFonts w:ascii="Times New Roman" w:hAnsi="Times New Roman"/>
        </w:rPr>
        <w:t> 25</w:t>
      </w:r>
      <w:r>
        <w:rPr>
          <w:rFonts w:ascii="Times New Roman" w:hAnsi="Times New Roman"/>
        </w:rPr>
        <w:t xml:space="preserve"> à</w:t>
      </w:r>
      <w:r w:rsidR="003B51D6">
        <w:rPr>
          <w:rFonts w:ascii="Times New Roman" w:hAnsi="Times New Roman"/>
        </w:rPr>
        <w:t> </w:t>
      </w:r>
      <w:r>
        <w:rPr>
          <w:rFonts w:ascii="Times New Roman" w:hAnsi="Times New Roman"/>
        </w:rPr>
        <w:t>27). Enfin, la Commission se félicite également que le Parlement européen reconnaisse le rôle des lanceurs d’alerte dans la dénonciation de la corruption et dans la promotion de la transparence tant dans le secteur public que dans le secteur privé (paragraphe</w:t>
      </w:r>
      <w:r w:rsidR="003B51D6">
        <w:rPr>
          <w:rFonts w:ascii="Times New Roman" w:hAnsi="Times New Roman"/>
        </w:rPr>
        <w:t> </w:t>
      </w:r>
      <w:r>
        <w:rPr>
          <w:rFonts w:ascii="Times New Roman" w:hAnsi="Times New Roman"/>
        </w:rPr>
        <w:t>31). La Commission est déterminée à veiller à ce que la directive (UE) 2019/1937 (la directive sur les lanceurs d’alerte)</w:t>
      </w:r>
      <w:r>
        <w:rPr>
          <w:rStyle w:val="FootnoteReference"/>
          <w:rFonts w:ascii="Times New Roman" w:eastAsia="Calibri" w:hAnsi="Times New Roman"/>
          <w:lang w:val="en-GB"/>
        </w:rPr>
        <w:footnoteReference w:id="11"/>
      </w:r>
      <w:r>
        <w:rPr>
          <w:rFonts w:ascii="Times New Roman" w:hAnsi="Times New Roman"/>
        </w:rPr>
        <w:t xml:space="preserve"> soit effectivement transposée dans tous les États membres, compte tenu de son importance pour la sauvegarde de l’intérêt public</w:t>
      </w:r>
      <w:r>
        <w:rPr>
          <w:rStyle w:val="FootnoteReference"/>
          <w:rFonts w:ascii="Times New Roman" w:eastAsia="Calibri" w:hAnsi="Times New Roman"/>
          <w:lang w:val="en-GB"/>
        </w:rPr>
        <w:footnoteReference w:id="12"/>
      </w:r>
      <w:r>
        <w:rPr>
          <w:rFonts w:ascii="Times New Roman" w:hAnsi="Times New Roman"/>
        </w:rPr>
        <w:t>.</w:t>
      </w:r>
    </w:p>
    <w:p w14:paraId="24378603" w14:textId="3EC7F1B8" w:rsidR="00D541E0" w:rsidRPr="00057144" w:rsidRDefault="00D541E0" w:rsidP="00D541E0">
      <w:pPr>
        <w:widowControl w:val="0"/>
        <w:spacing w:after="120" w:line="259" w:lineRule="auto"/>
        <w:rPr>
          <w:rFonts w:ascii="Times New Roman" w:eastAsia="Calibri" w:hAnsi="Times New Roman"/>
        </w:rPr>
      </w:pPr>
      <w:r>
        <w:rPr>
          <w:rFonts w:ascii="Times New Roman" w:hAnsi="Times New Roman"/>
        </w:rPr>
        <w:t>La Commission se félicite également du soutien du Parlement européen en faveur d’une mise en œuvre rapide de la législation européenne sur la liberté des médias et de la directive relative à la lutte contre les poursuites-bâillons (paragraphes</w:t>
      </w:r>
      <w:r w:rsidR="003B51D6">
        <w:rPr>
          <w:rFonts w:ascii="Times New Roman" w:hAnsi="Times New Roman"/>
        </w:rPr>
        <w:t> 32</w:t>
      </w:r>
      <w:r>
        <w:rPr>
          <w:rFonts w:ascii="Times New Roman" w:hAnsi="Times New Roman"/>
        </w:rPr>
        <w:t xml:space="preserve"> et</w:t>
      </w:r>
      <w:r w:rsidR="003B51D6">
        <w:rPr>
          <w:rFonts w:ascii="Times New Roman" w:hAnsi="Times New Roman"/>
        </w:rPr>
        <w:t> </w:t>
      </w:r>
      <w:r>
        <w:rPr>
          <w:rFonts w:ascii="Times New Roman" w:hAnsi="Times New Roman"/>
        </w:rPr>
        <w:t xml:space="preserve">35). En ce qui concerne le train de mesures contre les poursuites-bâillons (recommandation et directive), la Commission se </w:t>
      </w:r>
      <w:r>
        <w:rPr>
          <w:rFonts w:ascii="Times New Roman" w:hAnsi="Times New Roman"/>
        </w:rPr>
        <w:lastRenderedPageBreak/>
        <w:t>félicite que le Parlement européen ait invité les États membres à mettre pleinement en œuvre ces deux instruments et, lors de la transposition de la directive, à étendre son application aux affaires nationales, comme l’encourage la recommandation, étant donné que la majorité des poursuites-bâillons surviennent au niveau national. La Commission continuera de dialoguer avec les États membres sur cette question. Certains éléments indiquent qu’un très grand nombre d’États membres ont l’intention d’inclure les affaires nationales dans la transposition de la directive. En ce qui concerne la demande à la Commission de présenter des propositions pour traiter les poursuites-bâillons non couvertes par la directive actuelle, la Commission rappelle les limites de la base juridique de la directive</w:t>
      </w:r>
      <w:r>
        <w:rPr>
          <w:rStyle w:val="FootnoteReference"/>
          <w:rFonts w:ascii="Times New Roman" w:eastAsia="Calibri" w:hAnsi="Times New Roman"/>
          <w:lang w:val="en-GB"/>
        </w:rPr>
        <w:footnoteReference w:id="13"/>
      </w:r>
      <w:r>
        <w:rPr>
          <w:rFonts w:ascii="Times New Roman" w:hAnsi="Times New Roman"/>
        </w:rPr>
        <w:t>. En ce qui concerne le règlement européen sur la liberté des médias, la Commission souligne que les États membres devaient veiller au respect de la plupart de ses dispositions au plus tard le 8</w:t>
      </w:r>
      <w:r w:rsidR="003B51D6">
        <w:rPr>
          <w:rFonts w:ascii="Times New Roman" w:hAnsi="Times New Roman"/>
        </w:rPr>
        <w:t> </w:t>
      </w:r>
      <w:r>
        <w:rPr>
          <w:rFonts w:ascii="Times New Roman" w:hAnsi="Times New Roman"/>
        </w:rPr>
        <w:t>août 2025. Une application correcte du règlement européen sur la liberté des médias contribuera à répondre à un certain nombre de questions et de recommandations figurant dans le rapport de la Commission sur l’état de droit (paragraphe</w:t>
      </w:r>
      <w:r w:rsidR="003B51D6">
        <w:rPr>
          <w:rFonts w:ascii="Times New Roman" w:hAnsi="Times New Roman"/>
        </w:rPr>
        <w:t> </w:t>
      </w:r>
      <w:r>
        <w:rPr>
          <w:rFonts w:ascii="Times New Roman" w:hAnsi="Times New Roman"/>
        </w:rPr>
        <w:t>39), liées en particulier à l’indépendance ou au financement des médias de service public, à la transparence de la propriété des médias ainsi qu’à la transparence et à l’équité dans l’attribution de la publicité d’État. Afin de se préparer à l’échéance du mois d’août, la Commission a organisé des contrôles de l’état de préparation de la législation de tous les États membres.</w:t>
      </w:r>
    </w:p>
    <w:p w14:paraId="011CDB63" w14:textId="2F2A07DA" w:rsidR="00D541E0" w:rsidRPr="00057144" w:rsidRDefault="00D541E0" w:rsidP="00D541E0">
      <w:pPr>
        <w:widowControl w:val="0"/>
        <w:spacing w:after="120" w:line="259" w:lineRule="auto"/>
        <w:rPr>
          <w:rFonts w:ascii="Times New Roman" w:eastAsia="Calibri" w:hAnsi="Times New Roman"/>
        </w:rPr>
      </w:pPr>
      <w:r>
        <w:rPr>
          <w:rFonts w:ascii="Times New Roman" w:hAnsi="Times New Roman"/>
        </w:rPr>
        <w:t>La Commission examine la question de l’utilisation de logiciels espions sous différents angles du droit de l’Union. Il importe de traiter les logiciels espions de manière globale, car ils posent des problèmes en matière d’état de droit et de droits fondamentaux, de protection des données, de liberté des médias, de commerce (technologies à double usage/contrôle des exportations), de cybersécurité, d’ingérence étrangère et de manipulation (paragraphe</w:t>
      </w:r>
      <w:r w:rsidR="003B51D6">
        <w:rPr>
          <w:rFonts w:ascii="Times New Roman" w:hAnsi="Times New Roman"/>
        </w:rPr>
        <w:t> </w:t>
      </w:r>
      <w:r>
        <w:rPr>
          <w:rFonts w:ascii="Times New Roman" w:hAnsi="Times New Roman"/>
        </w:rPr>
        <w:t>40).</w:t>
      </w:r>
      <w:r>
        <w:rPr>
          <w:rFonts w:ascii="Times New Roman" w:hAnsi="Times New Roman"/>
          <w:color w:val="008080"/>
        </w:rPr>
        <w:t xml:space="preserve"> </w:t>
      </w:r>
      <w:r>
        <w:rPr>
          <w:rFonts w:ascii="Times New Roman" w:hAnsi="Times New Roman"/>
        </w:rPr>
        <w:t>Le règlement européen sur la liberté des médias interdit l’utilisation de logiciels espions (paragraphes</w:t>
      </w:r>
      <w:r w:rsidR="003B51D6">
        <w:rPr>
          <w:rFonts w:ascii="Times New Roman" w:hAnsi="Times New Roman"/>
        </w:rPr>
        <w:t> 40</w:t>
      </w:r>
      <w:r>
        <w:rPr>
          <w:rFonts w:ascii="Times New Roman" w:hAnsi="Times New Roman"/>
        </w:rPr>
        <w:t xml:space="preserve"> et</w:t>
      </w:r>
      <w:r w:rsidR="003B51D6">
        <w:rPr>
          <w:rFonts w:ascii="Times New Roman" w:hAnsi="Times New Roman"/>
        </w:rPr>
        <w:t> </w:t>
      </w:r>
      <w:r>
        <w:rPr>
          <w:rFonts w:ascii="Times New Roman" w:hAnsi="Times New Roman"/>
        </w:rPr>
        <w:t>86) à l’égard des fournisseurs de services de médias, de leur personnel éditorial ou de toute personne qui, en raison de leur relation régulière ou professionnelle avec un fournisseur de services de médias ou son personnel éditorial, pourrait disposer d’informations liées à des sources journalistiques ou à des communications confidentielles ou être en mesure de les identifier, à moins que cela ne soit nécessaire aux fins d’enquêter sur l’une de ces personnes pour certaines infractions graves. Une exception à cette interdiction doit également être conforme à l’article 52 de la charte, c’est-à-dire qu’elle doit être fondée sur une loi qui respecte la clarté et la prévisibilité, et être nécessaire et proportionnée. En outre, le droit de l’Union en matière de protection des données est pleinement applicable lorsque les autorités publiques traitent des données à caractère personnel à des fins répressives et pénales. Les autorités de contrôle et les juridictions nationales sont compétentes, en vertu de la législation sur la protection des données, pour garantir le respect effectif de ce cadre législatif. Les enquêtes relèvent de la compétence des autorités nationales. La Commission attend des autorités nationales qu’elles examinent de manière approfondie toute allégation, y compris en ce qui concerne les logiciels espions (paragraphe</w:t>
      </w:r>
      <w:r w:rsidR="003B51D6">
        <w:rPr>
          <w:rFonts w:ascii="Times New Roman" w:hAnsi="Times New Roman"/>
        </w:rPr>
        <w:t> </w:t>
      </w:r>
      <w:r>
        <w:rPr>
          <w:rFonts w:ascii="Times New Roman" w:hAnsi="Times New Roman"/>
        </w:rPr>
        <w:t xml:space="preserve">87). Lorsque cela se justifie, cette question est également abordée dans les rapports sur l’état de droit, notamment en ce qui concerne le fonctionnement de l’équilibre des pouvoirs au niveau national. La Commission continue de suivre de près la mise en œuvre par les États membres de la directive «Services de médias audiovisuels» (directive SMA), y compris son article 30, qui contribue au renforcement du fonctionnement indépendant des régulateurs des médias, aspect couvert par le pilier «liberté </w:t>
      </w:r>
      <w:r>
        <w:rPr>
          <w:rFonts w:ascii="Times New Roman" w:hAnsi="Times New Roman"/>
        </w:rPr>
        <w:lastRenderedPageBreak/>
        <w:t>et pluralisme des médias» du rapport de la Commission sur l’état de droit. En outre, la Commission partage les préoccupations du Parlement européen concernant l’érosion des démocraties par la mésinformation et la désinformation (paragraphe</w:t>
      </w:r>
      <w:r w:rsidR="003B51D6">
        <w:rPr>
          <w:rFonts w:ascii="Times New Roman" w:hAnsi="Times New Roman"/>
        </w:rPr>
        <w:t> </w:t>
      </w:r>
      <w:r>
        <w:rPr>
          <w:rFonts w:ascii="Times New Roman" w:hAnsi="Times New Roman"/>
        </w:rPr>
        <w:t>38). Par conséquent, la Commission a pris des mesures énergiques pour faire appliquer le règlement sur les services numériques, conformément à son objectif de créer un espace numérique plus sûr et plus fiable pour les citoyens de l’Union dans lequel leurs droits fondamentaux sont protégés, y compris leur droit d’avoir des avis et de recevoir et de communiquer des informations et des idées sans ingérence. La Commission et le comité européen des services numériques ont approuvé l’intégration officielle du code volontaire de bonnes pratiques contre la désinformation dans le cadre du règlement sur les services numériques, afin de devenir, à terme, un critère de référence pertinent pour déterminer le respect du règlement sur les services numériques en ce qui concerne les risques de désinformation pour ses signataires.</w:t>
      </w:r>
    </w:p>
    <w:p w14:paraId="3B869267" w14:textId="25F040C4" w:rsidR="00C86E81" w:rsidRPr="00057144" w:rsidRDefault="00D541E0" w:rsidP="00D541E0">
      <w:pPr>
        <w:widowControl w:val="0"/>
        <w:spacing w:after="120" w:line="259" w:lineRule="auto"/>
        <w:rPr>
          <w:rFonts w:ascii="Times New Roman" w:eastAsia="Calibri" w:hAnsi="Times New Roman"/>
        </w:rPr>
      </w:pPr>
      <w:r>
        <w:rPr>
          <w:rFonts w:ascii="Times New Roman" w:hAnsi="Times New Roman"/>
        </w:rPr>
        <w:t>La Commission se félicite de la condamnation par le Parlement européen de la propagation des discours de haine, y compris dans les médias traditionnels et sociaux (paragraphe</w:t>
      </w:r>
      <w:r w:rsidR="003B51D6">
        <w:rPr>
          <w:rFonts w:ascii="Times New Roman" w:hAnsi="Times New Roman"/>
        </w:rPr>
        <w:t> </w:t>
      </w:r>
      <w:r>
        <w:rPr>
          <w:rFonts w:ascii="Times New Roman" w:hAnsi="Times New Roman"/>
        </w:rPr>
        <w:t>37), ainsi que de la demande qu’il a adressée au Conseil d’étendre la liste actuelle des infractions pénales de l’UE figurant à l’article 83, paragraphe 1, du TFUE aux crimes de haine et aux discours de haine (paragraphe</w:t>
      </w:r>
      <w:r w:rsidR="003B51D6">
        <w:rPr>
          <w:rFonts w:ascii="Times New Roman" w:hAnsi="Times New Roman"/>
        </w:rPr>
        <w:t> </w:t>
      </w:r>
      <w:r>
        <w:rPr>
          <w:rFonts w:ascii="Times New Roman" w:hAnsi="Times New Roman"/>
        </w:rPr>
        <w:t>53). Le règlement sur les services numériques impose aux fournisseurs de services d’hébergement, y compris aux plateformes en ligne, de mettre en place des mécanismes de notification et d’action facilement accessibles et conviviaux pour signaler les contenus illicites, y compris les discours de haine illégaux. Les fournisseurs sont tenus de traiter ces notifications en temps utile, de manière diligente, non arbitraire et objective. En outre, le 20</w:t>
      </w:r>
      <w:r w:rsidR="003B51D6">
        <w:rPr>
          <w:rFonts w:ascii="Times New Roman" w:hAnsi="Times New Roman"/>
        </w:rPr>
        <w:t> </w:t>
      </w:r>
      <w:r>
        <w:rPr>
          <w:rFonts w:ascii="Times New Roman" w:hAnsi="Times New Roman"/>
        </w:rPr>
        <w:t>janvier 2025, la Commission a évalué positivement l’intégration du code de conduite pour la lutte contre les discours haineux illégaux dans le cadre du règlement sur les services numériques. Le code de conduite renforce la manière dont les signataires, qui incluent toutes les grandes plateformes de médias sociaux, traitent les contenus en ligne considérés comme des discours de haine illégaux au sens de la législation applicable. Il contribuera également à assurer le respect du règlement sur les services numériques et son application effective dans ce domaine. Il convient également de rappeler que la directive SMA impose aux États membres de garantir la protection des utilisateurs de services de médias audiovisuels et de plateformes de partage de vidéos contre les contenus incitant à la violence ou à la haine à l’égard d’un groupe de personnes ou d’un membre d’un groupe sur la base de l’un des motifs visés à l’article 21 de la charte.</w:t>
      </w:r>
    </w:p>
    <w:p w14:paraId="4B192494" w14:textId="59A85340" w:rsidR="00D541E0" w:rsidRPr="00057144" w:rsidRDefault="00E26F32" w:rsidP="00D541E0">
      <w:pPr>
        <w:widowControl w:val="0"/>
        <w:spacing w:after="120" w:line="259" w:lineRule="auto"/>
        <w:rPr>
          <w:rFonts w:ascii="Times New Roman" w:eastAsia="Calibri" w:hAnsi="Times New Roman"/>
        </w:rPr>
      </w:pPr>
      <w:r>
        <w:rPr>
          <w:rFonts w:ascii="Times New Roman" w:hAnsi="Times New Roman"/>
        </w:rPr>
        <w:t>La Commission a proposé, en décembre</w:t>
      </w:r>
      <w:r w:rsidR="003B51D6">
        <w:rPr>
          <w:rFonts w:ascii="Times New Roman" w:hAnsi="Times New Roman"/>
        </w:rPr>
        <w:t> </w:t>
      </w:r>
      <w:r>
        <w:rPr>
          <w:rFonts w:ascii="Times New Roman" w:hAnsi="Times New Roman"/>
        </w:rPr>
        <w:t>2021, d’élargir la liste actuelle des «infractions pénales de l’UE» figurant à l’article 83, paragraphe 1, du TFUE pour y inclure les discours et les crimes de haine. Cela permettrait également à la Commission de présenter une proposition législative qui harmonise la réponse pénale aux discours et crimes de haine, y compris pour des motifs tels que l’orientation sexuelle, l’identité de genre ou le handicap (paragraphe</w:t>
      </w:r>
      <w:r w:rsidR="003B51D6">
        <w:rPr>
          <w:rFonts w:ascii="Times New Roman" w:hAnsi="Times New Roman"/>
        </w:rPr>
        <w:t> </w:t>
      </w:r>
      <w:r>
        <w:rPr>
          <w:rFonts w:ascii="Times New Roman" w:hAnsi="Times New Roman"/>
        </w:rPr>
        <w:t>56), qui ne sont pas couverts par la décision-cadre 2008/913/JAI sur la lutte contre le racisme et la xénophobie au moyen du droit pénal. L’extension de la liste actuelle des «infractions pénales de l’UE» établie à l’article 83, paragraphe 1, du TFUE nécessite une décision unanime du Conseil, avec l’approbation du Parlement européen. Le Conseil n’est pas encore parvenu à un accord. En ce qui concerne le suivi et le signalement des crimes de haine, ainsi que le soutien aux victimes (paragraphe</w:t>
      </w:r>
      <w:r w:rsidR="003B51D6">
        <w:rPr>
          <w:rFonts w:ascii="Times New Roman" w:hAnsi="Times New Roman"/>
        </w:rPr>
        <w:t> </w:t>
      </w:r>
      <w:r>
        <w:rPr>
          <w:rFonts w:ascii="Times New Roman" w:hAnsi="Times New Roman"/>
        </w:rPr>
        <w:t>53), la Commission a élaboré une série de mesures stratégiques, dans le cadre du groupe de haut niveau de l’UE sur la lutte contre les discours et les crimes de haine. Le groupe de haut niveau, composé d’autorités nationales, d’organisations internationales et de représentants de la société civile, a élaboré au fil des ans des orientations, des normes et des bonnes pratiques dans les domaines suivants</w:t>
      </w:r>
      <w:r w:rsidR="003B51D6">
        <w:rPr>
          <w:rFonts w:ascii="Times New Roman" w:hAnsi="Times New Roman"/>
        </w:rPr>
        <w:t> :</w:t>
      </w:r>
      <w:r>
        <w:rPr>
          <w:rFonts w:ascii="Times New Roman" w:hAnsi="Times New Roman"/>
        </w:rPr>
        <w:t xml:space="preserve"> l’enregistrement, le signalement et la collecte de données sur les crimes de haine, coordonnés </w:t>
      </w:r>
      <w:r>
        <w:rPr>
          <w:rFonts w:ascii="Times New Roman" w:hAnsi="Times New Roman"/>
        </w:rPr>
        <w:lastRenderedPageBreak/>
        <w:t>par l’Agence des droits fondamentaux de l’Union européenne (FRA); la formation aux crimes de haine et le renforcement des capacités des services répressifs nationaux coordonnés par la Commission et l’Agence de l’Union européenne pour la formation des services répressifs (CEPOL); ainsi que le soutien aux victimes de crimes de haine coordonné par le Bureau des institutions démocratiques et des droits de l’homme (BIDDH) de l’OSCE. En outre, le programme «Citoyens, égalité, droits et valeurs» (CERV) contient une priorité spécifique sur la «protection des valeurs et des droits de l’UE par la lutte contre les crimes et discours de haine», avec un budget spécifique pour mener des projets dans ce domaine.</w:t>
      </w:r>
    </w:p>
    <w:p w14:paraId="2B9A1CBD" w14:textId="7955A536" w:rsidR="00C86E81" w:rsidRPr="00057144" w:rsidRDefault="00D541E0" w:rsidP="00C86E81">
      <w:pPr>
        <w:widowControl w:val="0"/>
        <w:spacing w:after="120" w:line="259" w:lineRule="auto"/>
        <w:rPr>
          <w:rFonts w:ascii="Times New Roman" w:hAnsi="Times New Roman"/>
        </w:rPr>
      </w:pPr>
      <w:r>
        <w:rPr>
          <w:rFonts w:ascii="Times New Roman" w:hAnsi="Times New Roman"/>
        </w:rPr>
        <w:t>En ce qui concerne les préoccupations relatives à l’ingérence étrangère dans les États membres (paragraphe</w:t>
      </w:r>
      <w:r w:rsidR="003B51D6">
        <w:rPr>
          <w:rFonts w:ascii="Times New Roman" w:hAnsi="Times New Roman"/>
        </w:rPr>
        <w:t> </w:t>
      </w:r>
      <w:r>
        <w:rPr>
          <w:rFonts w:ascii="Times New Roman" w:hAnsi="Times New Roman"/>
        </w:rPr>
        <w:t>88), la Commission a présenté, dans le cadre du paquet «Défense de la démocratie», une proposition de directive sur la représentation d’intérêts exercée pour le compte de pays tiers, qui est actuellement examinée par les colégislateurs. L’instauration de la transparence en ce qui concerne les activités de représentation d’intérêts menées pour le compte de pays tiers contribuerait à prévenir l’ingérence étrangère. En outre, le règlement (UE) 2024/900</w:t>
      </w:r>
      <w:r>
        <w:rPr>
          <w:rStyle w:val="FootnoteReference"/>
          <w:rFonts w:ascii="Times New Roman" w:hAnsi="Times New Roman"/>
          <w:lang w:val="en-GB"/>
        </w:rPr>
        <w:footnoteReference w:id="14"/>
      </w:r>
      <w:r>
        <w:rPr>
          <w:rFonts w:ascii="Times New Roman" w:hAnsi="Times New Roman"/>
        </w:rPr>
        <w:t xml:space="preserve"> (paragraphe</w:t>
      </w:r>
      <w:r w:rsidR="003B51D6">
        <w:rPr>
          <w:rFonts w:ascii="Times New Roman" w:hAnsi="Times New Roman"/>
        </w:rPr>
        <w:t> </w:t>
      </w:r>
      <w:r>
        <w:rPr>
          <w:rFonts w:ascii="Times New Roman" w:hAnsi="Times New Roman"/>
        </w:rPr>
        <w:t>83) établit des normes communes de l’Union sur la transparence des services de publicité à caractère politique dans le marché intérieur et contribue à accroître la résilience des systèmes électoraux de l’UE.</w:t>
      </w:r>
      <w:r>
        <w:t xml:space="preserve"> </w:t>
      </w:r>
      <w:r>
        <w:rPr>
          <w:rFonts w:ascii="Times New Roman" w:hAnsi="Times New Roman"/>
        </w:rPr>
        <w:t>Il traite de l’ingérence étrangère dans les élections en exigeant des prestataires de services de publicité à caractère politique, au cours des trois mois précédant une élection ou un référendum, qu’ils fournissent des services exclusivement à des clients de l’UE, les États membres ayant la possibilité d’imposer des règles plus strictes. La Commission s’est engagée à garantir et à faciliter l’entrée en application du règlement le 10</w:t>
      </w:r>
      <w:r w:rsidR="003B51D6">
        <w:rPr>
          <w:rFonts w:ascii="Times New Roman" w:hAnsi="Times New Roman"/>
        </w:rPr>
        <w:t> </w:t>
      </w:r>
      <w:r>
        <w:rPr>
          <w:rFonts w:ascii="Times New Roman" w:hAnsi="Times New Roman"/>
        </w:rPr>
        <w:t>octobre 2025. La Commission croit en des solutions structurelles qui protègent l’intégrité de l’espace de l’information (paragraphe</w:t>
      </w:r>
      <w:r w:rsidR="003B51D6">
        <w:rPr>
          <w:rFonts w:ascii="Times New Roman" w:hAnsi="Times New Roman"/>
        </w:rPr>
        <w:t> </w:t>
      </w:r>
      <w:r>
        <w:rPr>
          <w:rFonts w:ascii="Times New Roman" w:hAnsi="Times New Roman"/>
        </w:rPr>
        <w:t>88), à savoir, entre autres, la législation sur les services numériques et le code de conduite contre la désinformation, qui fournissent ensemble un cadre solide pour la responsabilité des plateformes. En outre, le règlement européen sur la liberté des médias prévoit la coordination, par le comité européen pour les services de médias, des mesures réglementaires nationales relatives à la diffusion de services de médias provenant de l’extérieur de l’Union ou à l’accès à de tels services ou fournis par des fournisseurs de services de médias établis en dehors de l’Union qui, indépendamment de leurs moyens de distribution ou d’accès, ciblent ou touchent des publics dans l’Union lorsque, notamment, compte tenu du contrôle que des pays tiers pourraient exercer sur eux, ces services de médias portent atteinte ou présentent un risque grave et grave d’atteinte à la sécurité publique.</w:t>
      </w:r>
    </w:p>
    <w:p w14:paraId="01C498ED" w14:textId="2AC0ADC3" w:rsidR="00C86E81" w:rsidRPr="00057144" w:rsidRDefault="00D541E0" w:rsidP="00C86E81">
      <w:pPr>
        <w:widowControl w:val="0"/>
        <w:spacing w:after="120" w:line="259" w:lineRule="auto"/>
        <w:rPr>
          <w:rFonts w:ascii="Times New Roman" w:eastAsia="Calibri" w:hAnsi="Times New Roman"/>
        </w:rPr>
      </w:pPr>
      <w:r>
        <w:rPr>
          <w:rFonts w:ascii="Times New Roman" w:hAnsi="Times New Roman"/>
        </w:rPr>
        <w:t>L’évaluation des évolutions liées au cadre pour la société civile (paragraphe</w:t>
      </w:r>
      <w:r w:rsidR="003B51D6">
        <w:rPr>
          <w:rFonts w:ascii="Times New Roman" w:hAnsi="Times New Roman"/>
        </w:rPr>
        <w:t> </w:t>
      </w:r>
      <w:r>
        <w:rPr>
          <w:rFonts w:ascii="Times New Roman" w:hAnsi="Times New Roman"/>
        </w:rPr>
        <w:t xml:space="preserve">45) n’a cessé d’être approfondie tout au long des éditions successives du rapport sur l’état de droit. Le rapport s’intéresse notamment aux questions liées au financement, au cadre juridique, à la participation à l’élaboration des politiques et à la prise de décisions et à l’existence d’un environnement opérationnel libre et sûr pour les organisations de la société civile (OSC) et les défenseurs des droits de l’homme, y compris, le cas échéant, aux effets dissuasifs potentiels des mesures concernant ces acteurs. Plusieurs recommandations relatives au cadre dans lequel évolue la société civile ont été adressées aux États membres dans les rapports précédents, et la Commission a effectué le suivi de leur mise en œuvre dans le rapport 2025. En ce qui concerne l’appel lancé à la Commission et aux États membres pour améliorer les </w:t>
      </w:r>
      <w:r>
        <w:rPr>
          <w:rFonts w:ascii="Times New Roman" w:hAnsi="Times New Roman"/>
        </w:rPr>
        <w:lastRenderedPageBreak/>
        <w:t>mécanismes de financement des OSC (paragraphe</w:t>
      </w:r>
      <w:r w:rsidR="003B51D6">
        <w:rPr>
          <w:rFonts w:ascii="Times New Roman" w:hAnsi="Times New Roman"/>
        </w:rPr>
        <w:t> </w:t>
      </w:r>
      <w:r>
        <w:rPr>
          <w:rFonts w:ascii="Times New Roman" w:hAnsi="Times New Roman"/>
        </w:rPr>
        <w:t>47), les financements directs de la Commission à ces organisations, en particulier par l’intermédiaire du programme CERV, le plus grand programme de l’UE jamais mis en œuvre pour soutenir les OSC actives aux niveaux local, régional, national et transnational et soutenant les droits fondamentaux, la démocratie et l’état de droit, ont déjà produit des résultats significatifs. Au cours des quatre premières années de mise en œuvre du CERV, les OSC étaient ses principaux bénéficiaires. Elles ont reçu 77 % des fonds octroyés (en faveur de plus de 5 600 OSC dans l’ensemble des États membres et des pays tiers éligibles, pour un financement total de l’UE de plus de 460 000 000 EUR). Le financement et les outils déjà en place, tels que le programme CERV et son mécanisme de réattribution de subventions, représentent une formidable opportunité. La Commission continue d’étudier les possibilités et d’apprendre comment ces mécanismes s’efforcent d’atteindre davantage d’organisations, en particulier sur le terrain. Comme indiqué dans la proposition de la Commission pour le CFP 2028-2034, le soutien financier aux organisations de la société civile restera une priorité dans le futur budget de l’UE, avec des efforts visant à simplifier les processus de financement, à réduire les charges administratives et à améliorer l’accès au moyen d’outils numériques conviviaux. En particulier, elles seront de plus en plus soutenues par le programme AgoraEU, qui remplacera et intégrera l’actuel programme CERV par un renforcement budgétaire important par rapport à l’enveloppe totale 2021-2027.</w:t>
      </w:r>
    </w:p>
    <w:p w14:paraId="0D72385A" w14:textId="21DAFC2D" w:rsidR="00D541E0" w:rsidRPr="00057144" w:rsidRDefault="00D541E0" w:rsidP="00C86E81">
      <w:pPr>
        <w:widowControl w:val="0"/>
        <w:spacing w:after="120" w:line="259" w:lineRule="auto"/>
        <w:rPr>
          <w:rFonts w:ascii="Times New Roman" w:hAnsi="Times New Roman"/>
        </w:rPr>
      </w:pPr>
      <w:r>
        <w:rPr>
          <w:rFonts w:ascii="Times New Roman" w:hAnsi="Times New Roman"/>
        </w:rPr>
        <w:t>En ce qui concerne la future stratégie de la Commission en faveur de la société civile (paragraphe</w:t>
      </w:r>
      <w:r w:rsidR="003B51D6">
        <w:rPr>
          <w:rFonts w:ascii="Times New Roman" w:hAnsi="Times New Roman"/>
        </w:rPr>
        <w:t> </w:t>
      </w:r>
      <w:r>
        <w:rPr>
          <w:rFonts w:ascii="Times New Roman" w:hAnsi="Times New Roman"/>
        </w:rPr>
        <w:t>50), la Commission tient à préciser que ses principaux objectifs seront de renforcer la collaboration constructive avec les organisations de la société civile qui travaillent sur un large éventail de politiques de l’UE, ainsi que la protection et le soutien de ces OSC, et de veiller à ce qu’elles puissent mener à bien leurs travaux dans un environnement propice. La stratégie comprendra également des actions spécifiques visant à lutter contre le rétrécissement de l’espace dévolu aux organisations de la société civile et aux défenseurs des droits de l’homme actifs dans la promotion et la protection des droits fondamentaux, de la démocratie et de l’état de droit. En ce qui concerne la demande de participation structurée de la société civile (paragraphe</w:t>
      </w:r>
      <w:r w:rsidR="003B51D6">
        <w:rPr>
          <w:rFonts w:ascii="Times New Roman" w:hAnsi="Times New Roman"/>
        </w:rPr>
        <w:t> </w:t>
      </w:r>
      <w:r>
        <w:rPr>
          <w:rFonts w:ascii="Times New Roman" w:hAnsi="Times New Roman"/>
        </w:rPr>
        <w:t>44), la Commission tient à rappeler que, dans le cadre des visites dans les pays, elle organise de nombreuses réunions avec les autorités nationales, les organismes indépendants et les organisations non gouvernementales et professionnelles, y compris les OSC. En réponse au Parlement et aux OSC, la Commission a renforcé la transparence et l’inclusivité, en prolongeant les périodes de consultation et en fournissant des informations supplémentaires en ligne sur le processus, y compris le calendrier des visites dans les pays et le réseau de points de contact nationaux sur l’état de droit. Dans le cadre de la future stratégie en faveur de la société civile, la Commission intensifiera son dialogue avec la société civile, notamment en créant une plateforme de la société civile. Cette plateforme va au-delà de la méthodologie du rapport sur l’état de droit et visera à mettre en place un dialogue systématique et structuré avec les organisations de la société civile et les défenseurs des droits de l’homme sur les questions liées à la démocratie, à l’état de droit et aux aspects connexes.</w:t>
      </w:r>
    </w:p>
    <w:p w14:paraId="71E88ADE" w14:textId="1AB6258A" w:rsidR="00D541E0" w:rsidRPr="00057144" w:rsidRDefault="00D541E0" w:rsidP="00D541E0">
      <w:pPr>
        <w:widowControl w:val="0"/>
        <w:spacing w:after="120" w:line="259" w:lineRule="auto"/>
        <w:rPr>
          <w:rFonts w:ascii="Times New Roman" w:eastAsia="Calibri" w:hAnsi="Times New Roman"/>
        </w:rPr>
      </w:pPr>
      <w:r>
        <w:rPr>
          <w:rFonts w:ascii="Times New Roman" w:hAnsi="Times New Roman"/>
        </w:rPr>
        <w:t>En ce qui concerne la demande de critères de référence mesurables pour les recommandations figurant dans le rapport sur l’état de droit (paragraphe</w:t>
      </w:r>
      <w:r w:rsidR="003B51D6">
        <w:rPr>
          <w:rFonts w:ascii="Times New Roman" w:hAnsi="Times New Roman"/>
        </w:rPr>
        <w:t> </w:t>
      </w:r>
      <w:r>
        <w:rPr>
          <w:rFonts w:ascii="Times New Roman" w:hAnsi="Times New Roman"/>
        </w:rPr>
        <w:t xml:space="preserve">95), la Commission souligne que les recommandations sont adressées et adaptées à chaque État membre et fondées sur les évaluations claires et spécifiques figurant dans chaque chapitre par pays. Le rapport sur l’état de droit est un instrument préventif qui, de par sa nature, n’est pas juridiquement contraignant, y compris pour ce qui est de ses recommandations. En outre, le rapport n’est que l’un des outils de la boîte à outils de l’UE en matière d’état de droit. S’il existe bel et bien des synergies claires entre ces outils, ceux-ci demeurent des instruments distincts dont les conditions </w:t>
      </w:r>
      <w:r>
        <w:rPr>
          <w:rFonts w:ascii="Times New Roman" w:hAnsi="Times New Roman"/>
        </w:rPr>
        <w:lastRenderedPageBreak/>
        <w:t>d’utilisation sont différentes et qui, en tant que tels, nécessitent une évaluation séparée, détaillée et sensible au facteur temps. La Commission n’a pas hésité à agir, en tant que gardienne des traités, en cas de violation du droit de l’Union, y compris de la charte, et elle continuera de le faire, notamment dans le cadre de procédures d’infraction. Conformément aux orientations politiques de la présidente, chaque commissaire organisera au moins deux dialogues sur la mise en œuvre par an avec les parties prenantes afin d’aligner la mise en œuvre sur les réalités du terrain. Les commissaires élaboreront également un rapport annuel sur les progrès accomplis en matière de simplification, de mise en œuvre et d’application de la législation.</w:t>
      </w:r>
    </w:p>
    <w:p w14:paraId="01244D01" w14:textId="4DF5197C" w:rsidR="00D541E0" w:rsidRPr="0058167E" w:rsidRDefault="00D541E0" w:rsidP="5B5D3A52">
      <w:pPr>
        <w:widowControl w:val="0"/>
        <w:spacing w:after="120" w:line="259" w:lineRule="auto"/>
        <w:rPr>
          <w:rFonts w:ascii="Times New Roman" w:hAnsi="Times New Roman"/>
        </w:rPr>
      </w:pPr>
      <w:r>
        <w:rPr>
          <w:rFonts w:ascii="Times New Roman" w:hAnsi="Times New Roman"/>
        </w:rPr>
        <w:t>La Commission convient de la nécessité d’une exécution effective et en temps utile des arrêts de la CJUE et de la Cour européenne des droits de l’homme, et souscrit à l’observation selon laquelle la non-exécution des arrêts de justice viole le principe de l’état de droit et sape la confiance des citoyens (paragraphes</w:t>
      </w:r>
      <w:r w:rsidR="003B51D6">
        <w:rPr>
          <w:rFonts w:ascii="Times New Roman" w:hAnsi="Times New Roman"/>
        </w:rPr>
        <w:t> 13</w:t>
      </w:r>
      <w:r>
        <w:rPr>
          <w:rFonts w:ascii="Times New Roman" w:hAnsi="Times New Roman"/>
        </w:rPr>
        <w:t xml:space="preserve"> et</w:t>
      </w:r>
      <w:r w:rsidR="003B51D6">
        <w:rPr>
          <w:rFonts w:ascii="Times New Roman" w:hAnsi="Times New Roman"/>
        </w:rPr>
        <w:t> </w:t>
      </w:r>
      <w:r>
        <w:rPr>
          <w:rFonts w:ascii="Times New Roman" w:hAnsi="Times New Roman"/>
        </w:rPr>
        <w:t>15). L’exécution des arrêts de la Cour européenne des droits de l’homme a été ajoutée aux thèmes initiaux couverts par le premier rapport, également à la suite d’appels du Parlement européen. Des cas de non-exécution structurelle des arrêts sont également évoqués dans le rapport. En outre, la Commission adopte des rapports annuels sur le contrôle de l’application du droit de l’Union</w:t>
      </w:r>
      <w:r>
        <w:rPr>
          <w:rFonts w:ascii="Times New Roman" w:eastAsia="Calibri" w:hAnsi="Times New Roman"/>
          <w:vertAlign w:val="superscript"/>
        </w:rPr>
        <w:footnoteReference w:id="15"/>
      </w:r>
      <w:r>
        <w:rPr>
          <w:rFonts w:ascii="Times New Roman" w:hAnsi="Times New Roman"/>
        </w:rPr>
        <w:t>.</w:t>
      </w:r>
    </w:p>
    <w:p w14:paraId="68AAD7A2" w14:textId="7DE5C170" w:rsidR="00D541E0" w:rsidRPr="00057144" w:rsidRDefault="7CFABCC9" w:rsidP="00D541E0">
      <w:pPr>
        <w:widowControl w:val="0"/>
        <w:spacing w:after="120" w:line="259" w:lineRule="auto"/>
        <w:rPr>
          <w:rFonts w:ascii="Times New Roman" w:hAnsi="Times New Roman"/>
        </w:rPr>
      </w:pPr>
      <w:bookmarkStart w:id="5" w:name="_Hlk132972021"/>
      <w:bookmarkEnd w:id="5"/>
      <w:r>
        <w:rPr>
          <w:rFonts w:ascii="Times New Roman" w:hAnsi="Times New Roman"/>
        </w:rPr>
        <w:t>La Commission se félicite du soutien du Parlement européen en faveur d’une vaste panoplie d’outils (paragraphe</w:t>
      </w:r>
      <w:r w:rsidR="003B51D6">
        <w:rPr>
          <w:rFonts w:ascii="Times New Roman" w:hAnsi="Times New Roman"/>
        </w:rPr>
        <w:t> </w:t>
      </w:r>
      <w:r>
        <w:rPr>
          <w:rFonts w:ascii="Times New Roman" w:hAnsi="Times New Roman"/>
        </w:rPr>
        <w:t>77), comprenant une application stricte du règlement relatif à la conditionnalité, pour lequel le rapport sur l’état de droit est une source d’information essentielle. Comme l’a souligné la Commission dans sa communication sur le CFP 2028-2034, le règlement est applicable sans limite de temps et continuera de protéger le budget de l’UE contre les violations des principes de l’état de droit, en tant que dernière ligne de défense, s’appliquant à tous les programmes de l’Union. La Commission suit en permanence la situation dans tous les États membres et n’hésite pas à prendre les mesures nécessaires au titre du règlement relatif à la conditionnalité lorsque ses conditions sont remplies. Les mesures adoptées en vertu du règlement peuvent être adaptées ou levées si l’État membre concerné remédie, en tout ou en partie, à la situation qui a conduit à leur adoption.</w:t>
      </w:r>
    </w:p>
    <w:p w14:paraId="21E16179" w14:textId="684056A5" w:rsidR="00F83289" w:rsidRPr="00057144" w:rsidRDefault="00D541E0" w:rsidP="00D541E0">
      <w:pPr>
        <w:widowControl w:val="0"/>
        <w:spacing w:after="120" w:line="259" w:lineRule="auto"/>
        <w:rPr>
          <w:rFonts w:ascii="Times New Roman" w:hAnsi="Times New Roman"/>
        </w:rPr>
      </w:pPr>
      <w:r>
        <w:rPr>
          <w:rFonts w:ascii="Times New Roman" w:hAnsi="Times New Roman"/>
        </w:rPr>
        <w:t>En ce qui concerne le lien avec le futur CFP (paragraphe</w:t>
      </w:r>
      <w:r w:rsidR="003B51D6">
        <w:rPr>
          <w:rFonts w:ascii="Times New Roman" w:hAnsi="Times New Roman"/>
        </w:rPr>
        <w:t> </w:t>
      </w:r>
      <w:r>
        <w:rPr>
          <w:rFonts w:ascii="Times New Roman" w:hAnsi="Times New Roman"/>
        </w:rPr>
        <w:t>78) et l’appel en faveur d’une «conditionnalité intelligente» (paragraphe</w:t>
      </w:r>
      <w:r w:rsidR="003B51D6">
        <w:rPr>
          <w:rFonts w:ascii="Times New Roman" w:hAnsi="Times New Roman"/>
        </w:rPr>
        <w:t> </w:t>
      </w:r>
      <w:r>
        <w:rPr>
          <w:rFonts w:ascii="Times New Roman" w:hAnsi="Times New Roman"/>
        </w:rPr>
        <w:t>79), la Commission est favorable à la recherche de solutions pour protéger les bénéficiaires finaux. Le règlement relatif à la conditionnalité prévoit déjà des obligations claires pour les États membres sur ce point, les enjoignant de respecter les obligations qui leur incombent à l’égard des destinataires finaux ou des bénéficiaires et, lorsqu’ils mettent en œuvre des fonds de l’UE en gestion partagée, de faire rapport à la Commission sur le respect de ces obligations. L’article 5, paragraphe 2, du règlement relatif à la conditionnalité représente la meilleure solution en matière de protection des destinataires finaux et des bénéficiaires qui pouvait être déterminée comme juridiquement possible par les colégislateurs en 2020. La Commission surveille en permanence l’incidence des mesures de protection budgétaire, y compris si l’État membre concerné, malgré les mesures de protection budgétaire, met en œuvre le programme ou le fonds concerné par la mesure et, en particulier, respecte ses obligations envers les bénéficiaires et les destinataires finaux.</w:t>
      </w:r>
    </w:p>
    <w:p w14:paraId="7D1F4B80" w14:textId="15A3B245" w:rsidR="00D541E0" w:rsidRPr="00057144" w:rsidRDefault="00D541E0" w:rsidP="00D541E0">
      <w:pPr>
        <w:widowControl w:val="0"/>
        <w:spacing w:after="120" w:line="259" w:lineRule="auto"/>
        <w:rPr>
          <w:rFonts w:ascii="Times New Roman" w:hAnsi="Times New Roman"/>
          <w:szCs w:val="24"/>
        </w:rPr>
      </w:pPr>
      <w:r>
        <w:rPr>
          <w:rFonts w:ascii="Times New Roman" w:hAnsi="Times New Roman"/>
        </w:rPr>
        <w:lastRenderedPageBreak/>
        <w:t>Dans le cadre des propositions relatives au cadre financier pluriannuel pour l’après-2027 présentées le 16</w:t>
      </w:r>
      <w:r w:rsidR="003B51D6">
        <w:rPr>
          <w:rFonts w:ascii="Times New Roman" w:hAnsi="Times New Roman"/>
        </w:rPr>
        <w:t> </w:t>
      </w:r>
      <w:r>
        <w:rPr>
          <w:rFonts w:ascii="Times New Roman" w:hAnsi="Times New Roman"/>
        </w:rPr>
        <w:t>juillet 2025, le Fonds européen pour la cohésion économique, sociale et territoriale, l’agriculture et les zones rurales, la pêche et les affaires maritimes ainsi que la prospérité et la sécurité comprend des garanties solides pour la protection des destinataires et des bénéficiaires. Les nouvelles règles imposeront aux États membres de mettre en place des dispositions appropriées pour assurer le respect de leurs obligations de poursuivre les paiements aux bénéficiaires, destinataires, destinataires finaux, contractants et participants en cas d’interruption des délais de paiement ou de suspension du financement de l’Union, de corrections financières ou d’autres mesures visant à assurer la protection des intérêts financiers de l’Union. Cela inclut toute mesure adoptée au titre du règlement relatif à la conditionnalité. Les États membres seront invités à fournir des garanties à cet égard lors de la présentation de leurs plans de partenariat national et régional. Les montants perdus en raison d’infractions non résolues dans un État membre donné peuvent être réaffectés à d’autres instruments ou programmes de l’Union mis en œuvre en gestion directe ou indirecte, en particulier ceux qui contribuent à soutenir la démocratie, la société civile, les valeurs de l’Union ou la lutte contre la corruption en Europe, sous réserve de l’accord de l’autorité budgétaire.</w:t>
      </w:r>
    </w:p>
    <w:p w14:paraId="1AE6E4DD" w14:textId="43FACC85" w:rsidR="007F751E" w:rsidRPr="00057144" w:rsidRDefault="00D541E0" w:rsidP="00EC6A03">
      <w:pPr>
        <w:widowControl w:val="0"/>
        <w:spacing w:after="120" w:line="259" w:lineRule="auto"/>
        <w:rPr>
          <w:rFonts w:ascii="Times New Roman" w:eastAsia="Calibri" w:hAnsi="Times New Roman"/>
        </w:rPr>
      </w:pPr>
      <w:r>
        <w:rPr>
          <w:rFonts w:ascii="Times New Roman" w:hAnsi="Times New Roman"/>
        </w:rPr>
        <w:t>La Commission continue de faire part de plusieurs préoccupations exprimées par le Parlement européen dans sa proposition motivée du 12 septembre 2018 déclenchant la procédure prévue à l’article 7, paragraphe 1, du TUE pour la Hongrie. La Commission reste disposée à participer aux auditions et aux points de la situation organisés au Conseil et, le cas échéant, à fournir des informations actualisées. Elle reste d’avis que la procédure devrait être maintenue tant que les problèmes qui l’ont déclenchée ne sont pas résolus. Il appartient au Conseil de décider des prochaines étapes de la procédure prévue à l’article 7, paragraphe 1, du TUE, statuant à la majorité des quatre cinquièmes de ses membres et après approbation du Parlement européen. La constatation, au titre de l’article 7, paragraphe 2, du TUE, de l’existence d’une violation grave et persistante nécessiterait l’unanimité au sein du Conseil européen et l’approbation du Parlement européen.</w:t>
      </w:r>
    </w:p>
    <w:sectPr w:rsidR="007F751E" w:rsidRPr="00057144" w:rsidSect="00812321">
      <w:headerReference w:type="even" r:id="rId11"/>
      <w:headerReference w:type="default" r:id="rId12"/>
      <w:footerReference w:type="even" r:id="rId13"/>
      <w:footerReference w:type="default" r:id="rId14"/>
      <w:headerReference w:type="first" r:id="rId15"/>
      <w:footerReference w:type="first" r:id="rId16"/>
      <w:footnotePr>
        <w:pos w:val="beneathText"/>
        <w:numRestart w:val="eachSect"/>
      </w:footnotePr>
      <w:type w:val="continuous"/>
      <w:pgSz w:w="11906" w:h="16838" w:code="9"/>
      <w:pgMar w:top="1021" w:right="1416" w:bottom="1021" w:left="1588" w:header="601"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2D92B" w14:textId="77777777" w:rsidR="003F225B" w:rsidRDefault="003F225B">
      <w:r>
        <w:separator/>
      </w:r>
    </w:p>
  </w:endnote>
  <w:endnote w:type="continuationSeparator" w:id="0">
    <w:p w14:paraId="380D680A" w14:textId="77777777" w:rsidR="003F225B" w:rsidRDefault="003F225B">
      <w:r>
        <w:continuationSeparator/>
      </w:r>
    </w:p>
  </w:endnote>
  <w:endnote w:type="continuationNotice" w:id="1">
    <w:p w14:paraId="121BE226" w14:textId="77777777" w:rsidR="003F225B" w:rsidRDefault="003F225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EU Albertina"/>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2F22" w14:textId="77777777" w:rsidR="00471068" w:rsidRDefault="00471068"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14:paraId="1CE8F934" w14:textId="77777777" w:rsidR="00471068" w:rsidRDefault="004710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9ED6" w14:textId="77777777" w:rsidR="00471068" w:rsidRDefault="00471068"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14:paraId="76797D1D" w14:textId="77777777" w:rsidR="00471068" w:rsidRPr="008A6623" w:rsidRDefault="00471068" w:rsidP="008A6623">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EE69" w14:textId="77777777" w:rsidR="006B0483" w:rsidRDefault="006B0483" w:rsidP="006B04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244C2131" w14:textId="77777777" w:rsidR="00471068" w:rsidRDefault="00471068" w:rsidP="00442B2E">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5E115" w14:textId="77777777" w:rsidR="003F225B" w:rsidRDefault="003F225B">
      <w:r>
        <w:separator/>
      </w:r>
    </w:p>
  </w:footnote>
  <w:footnote w:type="continuationSeparator" w:id="0">
    <w:p w14:paraId="07E049F4" w14:textId="77777777" w:rsidR="003F225B" w:rsidRDefault="003F225B">
      <w:r>
        <w:continuationSeparator/>
      </w:r>
    </w:p>
  </w:footnote>
  <w:footnote w:type="continuationNotice" w:id="1">
    <w:p w14:paraId="072A3FCA" w14:textId="77777777" w:rsidR="003F225B" w:rsidRDefault="003F225B">
      <w:pPr>
        <w:spacing w:after="0"/>
      </w:pPr>
    </w:p>
  </w:footnote>
  <w:footnote w:id="2">
    <w:p w14:paraId="063C2B25" w14:textId="77777777" w:rsidR="00D541E0" w:rsidRPr="00454882" w:rsidRDefault="00D541E0" w:rsidP="00D541E0">
      <w:pPr>
        <w:pStyle w:val="FootnoteText"/>
        <w:spacing w:after="0"/>
        <w:rPr>
          <w:rFonts w:ascii="Times New Roman" w:hAnsi="Times New Roman"/>
          <w:highlight w:val="yellow"/>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Rapport 2025 sur l’état de droit – La situation de l’état de droit dans l’Union européenne, COM(2025) 900 du 8.7.2025.</w:t>
      </w:r>
    </w:p>
  </w:footnote>
  <w:footnote w:id="3">
    <w:p w14:paraId="4D4FD1DA" w14:textId="3D7CE4B4" w:rsidR="00D541E0" w:rsidRPr="00454882" w:rsidRDefault="00D541E0" w:rsidP="00D541E0">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Communication de la Commission «Un budget de l’UE dynamique au service des priorités de l’avenir – Le cadre financier pluriannuel 2028-2034», COM(2025) 570 final du 16.7.2025. Proposition de règlement du Conseil fixant le cadre financier pluriannuel pour la période 2028-2034 [COM(2025) 571 final].</w:t>
      </w:r>
    </w:p>
  </w:footnote>
  <w:footnote w:id="4">
    <w:p w14:paraId="6F96F9E2" w14:textId="4A821747" w:rsidR="004D14CC" w:rsidRPr="00454882" w:rsidRDefault="004D14CC" w:rsidP="00AF177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Règlement (UE, Euratom) 2020/2092 du Parlement européen et du Conseil du 16 décembre 2020 relatif à un régime général de conditionnalité pour la protection du budget de l’Union.</w:t>
      </w:r>
    </w:p>
  </w:footnote>
  <w:footnote w:id="5">
    <w:p w14:paraId="2D1426DB" w14:textId="2076AFC5" w:rsidR="00D579EC" w:rsidRPr="00454882" w:rsidRDefault="00D579EC">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Par exemple le règlement (UE) 2024/900 du Parlement européen et du Conseil relatif à la transparence et au ciblage de la publicité à caractère politique.</w:t>
      </w:r>
    </w:p>
  </w:footnote>
  <w:footnote w:id="6">
    <w:p w14:paraId="52B02577" w14:textId="0AD720AB" w:rsidR="00360FBA" w:rsidRPr="00454882" w:rsidRDefault="00360FBA">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Rapport sur les élections au Parlement européen de 2024, COM(2025) 287 final du 6.6.2025.</w:t>
      </w:r>
    </w:p>
  </w:footnote>
  <w:footnote w:id="7">
    <w:p w14:paraId="0A3286DE" w14:textId="77777777" w:rsidR="00D541E0" w:rsidRPr="00454882" w:rsidRDefault="00D541E0" w:rsidP="00D541E0">
      <w:pPr>
        <w:pStyle w:val="FootnoteText"/>
        <w:spacing w:after="0"/>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Rapport sur la mise en œuvre du plan d’action de l’UE contre le racisme 2020-2025 et des plans d’action nationaux contre le racisme et la discrimination, COM(2024) 419 du 24.9.2024.</w:t>
      </w:r>
    </w:p>
  </w:footnote>
  <w:footnote w:id="8">
    <w:p w14:paraId="4F6CB0FD" w14:textId="77777777" w:rsidR="00D541E0" w:rsidRPr="00454882" w:rsidRDefault="00D541E0" w:rsidP="00D541E0">
      <w:pPr>
        <w:pStyle w:val="FootnoteText"/>
        <w:spacing w:after="0"/>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Commission européenne, Rapport sur la mise en œuvre de la stratégie en faveur de l’égalité de traitement à l’égard des personnes LGBTIQ pour la période 2020-2025, 25.9.2024.</w:t>
      </w:r>
    </w:p>
  </w:footnote>
  <w:footnote w:id="9">
    <w:p w14:paraId="17CEB88C" w14:textId="77777777" w:rsidR="00D541E0" w:rsidRPr="00454882" w:rsidRDefault="00D541E0" w:rsidP="00D541E0">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COM(2025) 97 final.</w:t>
      </w:r>
    </w:p>
  </w:footnote>
  <w:footnote w:id="10">
    <w:p w14:paraId="708A9624" w14:textId="7B5E9877" w:rsidR="00D541E0" w:rsidRPr="00454882" w:rsidRDefault="00D541E0" w:rsidP="00D541E0">
      <w:pPr>
        <w:pStyle w:val="FootnoteText"/>
        <w:spacing w:after="0"/>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Communication conjointe au Parlement européen, au Conseil et au Conseil économique et social européen</w:t>
      </w:r>
    </w:p>
    <w:p w14:paraId="0FAEE7A1" w14:textId="77777777" w:rsidR="00D541E0" w:rsidRPr="00454882" w:rsidRDefault="00D541E0" w:rsidP="00D541E0">
      <w:pPr>
        <w:pStyle w:val="FootnoteText"/>
        <w:spacing w:after="0"/>
        <w:ind w:firstLine="0"/>
        <w:rPr>
          <w:rFonts w:ascii="Times New Roman" w:hAnsi="Times New Roman"/>
        </w:rPr>
      </w:pPr>
      <w:r>
        <w:rPr>
          <w:rFonts w:ascii="Times New Roman" w:hAnsi="Times New Roman"/>
        </w:rPr>
        <w:t>sur la lutte contre la corruption, JOIN/2023/12 du 3.5.2023</w:t>
      </w:r>
      <w:r>
        <w:t xml:space="preserve">, </w:t>
      </w:r>
      <w:hyperlink r:id="rId1" w:history="1">
        <w:r>
          <w:rPr>
            <w:rStyle w:val="Hyperlink"/>
            <w:rFonts w:ascii="Times New Roman" w:hAnsi="Times New Roman"/>
          </w:rPr>
          <w:t>EUR-Lex – 52023JC0012 – FR – EUR-Lex (europa.eu)</w:t>
        </w:r>
      </w:hyperlink>
      <w:r>
        <w:t>.</w:t>
      </w:r>
    </w:p>
  </w:footnote>
  <w:footnote w:id="11">
    <w:p w14:paraId="3AA005EF" w14:textId="75882D34" w:rsidR="00D541E0" w:rsidRPr="00454882" w:rsidRDefault="00D541E0" w:rsidP="00321C83">
      <w:pPr>
        <w:pStyle w:val="FootnoteText"/>
        <w:spacing w:after="0"/>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Directive (UE) 2019/1937 du Parlement européen et du Conseil du 23 octobre 2019 sur la protection des personnes qui signalent des violations du droit de l’Union.</w:t>
      </w:r>
    </w:p>
  </w:footnote>
  <w:footnote w:id="12">
    <w:p w14:paraId="1C4AF016" w14:textId="0FB04A07" w:rsidR="00D541E0" w:rsidRPr="00454882" w:rsidRDefault="00D541E0" w:rsidP="00321C83">
      <w:pPr>
        <w:pStyle w:val="FootnoteText"/>
        <w:spacing w:after="0"/>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en particulier, le rapport de la Commission sur la mise en œuvre et l’application de la directive (UE) 2019/1937 du 3</w:t>
      </w:r>
      <w:r w:rsidR="003B51D6">
        <w:rPr>
          <w:rFonts w:ascii="Times New Roman" w:hAnsi="Times New Roman"/>
        </w:rPr>
        <w:t> </w:t>
      </w:r>
      <w:r>
        <w:rPr>
          <w:rFonts w:ascii="Times New Roman" w:hAnsi="Times New Roman"/>
        </w:rPr>
        <w:t xml:space="preserve">juillet 2024, dans lequel la Commission a reconnu que, si les États membres ont transposé les principales dispositions de la directive, la transposition de la directive doit être améliorée dans certains domaines clés, tels que le champ d’application matériel, les conditions de protection et les mesures de protection contre les représailles, en particulier les exemptions de responsabilité et les sanctions. Rapport disponible à l’adresse suivante: </w:t>
      </w:r>
      <w:r>
        <w:t xml:space="preserve"> </w:t>
      </w:r>
      <w:r>
        <w:br/>
      </w:r>
      <w:hyperlink r:id="rId2" w:history="1">
        <w:r>
          <w:rPr>
            <w:rStyle w:val="Hyperlink"/>
            <w:rFonts w:ascii="Times New Roman" w:hAnsi="Times New Roman"/>
          </w:rPr>
          <w:t>eur-lex.europa.eu/legal-content/FR/TXT/PDF/?uri=CELEX:52024DC0269</w:t>
        </w:r>
      </w:hyperlink>
      <w:r>
        <w:t>.</w:t>
      </w:r>
    </w:p>
  </w:footnote>
  <w:footnote w:id="13">
    <w:p w14:paraId="74930677" w14:textId="2BC85CA0" w:rsidR="00CB63B4" w:rsidRPr="00454882" w:rsidRDefault="00CB63B4" w:rsidP="00CB63B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Conformément à l’article 81, paragraphe 2, point f), les mesures d’harmonisation doivent concerner</w:t>
      </w:r>
      <w:r w:rsidR="003B51D6">
        <w:rPr>
          <w:rFonts w:ascii="Times New Roman" w:hAnsi="Times New Roman"/>
        </w:rPr>
        <w:t> :</w:t>
      </w:r>
      <w:r>
        <w:rPr>
          <w:rFonts w:ascii="Times New Roman" w:hAnsi="Times New Roman"/>
        </w:rPr>
        <w:t xml:space="preserve"> «l’élimination des obstacles au bon déroulement des procédures civiles, au besoin en favorisant la compatibilité des règles de procédure civile applicables dans les États membres.»</w:t>
      </w:r>
    </w:p>
  </w:footnote>
  <w:footnote w:id="14">
    <w:p w14:paraId="01E93E9C" w14:textId="79149B32" w:rsidR="00D541E0" w:rsidRPr="00454882" w:rsidRDefault="00D541E0" w:rsidP="00D541E0">
      <w:pPr>
        <w:pStyle w:val="FootnoteText"/>
        <w:rPr>
          <w:rFonts w:ascii="Times New Roman" w:hAnsi="Times New Roman"/>
        </w:rPr>
      </w:pPr>
      <w:r>
        <w:rPr>
          <w:rStyle w:val="FootnoteReference"/>
          <w:rFonts w:ascii="Times New Roman" w:hAnsi="Times New Roman"/>
        </w:rPr>
        <w:footnoteRef/>
      </w:r>
      <w:r>
        <w:rPr>
          <w:rFonts w:ascii="Times New Roman" w:hAnsi="Times New Roman"/>
        </w:rPr>
        <w:t>Règlement (UE) 2024/900 du Parlement européen et du Conseil du 13 mars 2024 relatif à la transparence et au ciblage de la publicité à caractère politique (JO L, 2024/900, 20.3.2024,</w:t>
      </w:r>
      <w:r>
        <w:t xml:space="preserve"> </w:t>
      </w:r>
      <w:hyperlink r:id="rId3" w:history="1">
        <w:r>
          <w:rPr>
            <w:rStyle w:val="Hyperlink"/>
            <w:rFonts w:ascii="Times New Roman" w:hAnsi="Times New Roman"/>
          </w:rPr>
          <w:t>http://data.europa.eu/eli/reg/2024/900/oj</w:t>
        </w:r>
      </w:hyperlink>
      <w:r>
        <w:rPr>
          <w:rFonts w:ascii="Times New Roman" w:hAnsi="Times New Roman"/>
        </w:rPr>
        <w:t>).</w:t>
      </w:r>
    </w:p>
  </w:footnote>
  <w:footnote w:id="15">
    <w:p w14:paraId="6C138624" w14:textId="77777777" w:rsidR="00D541E0" w:rsidRPr="00454882" w:rsidRDefault="00D541E0" w:rsidP="00D541E0">
      <w:pPr>
        <w:pStyle w:val="FootnoteText"/>
        <w:spacing w:after="0"/>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le rapport annuel sur l’application du droit de l’Union, dont l’édition la plus récente a été publiée le 25 juillet</w:t>
      </w:r>
    </w:p>
    <w:p w14:paraId="440DF802" w14:textId="2692D742" w:rsidR="00D541E0" w:rsidRPr="00454882" w:rsidRDefault="00D541E0" w:rsidP="00D541E0">
      <w:pPr>
        <w:pStyle w:val="FootnoteText"/>
        <w:rPr>
          <w:rFonts w:ascii="Times New Roman" w:hAnsi="Times New Roman"/>
        </w:rPr>
      </w:pPr>
      <w:r>
        <w:rPr>
          <w:rFonts w:ascii="Times New Roman" w:hAnsi="Times New Roman"/>
        </w:rPr>
        <w:t xml:space="preserve">2024: </w:t>
      </w:r>
      <w:hyperlink r:id="rId4" w:history="1">
        <w:r>
          <w:rPr>
            <w:rStyle w:val="Hyperlink"/>
            <w:rFonts w:ascii="Times New Roman" w:hAnsi="Times New Roman"/>
          </w:rPr>
          <w:t>https://commission.europa.eu/publications/2023-annual-report-monitoring-application-eu-law_en</w:t>
        </w:r>
      </w:hyperlink>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1658" w14:textId="77777777" w:rsidR="003B1577" w:rsidRDefault="003B15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93123" w14:textId="77777777" w:rsidR="003B1577" w:rsidRDefault="003B15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B22B7" w14:textId="77777777" w:rsidR="003B1577" w:rsidRDefault="003B15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15:restartNumberingAfterBreak="0">
    <w:nsid w:val="0AA7686E"/>
    <w:multiLevelType w:val="hybridMultilevel"/>
    <w:tmpl w:val="D1D45CA8"/>
    <w:lvl w:ilvl="0" w:tplc="26A4D58A">
      <w:start w:val="1"/>
      <w:numFmt w:val="decimal"/>
      <w:lvlText w:val="%1."/>
      <w:lvlJc w:val="left"/>
      <w:pPr>
        <w:ind w:left="1065" w:hanging="705"/>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831A51"/>
    <w:multiLevelType w:val="hybridMultilevel"/>
    <w:tmpl w:val="BCAED5BC"/>
    <w:lvl w:ilvl="0" w:tplc="7C765058">
      <w:start w:val="1"/>
      <w:numFmt w:val="decimal"/>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7" w15:restartNumberingAfterBreak="0">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8" w15:restartNumberingAfterBreak="0">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DA0D4D"/>
    <w:multiLevelType w:val="hybridMultilevel"/>
    <w:tmpl w:val="A71A327C"/>
    <w:lvl w:ilvl="0" w:tplc="47BEBF6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1" w15:restartNumberingAfterBreak="0">
    <w:nsid w:val="1D8653DD"/>
    <w:multiLevelType w:val="hybridMultilevel"/>
    <w:tmpl w:val="3056C994"/>
    <w:lvl w:ilvl="0" w:tplc="FD6CBB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4" w15:restartNumberingAfterBreak="0">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6" w15:restartNumberingAfterBreak="0">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2D52663"/>
    <w:multiLevelType w:val="hybridMultilevel"/>
    <w:tmpl w:val="49FA7B1C"/>
    <w:lvl w:ilvl="0" w:tplc="585C461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2F607F"/>
    <w:multiLevelType w:val="hybridMultilevel"/>
    <w:tmpl w:val="2EAE1878"/>
    <w:lvl w:ilvl="0" w:tplc="3228B35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596461"/>
    <w:multiLevelType w:val="hybridMultilevel"/>
    <w:tmpl w:val="A2D41890"/>
    <w:lvl w:ilvl="0" w:tplc="94A62EB0">
      <w:start w:val="1"/>
      <w:numFmt w:val="decimal"/>
      <w:lvlText w:val="%1."/>
      <w:lvlJc w:val="left"/>
      <w:pPr>
        <w:ind w:left="1429" w:hanging="360"/>
      </w:pPr>
      <w:rPr>
        <w:b/>
        <w:i w:val="0"/>
      </w:r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20" w15:restartNumberingAfterBreak="0">
    <w:nsid w:val="4B5F428A"/>
    <w:multiLevelType w:val="hybridMultilevel"/>
    <w:tmpl w:val="136C885A"/>
    <w:lvl w:ilvl="0" w:tplc="66B6DB7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FA6298"/>
    <w:multiLevelType w:val="hybridMultilevel"/>
    <w:tmpl w:val="68B8F702"/>
    <w:lvl w:ilvl="0" w:tplc="B8E4B348">
      <w:start w:val="1"/>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5" w15:restartNumberingAfterBreak="0">
    <w:nsid w:val="5EFF257D"/>
    <w:multiLevelType w:val="hybridMultilevel"/>
    <w:tmpl w:val="DD2A3844"/>
    <w:lvl w:ilvl="0" w:tplc="812854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B5A37B8"/>
    <w:multiLevelType w:val="hybridMultilevel"/>
    <w:tmpl w:val="AD1ECD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0" w15:restartNumberingAfterBreak="0">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3" w15:restartNumberingAfterBreak="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4" w15:restartNumberingAfterBreak="0">
    <w:nsid w:val="795D3BA0"/>
    <w:multiLevelType w:val="hybridMultilevel"/>
    <w:tmpl w:val="4F76D5A2"/>
    <w:lvl w:ilvl="0" w:tplc="DE7488B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AAA2612"/>
    <w:multiLevelType w:val="hybridMultilevel"/>
    <w:tmpl w:val="8F2E6EC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209342734">
    <w:abstractNumId w:val="7"/>
  </w:num>
  <w:num w:numId="2" w16cid:durableId="148182179">
    <w:abstractNumId w:val="1"/>
  </w:num>
  <w:num w:numId="3" w16cid:durableId="505511010">
    <w:abstractNumId w:val="33"/>
  </w:num>
  <w:num w:numId="4" w16cid:durableId="580018736">
    <w:abstractNumId w:val="13"/>
  </w:num>
  <w:num w:numId="5" w16cid:durableId="221647625">
    <w:abstractNumId w:val="29"/>
  </w:num>
  <w:num w:numId="6" w16cid:durableId="298344620">
    <w:abstractNumId w:val="10"/>
  </w:num>
  <w:num w:numId="7" w16cid:durableId="58093387">
    <w:abstractNumId w:val="6"/>
  </w:num>
  <w:num w:numId="8" w16cid:durableId="1122530581">
    <w:abstractNumId w:val="15"/>
  </w:num>
  <w:num w:numId="9" w16cid:durableId="1479684095">
    <w:abstractNumId w:val="32"/>
  </w:num>
  <w:num w:numId="10" w16cid:durableId="340007303">
    <w:abstractNumId w:val="24"/>
  </w:num>
  <w:num w:numId="11" w16cid:durableId="346519941">
    <w:abstractNumId w:val="26"/>
  </w:num>
  <w:num w:numId="12" w16cid:durableId="691036718">
    <w:abstractNumId w:val="12"/>
  </w:num>
  <w:num w:numId="13" w16cid:durableId="1452093781">
    <w:abstractNumId w:val="16"/>
  </w:num>
  <w:num w:numId="14" w16cid:durableId="906961314">
    <w:abstractNumId w:val="30"/>
  </w:num>
  <w:num w:numId="15" w16cid:durableId="1388455259">
    <w:abstractNumId w:val="14"/>
  </w:num>
  <w:num w:numId="16" w16cid:durableId="1677533267">
    <w:abstractNumId w:val="36"/>
  </w:num>
  <w:num w:numId="17" w16cid:durableId="961619330">
    <w:abstractNumId w:val="31"/>
  </w:num>
  <w:num w:numId="18" w16cid:durableId="1095638383">
    <w:abstractNumId w:val="22"/>
  </w:num>
  <w:num w:numId="19" w16cid:durableId="357776219">
    <w:abstractNumId w:val="23"/>
  </w:num>
  <w:num w:numId="20" w16cid:durableId="1481578588">
    <w:abstractNumId w:val="28"/>
  </w:num>
  <w:num w:numId="21" w16cid:durableId="1812137613">
    <w:abstractNumId w:val="3"/>
  </w:num>
  <w:num w:numId="22" w16cid:durableId="370300677">
    <w:abstractNumId w:val="4"/>
  </w:num>
  <w:num w:numId="23" w16cid:durableId="1948660650">
    <w:abstractNumId w:val="5"/>
  </w:num>
  <w:num w:numId="24" w16cid:durableId="1221136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6547536">
    <w:abstractNumId w:val="34"/>
  </w:num>
  <w:num w:numId="26" w16cid:durableId="1203983393">
    <w:abstractNumId w:val="25"/>
  </w:num>
  <w:num w:numId="27" w16cid:durableId="1149204463">
    <w:abstractNumId w:val="17"/>
  </w:num>
  <w:num w:numId="28" w16cid:durableId="614867515">
    <w:abstractNumId w:val="35"/>
  </w:num>
  <w:num w:numId="29" w16cid:durableId="1513490821">
    <w:abstractNumId w:val="2"/>
  </w:num>
  <w:num w:numId="30" w16cid:durableId="1269506392">
    <w:abstractNumId w:val="21"/>
  </w:num>
  <w:num w:numId="31" w16cid:durableId="160509948">
    <w:abstractNumId w:val="20"/>
  </w:num>
  <w:num w:numId="32" w16cid:durableId="146094414">
    <w:abstractNumId w:val="9"/>
  </w:num>
  <w:num w:numId="33" w16cid:durableId="2145806991">
    <w:abstractNumId w:val="11"/>
  </w:num>
  <w:num w:numId="34" w16cid:durableId="1322079617">
    <w:abstractNumId w:val="19"/>
  </w:num>
  <w:num w:numId="35" w16cid:durableId="1661734410">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TEL"/>
  </w:docVars>
  <w:rsids>
    <w:rsidRoot w:val="009A3DA0"/>
    <w:rsid w:val="00000039"/>
    <w:rsid w:val="00000080"/>
    <w:rsid w:val="000001DC"/>
    <w:rsid w:val="0000032F"/>
    <w:rsid w:val="00000397"/>
    <w:rsid w:val="00000486"/>
    <w:rsid w:val="0000050D"/>
    <w:rsid w:val="000005E9"/>
    <w:rsid w:val="000006FD"/>
    <w:rsid w:val="0000071A"/>
    <w:rsid w:val="00000795"/>
    <w:rsid w:val="000009FA"/>
    <w:rsid w:val="00000BE2"/>
    <w:rsid w:val="00000C13"/>
    <w:rsid w:val="00000CA1"/>
    <w:rsid w:val="00000DBF"/>
    <w:rsid w:val="000012E4"/>
    <w:rsid w:val="00001369"/>
    <w:rsid w:val="00001CA6"/>
    <w:rsid w:val="00001CDC"/>
    <w:rsid w:val="000021E5"/>
    <w:rsid w:val="0000238D"/>
    <w:rsid w:val="000023BA"/>
    <w:rsid w:val="000024E2"/>
    <w:rsid w:val="0000279C"/>
    <w:rsid w:val="00002A5C"/>
    <w:rsid w:val="00002CF6"/>
    <w:rsid w:val="000031B6"/>
    <w:rsid w:val="00003423"/>
    <w:rsid w:val="00003511"/>
    <w:rsid w:val="00003652"/>
    <w:rsid w:val="00003862"/>
    <w:rsid w:val="00003C85"/>
    <w:rsid w:val="00003E19"/>
    <w:rsid w:val="00004288"/>
    <w:rsid w:val="0000450D"/>
    <w:rsid w:val="000046C1"/>
    <w:rsid w:val="00004A58"/>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961"/>
    <w:rsid w:val="00010AC9"/>
    <w:rsid w:val="00010B22"/>
    <w:rsid w:val="00010C1D"/>
    <w:rsid w:val="00010EED"/>
    <w:rsid w:val="00011281"/>
    <w:rsid w:val="0001128D"/>
    <w:rsid w:val="0001134B"/>
    <w:rsid w:val="000113AB"/>
    <w:rsid w:val="0001140F"/>
    <w:rsid w:val="0001153B"/>
    <w:rsid w:val="00011589"/>
    <w:rsid w:val="00011615"/>
    <w:rsid w:val="00011727"/>
    <w:rsid w:val="00011754"/>
    <w:rsid w:val="000117D8"/>
    <w:rsid w:val="0001183E"/>
    <w:rsid w:val="00011A9B"/>
    <w:rsid w:val="00011B30"/>
    <w:rsid w:val="00011D79"/>
    <w:rsid w:val="0001228B"/>
    <w:rsid w:val="000122B5"/>
    <w:rsid w:val="0001250D"/>
    <w:rsid w:val="00012EFD"/>
    <w:rsid w:val="00012F6D"/>
    <w:rsid w:val="000130BE"/>
    <w:rsid w:val="00013716"/>
    <w:rsid w:val="00013997"/>
    <w:rsid w:val="000139D8"/>
    <w:rsid w:val="00013CF4"/>
    <w:rsid w:val="00013D92"/>
    <w:rsid w:val="00013D9F"/>
    <w:rsid w:val="00013EE5"/>
    <w:rsid w:val="0001448B"/>
    <w:rsid w:val="000145A2"/>
    <w:rsid w:val="000146F4"/>
    <w:rsid w:val="000149EF"/>
    <w:rsid w:val="00014A71"/>
    <w:rsid w:val="00014CE1"/>
    <w:rsid w:val="000150E5"/>
    <w:rsid w:val="00015264"/>
    <w:rsid w:val="000152CA"/>
    <w:rsid w:val="00015341"/>
    <w:rsid w:val="00015452"/>
    <w:rsid w:val="0001589A"/>
    <w:rsid w:val="00015A65"/>
    <w:rsid w:val="00015B9E"/>
    <w:rsid w:val="00015C38"/>
    <w:rsid w:val="00015EB6"/>
    <w:rsid w:val="00015ECC"/>
    <w:rsid w:val="00015F13"/>
    <w:rsid w:val="0001612D"/>
    <w:rsid w:val="000162A0"/>
    <w:rsid w:val="000164BD"/>
    <w:rsid w:val="00016654"/>
    <w:rsid w:val="000166D5"/>
    <w:rsid w:val="00016A8D"/>
    <w:rsid w:val="00016B16"/>
    <w:rsid w:val="00016C72"/>
    <w:rsid w:val="00016EB9"/>
    <w:rsid w:val="000170C1"/>
    <w:rsid w:val="00017265"/>
    <w:rsid w:val="0001730F"/>
    <w:rsid w:val="0001731B"/>
    <w:rsid w:val="000173CA"/>
    <w:rsid w:val="00017430"/>
    <w:rsid w:val="000174A1"/>
    <w:rsid w:val="000174AF"/>
    <w:rsid w:val="0001776A"/>
    <w:rsid w:val="00017883"/>
    <w:rsid w:val="00017A67"/>
    <w:rsid w:val="00017AA9"/>
    <w:rsid w:val="00017C25"/>
    <w:rsid w:val="00017C31"/>
    <w:rsid w:val="00017C9E"/>
    <w:rsid w:val="00017F27"/>
    <w:rsid w:val="00017F3D"/>
    <w:rsid w:val="00020595"/>
    <w:rsid w:val="00020743"/>
    <w:rsid w:val="00020B3A"/>
    <w:rsid w:val="00020D20"/>
    <w:rsid w:val="00020E26"/>
    <w:rsid w:val="000218B4"/>
    <w:rsid w:val="000218F1"/>
    <w:rsid w:val="00021AEC"/>
    <w:rsid w:val="00021B43"/>
    <w:rsid w:val="00021BCD"/>
    <w:rsid w:val="00021CFE"/>
    <w:rsid w:val="00021EF0"/>
    <w:rsid w:val="00021FA4"/>
    <w:rsid w:val="0002207D"/>
    <w:rsid w:val="0002216F"/>
    <w:rsid w:val="000221F2"/>
    <w:rsid w:val="000222CC"/>
    <w:rsid w:val="00022415"/>
    <w:rsid w:val="00022538"/>
    <w:rsid w:val="00022669"/>
    <w:rsid w:val="00022775"/>
    <w:rsid w:val="00022776"/>
    <w:rsid w:val="00022903"/>
    <w:rsid w:val="00022A7A"/>
    <w:rsid w:val="00022B33"/>
    <w:rsid w:val="00022E10"/>
    <w:rsid w:val="00022E91"/>
    <w:rsid w:val="00022F1F"/>
    <w:rsid w:val="00022FAA"/>
    <w:rsid w:val="00023162"/>
    <w:rsid w:val="000232A5"/>
    <w:rsid w:val="00023424"/>
    <w:rsid w:val="00023451"/>
    <w:rsid w:val="000235BC"/>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CB8"/>
    <w:rsid w:val="00024D04"/>
    <w:rsid w:val="00024F7A"/>
    <w:rsid w:val="000250B7"/>
    <w:rsid w:val="00025341"/>
    <w:rsid w:val="00025501"/>
    <w:rsid w:val="0002561D"/>
    <w:rsid w:val="00025A16"/>
    <w:rsid w:val="00025D8A"/>
    <w:rsid w:val="00025EB9"/>
    <w:rsid w:val="000260DC"/>
    <w:rsid w:val="000261DA"/>
    <w:rsid w:val="0002630E"/>
    <w:rsid w:val="000263A0"/>
    <w:rsid w:val="00026538"/>
    <w:rsid w:val="000265AD"/>
    <w:rsid w:val="000265DD"/>
    <w:rsid w:val="0002678A"/>
    <w:rsid w:val="00026B04"/>
    <w:rsid w:val="00026B29"/>
    <w:rsid w:val="00026CA1"/>
    <w:rsid w:val="00026D00"/>
    <w:rsid w:val="00026E21"/>
    <w:rsid w:val="0002725A"/>
    <w:rsid w:val="00027392"/>
    <w:rsid w:val="00027642"/>
    <w:rsid w:val="00030058"/>
    <w:rsid w:val="000300B4"/>
    <w:rsid w:val="00030676"/>
    <w:rsid w:val="0003073B"/>
    <w:rsid w:val="000307C2"/>
    <w:rsid w:val="00030996"/>
    <w:rsid w:val="00030E3E"/>
    <w:rsid w:val="000310AA"/>
    <w:rsid w:val="000310E8"/>
    <w:rsid w:val="0003125C"/>
    <w:rsid w:val="000315BD"/>
    <w:rsid w:val="00031793"/>
    <w:rsid w:val="00031A4C"/>
    <w:rsid w:val="00031BDA"/>
    <w:rsid w:val="00031CA2"/>
    <w:rsid w:val="00031D00"/>
    <w:rsid w:val="00031DA3"/>
    <w:rsid w:val="00031F4C"/>
    <w:rsid w:val="0003243D"/>
    <w:rsid w:val="000326E6"/>
    <w:rsid w:val="00032766"/>
    <w:rsid w:val="00032792"/>
    <w:rsid w:val="000328B1"/>
    <w:rsid w:val="00032DC3"/>
    <w:rsid w:val="00032E4F"/>
    <w:rsid w:val="00032EDB"/>
    <w:rsid w:val="000332FE"/>
    <w:rsid w:val="000337C2"/>
    <w:rsid w:val="00033EA1"/>
    <w:rsid w:val="00033F57"/>
    <w:rsid w:val="000340CA"/>
    <w:rsid w:val="00034142"/>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B81"/>
    <w:rsid w:val="00035CE3"/>
    <w:rsid w:val="00035FDE"/>
    <w:rsid w:val="00036009"/>
    <w:rsid w:val="00036106"/>
    <w:rsid w:val="00036177"/>
    <w:rsid w:val="0003633B"/>
    <w:rsid w:val="000363AB"/>
    <w:rsid w:val="00036A5A"/>
    <w:rsid w:val="00037004"/>
    <w:rsid w:val="00037224"/>
    <w:rsid w:val="0003725C"/>
    <w:rsid w:val="000372EF"/>
    <w:rsid w:val="0003737B"/>
    <w:rsid w:val="0003745C"/>
    <w:rsid w:val="0003758E"/>
    <w:rsid w:val="000375BA"/>
    <w:rsid w:val="00037990"/>
    <w:rsid w:val="00040060"/>
    <w:rsid w:val="00040281"/>
    <w:rsid w:val="00040A13"/>
    <w:rsid w:val="00040C7A"/>
    <w:rsid w:val="00040E6E"/>
    <w:rsid w:val="0004105D"/>
    <w:rsid w:val="0004146E"/>
    <w:rsid w:val="000414BC"/>
    <w:rsid w:val="0004189C"/>
    <w:rsid w:val="0004193F"/>
    <w:rsid w:val="0004195A"/>
    <w:rsid w:val="00041A87"/>
    <w:rsid w:val="00041C4F"/>
    <w:rsid w:val="00041F1F"/>
    <w:rsid w:val="0004209B"/>
    <w:rsid w:val="000420DB"/>
    <w:rsid w:val="000421A1"/>
    <w:rsid w:val="000423C1"/>
    <w:rsid w:val="00042508"/>
    <w:rsid w:val="00042A8B"/>
    <w:rsid w:val="00042F4E"/>
    <w:rsid w:val="0004316D"/>
    <w:rsid w:val="000434BD"/>
    <w:rsid w:val="000436A8"/>
    <w:rsid w:val="00043B7B"/>
    <w:rsid w:val="00043E36"/>
    <w:rsid w:val="00043E84"/>
    <w:rsid w:val="000443C3"/>
    <w:rsid w:val="0004455F"/>
    <w:rsid w:val="00044806"/>
    <w:rsid w:val="00044A42"/>
    <w:rsid w:val="00044AB8"/>
    <w:rsid w:val="000454B2"/>
    <w:rsid w:val="00045976"/>
    <w:rsid w:val="00045DCC"/>
    <w:rsid w:val="00045E41"/>
    <w:rsid w:val="0004610E"/>
    <w:rsid w:val="00046550"/>
    <w:rsid w:val="000466E7"/>
    <w:rsid w:val="000468E2"/>
    <w:rsid w:val="00046A3E"/>
    <w:rsid w:val="00046C6A"/>
    <w:rsid w:val="00046D8E"/>
    <w:rsid w:val="0004701B"/>
    <w:rsid w:val="00047124"/>
    <w:rsid w:val="00047316"/>
    <w:rsid w:val="00047444"/>
    <w:rsid w:val="00047661"/>
    <w:rsid w:val="000476C0"/>
    <w:rsid w:val="00047734"/>
    <w:rsid w:val="000477EA"/>
    <w:rsid w:val="00047916"/>
    <w:rsid w:val="00047936"/>
    <w:rsid w:val="0004798E"/>
    <w:rsid w:val="00047BB5"/>
    <w:rsid w:val="00047D53"/>
    <w:rsid w:val="000502A5"/>
    <w:rsid w:val="000504A8"/>
    <w:rsid w:val="0005052B"/>
    <w:rsid w:val="0005062F"/>
    <w:rsid w:val="000506A1"/>
    <w:rsid w:val="0005070B"/>
    <w:rsid w:val="000508EC"/>
    <w:rsid w:val="00050926"/>
    <w:rsid w:val="00050951"/>
    <w:rsid w:val="000509DA"/>
    <w:rsid w:val="00050AFA"/>
    <w:rsid w:val="00051333"/>
    <w:rsid w:val="0005182E"/>
    <w:rsid w:val="00051BA8"/>
    <w:rsid w:val="00051E3C"/>
    <w:rsid w:val="000520B1"/>
    <w:rsid w:val="00052241"/>
    <w:rsid w:val="00052483"/>
    <w:rsid w:val="00052672"/>
    <w:rsid w:val="00052814"/>
    <w:rsid w:val="000529D6"/>
    <w:rsid w:val="000529E9"/>
    <w:rsid w:val="00053766"/>
    <w:rsid w:val="00053BE0"/>
    <w:rsid w:val="00053CB9"/>
    <w:rsid w:val="00053FAD"/>
    <w:rsid w:val="000541A5"/>
    <w:rsid w:val="0005422C"/>
    <w:rsid w:val="0005462B"/>
    <w:rsid w:val="00054C6E"/>
    <w:rsid w:val="00054DF3"/>
    <w:rsid w:val="00055034"/>
    <w:rsid w:val="000550B3"/>
    <w:rsid w:val="0005513C"/>
    <w:rsid w:val="00055234"/>
    <w:rsid w:val="00055406"/>
    <w:rsid w:val="00055569"/>
    <w:rsid w:val="00055650"/>
    <w:rsid w:val="00055DF6"/>
    <w:rsid w:val="00055ED8"/>
    <w:rsid w:val="000568D7"/>
    <w:rsid w:val="000568F4"/>
    <w:rsid w:val="00056C02"/>
    <w:rsid w:val="00057006"/>
    <w:rsid w:val="00057144"/>
    <w:rsid w:val="00057285"/>
    <w:rsid w:val="0005742E"/>
    <w:rsid w:val="00057439"/>
    <w:rsid w:val="000574AC"/>
    <w:rsid w:val="0005753C"/>
    <w:rsid w:val="00057745"/>
    <w:rsid w:val="00057902"/>
    <w:rsid w:val="00057AB6"/>
    <w:rsid w:val="00057E1C"/>
    <w:rsid w:val="00057EA9"/>
    <w:rsid w:val="00060742"/>
    <w:rsid w:val="0006088F"/>
    <w:rsid w:val="00060C03"/>
    <w:rsid w:val="00060C5A"/>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3DCE"/>
    <w:rsid w:val="00063F33"/>
    <w:rsid w:val="00064178"/>
    <w:rsid w:val="0006443B"/>
    <w:rsid w:val="00064593"/>
    <w:rsid w:val="000647C3"/>
    <w:rsid w:val="00064C35"/>
    <w:rsid w:val="00064D3D"/>
    <w:rsid w:val="00064F90"/>
    <w:rsid w:val="00065096"/>
    <w:rsid w:val="0006524C"/>
    <w:rsid w:val="00065445"/>
    <w:rsid w:val="0006549C"/>
    <w:rsid w:val="00065622"/>
    <w:rsid w:val="00065A4F"/>
    <w:rsid w:val="00065ABF"/>
    <w:rsid w:val="00065BA5"/>
    <w:rsid w:val="00065D4F"/>
    <w:rsid w:val="00065D7A"/>
    <w:rsid w:val="00065E7F"/>
    <w:rsid w:val="0006634A"/>
    <w:rsid w:val="000664BE"/>
    <w:rsid w:val="00066554"/>
    <w:rsid w:val="00066764"/>
    <w:rsid w:val="0006680F"/>
    <w:rsid w:val="00066D35"/>
    <w:rsid w:val="00067155"/>
    <w:rsid w:val="000674E4"/>
    <w:rsid w:val="00067567"/>
    <w:rsid w:val="00067985"/>
    <w:rsid w:val="00067C33"/>
    <w:rsid w:val="00067FB5"/>
    <w:rsid w:val="00070202"/>
    <w:rsid w:val="000703CB"/>
    <w:rsid w:val="000703FE"/>
    <w:rsid w:val="000705DD"/>
    <w:rsid w:val="000706D4"/>
    <w:rsid w:val="00070ECF"/>
    <w:rsid w:val="000713EE"/>
    <w:rsid w:val="00071470"/>
    <w:rsid w:val="00071695"/>
    <w:rsid w:val="000717D6"/>
    <w:rsid w:val="00071956"/>
    <w:rsid w:val="00071BD3"/>
    <w:rsid w:val="00071DDA"/>
    <w:rsid w:val="00071E87"/>
    <w:rsid w:val="00071FC6"/>
    <w:rsid w:val="00072134"/>
    <w:rsid w:val="00072797"/>
    <w:rsid w:val="00072D12"/>
    <w:rsid w:val="00072E6E"/>
    <w:rsid w:val="00072F6B"/>
    <w:rsid w:val="00073070"/>
    <w:rsid w:val="00073100"/>
    <w:rsid w:val="00073283"/>
    <w:rsid w:val="000732A8"/>
    <w:rsid w:val="00073445"/>
    <w:rsid w:val="0007349A"/>
    <w:rsid w:val="000735B6"/>
    <w:rsid w:val="000736A0"/>
    <w:rsid w:val="00073952"/>
    <w:rsid w:val="00073A6F"/>
    <w:rsid w:val="00073D03"/>
    <w:rsid w:val="00073F4A"/>
    <w:rsid w:val="0007403A"/>
    <w:rsid w:val="000744AE"/>
    <w:rsid w:val="000744BA"/>
    <w:rsid w:val="00074A10"/>
    <w:rsid w:val="00074BA2"/>
    <w:rsid w:val="00074D75"/>
    <w:rsid w:val="00074DB5"/>
    <w:rsid w:val="00074E52"/>
    <w:rsid w:val="00074FA3"/>
    <w:rsid w:val="00074FA4"/>
    <w:rsid w:val="000751AC"/>
    <w:rsid w:val="000752DB"/>
    <w:rsid w:val="00075758"/>
    <w:rsid w:val="0007575A"/>
    <w:rsid w:val="00075847"/>
    <w:rsid w:val="00075908"/>
    <w:rsid w:val="00075952"/>
    <w:rsid w:val="00075C60"/>
    <w:rsid w:val="00077252"/>
    <w:rsid w:val="000775E6"/>
    <w:rsid w:val="000776B1"/>
    <w:rsid w:val="000776D8"/>
    <w:rsid w:val="00077912"/>
    <w:rsid w:val="00077B88"/>
    <w:rsid w:val="00077BFB"/>
    <w:rsid w:val="000800AF"/>
    <w:rsid w:val="00080191"/>
    <w:rsid w:val="0008029D"/>
    <w:rsid w:val="0008040A"/>
    <w:rsid w:val="000804D5"/>
    <w:rsid w:val="000805A1"/>
    <w:rsid w:val="000807AE"/>
    <w:rsid w:val="000807B5"/>
    <w:rsid w:val="00080B91"/>
    <w:rsid w:val="00080CE2"/>
    <w:rsid w:val="00080F35"/>
    <w:rsid w:val="000811A4"/>
    <w:rsid w:val="000811D4"/>
    <w:rsid w:val="00081259"/>
    <w:rsid w:val="0008175B"/>
    <w:rsid w:val="00081792"/>
    <w:rsid w:val="0008187A"/>
    <w:rsid w:val="0008189D"/>
    <w:rsid w:val="0008216A"/>
    <w:rsid w:val="0008217D"/>
    <w:rsid w:val="000825F0"/>
    <w:rsid w:val="000827CD"/>
    <w:rsid w:val="00082AA1"/>
    <w:rsid w:val="00082B1C"/>
    <w:rsid w:val="00082C34"/>
    <w:rsid w:val="00083121"/>
    <w:rsid w:val="00083469"/>
    <w:rsid w:val="000834CD"/>
    <w:rsid w:val="000835B0"/>
    <w:rsid w:val="000835F5"/>
    <w:rsid w:val="0008378A"/>
    <w:rsid w:val="00083B96"/>
    <w:rsid w:val="00084044"/>
    <w:rsid w:val="00084211"/>
    <w:rsid w:val="00084419"/>
    <w:rsid w:val="0008449C"/>
    <w:rsid w:val="000845D7"/>
    <w:rsid w:val="000846F8"/>
    <w:rsid w:val="000849B6"/>
    <w:rsid w:val="00084B71"/>
    <w:rsid w:val="00084D1E"/>
    <w:rsid w:val="00084DFB"/>
    <w:rsid w:val="0008526A"/>
    <w:rsid w:val="00085484"/>
    <w:rsid w:val="00085847"/>
    <w:rsid w:val="00085B6D"/>
    <w:rsid w:val="00085BE8"/>
    <w:rsid w:val="00085E04"/>
    <w:rsid w:val="0008608A"/>
    <w:rsid w:val="000863ED"/>
    <w:rsid w:val="000863F0"/>
    <w:rsid w:val="00086911"/>
    <w:rsid w:val="00086C30"/>
    <w:rsid w:val="00086D5D"/>
    <w:rsid w:val="00086DA6"/>
    <w:rsid w:val="000874D0"/>
    <w:rsid w:val="000875DD"/>
    <w:rsid w:val="00087C2A"/>
    <w:rsid w:val="00087E0A"/>
    <w:rsid w:val="00090055"/>
    <w:rsid w:val="00090079"/>
    <w:rsid w:val="000901F1"/>
    <w:rsid w:val="0009096A"/>
    <w:rsid w:val="00090B6B"/>
    <w:rsid w:val="00090D4B"/>
    <w:rsid w:val="00090EA4"/>
    <w:rsid w:val="000910D7"/>
    <w:rsid w:val="0009166A"/>
    <w:rsid w:val="000918B2"/>
    <w:rsid w:val="00091CE2"/>
    <w:rsid w:val="0009205D"/>
    <w:rsid w:val="00092442"/>
    <w:rsid w:val="0009257A"/>
    <w:rsid w:val="00092B44"/>
    <w:rsid w:val="00092C2D"/>
    <w:rsid w:val="00092DEA"/>
    <w:rsid w:val="00092EB9"/>
    <w:rsid w:val="0009343D"/>
    <w:rsid w:val="00093617"/>
    <w:rsid w:val="00093E98"/>
    <w:rsid w:val="00093FDF"/>
    <w:rsid w:val="00094051"/>
    <w:rsid w:val="000940F6"/>
    <w:rsid w:val="0009415C"/>
    <w:rsid w:val="000942B9"/>
    <w:rsid w:val="00094353"/>
    <w:rsid w:val="000945D6"/>
    <w:rsid w:val="00094600"/>
    <w:rsid w:val="00094AC0"/>
    <w:rsid w:val="00094B2F"/>
    <w:rsid w:val="0009571A"/>
    <w:rsid w:val="000957A2"/>
    <w:rsid w:val="00095892"/>
    <w:rsid w:val="00095A1A"/>
    <w:rsid w:val="00095A8C"/>
    <w:rsid w:val="00095C0B"/>
    <w:rsid w:val="00095C79"/>
    <w:rsid w:val="000963C9"/>
    <w:rsid w:val="00096552"/>
    <w:rsid w:val="00096607"/>
    <w:rsid w:val="00096700"/>
    <w:rsid w:val="0009691F"/>
    <w:rsid w:val="00096925"/>
    <w:rsid w:val="0009694F"/>
    <w:rsid w:val="00096B06"/>
    <w:rsid w:val="0009706D"/>
    <w:rsid w:val="00097551"/>
    <w:rsid w:val="000975A5"/>
    <w:rsid w:val="00097833"/>
    <w:rsid w:val="000978DD"/>
    <w:rsid w:val="00097A89"/>
    <w:rsid w:val="00097E80"/>
    <w:rsid w:val="00097F2B"/>
    <w:rsid w:val="000A0424"/>
    <w:rsid w:val="000A05BC"/>
    <w:rsid w:val="000A06AB"/>
    <w:rsid w:val="000A07F3"/>
    <w:rsid w:val="000A0849"/>
    <w:rsid w:val="000A09F3"/>
    <w:rsid w:val="000A0BAF"/>
    <w:rsid w:val="000A0BBD"/>
    <w:rsid w:val="000A0C8E"/>
    <w:rsid w:val="000A0D84"/>
    <w:rsid w:val="000A1105"/>
    <w:rsid w:val="000A1333"/>
    <w:rsid w:val="000A1418"/>
    <w:rsid w:val="000A170E"/>
    <w:rsid w:val="000A1760"/>
    <w:rsid w:val="000A19A2"/>
    <w:rsid w:val="000A1BDC"/>
    <w:rsid w:val="000A1CD5"/>
    <w:rsid w:val="000A1E0A"/>
    <w:rsid w:val="000A1E8A"/>
    <w:rsid w:val="000A227F"/>
    <w:rsid w:val="000A22C0"/>
    <w:rsid w:val="000A2388"/>
    <w:rsid w:val="000A2949"/>
    <w:rsid w:val="000A29A9"/>
    <w:rsid w:val="000A2AC3"/>
    <w:rsid w:val="000A2BD1"/>
    <w:rsid w:val="000A2CC6"/>
    <w:rsid w:val="000A30BD"/>
    <w:rsid w:val="000A3320"/>
    <w:rsid w:val="000A3563"/>
    <w:rsid w:val="000A3935"/>
    <w:rsid w:val="000A3E2D"/>
    <w:rsid w:val="000A3F2C"/>
    <w:rsid w:val="000A44D4"/>
    <w:rsid w:val="000A4524"/>
    <w:rsid w:val="000A4554"/>
    <w:rsid w:val="000A47CF"/>
    <w:rsid w:val="000A4836"/>
    <w:rsid w:val="000A4A38"/>
    <w:rsid w:val="000A4B74"/>
    <w:rsid w:val="000A4F76"/>
    <w:rsid w:val="000A508F"/>
    <w:rsid w:val="000A52E7"/>
    <w:rsid w:val="000A5300"/>
    <w:rsid w:val="000A5446"/>
    <w:rsid w:val="000A544B"/>
    <w:rsid w:val="000A591E"/>
    <w:rsid w:val="000A5A20"/>
    <w:rsid w:val="000A5A43"/>
    <w:rsid w:val="000A5C7D"/>
    <w:rsid w:val="000A5D40"/>
    <w:rsid w:val="000A5DAF"/>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C9B"/>
    <w:rsid w:val="000A7F9D"/>
    <w:rsid w:val="000B01AF"/>
    <w:rsid w:val="000B0467"/>
    <w:rsid w:val="000B04F9"/>
    <w:rsid w:val="000B055C"/>
    <w:rsid w:val="000B09D0"/>
    <w:rsid w:val="000B0F74"/>
    <w:rsid w:val="000B1471"/>
    <w:rsid w:val="000B16FC"/>
    <w:rsid w:val="000B1845"/>
    <w:rsid w:val="000B195C"/>
    <w:rsid w:val="000B1B92"/>
    <w:rsid w:val="000B1CA5"/>
    <w:rsid w:val="000B250E"/>
    <w:rsid w:val="000B25E8"/>
    <w:rsid w:val="000B2778"/>
    <w:rsid w:val="000B281C"/>
    <w:rsid w:val="000B29E5"/>
    <w:rsid w:val="000B2A6D"/>
    <w:rsid w:val="000B2C0D"/>
    <w:rsid w:val="000B2C17"/>
    <w:rsid w:val="000B2CE1"/>
    <w:rsid w:val="000B2FAD"/>
    <w:rsid w:val="000B307A"/>
    <w:rsid w:val="000B30CD"/>
    <w:rsid w:val="000B3283"/>
    <w:rsid w:val="000B3373"/>
    <w:rsid w:val="000B3478"/>
    <w:rsid w:val="000B37E6"/>
    <w:rsid w:val="000B38C4"/>
    <w:rsid w:val="000B3AAA"/>
    <w:rsid w:val="000B3BA4"/>
    <w:rsid w:val="000B3BDA"/>
    <w:rsid w:val="000B3E6B"/>
    <w:rsid w:val="000B3FC1"/>
    <w:rsid w:val="000B414C"/>
    <w:rsid w:val="000B41C6"/>
    <w:rsid w:val="000B43C6"/>
    <w:rsid w:val="000B47A7"/>
    <w:rsid w:val="000B48FF"/>
    <w:rsid w:val="000B497E"/>
    <w:rsid w:val="000B4C66"/>
    <w:rsid w:val="000B4D57"/>
    <w:rsid w:val="000B4D7C"/>
    <w:rsid w:val="000B4DD2"/>
    <w:rsid w:val="000B4EBD"/>
    <w:rsid w:val="000B54AE"/>
    <w:rsid w:val="000B58B6"/>
    <w:rsid w:val="000B595A"/>
    <w:rsid w:val="000B5C5B"/>
    <w:rsid w:val="000B5FF0"/>
    <w:rsid w:val="000B607D"/>
    <w:rsid w:val="000B6139"/>
    <w:rsid w:val="000B61F1"/>
    <w:rsid w:val="000B6369"/>
    <w:rsid w:val="000B641A"/>
    <w:rsid w:val="000B647F"/>
    <w:rsid w:val="000B64EA"/>
    <w:rsid w:val="000B66DF"/>
    <w:rsid w:val="000B67EE"/>
    <w:rsid w:val="000B6A5E"/>
    <w:rsid w:val="000B6D6D"/>
    <w:rsid w:val="000B70BC"/>
    <w:rsid w:val="000B7140"/>
    <w:rsid w:val="000B739A"/>
    <w:rsid w:val="000B73B7"/>
    <w:rsid w:val="000B7631"/>
    <w:rsid w:val="000B776B"/>
    <w:rsid w:val="000B7910"/>
    <w:rsid w:val="000B7A33"/>
    <w:rsid w:val="000B7AF5"/>
    <w:rsid w:val="000B7B36"/>
    <w:rsid w:val="000B7E37"/>
    <w:rsid w:val="000C0100"/>
    <w:rsid w:val="000C027E"/>
    <w:rsid w:val="000C0681"/>
    <w:rsid w:val="000C0999"/>
    <w:rsid w:val="000C0E3A"/>
    <w:rsid w:val="000C0EAA"/>
    <w:rsid w:val="000C0FF7"/>
    <w:rsid w:val="000C103F"/>
    <w:rsid w:val="000C109C"/>
    <w:rsid w:val="000C114B"/>
    <w:rsid w:val="000C1679"/>
    <w:rsid w:val="000C1898"/>
    <w:rsid w:val="000C1978"/>
    <w:rsid w:val="000C1A4C"/>
    <w:rsid w:val="000C1A64"/>
    <w:rsid w:val="000C1ADA"/>
    <w:rsid w:val="000C1B81"/>
    <w:rsid w:val="000C1E86"/>
    <w:rsid w:val="000C1EEB"/>
    <w:rsid w:val="000C1F70"/>
    <w:rsid w:val="000C2046"/>
    <w:rsid w:val="000C2650"/>
    <w:rsid w:val="000C2A98"/>
    <w:rsid w:val="000C2CC9"/>
    <w:rsid w:val="000C2E50"/>
    <w:rsid w:val="000C3067"/>
    <w:rsid w:val="000C30DD"/>
    <w:rsid w:val="000C323C"/>
    <w:rsid w:val="000C34EB"/>
    <w:rsid w:val="000C34F0"/>
    <w:rsid w:val="000C3512"/>
    <w:rsid w:val="000C3534"/>
    <w:rsid w:val="000C366F"/>
    <w:rsid w:val="000C3BFA"/>
    <w:rsid w:val="000C3E3B"/>
    <w:rsid w:val="000C4015"/>
    <w:rsid w:val="000C405D"/>
    <w:rsid w:val="000C4440"/>
    <w:rsid w:val="000C45D5"/>
    <w:rsid w:val="000C4733"/>
    <w:rsid w:val="000C4791"/>
    <w:rsid w:val="000C4804"/>
    <w:rsid w:val="000C486E"/>
    <w:rsid w:val="000C4BEC"/>
    <w:rsid w:val="000C4CD3"/>
    <w:rsid w:val="000C52B2"/>
    <w:rsid w:val="000C53D4"/>
    <w:rsid w:val="000C5518"/>
    <w:rsid w:val="000C5720"/>
    <w:rsid w:val="000C5860"/>
    <w:rsid w:val="000C5898"/>
    <w:rsid w:val="000C5ACD"/>
    <w:rsid w:val="000C5E35"/>
    <w:rsid w:val="000C5FFA"/>
    <w:rsid w:val="000C61AB"/>
    <w:rsid w:val="000C6577"/>
    <w:rsid w:val="000C6610"/>
    <w:rsid w:val="000C67C6"/>
    <w:rsid w:val="000C6902"/>
    <w:rsid w:val="000C69CA"/>
    <w:rsid w:val="000C71A3"/>
    <w:rsid w:val="000C728E"/>
    <w:rsid w:val="000C741E"/>
    <w:rsid w:val="000C7511"/>
    <w:rsid w:val="000C755B"/>
    <w:rsid w:val="000C7646"/>
    <w:rsid w:val="000C7708"/>
    <w:rsid w:val="000C7914"/>
    <w:rsid w:val="000C7A75"/>
    <w:rsid w:val="000C7BE4"/>
    <w:rsid w:val="000C7CFB"/>
    <w:rsid w:val="000C7E7C"/>
    <w:rsid w:val="000D02D7"/>
    <w:rsid w:val="000D0536"/>
    <w:rsid w:val="000D057B"/>
    <w:rsid w:val="000D0723"/>
    <w:rsid w:val="000D082B"/>
    <w:rsid w:val="000D090E"/>
    <w:rsid w:val="000D0AEE"/>
    <w:rsid w:val="000D1461"/>
    <w:rsid w:val="000D1B91"/>
    <w:rsid w:val="000D1BB9"/>
    <w:rsid w:val="000D1C63"/>
    <w:rsid w:val="000D1F0B"/>
    <w:rsid w:val="000D1F1E"/>
    <w:rsid w:val="000D20A1"/>
    <w:rsid w:val="000D2364"/>
    <w:rsid w:val="000D23CE"/>
    <w:rsid w:val="000D25EF"/>
    <w:rsid w:val="000D2718"/>
    <w:rsid w:val="000D280C"/>
    <w:rsid w:val="000D333F"/>
    <w:rsid w:val="000D34BD"/>
    <w:rsid w:val="000D3537"/>
    <w:rsid w:val="000D37F7"/>
    <w:rsid w:val="000D38B0"/>
    <w:rsid w:val="000D390C"/>
    <w:rsid w:val="000D3A17"/>
    <w:rsid w:val="000D3D53"/>
    <w:rsid w:val="000D414D"/>
    <w:rsid w:val="000D4395"/>
    <w:rsid w:val="000D45F1"/>
    <w:rsid w:val="000D46FC"/>
    <w:rsid w:val="000D47E4"/>
    <w:rsid w:val="000D4894"/>
    <w:rsid w:val="000D4E86"/>
    <w:rsid w:val="000D4EB1"/>
    <w:rsid w:val="000D51B6"/>
    <w:rsid w:val="000D51D1"/>
    <w:rsid w:val="000D5487"/>
    <w:rsid w:val="000D5579"/>
    <w:rsid w:val="000D5939"/>
    <w:rsid w:val="000D5BB3"/>
    <w:rsid w:val="000D5BD5"/>
    <w:rsid w:val="000D5C1E"/>
    <w:rsid w:val="000D5E9A"/>
    <w:rsid w:val="000D5FC0"/>
    <w:rsid w:val="000D60AC"/>
    <w:rsid w:val="000D60E8"/>
    <w:rsid w:val="000D63FC"/>
    <w:rsid w:val="000D655C"/>
    <w:rsid w:val="000D6660"/>
    <w:rsid w:val="000D66D1"/>
    <w:rsid w:val="000D66DE"/>
    <w:rsid w:val="000D6895"/>
    <w:rsid w:val="000D6953"/>
    <w:rsid w:val="000D6DC4"/>
    <w:rsid w:val="000D6FA4"/>
    <w:rsid w:val="000D708B"/>
    <w:rsid w:val="000D73E2"/>
    <w:rsid w:val="000D744E"/>
    <w:rsid w:val="000D7527"/>
    <w:rsid w:val="000D7721"/>
    <w:rsid w:val="000D7802"/>
    <w:rsid w:val="000D7836"/>
    <w:rsid w:val="000D7B79"/>
    <w:rsid w:val="000D7E3C"/>
    <w:rsid w:val="000D7E48"/>
    <w:rsid w:val="000D7F97"/>
    <w:rsid w:val="000E0200"/>
    <w:rsid w:val="000E0223"/>
    <w:rsid w:val="000E02CF"/>
    <w:rsid w:val="000E0335"/>
    <w:rsid w:val="000E03A7"/>
    <w:rsid w:val="000E07F5"/>
    <w:rsid w:val="000E082D"/>
    <w:rsid w:val="000E0C92"/>
    <w:rsid w:val="000E0E67"/>
    <w:rsid w:val="000E0F23"/>
    <w:rsid w:val="000E1071"/>
    <w:rsid w:val="000E14F3"/>
    <w:rsid w:val="000E15E5"/>
    <w:rsid w:val="000E18B0"/>
    <w:rsid w:val="000E198B"/>
    <w:rsid w:val="000E1A41"/>
    <w:rsid w:val="000E1A9E"/>
    <w:rsid w:val="000E1BF8"/>
    <w:rsid w:val="000E1D21"/>
    <w:rsid w:val="000E245E"/>
    <w:rsid w:val="000E2609"/>
    <w:rsid w:val="000E26CD"/>
    <w:rsid w:val="000E27EA"/>
    <w:rsid w:val="000E2831"/>
    <w:rsid w:val="000E28B0"/>
    <w:rsid w:val="000E2B22"/>
    <w:rsid w:val="000E2C4B"/>
    <w:rsid w:val="000E2D27"/>
    <w:rsid w:val="000E2F2B"/>
    <w:rsid w:val="000E2F5A"/>
    <w:rsid w:val="000E356E"/>
    <w:rsid w:val="000E35F1"/>
    <w:rsid w:val="000E370A"/>
    <w:rsid w:val="000E3A04"/>
    <w:rsid w:val="000E3A37"/>
    <w:rsid w:val="000E3A7F"/>
    <w:rsid w:val="000E3B7F"/>
    <w:rsid w:val="000E3C1E"/>
    <w:rsid w:val="000E3EC4"/>
    <w:rsid w:val="000E3FBC"/>
    <w:rsid w:val="000E4590"/>
    <w:rsid w:val="000E459D"/>
    <w:rsid w:val="000E4750"/>
    <w:rsid w:val="000E4788"/>
    <w:rsid w:val="000E4C9D"/>
    <w:rsid w:val="000E4E61"/>
    <w:rsid w:val="000E51A0"/>
    <w:rsid w:val="000E58AF"/>
    <w:rsid w:val="000E58E0"/>
    <w:rsid w:val="000E596A"/>
    <w:rsid w:val="000E59FD"/>
    <w:rsid w:val="000E5C16"/>
    <w:rsid w:val="000E5E33"/>
    <w:rsid w:val="000E6201"/>
    <w:rsid w:val="000E68CA"/>
    <w:rsid w:val="000E690A"/>
    <w:rsid w:val="000E695D"/>
    <w:rsid w:val="000E699A"/>
    <w:rsid w:val="000E6BE7"/>
    <w:rsid w:val="000E6FA8"/>
    <w:rsid w:val="000E702D"/>
    <w:rsid w:val="000E719A"/>
    <w:rsid w:val="000E72A8"/>
    <w:rsid w:val="000E7303"/>
    <w:rsid w:val="000E75D1"/>
    <w:rsid w:val="000E7C38"/>
    <w:rsid w:val="000E7FD0"/>
    <w:rsid w:val="000F0118"/>
    <w:rsid w:val="000F023F"/>
    <w:rsid w:val="000F0582"/>
    <w:rsid w:val="000F0603"/>
    <w:rsid w:val="000F08AF"/>
    <w:rsid w:val="000F0B16"/>
    <w:rsid w:val="000F0B77"/>
    <w:rsid w:val="000F1404"/>
    <w:rsid w:val="000F1480"/>
    <w:rsid w:val="000F1716"/>
    <w:rsid w:val="000F1A32"/>
    <w:rsid w:val="000F24AC"/>
    <w:rsid w:val="000F2713"/>
    <w:rsid w:val="000F2E1A"/>
    <w:rsid w:val="000F343E"/>
    <w:rsid w:val="000F3948"/>
    <w:rsid w:val="000F39AA"/>
    <w:rsid w:val="000F3B1E"/>
    <w:rsid w:val="000F3CF6"/>
    <w:rsid w:val="000F3D65"/>
    <w:rsid w:val="000F3E17"/>
    <w:rsid w:val="000F3F15"/>
    <w:rsid w:val="000F4058"/>
    <w:rsid w:val="000F43EC"/>
    <w:rsid w:val="000F454E"/>
    <w:rsid w:val="000F46D8"/>
    <w:rsid w:val="000F47D5"/>
    <w:rsid w:val="000F48A0"/>
    <w:rsid w:val="000F493C"/>
    <w:rsid w:val="000F49EA"/>
    <w:rsid w:val="000F4A60"/>
    <w:rsid w:val="000F4D76"/>
    <w:rsid w:val="000F4E7E"/>
    <w:rsid w:val="000F514F"/>
    <w:rsid w:val="000F52C9"/>
    <w:rsid w:val="000F54AD"/>
    <w:rsid w:val="000F577E"/>
    <w:rsid w:val="000F5935"/>
    <w:rsid w:val="000F5A73"/>
    <w:rsid w:val="000F5F64"/>
    <w:rsid w:val="000F60C3"/>
    <w:rsid w:val="000F6354"/>
    <w:rsid w:val="000F63D5"/>
    <w:rsid w:val="000F6650"/>
    <w:rsid w:val="000F6747"/>
    <w:rsid w:val="000F6C35"/>
    <w:rsid w:val="000F6E53"/>
    <w:rsid w:val="000F7126"/>
    <w:rsid w:val="000F71E7"/>
    <w:rsid w:val="000F7275"/>
    <w:rsid w:val="000F7407"/>
    <w:rsid w:val="000F76A1"/>
    <w:rsid w:val="000F77FE"/>
    <w:rsid w:val="000F7AFB"/>
    <w:rsid w:val="000F7BB0"/>
    <w:rsid w:val="000F7CDA"/>
    <w:rsid w:val="000F7D76"/>
    <w:rsid w:val="001002AB"/>
    <w:rsid w:val="00100669"/>
    <w:rsid w:val="0010068B"/>
    <w:rsid w:val="00100830"/>
    <w:rsid w:val="00100D89"/>
    <w:rsid w:val="00100F0B"/>
    <w:rsid w:val="00101519"/>
    <w:rsid w:val="00101721"/>
    <w:rsid w:val="0010195B"/>
    <w:rsid w:val="001019B1"/>
    <w:rsid w:val="00101B5C"/>
    <w:rsid w:val="00101BA0"/>
    <w:rsid w:val="00101DA2"/>
    <w:rsid w:val="00101E67"/>
    <w:rsid w:val="00101ED4"/>
    <w:rsid w:val="00101ED7"/>
    <w:rsid w:val="00101FA5"/>
    <w:rsid w:val="001020E1"/>
    <w:rsid w:val="00102197"/>
    <w:rsid w:val="001021D2"/>
    <w:rsid w:val="00102311"/>
    <w:rsid w:val="0010247B"/>
    <w:rsid w:val="001026A3"/>
    <w:rsid w:val="00102878"/>
    <w:rsid w:val="001028DE"/>
    <w:rsid w:val="00102CB5"/>
    <w:rsid w:val="00102E26"/>
    <w:rsid w:val="00102F10"/>
    <w:rsid w:val="00102FEA"/>
    <w:rsid w:val="00103293"/>
    <w:rsid w:val="001033A4"/>
    <w:rsid w:val="00103442"/>
    <w:rsid w:val="001035F6"/>
    <w:rsid w:val="0010374F"/>
    <w:rsid w:val="00103959"/>
    <w:rsid w:val="00103B50"/>
    <w:rsid w:val="00103CCA"/>
    <w:rsid w:val="00103DE9"/>
    <w:rsid w:val="00103FA7"/>
    <w:rsid w:val="0010413E"/>
    <w:rsid w:val="00104198"/>
    <w:rsid w:val="0010440E"/>
    <w:rsid w:val="00104824"/>
    <w:rsid w:val="001048AE"/>
    <w:rsid w:val="00104CC5"/>
    <w:rsid w:val="00104E16"/>
    <w:rsid w:val="00104ECB"/>
    <w:rsid w:val="00104F41"/>
    <w:rsid w:val="00105153"/>
    <w:rsid w:val="0010517D"/>
    <w:rsid w:val="0010525A"/>
    <w:rsid w:val="00105405"/>
    <w:rsid w:val="001054F9"/>
    <w:rsid w:val="001055C5"/>
    <w:rsid w:val="0010582B"/>
    <w:rsid w:val="00105A47"/>
    <w:rsid w:val="00105ABA"/>
    <w:rsid w:val="00105C4F"/>
    <w:rsid w:val="00105F52"/>
    <w:rsid w:val="0010606B"/>
    <w:rsid w:val="0010634A"/>
    <w:rsid w:val="00106376"/>
    <w:rsid w:val="001069D6"/>
    <w:rsid w:val="00106D10"/>
    <w:rsid w:val="00107244"/>
    <w:rsid w:val="0010748A"/>
    <w:rsid w:val="001074E6"/>
    <w:rsid w:val="00107718"/>
    <w:rsid w:val="00107C66"/>
    <w:rsid w:val="00107EB5"/>
    <w:rsid w:val="00110040"/>
    <w:rsid w:val="00110052"/>
    <w:rsid w:val="0011006F"/>
    <w:rsid w:val="00110158"/>
    <w:rsid w:val="001106DA"/>
    <w:rsid w:val="001107B9"/>
    <w:rsid w:val="00110C86"/>
    <w:rsid w:val="00110DE1"/>
    <w:rsid w:val="00110F5F"/>
    <w:rsid w:val="00111136"/>
    <w:rsid w:val="001111EF"/>
    <w:rsid w:val="00111223"/>
    <w:rsid w:val="00111350"/>
    <w:rsid w:val="0011142F"/>
    <w:rsid w:val="00111643"/>
    <w:rsid w:val="0011166B"/>
    <w:rsid w:val="00111A81"/>
    <w:rsid w:val="00111D10"/>
    <w:rsid w:val="00112203"/>
    <w:rsid w:val="00112486"/>
    <w:rsid w:val="00112539"/>
    <w:rsid w:val="00112579"/>
    <w:rsid w:val="001129D1"/>
    <w:rsid w:val="00112A1C"/>
    <w:rsid w:val="00112BEB"/>
    <w:rsid w:val="00112ED5"/>
    <w:rsid w:val="00113072"/>
    <w:rsid w:val="0011325C"/>
    <w:rsid w:val="0011381F"/>
    <w:rsid w:val="00113B42"/>
    <w:rsid w:val="00113E69"/>
    <w:rsid w:val="00113F1A"/>
    <w:rsid w:val="00114018"/>
    <w:rsid w:val="00114480"/>
    <w:rsid w:val="00114568"/>
    <w:rsid w:val="00114778"/>
    <w:rsid w:val="0011485F"/>
    <w:rsid w:val="001148C2"/>
    <w:rsid w:val="00114954"/>
    <w:rsid w:val="00114C21"/>
    <w:rsid w:val="00115521"/>
    <w:rsid w:val="0011582E"/>
    <w:rsid w:val="001158F2"/>
    <w:rsid w:val="00115B02"/>
    <w:rsid w:val="00115E85"/>
    <w:rsid w:val="00116080"/>
    <w:rsid w:val="00116169"/>
    <w:rsid w:val="001161FC"/>
    <w:rsid w:val="001163D1"/>
    <w:rsid w:val="00116539"/>
    <w:rsid w:val="001166A1"/>
    <w:rsid w:val="00116823"/>
    <w:rsid w:val="001168E3"/>
    <w:rsid w:val="00116AC9"/>
    <w:rsid w:val="00116B75"/>
    <w:rsid w:val="0011726C"/>
    <w:rsid w:val="001176DE"/>
    <w:rsid w:val="0011799C"/>
    <w:rsid w:val="00117E41"/>
    <w:rsid w:val="00117F86"/>
    <w:rsid w:val="00120043"/>
    <w:rsid w:val="00120230"/>
    <w:rsid w:val="00120411"/>
    <w:rsid w:val="00120468"/>
    <w:rsid w:val="0012053E"/>
    <w:rsid w:val="001206A7"/>
    <w:rsid w:val="0012079D"/>
    <w:rsid w:val="00120ADC"/>
    <w:rsid w:val="00120BD1"/>
    <w:rsid w:val="00120E34"/>
    <w:rsid w:val="00120E8D"/>
    <w:rsid w:val="0012121E"/>
    <w:rsid w:val="00121335"/>
    <w:rsid w:val="00121382"/>
    <w:rsid w:val="00121541"/>
    <w:rsid w:val="0012186A"/>
    <w:rsid w:val="00121B5E"/>
    <w:rsid w:val="00121E93"/>
    <w:rsid w:val="00121EDE"/>
    <w:rsid w:val="00121F5D"/>
    <w:rsid w:val="00122706"/>
    <w:rsid w:val="00122B44"/>
    <w:rsid w:val="00122DE6"/>
    <w:rsid w:val="0012359E"/>
    <w:rsid w:val="00123681"/>
    <w:rsid w:val="00123724"/>
    <w:rsid w:val="001238F5"/>
    <w:rsid w:val="00123945"/>
    <w:rsid w:val="00123957"/>
    <w:rsid w:val="00123AB0"/>
    <w:rsid w:val="00123BDF"/>
    <w:rsid w:val="0012410B"/>
    <w:rsid w:val="001241FB"/>
    <w:rsid w:val="00124328"/>
    <w:rsid w:val="0012440C"/>
    <w:rsid w:val="00124462"/>
    <w:rsid w:val="001245F3"/>
    <w:rsid w:val="0012465E"/>
    <w:rsid w:val="0012482B"/>
    <w:rsid w:val="00124A0A"/>
    <w:rsid w:val="00124A7A"/>
    <w:rsid w:val="00124E68"/>
    <w:rsid w:val="00125393"/>
    <w:rsid w:val="0012542E"/>
    <w:rsid w:val="00125666"/>
    <w:rsid w:val="001257EB"/>
    <w:rsid w:val="00125807"/>
    <w:rsid w:val="0012587D"/>
    <w:rsid w:val="00125AD3"/>
    <w:rsid w:val="00125B17"/>
    <w:rsid w:val="001260EA"/>
    <w:rsid w:val="001261A4"/>
    <w:rsid w:val="001261BA"/>
    <w:rsid w:val="00126295"/>
    <w:rsid w:val="00126493"/>
    <w:rsid w:val="0012657B"/>
    <w:rsid w:val="00126F64"/>
    <w:rsid w:val="00127008"/>
    <w:rsid w:val="0012713C"/>
    <w:rsid w:val="00127307"/>
    <w:rsid w:val="00127422"/>
    <w:rsid w:val="001275A6"/>
    <w:rsid w:val="00127654"/>
    <w:rsid w:val="00127678"/>
    <w:rsid w:val="00127CE6"/>
    <w:rsid w:val="001304C4"/>
    <w:rsid w:val="00130541"/>
    <w:rsid w:val="00130719"/>
    <w:rsid w:val="00130B37"/>
    <w:rsid w:val="00130B64"/>
    <w:rsid w:val="00130E70"/>
    <w:rsid w:val="00130FF4"/>
    <w:rsid w:val="001312DE"/>
    <w:rsid w:val="001315A5"/>
    <w:rsid w:val="001315EB"/>
    <w:rsid w:val="001317F7"/>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359"/>
    <w:rsid w:val="001334FF"/>
    <w:rsid w:val="00133878"/>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34"/>
    <w:rsid w:val="001354C7"/>
    <w:rsid w:val="00135DC8"/>
    <w:rsid w:val="00135F3C"/>
    <w:rsid w:val="001363D1"/>
    <w:rsid w:val="001363F1"/>
    <w:rsid w:val="001364BC"/>
    <w:rsid w:val="001366A2"/>
    <w:rsid w:val="00136D26"/>
    <w:rsid w:val="001370BE"/>
    <w:rsid w:val="00137319"/>
    <w:rsid w:val="00137425"/>
    <w:rsid w:val="00137470"/>
    <w:rsid w:val="00140405"/>
    <w:rsid w:val="001408F1"/>
    <w:rsid w:val="001409BF"/>
    <w:rsid w:val="001409FC"/>
    <w:rsid w:val="00140A06"/>
    <w:rsid w:val="00140B17"/>
    <w:rsid w:val="00140B5B"/>
    <w:rsid w:val="00140B81"/>
    <w:rsid w:val="00140C28"/>
    <w:rsid w:val="00141418"/>
    <w:rsid w:val="001416BD"/>
    <w:rsid w:val="0014174F"/>
    <w:rsid w:val="00141A02"/>
    <w:rsid w:val="00141C08"/>
    <w:rsid w:val="00141CA1"/>
    <w:rsid w:val="00141D0A"/>
    <w:rsid w:val="0014201B"/>
    <w:rsid w:val="00142062"/>
    <w:rsid w:val="0014210A"/>
    <w:rsid w:val="00142485"/>
    <w:rsid w:val="001424C8"/>
    <w:rsid w:val="001424F2"/>
    <w:rsid w:val="0014296A"/>
    <w:rsid w:val="00142E31"/>
    <w:rsid w:val="00143061"/>
    <w:rsid w:val="00143335"/>
    <w:rsid w:val="00143391"/>
    <w:rsid w:val="0014367F"/>
    <w:rsid w:val="001438FC"/>
    <w:rsid w:val="00143DDE"/>
    <w:rsid w:val="00143F3D"/>
    <w:rsid w:val="0014413D"/>
    <w:rsid w:val="00144F48"/>
    <w:rsid w:val="00145AB8"/>
    <w:rsid w:val="00145BBD"/>
    <w:rsid w:val="00145BCF"/>
    <w:rsid w:val="00145D7D"/>
    <w:rsid w:val="00145F7E"/>
    <w:rsid w:val="001463CA"/>
    <w:rsid w:val="00146572"/>
    <w:rsid w:val="00146971"/>
    <w:rsid w:val="00146E90"/>
    <w:rsid w:val="0014708A"/>
    <w:rsid w:val="00147197"/>
    <w:rsid w:val="00147721"/>
    <w:rsid w:val="0014776E"/>
    <w:rsid w:val="00147784"/>
    <w:rsid w:val="00147791"/>
    <w:rsid w:val="001477F4"/>
    <w:rsid w:val="0014794A"/>
    <w:rsid w:val="00147B3E"/>
    <w:rsid w:val="00147E99"/>
    <w:rsid w:val="00147F64"/>
    <w:rsid w:val="00150056"/>
    <w:rsid w:val="0015007A"/>
    <w:rsid w:val="001501AF"/>
    <w:rsid w:val="001506C7"/>
    <w:rsid w:val="0015095B"/>
    <w:rsid w:val="00150A4F"/>
    <w:rsid w:val="00150F85"/>
    <w:rsid w:val="00151027"/>
    <w:rsid w:val="00151028"/>
    <w:rsid w:val="0015144C"/>
    <w:rsid w:val="00151521"/>
    <w:rsid w:val="00151572"/>
    <w:rsid w:val="00151969"/>
    <w:rsid w:val="00151B26"/>
    <w:rsid w:val="00151F5E"/>
    <w:rsid w:val="00151F7E"/>
    <w:rsid w:val="001520FA"/>
    <w:rsid w:val="0015220F"/>
    <w:rsid w:val="00152B3C"/>
    <w:rsid w:val="00152D6E"/>
    <w:rsid w:val="00152E1C"/>
    <w:rsid w:val="00153005"/>
    <w:rsid w:val="0015379A"/>
    <w:rsid w:val="001538A6"/>
    <w:rsid w:val="00153952"/>
    <w:rsid w:val="00153983"/>
    <w:rsid w:val="00153AD9"/>
    <w:rsid w:val="00153C3E"/>
    <w:rsid w:val="00153E63"/>
    <w:rsid w:val="00153E64"/>
    <w:rsid w:val="00153F3C"/>
    <w:rsid w:val="001540D4"/>
    <w:rsid w:val="00154153"/>
    <w:rsid w:val="00154223"/>
    <w:rsid w:val="00154492"/>
    <w:rsid w:val="001545E0"/>
    <w:rsid w:val="00154908"/>
    <w:rsid w:val="00154E3C"/>
    <w:rsid w:val="00155050"/>
    <w:rsid w:val="00155265"/>
    <w:rsid w:val="001559B7"/>
    <w:rsid w:val="00155BB1"/>
    <w:rsid w:val="00155DAE"/>
    <w:rsid w:val="0015615D"/>
    <w:rsid w:val="001561D4"/>
    <w:rsid w:val="00156208"/>
    <w:rsid w:val="00156301"/>
    <w:rsid w:val="001565BD"/>
    <w:rsid w:val="00156775"/>
    <w:rsid w:val="00156BB9"/>
    <w:rsid w:val="00157383"/>
    <w:rsid w:val="0015754F"/>
    <w:rsid w:val="001576DD"/>
    <w:rsid w:val="00157717"/>
    <w:rsid w:val="001577FE"/>
    <w:rsid w:val="00157826"/>
    <w:rsid w:val="001579E7"/>
    <w:rsid w:val="00157B10"/>
    <w:rsid w:val="00157DA4"/>
    <w:rsid w:val="00160197"/>
    <w:rsid w:val="00160355"/>
    <w:rsid w:val="00160915"/>
    <w:rsid w:val="00160A74"/>
    <w:rsid w:val="00160B1A"/>
    <w:rsid w:val="00160EB3"/>
    <w:rsid w:val="001616F0"/>
    <w:rsid w:val="00161826"/>
    <w:rsid w:val="00161B04"/>
    <w:rsid w:val="00161DD3"/>
    <w:rsid w:val="00162094"/>
    <w:rsid w:val="001623A4"/>
    <w:rsid w:val="001625B7"/>
    <w:rsid w:val="0016261F"/>
    <w:rsid w:val="001630F8"/>
    <w:rsid w:val="00163149"/>
    <w:rsid w:val="0016323F"/>
    <w:rsid w:val="00163676"/>
    <w:rsid w:val="001636EE"/>
    <w:rsid w:val="001637E5"/>
    <w:rsid w:val="001638B6"/>
    <w:rsid w:val="00163961"/>
    <w:rsid w:val="00163A47"/>
    <w:rsid w:val="00163BF8"/>
    <w:rsid w:val="00163F92"/>
    <w:rsid w:val="001642FB"/>
    <w:rsid w:val="0016449C"/>
    <w:rsid w:val="001645E6"/>
    <w:rsid w:val="00164681"/>
    <w:rsid w:val="00164721"/>
    <w:rsid w:val="00164785"/>
    <w:rsid w:val="00164CE6"/>
    <w:rsid w:val="00164DD5"/>
    <w:rsid w:val="001650A6"/>
    <w:rsid w:val="0016516B"/>
    <w:rsid w:val="0016532D"/>
    <w:rsid w:val="00165345"/>
    <w:rsid w:val="00165465"/>
    <w:rsid w:val="00165769"/>
    <w:rsid w:val="00165A0B"/>
    <w:rsid w:val="00165C19"/>
    <w:rsid w:val="00165D60"/>
    <w:rsid w:val="001661B4"/>
    <w:rsid w:val="001661D6"/>
    <w:rsid w:val="00166332"/>
    <w:rsid w:val="001663A4"/>
    <w:rsid w:val="001663DB"/>
    <w:rsid w:val="0016643E"/>
    <w:rsid w:val="001664C3"/>
    <w:rsid w:val="001666E5"/>
    <w:rsid w:val="0016679D"/>
    <w:rsid w:val="00166919"/>
    <w:rsid w:val="00166C29"/>
    <w:rsid w:val="00166E70"/>
    <w:rsid w:val="00166F5E"/>
    <w:rsid w:val="00167305"/>
    <w:rsid w:val="001674CC"/>
    <w:rsid w:val="00167650"/>
    <w:rsid w:val="001676ED"/>
    <w:rsid w:val="001700A5"/>
    <w:rsid w:val="001700B5"/>
    <w:rsid w:val="001702E0"/>
    <w:rsid w:val="001705FC"/>
    <w:rsid w:val="0017076B"/>
    <w:rsid w:val="00170888"/>
    <w:rsid w:val="00170AFC"/>
    <w:rsid w:val="00170BD3"/>
    <w:rsid w:val="0017105B"/>
    <w:rsid w:val="00171357"/>
    <w:rsid w:val="001716AB"/>
    <w:rsid w:val="00171872"/>
    <w:rsid w:val="001718D9"/>
    <w:rsid w:val="001719EA"/>
    <w:rsid w:val="00172295"/>
    <w:rsid w:val="0017264A"/>
    <w:rsid w:val="00172D10"/>
    <w:rsid w:val="00172D59"/>
    <w:rsid w:val="00172ED9"/>
    <w:rsid w:val="00172F37"/>
    <w:rsid w:val="00172F62"/>
    <w:rsid w:val="00173099"/>
    <w:rsid w:val="001730C2"/>
    <w:rsid w:val="001730D9"/>
    <w:rsid w:val="001734D5"/>
    <w:rsid w:val="001738A9"/>
    <w:rsid w:val="00173BC9"/>
    <w:rsid w:val="00173BFF"/>
    <w:rsid w:val="00173C40"/>
    <w:rsid w:val="00173D90"/>
    <w:rsid w:val="00173E07"/>
    <w:rsid w:val="00174654"/>
    <w:rsid w:val="001747EB"/>
    <w:rsid w:val="00174843"/>
    <w:rsid w:val="00174CD1"/>
    <w:rsid w:val="001750CD"/>
    <w:rsid w:val="001752C8"/>
    <w:rsid w:val="0017543A"/>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0EA"/>
    <w:rsid w:val="001807A9"/>
    <w:rsid w:val="00180812"/>
    <w:rsid w:val="0018082C"/>
    <w:rsid w:val="00180C02"/>
    <w:rsid w:val="00180C73"/>
    <w:rsid w:val="00180CA5"/>
    <w:rsid w:val="00180DB8"/>
    <w:rsid w:val="00180DD5"/>
    <w:rsid w:val="00180F59"/>
    <w:rsid w:val="001810AC"/>
    <w:rsid w:val="0018161C"/>
    <w:rsid w:val="0018176E"/>
    <w:rsid w:val="001818CE"/>
    <w:rsid w:val="00181A1B"/>
    <w:rsid w:val="00181DFD"/>
    <w:rsid w:val="001821DE"/>
    <w:rsid w:val="00182429"/>
    <w:rsid w:val="001824D3"/>
    <w:rsid w:val="001824FF"/>
    <w:rsid w:val="00182D7D"/>
    <w:rsid w:val="00182F24"/>
    <w:rsid w:val="001831CD"/>
    <w:rsid w:val="001832C4"/>
    <w:rsid w:val="001833D0"/>
    <w:rsid w:val="00183592"/>
    <w:rsid w:val="0018363F"/>
    <w:rsid w:val="00183764"/>
    <w:rsid w:val="001839A0"/>
    <w:rsid w:val="00183A22"/>
    <w:rsid w:val="00183EF3"/>
    <w:rsid w:val="001843EF"/>
    <w:rsid w:val="001844BB"/>
    <w:rsid w:val="001844C3"/>
    <w:rsid w:val="00184870"/>
    <w:rsid w:val="00184950"/>
    <w:rsid w:val="00184EF9"/>
    <w:rsid w:val="00184FD0"/>
    <w:rsid w:val="00185069"/>
    <w:rsid w:val="001852B6"/>
    <w:rsid w:val="00185546"/>
    <w:rsid w:val="00185816"/>
    <w:rsid w:val="00185928"/>
    <w:rsid w:val="00185CBE"/>
    <w:rsid w:val="00185CCB"/>
    <w:rsid w:val="00185D07"/>
    <w:rsid w:val="001860F4"/>
    <w:rsid w:val="001864D1"/>
    <w:rsid w:val="00186B84"/>
    <w:rsid w:val="00186CA2"/>
    <w:rsid w:val="00186CD2"/>
    <w:rsid w:val="0018707E"/>
    <w:rsid w:val="001870AB"/>
    <w:rsid w:val="001870FE"/>
    <w:rsid w:val="00187102"/>
    <w:rsid w:val="00187221"/>
    <w:rsid w:val="001872B2"/>
    <w:rsid w:val="00187488"/>
    <w:rsid w:val="001876ED"/>
    <w:rsid w:val="00187749"/>
    <w:rsid w:val="00187849"/>
    <w:rsid w:val="0018789B"/>
    <w:rsid w:val="0018792D"/>
    <w:rsid w:val="00187997"/>
    <w:rsid w:val="00187B9B"/>
    <w:rsid w:val="00187E15"/>
    <w:rsid w:val="00187E5B"/>
    <w:rsid w:val="00187E74"/>
    <w:rsid w:val="00187F9D"/>
    <w:rsid w:val="00187FBE"/>
    <w:rsid w:val="00190163"/>
    <w:rsid w:val="0019024F"/>
    <w:rsid w:val="0019086F"/>
    <w:rsid w:val="001908F8"/>
    <w:rsid w:val="00190A1E"/>
    <w:rsid w:val="001912E2"/>
    <w:rsid w:val="00191A2A"/>
    <w:rsid w:val="00191BF5"/>
    <w:rsid w:val="00191C56"/>
    <w:rsid w:val="00191DD2"/>
    <w:rsid w:val="00191E0F"/>
    <w:rsid w:val="00191EC5"/>
    <w:rsid w:val="001920C5"/>
    <w:rsid w:val="001922AC"/>
    <w:rsid w:val="001922F8"/>
    <w:rsid w:val="001922FE"/>
    <w:rsid w:val="0019262E"/>
    <w:rsid w:val="00192AF8"/>
    <w:rsid w:val="00192DC8"/>
    <w:rsid w:val="00192E36"/>
    <w:rsid w:val="00192ED2"/>
    <w:rsid w:val="00192F57"/>
    <w:rsid w:val="001930FC"/>
    <w:rsid w:val="001932A6"/>
    <w:rsid w:val="0019344A"/>
    <w:rsid w:val="00193567"/>
    <w:rsid w:val="001939BF"/>
    <w:rsid w:val="00193D1E"/>
    <w:rsid w:val="00193FA0"/>
    <w:rsid w:val="001946EE"/>
    <w:rsid w:val="0019484D"/>
    <w:rsid w:val="00194A0F"/>
    <w:rsid w:val="00194BD5"/>
    <w:rsid w:val="00194D19"/>
    <w:rsid w:val="00195512"/>
    <w:rsid w:val="00196088"/>
    <w:rsid w:val="001962D1"/>
    <w:rsid w:val="00196558"/>
    <w:rsid w:val="001965B8"/>
    <w:rsid w:val="00196902"/>
    <w:rsid w:val="00196BE4"/>
    <w:rsid w:val="00196CC1"/>
    <w:rsid w:val="001970C6"/>
    <w:rsid w:val="001971D4"/>
    <w:rsid w:val="00197294"/>
    <w:rsid w:val="001974CD"/>
    <w:rsid w:val="00197522"/>
    <w:rsid w:val="001976A1"/>
    <w:rsid w:val="0019786E"/>
    <w:rsid w:val="00197A47"/>
    <w:rsid w:val="001A01B9"/>
    <w:rsid w:val="001A02EB"/>
    <w:rsid w:val="001A0303"/>
    <w:rsid w:val="001A03B3"/>
    <w:rsid w:val="001A066C"/>
    <w:rsid w:val="001A06E0"/>
    <w:rsid w:val="001A090B"/>
    <w:rsid w:val="001A0C22"/>
    <w:rsid w:val="001A0CB3"/>
    <w:rsid w:val="001A0D6D"/>
    <w:rsid w:val="001A102F"/>
    <w:rsid w:val="001A14A4"/>
    <w:rsid w:val="001A1572"/>
    <w:rsid w:val="001A17A3"/>
    <w:rsid w:val="001A183D"/>
    <w:rsid w:val="001A1B86"/>
    <w:rsid w:val="001A1CA7"/>
    <w:rsid w:val="001A1CAD"/>
    <w:rsid w:val="001A1DC1"/>
    <w:rsid w:val="001A2019"/>
    <w:rsid w:val="001A2024"/>
    <w:rsid w:val="001A25C5"/>
    <w:rsid w:val="001A2787"/>
    <w:rsid w:val="001A2A80"/>
    <w:rsid w:val="001A2C40"/>
    <w:rsid w:val="001A2D05"/>
    <w:rsid w:val="001A3205"/>
    <w:rsid w:val="001A3266"/>
    <w:rsid w:val="001A332F"/>
    <w:rsid w:val="001A334D"/>
    <w:rsid w:val="001A3653"/>
    <w:rsid w:val="001A3A1C"/>
    <w:rsid w:val="001A3A62"/>
    <w:rsid w:val="001A3C4B"/>
    <w:rsid w:val="001A4016"/>
    <w:rsid w:val="001A4259"/>
    <w:rsid w:val="001A446E"/>
    <w:rsid w:val="001A44B7"/>
    <w:rsid w:val="001A45AB"/>
    <w:rsid w:val="001A4C2D"/>
    <w:rsid w:val="001A4D24"/>
    <w:rsid w:val="001A4FE4"/>
    <w:rsid w:val="001A50BC"/>
    <w:rsid w:val="001A50E4"/>
    <w:rsid w:val="001A53FD"/>
    <w:rsid w:val="001A554D"/>
    <w:rsid w:val="001A5632"/>
    <w:rsid w:val="001A5720"/>
    <w:rsid w:val="001A58FB"/>
    <w:rsid w:val="001A59BE"/>
    <w:rsid w:val="001A5B7A"/>
    <w:rsid w:val="001A5E1E"/>
    <w:rsid w:val="001A5EB0"/>
    <w:rsid w:val="001A5EFC"/>
    <w:rsid w:val="001A5FC1"/>
    <w:rsid w:val="001A602A"/>
    <w:rsid w:val="001A61A3"/>
    <w:rsid w:val="001A63A1"/>
    <w:rsid w:val="001A63A2"/>
    <w:rsid w:val="001A65C7"/>
    <w:rsid w:val="001A6647"/>
    <w:rsid w:val="001A6852"/>
    <w:rsid w:val="001A68DD"/>
    <w:rsid w:val="001A695B"/>
    <w:rsid w:val="001A6B5F"/>
    <w:rsid w:val="001A6BBB"/>
    <w:rsid w:val="001A6E9C"/>
    <w:rsid w:val="001A6ED0"/>
    <w:rsid w:val="001A6F52"/>
    <w:rsid w:val="001A7123"/>
    <w:rsid w:val="001A73E8"/>
    <w:rsid w:val="001A7453"/>
    <w:rsid w:val="001A7460"/>
    <w:rsid w:val="001A77FD"/>
    <w:rsid w:val="001A7968"/>
    <w:rsid w:val="001A79CF"/>
    <w:rsid w:val="001A7A26"/>
    <w:rsid w:val="001A7F9C"/>
    <w:rsid w:val="001B001A"/>
    <w:rsid w:val="001B0178"/>
    <w:rsid w:val="001B03A0"/>
    <w:rsid w:val="001B0427"/>
    <w:rsid w:val="001B05D9"/>
    <w:rsid w:val="001B061B"/>
    <w:rsid w:val="001B079F"/>
    <w:rsid w:val="001B07D6"/>
    <w:rsid w:val="001B0814"/>
    <w:rsid w:val="001B0918"/>
    <w:rsid w:val="001B0ADD"/>
    <w:rsid w:val="001B0B46"/>
    <w:rsid w:val="001B0E7D"/>
    <w:rsid w:val="001B0FAC"/>
    <w:rsid w:val="001B100D"/>
    <w:rsid w:val="001B1034"/>
    <w:rsid w:val="001B1499"/>
    <w:rsid w:val="001B15A6"/>
    <w:rsid w:val="001B17DA"/>
    <w:rsid w:val="001B1A64"/>
    <w:rsid w:val="001B1B45"/>
    <w:rsid w:val="001B1BC5"/>
    <w:rsid w:val="001B1C3B"/>
    <w:rsid w:val="001B1C41"/>
    <w:rsid w:val="001B1CD7"/>
    <w:rsid w:val="001B251D"/>
    <w:rsid w:val="001B296B"/>
    <w:rsid w:val="001B2A14"/>
    <w:rsid w:val="001B31D0"/>
    <w:rsid w:val="001B31FB"/>
    <w:rsid w:val="001B35F9"/>
    <w:rsid w:val="001B3705"/>
    <w:rsid w:val="001B3734"/>
    <w:rsid w:val="001B3A7C"/>
    <w:rsid w:val="001B3DCD"/>
    <w:rsid w:val="001B3EB5"/>
    <w:rsid w:val="001B400F"/>
    <w:rsid w:val="001B4075"/>
    <w:rsid w:val="001B42A3"/>
    <w:rsid w:val="001B43E8"/>
    <w:rsid w:val="001B4508"/>
    <w:rsid w:val="001B459A"/>
    <w:rsid w:val="001B4792"/>
    <w:rsid w:val="001B4D25"/>
    <w:rsid w:val="001B4D98"/>
    <w:rsid w:val="001B4E0C"/>
    <w:rsid w:val="001B5070"/>
    <w:rsid w:val="001B51CB"/>
    <w:rsid w:val="001B533B"/>
    <w:rsid w:val="001B54BE"/>
    <w:rsid w:val="001B56D9"/>
    <w:rsid w:val="001B572C"/>
    <w:rsid w:val="001B57D4"/>
    <w:rsid w:val="001B627A"/>
    <w:rsid w:val="001B6448"/>
    <w:rsid w:val="001B69DD"/>
    <w:rsid w:val="001B6B7E"/>
    <w:rsid w:val="001B6BAD"/>
    <w:rsid w:val="001B6F81"/>
    <w:rsid w:val="001B70A1"/>
    <w:rsid w:val="001B76B5"/>
    <w:rsid w:val="001B7802"/>
    <w:rsid w:val="001B7D65"/>
    <w:rsid w:val="001B7D87"/>
    <w:rsid w:val="001B7E7B"/>
    <w:rsid w:val="001C0383"/>
    <w:rsid w:val="001C0463"/>
    <w:rsid w:val="001C04E3"/>
    <w:rsid w:val="001C04FE"/>
    <w:rsid w:val="001C10DE"/>
    <w:rsid w:val="001C11EB"/>
    <w:rsid w:val="001C13D8"/>
    <w:rsid w:val="001C151B"/>
    <w:rsid w:val="001C15ED"/>
    <w:rsid w:val="001C17B1"/>
    <w:rsid w:val="001C18FB"/>
    <w:rsid w:val="001C19DF"/>
    <w:rsid w:val="001C1B45"/>
    <w:rsid w:val="001C1CE9"/>
    <w:rsid w:val="001C1FB2"/>
    <w:rsid w:val="001C1FCF"/>
    <w:rsid w:val="001C2232"/>
    <w:rsid w:val="001C25DA"/>
    <w:rsid w:val="001C2668"/>
    <w:rsid w:val="001C2D6D"/>
    <w:rsid w:val="001C2EEF"/>
    <w:rsid w:val="001C31B9"/>
    <w:rsid w:val="001C3321"/>
    <w:rsid w:val="001C3584"/>
    <w:rsid w:val="001C394A"/>
    <w:rsid w:val="001C3D04"/>
    <w:rsid w:val="001C3EC5"/>
    <w:rsid w:val="001C4423"/>
    <w:rsid w:val="001C4510"/>
    <w:rsid w:val="001C46B9"/>
    <w:rsid w:val="001C4737"/>
    <w:rsid w:val="001C4833"/>
    <w:rsid w:val="001C48DA"/>
    <w:rsid w:val="001C4B1B"/>
    <w:rsid w:val="001C580F"/>
    <w:rsid w:val="001C58C0"/>
    <w:rsid w:val="001C592C"/>
    <w:rsid w:val="001C5C8A"/>
    <w:rsid w:val="001C5E12"/>
    <w:rsid w:val="001C6197"/>
    <w:rsid w:val="001C65AE"/>
    <w:rsid w:val="001C680C"/>
    <w:rsid w:val="001C68EB"/>
    <w:rsid w:val="001C6B35"/>
    <w:rsid w:val="001C6E36"/>
    <w:rsid w:val="001C6ECF"/>
    <w:rsid w:val="001C6F47"/>
    <w:rsid w:val="001C7433"/>
    <w:rsid w:val="001C747B"/>
    <w:rsid w:val="001C77BC"/>
    <w:rsid w:val="001C77DB"/>
    <w:rsid w:val="001C79E6"/>
    <w:rsid w:val="001C79EE"/>
    <w:rsid w:val="001C7BBA"/>
    <w:rsid w:val="001C7C96"/>
    <w:rsid w:val="001C7CF5"/>
    <w:rsid w:val="001C7D9C"/>
    <w:rsid w:val="001D00BA"/>
    <w:rsid w:val="001D0217"/>
    <w:rsid w:val="001D03B9"/>
    <w:rsid w:val="001D0413"/>
    <w:rsid w:val="001D0733"/>
    <w:rsid w:val="001D091B"/>
    <w:rsid w:val="001D0AC4"/>
    <w:rsid w:val="001D0D78"/>
    <w:rsid w:val="001D0EF8"/>
    <w:rsid w:val="001D0FE7"/>
    <w:rsid w:val="001D112C"/>
    <w:rsid w:val="001D11F0"/>
    <w:rsid w:val="001D171E"/>
    <w:rsid w:val="001D2280"/>
    <w:rsid w:val="001D27B6"/>
    <w:rsid w:val="001D2BA0"/>
    <w:rsid w:val="001D35D5"/>
    <w:rsid w:val="001D3722"/>
    <w:rsid w:val="001D3813"/>
    <w:rsid w:val="001D39D7"/>
    <w:rsid w:val="001D3B0F"/>
    <w:rsid w:val="001D3DAC"/>
    <w:rsid w:val="001D4080"/>
    <w:rsid w:val="001D4188"/>
    <w:rsid w:val="001D41D1"/>
    <w:rsid w:val="001D41E2"/>
    <w:rsid w:val="001D437D"/>
    <w:rsid w:val="001D45BA"/>
    <w:rsid w:val="001D4679"/>
    <w:rsid w:val="001D48E3"/>
    <w:rsid w:val="001D4997"/>
    <w:rsid w:val="001D4B50"/>
    <w:rsid w:val="001D4D89"/>
    <w:rsid w:val="001D4F82"/>
    <w:rsid w:val="001D5301"/>
    <w:rsid w:val="001D5466"/>
    <w:rsid w:val="001D585C"/>
    <w:rsid w:val="001D5903"/>
    <w:rsid w:val="001D595B"/>
    <w:rsid w:val="001D59BC"/>
    <w:rsid w:val="001D5B41"/>
    <w:rsid w:val="001D5C65"/>
    <w:rsid w:val="001D5D1B"/>
    <w:rsid w:val="001D5F00"/>
    <w:rsid w:val="001D670F"/>
    <w:rsid w:val="001D68FE"/>
    <w:rsid w:val="001D6923"/>
    <w:rsid w:val="001D6964"/>
    <w:rsid w:val="001D6C21"/>
    <w:rsid w:val="001D6DC1"/>
    <w:rsid w:val="001D72EF"/>
    <w:rsid w:val="001D7541"/>
    <w:rsid w:val="001D7715"/>
    <w:rsid w:val="001D7E6D"/>
    <w:rsid w:val="001E0259"/>
    <w:rsid w:val="001E035B"/>
    <w:rsid w:val="001E03CE"/>
    <w:rsid w:val="001E05B7"/>
    <w:rsid w:val="001E0A98"/>
    <w:rsid w:val="001E0B9A"/>
    <w:rsid w:val="001E0C41"/>
    <w:rsid w:val="001E0CEF"/>
    <w:rsid w:val="001E0F21"/>
    <w:rsid w:val="001E0F6D"/>
    <w:rsid w:val="001E15FE"/>
    <w:rsid w:val="001E161D"/>
    <w:rsid w:val="001E17B2"/>
    <w:rsid w:val="001E1BB8"/>
    <w:rsid w:val="001E1F2E"/>
    <w:rsid w:val="001E2175"/>
    <w:rsid w:val="001E21EA"/>
    <w:rsid w:val="001E2351"/>
    <w:rsid w:val="001E2525"/>
    <w:rsid w:val="001E2729"/>
    <w:rsid w:val="001E2862"/>
    <w:rsid w:val="001E295A"/>
    <w:rsid w:val="001E2A37"/>
    <w:rsid w:val="001E2C18"/>
    <w:rsid w:val="001E34A4"/>
    <w:rsid w:val="001E3584"/>
    <w:rsid w:val="001E35FD"/>
    <w:rsid w:val="001E3A51"/>
    <w:rsid w:val="001E3B09"/>
    <w:rsid w:val="001E3B15"/>
    <w:rsid w:val="001E3C0D"/>
    <w:rsid w:val="001E436A"/>
    <w:rsid w:val="001E44C6"/>
    <w:rsid w:val="001E45D5"/>
    <w:rsid w:val="001E462A"/>
    <w:rsid w:val="001E4B3A"/>
    <w:rsid w:val="001E4C0D"/>
    <w:rsid w:val="001E506B"/>
    <w:rsid w:val="001E509F"/>
    <w:rsid w:val="001E519F"/>
    <w:rsid w:val="001E5308"/>
    <w:rsid w:val="001E5462"/>
    <w:rsid w:val="001E5475"/>
    <w:rsid w:val="001E549E"/>
    <w:rsid w:val="001E58C1"/>
    <w:rsid w:val="001E5CE5"/>
    <w:rsid w:val="001E5D29"/>
    <w:rsid w:val="001E5E9C"/>
    <w:rsid w:val="001E60BD"/>
    <w:rsid w:val="001E6125"/>
    <w:rsid w:val="001E63C7"/>
    <w:rsid w:val="001E6428"/>
    <w:rsid w:val="001E65C4"/>
    <w:rsid w:val="001E69E0"/>
    <w:rsid w:val="001E74CA"/>
    <w:rsid w:val="001E74D6"/>
    <w:rsid w:val="001E7518"/>
    <w:rsid w:val="001E758F"/>
    <w:rsid w:val="001E765C"/>
    <w:rsid w:val="001E7741"/>
    <w:rsid w:val="001E77A4"/>
    <w:rsid w:val="001E77D1"/>
    <w:rsid w:val="001E787B"/>
    <w:rsid w:val="001E79DD"/>
    <w:rsid w:val="001E79E2"/>
    <w:rsid w:val="001E7C26"/>
    <w:rsid w:val="001F0008"/>
    <w:rsid w:val="001F00BC"/>
    <w:rsid w:val="001F04D8"/>
    <w:rsid w:val="001F0602"/>
    <w:rsid w:val="001F08E5"/>
    <w:rsid w:val="001F09AF"/>
    <w:rsid w:val="001F0A12"/>
    <w:rsid w:val="001F0B89"/>
    <w:rsid w:val="001F0C8D"/>
    <w:rsid w:val="001F1458"/>
    <w:rsid w:val="001F162D"/>
    <w:rsid w:val="001F1A7E"/>
    <w:rsid w:val="001F1ACF"/>
    <w:rsid w:val="001F1F32"/>
    <w:rsid w:val="001F201C"/>
    <w:rsid w:val="001F219E"/>
    <w:rsid w:val="001F2403"/>
    <w:rsid w:val="001F25BD"/>
    <w:rsid w:val="001F25EF"/>
    <w:rsid w:val="001F28BF"/>
    <w:rsid w:val="001F28DC"/>
    <w:rsid w:val="001F2C05"/>
    <w:rsid w:val="001F2E05"/>
    <w:rsid w:val="001F34E1"/>
    <w:rsid w:val="001F37CE"/>
    <w:rsid w:val="001F3906"/>
    <w:rsid w:val="001F3B91"/>
    <w:rsid w:val="001F3D7C"/>
    <w:rsid w:val="001F4229"/>
    <w:rsid w:val="001F4355"/>
    <w:rsid w:val="001F452E"/>
    <w:rsid w:val="001F475C"/>
    <w:rsid w:val="001F4A26"/>
    <w:rsid w:val="001F4BD7"/>
    <w:rsid w:val="001F4C53"/>
    <w:rsid w:val="001F4D28"/>
    <w:rsid w:val="001F4E1E"/>
    <w:rsid w:val="001F4F9A"/>
    <w:rsid w:val="001F51CB"/>
    <w:rsid w:val="001F51F6"/>
    <w:rsid w:val="001F5646"/>
    <w:rsid w:val="001F56D3"/>
    <w:rsid w:val="001F57FF"/>
    <w:rsid w:val="001F58F5"/>
    <w:rsid w:val="001F5956"/>
    <w:rsid w:val="001F5A25"/>
    <w:rsid w:val="001F5A4A"/>
    <w:rsid w:val="001F5AE6"/>
    <w:rsid w:val="001F5B4A"/>
    <w:rsid w:val="001F5C00"/>
    <w:rsid w:val="001F5C30"/>
    <w:rsid w:val="001F5C54"/>
    <w:rsid w:val="001F5D90"/>
    <w:rsid w:val="001F61D7"/>
    <w:rsid w:val="001F6B23"/>
    <w:rsid w:val="001F6BCF"/>
    <w:rsid w:val="001F6C18"/>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DC2"/>
    <w:rsid w:val="0020232A"/>
    <w:rsid w:val="00202541"/>
    <w:rsid w:val="002026BF"/>
    <w:rsid w:val="00202A30"/>
    <w:rsid w:val="00202A5F"/>
    <w:rsid w:val="00202DA7"/>
    <w:rsid w:val="00202F74"/>
    <w:rsid w:val="0020318B"/>
    <w:rsid w:val="002031AB"/>
    <w:rsid w:val="00203310"/>
    <w:rsid w:val="0020347A"/>
    <w:rsid w:val="002036AA"/>
    <w:rsid w:val="00203B39"/>
    <w:rsid w:val="00203B3C"/>
    <w:rsid w:val="00203D52"/>
    <w:rsid w:val="00203DB2"/>
    <w:rsid w:val="00203E7E"/>
    <w:rsid w:val="002040C7"/>
    <w:rsid w:val="002044AA"/>
    <w:rsid w:val="00204734"/>
    <w:rsid w:val="00204843"/>
    <w:rsid w:val="00204B36"/>
    <w:rsid w:val="00204BAA"/>
    <w:rsid w:val="00204CEC"/>
    <w:rsid w:val="00204DF5"/>
    <w:rsid w:val="00205236"/>
    <w:rsid w:val="002053E2"/>
    <w:rsid w:val="0020559E"/>
    <w:rsid w:val="00205B3A"/>
    <w:rsid w:val="00205F15"/>
    <w:rsid w:val="0020610A"/>
    <w:rsid w:val="002064C9"/>
    <w:rsid w:val="00206676"/>
    <w:rsid w:val="0020687E"/>
    <w:rsid w:val="00206A85"/>
    <w:rsid w:val="00206CA4"/>
    <w:rsid w:val="002070EA"/>
    <w:rsid w:val="0020712A"/>
    <w:rsid w:val="00207700"/>
    <w:rsid w:val="00207853"/>
    <w:rsid w:val="002079D9"/>
    <w:rsid w:val="00207A8D"/>
    <w:rsid w:val="00210269"/>
    <w:rsid w:val="002105BF"/>
    <w:rsid w:val="00210F5F"/>
    <w:rsid w:val="00210FDF"/>
    <w:rsid w:val="00210FF4"/>
    <w:rsid w:val="002111C6"/>
    <w:rsid w:val="00211279"/>
    <w:rsid w:val="002113EB"/>
    <w:rsid w:val="002118CB"/>
    <w:rsid w:val="0021193D"/>
    <w:rsid w:val="00211B2F"/>
    <w:rsid w:val="00211B32"/>
    <w:rsid w:val="00211BD9"/>
    <w:rsid w:val="00211C2B"/>
    <w:rsid w:val="00211D11"/>
    <w:rsid w:val="00211D71"/>
    <w:rsid w:val="00211FFF"/>
    <w:rsid w:val="002120C0"/>
    <w:rsid w:val="00212222"/>
    <w:rsid w:val="00212706"/>
    <w:rsid w:val="002128AE"/>
    <w:rsid w:val="00212B11"/>
    <w:rsid w:val="00212B99"/>
    <w:rsid w:val="00212FD8"/>
    <w:rsid w:val="0021304A"/>
    <w:rsid w:val="002130AE"/>
    <w:rsid w:val="002134DA"/>
    <w:rsid w:val="0021353E"/>
    <w:rsid w:val="0021365E"/>
    <w:rsid w:val="002136AD"/>
    <w:rsid w:val="0021393D"/>
    <w:rsid w:val="00213A2B"/>
    <w:rsid w:val="00213AA0"/>
    <w:rsid w:val="00213D55"/>
    <w:rsid w:val="002141CA"/>
    <w:rsid w:val="002142D3"/>
    <w:rsid w:val="0021443E"/>
    <w:rsid w:val="002144DE"/>
    <w:rsid w:val="002146CF"/>
    <w:rsid w:val="002147CD"/>
    <w:rsid w:val="002147D6"/>
    <w:rsid w:val="002148BF"/>
    <w:rsid w:val="00214A3D"/>
    <w:rsid w:val="00214E34"/>
    <w:rsid w:val="00215065"/>
    <w:rsid w:val="002150B5"/>
    <w:rsid w:val="00215329"/>
    <w:rsid w:val="0021540F"/>
    <w:rsid w:val="0021560F"/>
    <w:rsid w:val="00215619"/>
    <w:rsid w:val="0021564D"/>
    <w:rsid w:val="00215821"/>
    <w:rsid w:val="00215A04"/>
    <w:rsid w:val="00215C09"/>
    <w:rsid w:val="00215CD9"/>
    <w:rsid w:val="00215D24"/>
    <w:rsid w:val="00215D55"/>
    <w:rsid w:val="00215DA9"/>
    <w:rsid w:val="002164C2"/>
    <w:rsid w:val="0021653C"/>
    <w:rsid w:val="00216840"/>
    <w:rsid w:val="00216DD8"/>
    <w:rsid w:val="0021709E"/>
    <w:rsid w:val="002171ED"/>
    <w:rsid w:val="0021726E"/>
    <w:rsid w:val="002172CA"/>
    <w:rsid w:val="002178CA"/>
    <w:rsid w:val="00217919"/>
    <w:rsid w:val="002179F6"/>
    <w:rsid w:val="00217D07"/>
    <w:rsid w:val="00217E30"/>
    <w:rsid w:val="00217E33"/>
    <w:rsid w:val="00217E48"/>
    <w:rsid w:val="002202DD"/>
    <w:rsid w:val="00220EC6"/>
    <w:rsid w:val="002210AF"/>
    <w:rsid w:val="002212B8"/>
    <w:rsid w:val="002216B1"/>
    <w:rsid w:val="0022186A"/>
    <w:rsid w:val="00221A73"/>
    <w:rsid w:val="00221B95"/>
    <w:rsid w:val="00221CAB"/>
    <w:rsid w:val="00221CDB"/>
    <w:rsid w:val="00221CDE"/>
    <w:rsid w:val="00221D83"/>
    <w:rsid w:val="00221F6F"/>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AC6"/>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C82"/>
    <w:rsid w:val="00227EC2"/>
    <w:rsid w:val="00230277"/>
    <w:rsid w:val="0023029C"/>
    <w:rsid w:val="002302FC"/>
    <w:rsid w:val="002303C6"/>
    <w:rsid w:val="00230D30"/>
    <w:rsid w:val="00230DC9"/>
    <w:rsid w:val="00230DD6"/>
    <w:rsid w:val="00230EE6"/>
    <w:rsid w:val="00230F07"/>
    <w:rsid w:val="0023133E"/>
    <w:rsid w:val="0023153C"/>
    <w:rsid w:val="0023194F"/>
    <w:rsid w:val="002319B1"/>
    <w:rsid w:val="00231CD6"/>
    <w:rsid w:val="00231DFE"/>
    <w:rsid w:val="00232166"/>
    <w:rsid w:val="00232359"/>
    <w:rsid w:val="00232631"/>
    <w:rsid w:val="00232638"/>
    <w:rsid w:val="00232BAA"/>
    <w:rsid w:val="00232DF2"/>
    <w:rsid w:val="00232E14"/>
    <w:rsid w:val="00232E5E"/>
    <w:rsid w:val="0023356F"/>
    <w:rsid w:val="00233656"/>
    <w:rsid w:val="00233749"/>
    <w:rsid w:val="002338E8"/>
    <w:rsid w:val="00233983"/>
    <w:rsid w:val="00233B5C"/>
    <w:rsid w:val="00233CA9"/>
    <w:rsid w:val="00233E26"/>
    <w:rsid w:val="00233E5C"/>
    <w:rsid w:val="00233ED8"/>
    <w:rsid w:val="00233FD6"/>
    <w:rsid w:val="0023423A"/>
    <w:rsid w:val="002346D9"/>
    <w:rsid w:val="00234E56"/>
    <w:rsid w:val="00234EB2"/>
    <w:rsid w:val="0023552E"/>
    <w:rsid w:val="00235968"/>
    <w:rsid w:val="00235B35"/>
    <w:rsid w:val="00235BFB"/>
    <w:rsid w:val="00235D31"/>
    <w:rsid w:val="00236008"/>
    <w:rsid w:val="00236124"/>
    <w:rsid w:val="00236259"/>
    <w:rsid w:val="00236570"/>
    <w:rsid w:val="00236722"/>
    <w:rsid w:val="002367F0"/>
    <w:rsid w:val="002368AF"/>
    <w:rsid w:val="00237015"/>
    <w:rsid w:val="00237507"/>
    <w:rsid w:val="0023752E"/>
    <w:rsid w:val="0023757C"/>
    <w:rsid w:val="00237622"/>
    <w:rsid w:val="00237677"/>
    <w:rsid w:val="00237701"/>
    <w:rsid w:val="002377AD"/>
    <w:rsid w:val="00237C25"/>
    <w:rsid w:val="00237C85"/>
    <w:rsid w:val="00237D02"/>
    <w:rsid w:val="00237EEE"/>
    <w:rsid w:val="0024029B"/>
    <w:rsid w:val="002402D7"/>
    <w:rsid w:val="0024032B"/>
    <w:rsid w:val="002406E1"/>
    <w:rsid w:val="00240932"/>
    <w:rsid w:val="00240A59"/>
    <w:rsid w:val="00240D88"/>
    <w:rsid w:val="0024116F"/>
    <w:rsid w:val="00241341"/>
    <w:rsid w:val="002414C9"/>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24B"/>
    <w:rsid w:val="0024431C"/>
    <w:rsid w:val="0024456F"/>
    <w:rsid w:val="00244969"/>
    <w:rsid w:val="00244EA6"/>
    <w:rsid w:val="00244EAE"/>
    <w:rsid w:val="00245424"/>
    <w:rsid w:val="0024573A"/>
    <w:rsid w:val="002457C1"/>
    <w:rsid w:val="0024588B"/>
    <w:rsid w:val="002458E8"/>
    <w:rsid w:val="00245BF1"/>
    <w:rsid w:val="00245EEA"/>
    <w:rsid w:val="00245F0C"/>
    <w:rsid w:val="00245F73"/>
    <w:rsid w:val="002465C5"/>
    <w:rsid w:val="002465CE"/>
    <w:rsid w:val="0024665E"/>
    <w:rsid w:val="00246682"/>
    <w:rsid w:val="0024668D"/>
    <w:rsid w:val="00246ABF"/>
    <w:rsid w:val="00246BBE"/>
    <w:rsid w:val="00246D5F"/>
    <w:rsid w:val="00247280"/>
    <w:rsid w:val="002474CC"/>
    <w:rsid w:val="002474F0"/>
    <w:rsid w:val="00247599"/>
    <w:rsid w:val="0024773E"/>
    <w:rsid w:val="0024780E"/>
    <w:rsid w:val="00247A12"/>
    <w:rsid w:val="00247A18"/>
    <w:rsid w:val="00247BEA"/>
    <w:rsid w:val="00247BED"/>
    <w:rsid w:val="00247C95"/>
    <w:rsid w:val="00250018"/>
    <w:rsid w:val="0025015C"/>
    <w:rsid w:val="002501C7"/>
    <w:rsid w:val="0025093D"/>
    <w:rsid w:val="002509CE"/>
    <w:rsid w:val="002509FE"/>
    <w:rsid w:val="00250A36"/>
    <w:rsid w:val="00250E62"/>
    <w:rsid w:val="00250ECD"/>
    <w:rsid w:val="00251286"/>
    <w:rsid w:val="002512AA"/>
    <w:rsid w:val="00251401"/>
    <w:rsid w:val="00251693"/>
    <w:rsid w:val="002516B7"/>
    <w:rsid w:val="002517BC"/>
    <w:rsid w:val="002519D3"/>
    <w:rsid w:val="00251E29"/>
    <w:rsid w:val="00252029"/>
    <w:rsid w:val="00252072"/>
    <w:rsid w:val="002521D6"/>
    <w:rsid w:val="00252321"/>
    <w:rsid w:val="00252528"/>
    <w:rsid w:val="00252719"/>
    <w:rsid w:val="00252890"/>
    <w:rsid w:val="00252898"/>
    <w:rsid w:val="00252CC6"/>
    <w:rsid w:val="00252F33"/>
    <w:rsid w:val="00252FE9"/>
    <w:rsid w:val="002535BD"/>
    <w:rsid w:val="00253A58"/>
    <w:rsid w:val="00253D1B"/>
    <w:rsid w:val="00253F47"/>
    <w:rsid w:val="00253F7D"/>
    <w:rsid w:val="00253FB8"/>
    <w:rsid w:val="00254470"/>
    <w:rsid w:val="00254560"/>
    <w:rsid w:val="0025459C"/>
    <w:rsid w:val="00254614"/>
    <w:rsid w:val="002546A9"/>
    <w:rsid w:val="002546C5"/>
    <w:rsid w:val="00255137"/>
    <w:rsid w:val="00255452"/>
    <w:rsid w:val="002554A7"/>
    <w:rsid w:val="00255578"/>
    <w:rsid w:val="002556B3"/>
    <w:rsid w:val="002556E1"/>
    <w:rsid w:val="00255A78"/>
    <w:rsid w:val="00255BF8"/>
    <w:rsid w:val="00255C80"/>
    <w:rsid w:val="00256063"/>
    <w:rsid w:val="0025616F"/>
    <w:rsid w:val="002563A7"/>
    <w:rsid w:val="002563EC"/>
    <w:rsid w:val="0025664F"/>
    <w:rsid w:val="0025668E"/>
    <w:rsid w:val="002566AB"/>
    <w:rsid w:val="002568E7"/>
    <w:rsid w:val="00256ADD"/>
    <w:rsid w:val="00256BE4"/>
    <w:rsid w:val="00256D78"/>
    <w:rsid w:val="00256F85"/>
    <w:rsid w:val="002571BB"/>
    <w:rsid w:val="002576C5"/>
    <w:rsid w:val="00257B30"/>
    <w:rsid w:val="00257D10"/>
    <w:rsid w:val="00257D45"/>
    <w:rsid w:val="00257D71"/>
    <w:rsid w:val="00257F05"/>
    <w:rsid w:val="00257FEE"/>
    <w:rsid w:val="00260320"/>
    <w:rsid w:val="0026034E"/>
    <w:rsid w:val="0026035B"/>
    <w:rsid w:val="00260441"/>
    <w:rsid w:val="0026086F"/>
    <w:rsid w:val="00260B9E"/>
    <w:rsid w:val="00260BDC"/>
    <w:rsid w:val="00260BE4"/>
    <w:rsid w:val="00260DDA"/>
    <w:rsid w:val="00261102"/>
    <w:rsid w:val="00261486"/>
    <w:rsid w:val="00261624"/>
    <w:rsid w:val="002618A1"/>
    <w:rsid w:val="0026196C"/>
    <w:rsid w:val="002619F0"/>
    <w:rsid w:val="00261B14"/>
    <w:rsid w:val="00261C78"/>
    <w:rsid w:val="00261D2F"/>
    <w:rsid w:val="00261DD1"/>
    <w:rsid w:val="00261FEE"/>
    <w:rsid w:val="002625B1"/>
    <w:rsid w:val="002625CD"/>
    <w:rsid w:val="0026269C"/>
    <w:rsid w:val="00262AC3"/>
    <w:rsid w:val="00262ACD"/>
    <w:rsid w:val="00262DD9"/>
    <w:rsid w:val="00262E46"/>
    <w:rsid w:val="002630EB"/>
    <w:rsid w:val="002631AE"/>
    <w:rsid w:val="0026332A"/>
    <w:rsid w:val="002633CF"/>
    <w:rsid w:val="00263439"/>
    <w:rsid w:val="002637D2"/>
    <w:rsid w:val="00263CE7"/>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20"/>
    <w:rsid w:val="00265425"/>
    <w:rsid w:val="002654AF"/>
    <w:rsid w:val="002656F4"/>
    <w:rsid w:val="002658EF"/>
    <w:rsid w:val="00265BA7"/>
    <w:rsid w:val="00265CD1"/>
    <w:rsid w:val="00265D7B"/>
    <w:rsid w:val="00266140"/>
    <w:rsid w:val="0026615E"/>
    <w:rsid w:val="0026637B"/>
    <w:rsid w:val="002664D5"/>
    <w:rsid w:val="00266567"/>
    <w:rsid w:val="00266588"/>
    <w:rsid w:val="0026689A"/>
    <w:rsid w:val="002668EB"/>
    <w:rsid w:val="00266B0F"/>
    <w:rsid w:val="002671AB"/>
    <w:rsid w:val="0026730F"/>
    <w:rsid w:val="002673CC"/>
    <w:rsid w:val="00267B57"/>
    <w:rsid w:val="00267C0D"/>
    <w:rsid w:val="00267EE3"/>
    <w:rsid w:val="00270014"/>
    <w:rsid w:val="00270017"/>
    <w:rsid w:val="0027039E"/>
    <w:rsid w:val="00270719"/>
    <w:rsid w:val="0027096B"/>
    <w:rsid w:val="00270B0A"/>
    <w:rsid w:val="00270E3C"/>
    <w:rsid w:val="00270EE6"/>
    <w:rsid w:val="00271269"/>
    <w:rsid w:val="002712AD"/>
    <w:rsid w:val="0027150C"/>
    <w:rsid w:val="002717B1"/>
    <w:rsid w:val="00271C81"/>
    <w:rsid w:val="00271E5E"/>
    <w:rsid w:val="00271EC6"/>
    <w:rsid w:val="00271FDE"/>
    <w:rsid w:val="00272266"/>
    <w:rsid w:val="00272497"/>
    <w:rsid w:val="00272751"/>
    <w:rsid w:val="00272A3D"/>
    <w:rsid w:val="00272B42"/>
    <w:rsid w:val="00272C1D"/>
    <w:rsid w:val="00272D22"/>
    <w:rsid w:val="00272D3A"/>
    <w:rsid w:val="00272F67"/>
    <w:rsid w:val="0027312B"/>
    <w:rsid w:val="00273231"/>
    <w:rsid w:val="0027352C"/>
    <w:rsid w:val="00273A74"/>
    <w:rsid w:val="00273A98"/>
    <w:rsid w:val="00273C44"/>
    <w:rsid w:val="00273F7F"/>
    <w:rsid w:val="00274104"/>
    <w:rsid w:val="0027464C"/>
    <w:rsid w:val="00274C62"/>
    <w:rsid w:val="00274E39"/>
    <w:rsid w:val="00274E49"/>
    <w:rsid w:val="00275026"/>
    <w:rsid w:val="0027504D"/>
    <w:rsid w:val="002750EB"/>
    <w:rsid w:val="0027528D"/>
    <w:rsid w:val="00275370"/>
    <w:rsid w:val="00275482"/>
    <w:rsid w:val="002756D4"/>
    <w:rsid w:val="00275BAA"/>
    <w:rsid w:val="00275E50"/>
    <w:rsid w:val="00276574"/>
    <w:rsid w:val="00276944"/>
    <w:rsid w:val="00276CAD"/>
    <w:rsid w:val="00276D67"/>
    <w:rsid w:val="0027701F"/>
    <w:rsid w:val="00277198"/>
    <w:rsid w:val="002772F2"/>
    <w:rsid w:val="00277399"/>
    <w:rsid w:val="0027789B"/>
    <w:rsid w:val="00277C97"/>
    <w:rsid w:val="00277DBC"/>
    <w:rsid w:val="00277F8B"/>
    <w:rsid w:val="002803EA"/>
    <w:rsid w:val="0028055F"/>
    <w:rsid w:val="00280616"/>
    <w:rsid w:val="00280667"/>
    <w:rsid w:val="002806D9"/>
    <w:rsid w:val="0028080A"/>
    <w:rsid w:val="00280966"/>
    <w:rsid w:val="00280C3A"/>
    <w:rsid w:val="00280D64"/>
    <w:rsid w:val="00281040"/>
    <w:rsid w:val="002811E7"/>
    <w:rsid w:val="002814AE"/>
    <w:rsid w:val="002816AF"/>
    <w:rsid w:val="00281957"/>
    <w:rsid w:val="00281972"/>
    <w:rsid w:val="00281C23"/>
    <w:rsid w:val="00281D74"/>
    <w:rsid w:val="00281F16"/>
    <w:rsid w:val="002822DD"/>
    <w:rsid w:val="00282632"/>
    <w:rsid w:val="002829CC"/>
    <w:rsid w:val="00282E90"/>
    <w:rsid w:val="00282F78"/>
    <w:rsid w:val="00282FDF"/>
    <w:rsid w:val="0028302D"/>
    <w:rsid w:val="0028348D"/>
    <w:rsid w:val="00283730"/>
    <w:rsid w:val="00283B0F"/>
    <w:rsid w:val="00283C63"/>
    <w:rsid w:val="00283D7F"/>
    <w:rsid w:val="00283DD8"/>
    <w:rsid w:val="00284077"/>
    <w:rsid w:val="00284207"/>
    <w:rsid w:val="002843E7"/>
    <w:rsid w:val="00284491"/>
    <w:rsid w:val="00284494"/>
    <w:rsid w:val="002845DB"/>
    <w:rsid w:val="00284886"/>
    <w:rsid w:val="00284928"/>
    <w:rsid w:val="00284D1A"/>
    <w:rsid w:val="00284D97"/>
    <w:rsid w:val="00284DD3"/>
    <w:rsid w:val="0028579B"/>
    <w:rsid w:val="00285CB4"/>
    <w:rsid w:val="00285CED"/>
    <w:rsid w:val="00285E08"/>
    <w:rsid w:val="00285E27"/>
    <w:rsid w:val="002861B3"/>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0F38"/>
    <w:rsid w:val="002910BF"/>
    <w:rsid w:val="002910E0"/>
    <w:rsid w:val="002914DF"/>
    <w:rsid w:val="002914FC"/>
    <w:rsid w:val="0029175D"/>
    <w:rsid w:val="00291DA7"/>
    <w:rsid w:val="002922CA"/>
    <w:rsid w:val="002924ED"/>
    <w:rsid w:val="00292578"/>
    <w:rsid w:val="00292752"/>
    <w:rsid w:val="0029277C"/>
    <w:rsid w:val="002927D0"/>
    <w:rsid w:val="002928F4"/>
    <w:rsid w:val="002929EE"/>
    <w:rsid w:val="00292AE0"/>
    <w:rsid w:val="00292D8F"/>
    <w:rsid w:val="00292EFC"/>
    <w:rsid w:val="00292F25"/>
    <w:rsid w:val="00293046"/>
    <w:rsid w:val="00293106"/>
    <w:rsid w:val="00293131"/>
    <w:rsid w:val="00293291"/>
    <w:rsid w:val="00293301"/>
    <w:rsid w:val="00293342"/>
    <w:rsid w:val="00293466"/>
    <w:rsid w:val="00293489"/>
    <w:rsid w:val="002937EF"/>
    <w:rsid w:val="00293AF6"/>
    <w:rsid w:val="00293B9E"/>
    <w:rsid w:val="00293C17"/>
    <w:rsid w:val="00293EE1"/>
    <w:rsid w:val="002940C3"/>
    <w:rsid w:val="0029415D"/>
    <w:rsid w:val="00294170"/>
    <w:rsid w:val="00294327"/>
    <w:rsid w:val="002945B5"/>
    <w:rsid w:val="00294809"/>
    <w:rsid w:val="0029484E"/>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58E"/>
    <w:rsid w:val="00296AEA"/>
    <w:rsid w:val="00296BF2"/>
    <w:rsid w:val="00296D2B"/>
    <w:rsid w:val="002972E1"/>
    <w:rsid w:val="002972E7"/>
    <w:rsid w:val="002973E4"/>
    <w:rsid w:val="00297477"/>
    <w:rsid w:val="00297A99"/>
    <w:rsid w:val="00297B82"/>
    <w:rsid w:val="00297E5E"/>
    <w:rsid w:val="002A0317"/>
    <w:rsid w:val="002A03DE"/>
    <w:rsid w:val="002A07CD"/>
    <w:rsid w:val="002A0858"/>
    <w:rsid w:val="002A0A02"/>
    <w:rsid w:val="002A0A88"/>
    <w:rsid w:val="002A0AF3"/>
    <w:rsid w:val="002A0CD2"/>
    <w:rsid w:val="002A0D0D"/>
    <w:rsid w:val="002A13D1"/>
    <w:rsid w:val="002A1456"/>
    <w:rsid w:val="002A1573"/>
    <w:rsid w:val="002A15D8"/>
    <w:rsid w:val="002A18D2"/>
    <w:rsid w:val="002A19A2"/>
    <w:rsid w:val="002A1B34"/>
    <w:rsid w:val="002A1C16"/>
    <w:rsid w:val="002A2787"/>
    <w:rsid w:val="002A2B61"/>
    <w:rsid w:val="002A2FB9"/>
    <w:rsid w:val="002A313A"/>
    <w:rsid w:val="002A3179"/>
    <w:rsid w:val="002A3257"/>
    <w:rsid w:val="002A3292"/>
    <w:rsid w:val="002A32FA"/>
    <w:rsid w:val="002A3A49"/>
    <w:rsid w:val="002A3CFD"/>
    <w:rsid w:val="002A3E7B"/>
    <w:rsid w:val="002A4132"/>
    <w:rsid w:val="002A4221"/>
    <w:rsid w:val="002A466C"/>
    <w:rsid w:val="002A46B9"/>
    <w:rsid w:val="002A4812"/>
    <w:rsid w:val="002A4EA4"/>
    <w:rsid w:val="002A5068"/>
    <w:rsid w:val="002A512D"/>
    <w:rsid w:val="002A52D1"/>
    <w:rsid w:val="002A5B34"/>
    <w:rsid w:val="002A5BCC"/>
    <w:rsid w:val="002A5F2D"/>
    <w:rsid w:val="002A648C"/>
    <w:rsid w:val="002A6A37"/>
    <w:rsid w:val="002A6B13"/>
    <w:rsid w:val="002A728E"/>
    <w:rsid w:val="002A7347"/>
    <w:rsid w:val="002A75AE"/>
    <w:rsid w:val="002A7744"/>
    <w:rsid w:val="002A7A3E"/>
    <w:rsid w:val="002A7B9D"/>
    <w:rsid w:val="002A7F12"/>
    <w:rsid w:val="002B038F"/>
    <w:rsid w:val="002B0486"/>
    <w:rsid w:val="002B0949"/>
    <w:rsid w:val="002B0BA4"/>
    <w:rsid w:val="002B0E1C"/>
    <w:rsid w:val="002B0FE7"/>
    <w:rsid w:val="002B144A"/>
    <w:rsid w:val="002B165A"/>
    <w:rsid w:val="002B1709"/>
    <w:rsid w:val="002B1740"/>
    <w:rsid w:val="002B1820"/>
    <w:rsid w:val="002B19FE"/>
    <w:rsid w:val="002B1A67"/>
    <w:rsid w:val="002B1AA9"/>
    <w:rsid w:val="002B1BA3"/>
    <w:rsid w:val="002B1F61"/>
    <w:rsid w:val="002B2485"/>
    <w:rsid w:val="002B2627"/>
    <w:rsid w:val="002B26A2"/>
    <w:rsid w:val="002B2751"/>
    <w:rsid w:val="002B2D5C"/>
    <w:rsid w:val="002B3151"/>
    <w:rsid w:val="002B366D"/>
    <w:rsid w:val="002B3BD7"/>
    <w:rsid w:val="002B3C56"/>
    <w:rsid w:val="002B3D3B"/>
    <w:rsid w:val="002B3E4F"/>
    <w:rsid w:val="002B3F77"/>
    <w:rsid w:val="002B4078"/>
    <w:rsid w:val="002B4185"/>
    <w:rsid w:val="002B45F9"/>
    <w:rsid w:val="002B4722"/>
    <w:rsid w:val="002B47A1"/>
    <w:rsid w:val="002B5080"/>
    <w:rsid w:val="002B534A"/>
    <w:rsid w:val="002B558F"/>
    <w:rsid w:val="002B5875"/>
    <w:rsid w:val="002B5CB3"/>
    <w:rsid w:val="002B606D"/>
    <w:rsid w:val="002B609A"/>
    <w:rsid w:val="002B60CB"/>
    <w:rsid w:val="002B627D"/>
    <w:rsid w:val="002B649E"/>
    <w:rsid w:val="002B64A3"/>
    <w:rsid w:val="002B65C7"/>
    <w:rsid w:val="002B6882"/>
    <w:rsid w:val="002B6B4F"/>
    <w:rsid w:val="002B6C64"/>
    <w:rsid w:val="002B6CFB"/>
    <w:rsid w:val="002B6D3A"/>
    <w:rsid w:val="002B6E97"/>
    <w:rsid w:val="002B6F34"/>
    <w:rsid w:val="002B72C1"/>
    <w:rsid w:val="002B7355"/>
    <w:rsid w:val="002B7930"/>
    <w:rsid w:val="002B7AD5"/>
    <w:rsid w:val="002B7B3A"/>
    <w:rsid w:val="002B7BAF"/>
    <w:rsid w:val="002B7BEB"/>
    <w:rsid w:val="002B7CCD"/>
    <w:rsid w:val="002C0046"/>
    <w:rsid w:val="002C00E0"/>
    <w:rsid w:val="002C05F0"/>
    <w:rsid w:val="002C0661"/>
    <w:rsid w:val="002C089B"/>
    <w:rsid w:val="002C093A"/>
    <w:rsid w:val="002C0C05"/>
    <w:rsid w:val="002C0FF0"/>
    <w:rsid w:val="002C1656"/>
    <w:rsid w:val="002C17DF"/>
    <w:rsid w:val="002C1AB0"/>
    <w:rsid w:val="002C1C93"/>
    <w:rsid w:val="002C1D99"/>
    <w:rsid w:val="002C1E5B"/>
    <w:rsid w:val="002C2151"/>
    <w:rsid w:val="002C2258"/>
    <w:rsid w:val="002C230C"/>
    <w:rsid w:val="002C2311"/>
    <w:rsid w:val="002C24F2"/>
    <w:rsid w:val="002C2802"/>
    <w:rsid w:val="002C2CDB"/>
    <w:rsid w:val="002C2E02"/>
    <w:rsid w:val="002C2ECE"/>
    <w:rsid w:val="002C2F3D"/>
    <w:rsid w:val="002C301A"/>
    <w:rsid w:val="002C30C5"/>
    <w:rsid w:val="002C321B"/>
    <w:rsid w:val="002C33B4"/>
    <w:rsid w:val="002C33B8"/>
    <w:rsid w:val="002C3623"/>
    <w:rsid w:val="002C3AE6"/>
    <w:rsid w:val="002C3C14"/>
    <w:rsid w:val="002C3CD0"/>
    <w:rsid w:val="002C3FDC"/>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C59"/>
    <w:rsid w:val="002C7E85"/>
    <w:rsid w:val="002C7F07"/>
    <w:rsid w:val="002C7FA2"/>
    <w:rsid w:val="002D032B"/>
    <w:rsid w:val="002D0428"/>
    <w:rsid w:val="002D0AE3"/>
    <w:rsid w:val="002D0C3B"/>
    <w:rsid w:val="002D0C57"/>
    <w:rsid w:val="002D0CEC"/>
    <w:rsid w:val="002D0E6B"/>
    <w:rsid w:val="002D0F86"/>
    <w:rsid w:val="002D1035"/>
    <w:rsid w:val="002D1337"/>
    <w:rsid w:val="002D14B9"/>
    <w:rsid w:val="002D1A52"/>
    <w:rsid w:val="002D1B95"/>
    <w:rsid w:val="002D1FC1"/>
    <w:rsid w:val="002D22B1"/>
    <w:rsid w:val="002D2817"/>
    <w:rsid w:val="002D2824"/>
    <w:rsid w:val="002D2845"/>
    <w:rsid w:val="002D29DA"/>
    <w:rsid w:val="002D2C46"/>
    <w:rsid w:val="002D2C48"/>
    <w:rsid w:val="002D2D7A"/>
    <w:rsid w:val="002D30A9"/>
    <w:rsid w:val="002D3157"/>
    <w:rsid w:val="002D333B"/>
    <w:rsid w:val="002D3394"/>
    <w:rsid w:val="002D347A"/>
    <w:rsid w:val="002D3499"/>
    <w:rsid w:val="002D3704"/>
    <w:rsid w:val="002D385E"/>
    <w:rsid w:val="002D387A"/>
    <w:rsid w:val="002D3A30"/>
    <w:rsid w:val="002D3A51"/>
    <w:rsid w:val="002D3BEB"/>
    <w:rsid w:val="002D3F07"/>
    <w:rsid w:val="002D4092"/>
    <w:rsid w:val="002D409F"/>
    <w:rsid w:val="002D40F0"/>
    <w:rsid w:val="002D4273"/>
    <w:rsid w:val="002D4719"/>
    <w:rsid w:val="002D5184"/>
    <w:rsid w:val="002D55EB"/>
    <w:rsid w:val="002D563C"/>
    <w:rsid w:val="002D5756"/>
    <w:rsid w:val="002D58F7"/>
    <w:rsid w:val="002D5C45"/>
    <w:rsid w:val="002D5CF9"/>
    <w:rsid w:val="002D5E62"/>
    <w:rsid w:val="002D5FFF"/>
    <w:rsid w:val="002D62A4"/>
    <w:rsid w:val="002D62A9"/>
    <w:rsid w:val="002D6483"/>
    <w:rsid w:val="002D67A5"/>
    <w:rsid w:val="002D6CF0"/>
    <w:rsid w:val="002D6FFE"/>
    <w:rsid w:val="002D7047"/>
    <w:rsid w:val="002D70C1"/>
    <w:rsid w:val="002D784E"/>
    <w:rsid w:val="002D7930"/>
    <w:rsid w:val="002D7B18"/>
    <w:rsid w:val="002D7B49"/>
    <w:rsid w:val="002D7B55"/>
    <w:rsid w:val="002E090F"/>
    <w:rsid w:val="002E0967"/>
    <w:rsid w:val="002E0CEB"/>
    <w:rsid w:val="002E0F16"/>
    <w:rsid w:val="002E0FA2"/>
    <w:rsid w:val="002E13A0"/>
    <w:rsid w:val="002E144A"/>
    <w:rsid w:val="002E185A"/>
    <w:rsid w:val="002E1C42"/>
    <w:rsid w:val="002E1CB4"/>
    <w:rsid w:val="002E1E26"/>
    <w:rsid w:val="002E2748"/>
    <w:rsid w:val="002E2865"/>
    <w:rsid w:val="002E2A70"/>
    <w:rsid w:val="002E2B77"/>
    <w:rsid w:val="002E2BE9"/>
    <w:rsid w:val="002E37B5"/>
    <w:rsid w:val="002E380E"/>
    <w:rsid w:val="002E3B41"/>
    <w:rsid w:val="002E3DF0"/>
    <w:rsid w:val="002E43F6"/>
    <w:rsid w:val="002E4608"/>
    <w:rsid w:val="002E4671"/>
    <w:rsid w:val="002E4907"/>
    <w:rsid w:val="002E4AE2"/>
    <w:rsid w:val="002E4E82"/>
    <w:rsid w:val="002E4EE2"/>
    <w:rsid w:val="002E5335"/>
    <w:rsid w:val="002E5734"/>
    <w:rsid w:val="002E5811"/>
    <w:rsid w:val="002E5AF7"/>
    <w:rsid w:val="002E5BF7"/>
    <w:rsid w:val="002E5CF2"/>
    <w:rsid w:val="002E660A"/>
    <w:rsid w:val="002E6799"/>
    <w:rsid w:val="002E6977"/>
    <w:rsid w:val="002E6C40"/>
    <w:rsid w:val="002E6CCF"/>
    <w:rsid w:val="002E6E72"/>
    <w:rsid w:val="002E6FB5"/>
    <w:rsid w:val="002E706B"/>
    <w:rsid w:val="002E7523"/>
    <w:rsid w:val="002E788B"/>
    <w:rsid w:val="002E7AA9"/>
    <w:rsid w:val="002E7ABC"/>
    <w:rsid w:val="002E7BCD"/>
    <w:rsid w:val="002F0567"/>
    <w:rsid w:val="002F077D"/>
    <w:rsid w:val="002F08DC"/>
    <w:rsid w:val="002F0A6D"/>
    <w:rsid w:val="002F0B7A"/>
    <w:rsid w:val="002F1017"/>
    <w:rsid w:val="002F121B"/>
    <w:rsid w:val="002F1306"/>
    <w:rsid w:val="002F13EB"/>
    <w:rsid w:val="002F140F"/>
    <w:rsid w:val="002F182E"/>
    <w:rsid w:val="002F1B67"/>
    <w:rsid w:val="002F2568"/>
    <w:rsid w:val="002F2589"/>
    <w:rsid w:val="002F2624"/>
    <w:rsid w:val="002F29CB"/>
    <w:rsid w:val="002F2B44"/>
    <w:rsid w:val="002F2EEA"/>
    <w:rsid w:val="002F3437"/>
    <w:rsid w:val="002F3461"/>
    <w:rsid w:val="002F3659"/>
    <w:rsid w:val="002F3BAD"/>
    <w:rsid w:val="002F3E3D"/>
    <w:rsid w:val="002F4122"/>
    <w:rsid w:val="002F41C9"/>
    <w:rsid w:val="002F465C"/>
    <w:rsid w:val="002F476D"/>
    <w:rsid w:val="002F47C6"/>
    <w:rsid w:val="002F4893"/>
    <w:rsid w:val="002F4A47"/>
    <w:rsid w:val="002F4BDF"/>
    <w:rsid w:val="002F4C97"/>
    <w:rsid w:val="002F4E6F"/>
    <w:rsid w:val="002F4FC1"/>
    <w:rsid w:val="002F50A4"/>
    <w:rsid w:val="002F538A"/>
    <w:rsid w:val="002F5538"/>
    <w:rsid w:val="002F6268"/>
    <w:rsid w:val="002F640C"/>
    <w:rsid w:val="002F688E"/>
    <w:rsid w:val="002F6B0D"/>
    <w:rsid w:val="002F6B84"/>
    <w:rsid w:val="002F6D2F"/>
    <w:rsid w:val="002F6D5F"/>
    <w:rsid w:val="002F6E4F"/>
    <w:rsid w:val="002F76CC"/>
    <w:rsid w:val="002F7780"/>
    <w:rsid w:val="002F77DD"/>
    <w:rsid w:val="002F78D9"/>
    <w:rsid w:val="002F793B"/>
    <w:rsid w:val="002F7AC3"/>
    <w:rsid w:val="003001EC"/>
    <w:rsid w:val="00300613"/>
    <w:rsid w:val="00300704"/>
    <w:rsid w:val="003008AD"/>
    <w:rsid w:val="003008E3"/>
    <w:rsid w:val="00300BB2"/>
    <w:rsid w:val="00300C7C"/>
    <w:rsid w:val="00300C85"/>
    <w:rsid w:val="00300DA0"/>
    <w:rsid w:val="00300EF7"/>
    <w:rsid w:val="0030122E"/>
    <w:rsid w:val="00301354"/>
    <w:rsid w:val="0030179B"/>
    <w:rsid w:val="003018F4"/>
    <w:rsid w:val="00301BE1"/>
    <w:rsid w:val="00302431"/>
    <w:rsid w:val="003026DD"/>
    <w:rsid w:val="003026F0"/>
    <w:rsid w:val="0030276D"/>
    <w:rsid w:val="00302946"/>
    <w:rsid w:val="00302A86"/>
    <w:rsid w:val="00302B76"/>
    <w:rsid w:val="00302C8D"/>
    <w:rsid w:val="00302D6C"/>
    <w:rsid w:val="00302E3D"/>
    <w:rsid w:val="003031BA"/>
    <w:rsid w:val="0030340D"/>
    <w:rsid w:val="00303524"/>
    <w:rsid w:val="00303B3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DC4"/>
    <w:rsid w:val="00304E0B"/>
    <w:rsid w:val="00304E21"/>
    <w:rsid w:val="00304E88"/>
    <w:rsid w:val="00305165"/>
    <w:rsid w:val="003051C3"/>
    <w:rsid w:val="00305229"/>
    <w:rsid w:val="00305253"/>
    <w:rsid w:val="003052FF"/>
    <w:rsid w:val="003053C2"/>
    <w:rsid w:val="003054C3"/>
    <w:rsid w:val="00305895"/>
    <w:rsid w:val="00305CA8"/>
    <w:rsid w:val="00305CCC"/>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503"/>
    <w:rsid w:val="0031051A"/>
    <w:rsid w:val="00310721"/>
    <w:rsid w:val="003107E7"/>
    <w:rsid w:val="00310AF2"/>
    <w:rsid w:val="00310CE4"/>
    <w:rsid w:val="0031100E"/>
    <w:rsid w:val="00311194"/>
    <w:rsid w:val="0031125F"/>
    <w:rsid w:val="0031136C"/>
    <w:rsid w:val="0031177F"/>
    <w:rsid w:val="00311B7B"/>
    <w:rsid w:val="00311C80"/>
    <w:rsid w:val="00311F51"/>
    <w:rsid w:val="003122E8"/>
    <w:rsid w:val="00312635"/>
    <w:rsid w:val="003128FB"/>
    <w:rsid w:val="003129A3"/>
    <w:rsid w:val="00312B28"/>
    <w:rsid w:val="00312B96"/>
    <w:rsid w:val="00312D95"/>
    <w:rsid w:val="003138BB"/>
    <w:rsid w:val="00313B7C"/>
    <w:rsid w:val="00313C32"/>
    <w:rsid w:val="00314017"/>
    <w:rsid w:val="00314034"/>
    <w:rsid w:val="00314129"/>
    <w:rsid w:val="00314290"/>
    <w:rsid w:val="00314397"/>
    <w:rsid w:val="003144BA"/>
    <w:rsid w:val="00314523"/>
    <w:rsid w:val="00314645"/>
    <w:rsid w:val="0031471F"/>
    <w:rsid w:val="003149A3"/>
    <w:rsid w:val="00315000"/>
    <w:rsid w:val="0031550B"/>
    <w:rsid w:val="00315540"/>
    <w:rsid w:val="00315A9D"/>
    <w:rsid w:val="00315E08"/>
    <w:rsid w:val="00315F13"/>
    <w:rsid w:val="00316755"/>
    <w:rsid w:val="003168B8"/>
    <w:rsid w:val="003169B6"/>
    <w:rsid w:val="003169C2"/>
    <w:rsid w:val="00316C4B"/>
    <w:rsid w:val="00316C69"/>
    <w:rsid w:val="00316FA9"/>
    <w:rsid w:val="003171CB"/>
    <w:rsid w:val="00317261"/>
    <w:rsid w:val="0031736F"/>
    <w:rsid w:val="00317766"/>
    <w:rsid w:val="003179CF"/>
    <w:rsid w:val="00317E3D"/>
    <w:rsid w:val="00320010"/>
    <w:rsid w:val="00320169"/>
    <w:rsid w:val="003201FF"/>
    <w:rsid w:val="00320682"/>
    <w:rsid w:val="003207B1"/>
    <w:rsid w:val="00320862"/>
    <w:rsid w:val="00320881"/>
    <w:rsid w:val="00320C8C"/>
    <w:rsid w:val="00320D00"/>
    <w:rsid w:val="003214CE"/>
    <w:rsid w:val="00321665"/>
    <w:rsid w:val="00321A5B"/>
    <w:rsid w:val="00321C83"/>
    <w:rsid w:val="00321D00"/>
    <w:rsid w:val="00321D56"/>
    <w:rsid w:val="00321F48"/>
    <w:rsid w:val="00321FB7"/>
    <w:rsid w:val="00321FCA"/>
    <w:rsid w:val="003220F3"/>
    <w:rsid w:val="0032220B"/>
    <w:rsid w:val="0032238A"/>
    <w:rsid w:val="00322A19"/>
    <w:rsid w:val="00322B64"/>
    <w:rsid w:val="00322B6A"/>
    <w:rsid w:val="00322C92"/>
    <w:rsid w:val="00322CD0"/>
    <w:rsid w:val="00322ED9"/>
    <w:rsid w:val="00322FA3"/>
    <w:rsid w:val="003231A3"/>
    <w:rsid w:val="00323450"/>
    <w:rsid w:val="00323BC5"/>
    <w:rsid w:val="00323BEB"/>
    <w:rsid w:val="0032406A"/>
    <w:rsid w:val="00324673"/>
    <w:rsid w:val="00324B9B"/>
    <w:rsid w:val="00324D46"/>
    <w:rsid w:val="00324DE1"/>
    <w:rsid w:val="003250DD"/>
    <w:rsid w:val="003257CD"/>
    <w:rsid w:val="00325B0D"/>
    <w:rsid w:val="00325B56"/>
    <w:rsid w:val="00325DF1"/>
    <w:rsid w:val="003264E9"/>
    <w:rsid w:val="0032655A"/>
    <w:rsid w:val="003268E8"/>
    <w:rsid w:val="00326C01"/>
    <w:rsid w:val="00326D41"/>
    <w:rsid w:val="00326D93"/>
    <w:rsid w:val="003273F4"/>
    <w:rsid w:val="0032744B"/>
    <w:rsid w:val="00327607"/>
    <w:rsid w:val="00327618"/>
    <w:rsid w:val="00327753"/>
    <w:rsid w:val="00327764"/>
    <w:rsid w:val="003279D2"/>
    <w:rsid w:val="00327C5F"/>
    <w:rsid w:val="00327E19"/>
    <w:rsid w:val="00327FFA"/>
    <w:rsid w:val="00330315"/>
    <w:rsid w:val="003308CB"/>
    <w:rsid w:val="00330CB4"/>
    <w:rsid w:val="00330F5F"/>
    <w:rsid w:val="003311A6"/>
    <w:rsid w:val="003313FF"/>
    <w:rsid w:val="0033180A"/>
    <w:rsid w:val="00331867"/>
    <w:rsid w:val="00331871"/>
    <w:rsid w:val="003319F5"/>
    <w:rsid w:val="00331AB5"/>
    <w:rsid w:val="00331D2E"/>
    <w:rsid w:val="0033227C"/>
    <w:rsid w:val="003322F4"/>
    <w:rsid w:val="0033265D"/>
    <w:rsid w:val="0033272D"/>
    <w:rsid w:val="003328DC"/>
    <w:rsid w:val="00332BE1"/>
    <w:rsid w:val="00332D95"/>
    <w:rsid w:val="00332FE4"/>
    <w:rsid w:val="00333302"/>
    <w:rsid w:val="00333880"/>
    <w:rsid w:val="0033389B"/>
    <w:rsid w:val="003338D8"/>
    <w:rsid w:val="0033391C"/>
    <w:rsid w:val="00333CAD"/>
    <w:rsid w:val="00333F29"/>
    <w:rsid w:val="0033435C"/>
    <w:rsid w:val="00334AA7"/>
    <w:rsid w:val="0033504D"/>
    <w:rsid w:val="00335057"/>
    <w:rsid w:val="003351D9"/>
    <w:rsid w:val="0033528B"/>
    <w:rsid w:val="0033532E"/>
    <w:rsid w:val="00335AD6"/>
    <w:rsid w:val="00335BDA"/>
    <w:rsid w:val="00335CE3"/>
    <w:rsid w:val="00335E9E"/>
    <w:rsid w:val="00336146"/>
    <w:rsid w:val="003364E2"/>
    <w:rsid w:val="00336662"/>
    <w:rsid w:val="003366AE"/>
    <w:rsid w:val="003369EE"/>
    <w:rsid w:val="00336A2E"/>
    <w:rsid w:val="00336A91"/>
    <w:rsid w:val="00336DB6"/>
    <w:rsid w:val="00336F08"/>
    <w:rsid w:val="00336F85"/>
    <w:rsid w:val="003370CB"/>
    <w:rsid w:val="0033723E"/>
    <w:rsid w:val="0033735C"/>
    <w:rsid w:val="0033798E"/>
    <w:rsid w:val="00337F55"/>
    <w:rsid w:val="00337F79"/>
    <w:rsid w:val="00340151"/>
    <w:rsid w:val="0034027E"/>
    <w:rsid w:val="003402BA"/>
    <w:rsid w:val="00340626"/>
    <w:rsid w:val="003406B4"/>
    <w:rsid w:val="00340750"/>
    <w:rsid w:val="00340B0D"/>
    <w:rsid w:val="00340B2F"/>
    <w:rsid w:val="00340CA2"/>
    <w:rsid w:val="00340ED5"/>
    <w:rsid w:val="00340F9F"/>
    <w:rsid w:val="00341359"/>
    <w:rsid w:val="003413D6"/>
    <w:rsid w:val="003414C6"/>
    <w:rsid w:val="0034152B"/>
    <w:rsid w:val="003416C2"/>
    <w:rsid w:val="00341C05"/>
    <w:rsid w:val="00341D0F"/>
    <w:rsid w:val="00341EF2"/>
    <w:rsid w:val="003420BF"/>
    <w:rsid w:val="00342315"/>
    <w:rsid w:val="003423CA"/>
    <w:rsid w:val="003425BE"/>
    <w:rsid w:val="0034287B"/>
    <w:rsid w:val="00342965"/>
    <w:rsid w:val="003429B5"/>
    <w:rsid w:val="00342BA1"/>
    <w:rsid w:val="00342BE0"/>
    <w:rsid w:val="00342FDE"/>
    <w:rsid w:val="0034313B"/>
    <w:rsid w:val="003431AA"/>
    <w:rsid w:val="003431F1"/>
    <w:rsid w:val="003433C4"/>
    <w:rsid w:val="00343410"/>
    <w:rsid w:val="00343F07"/>
    <w:rsid w:val="003443FB"/>
    <w:rsid w:val="00344488"/>
    <w:rsid w:val="003444CF"/>
    <w:rsid w:val="003445AC"/>
    <w:rsid w:val="00344760"/>
    <w:rsid w:val="00344B24"/>
    <w:rsid w:val="00344E5B"/>
    <w:rsid w:val="0034500C"/>
    <w:rsid w:val="003450B8"/>
    <w:rsid w:val="00345185"/>
    <w:rsid w:val="003458B8"/>
    <w:rsid w:val="00345B6E"/>
    <w:rsid w:val="003461F2"/>
    <w:rsid w:val="00346411"/>
    <w:rsid w:val="003466AD"/>
    <w:rsid w:val="003469AA"/>
    <w:rsid w:val="00346F1B"/>
    <w:rsid w:val="00347337"/>
    <w:rsid w:val="003473BB"/>
    <w:rsid w:val="003473FB"/>
    <w:rsid w:val="00347505"/>
    <w:rsid w:val="00347690"/>
    <w:rsid w:val="00347719"/>
    <w:rsid w:val="00347A1E"/>
    <w:rsid w:val="00347A6D"/>
    <w:rsid w:val="00347ADD"/>
    <w:rsid w:val="00347C45"/>
    <w:rsid w:val="00347D45"/>
    <w:rsid w:val="00347DF7"/>
    <w:rsid w:val="00347F2F"/>
    <w:rsid w:val="00347FD5"/>
    <w:rsid w:val="00350000"/>
    <w:rsid w:val="003502F1"/>
    <w:rsid w:val="003503E7"/>
    <w:rsid w:val="00350557"/>
    <w:rsid w:val="00350967"/>
    <w:rsid w:val="00350D06"/>
    <w:rsid w:val="00350D13"/>
    <w:rsid w:val="00350EDC"/>
    <w:rsid w:val="003510D7"/>
    <w:rsid w:val="0035152F"/>
    <w:rsid w:val="00351630"/>
    <w:rsid w:val="00351C0B"/>
    <w:rsid w:val="00351FC7"/>
    <w:rsid w:val="00351FFF"/>
    <w:rsid w:val="003520DC"/>
    <w:rsid w:val="003521C1"/>
    <w:rsid w:val="00352337"/>
    <w:rsid w:val="003524DB"/>
    <w:rsid w:val="00352522"/>
    <w:rsid w:val="003525B9"/>
    <w:rsid w:val="003528A2"/>
    <w:rsid w:val="0035296F"/>
    <w:rsid w:val="00352E69"/>
    <w:rsid w:val="00352EE8"/>
    <w:rsid w:val="00352EF6"/>
    <w:rsid w:val="003530CF"/>
    <w:rsid w:val="003530D4"/>
    <w:rsid w:val="00353333"/>
    <w:rsid w:val="003536C8"/>
    <w:rsid w:val="00353907"/>
    <w:rsid w:val="00353B66"/>
    <w:rsid w:val="00353C8B"/>
    <w:rsid w:val="00353E67"/>
    <w:rsid w:val="00353E7D"/>
    <w:rsid w:val="0035413C"/>
    <w:rsid w:val="003542D4"/>
    <w:rsid w:val="003543DA"/>
    <w:rsid w:val="00354514"/>
    <w:rsid w:val="0035483F"/>
    <w:rsid w:val="003548DC"/>
    <w:rsid w:val="00354B65"/>
    <w:rsid w:val="00354B6B"/>
    <w:rsid w:val="00354B7A"/>
    <w:rsid w:val="00355439"/>
    <w:rsid w:val="003555B7"/>
    <w:rsid w:val="003555F5"/>
    <w:rsid w:val="003557F8"/>
    <w:rsid w:val="00355B3F"/>
    <w:rsid w:val="00355F90"/>
    <w:rsid w:val="0035616C"/>
    <w:rsid w:val="00356450"/>
    <w:rsid w:val="0035663D"/>
    <w:rsid w:val="00356A2D"/>
    <w:rsid w:val="00356ADE"/>
    <w:rsid w:val="00356C50"/>
    <w:rsid w:val="00356DB8"/>
    <w:rsid w:val="00356EF5"/>
    <w:rsid w:val="00357466"/>
    <w:rsid w:val="00357811"/>
    <w:rsid w:val="0035798B"/>
    <w:rsid w:val="00357999"/>
    <w:rsid w:val="00357A18"/>
    <w:rsid w:val="00357EF9"/>
    <w:rsid w:val="00357FCD"/>
    <w:rsid w:val="00360101"/>
    <w:rsid w:val="00360125"/>
    <w:rsid w:val="003601E0"/>
    <w:rsid w:val="00360258"/>
    <w:rsid w:val="0036088E"/>
    <w:rsid w:val="003608DB"/>
    <w:rsid w:val="00360D85"/>
    <w:rsid w:val="00360F07"/>
    <w:rsid w:val="00360FBA"/>
    <w:rsid w:val="00361109"/>
    <w:rsid w:val="003616D3"/>
    <w:rsid w:val="003618EC"/>
    <w:rsid w:val="00361A6B"/>
    <w:rsid w:val="00361EE6"/>
    <w:rsid w:val="00362166"/>
    <w:rsid w:val="003623F6"/>
    <w:rsid w:val="00362556"/>
    <w:rsid w:val="00362709"/>
    <w:rsid w:val="0036283F"/>
    <w:rsid w:val="00362CBC"/>
    <w:rsid w:val="00362F6B"/>
    <w:rsid w:val="00362F78"/>
    <w:rsid w:val="00363322"/>
    <w:rsid w:val="00363328"/>
    <w:rsid w:val="0036335B"/>
    <w:rsid w:val="003636C9"/>
    <w:rsid w:val="00363D5D"/>
    <w:rsid w:val="00363F44"/>
    <w:rsid w:val="00363F70"/>
    <w:rsid w:val="003641FE"/>
    <w:rsid w:val="003642E2"/>
    <w:rsid w:val="003644C1"/>
    <w:rsid w:val="0036461E"/>
    <w:rsid w:val="0036465F"/>
    <w:rsid w:val="0036495E"/>
    <w:rsid w:val="00364B70"/>
    <w:rsid w:val="00364DAF"/>
    <w:rsid w:val="00364F6F"/>
    <w:rsid w:val="00364FB3"/>
    <w:rsid w:val="003652AD"/>
    <w:rsid w:val="0036554A"/>
    <w:rsid w:val="003656AA"/>
    <w:rsid w:val="00365C98"/>
    <w:rsid w:val="00365EE8"/>
    <w:rsid w:val="00365F42"/>
    <w:rsid w:val="00365F6D"/>
    <w:rsid w:val="00365F97"/>
    <w:rsid w:val="003665C4"/>
    <w:rsid w:val="00366965"/>
    <w:rsid w:val="00366B0B"/>
    <w:rsid w:val="00366D2D"/>
    <w:rsid w:val="003671D4"/>
    <w:rsid w:val="0036735E"/>
    <w:rsid w:val="00367409"/>
    <w:rsid w:val="00367433"/>
    <w:rsid w:val="0036748C"/>
    <w:rsid w:val="00367716"/>
    <w:rsid w:val="00367745"/>
    <w:rsid w:val="00367816"/>
    <w:rsid w:val="00367ACE"/>
    <w:rsid w:val="00367B01"/>
    <w:rsid w:val="00367BFB"/>
    <w:rsid w:val="00367DCF"/>
    <w:rsid w:val="00367F9B"/>
    <w:rsid w:val="003700CC"/>
    <w:rsid w:val="00370536"/>
    <w:rsid w:val="00370640"/>
    <w:rsid w:val="003708BF"/>
    <w:rsid w:val="00370E4B"/>
    <w:rsid w:val="00370F6E"/>
    <w:rsid w:val="00371062"/>
    <w:rsid w:val="00371091"/>
    <w:rsid w:val="003714B2"/>
    <w:rsid w:val="00371518"/>
    <w:rsid w:val="0037158B"/>
    <w:rsid w:val="003717F1"/>
    <w:rsid w:val="0037182F"/>
    <w:rsid w:val="00371BC0"/>
    <w:rsid w:val="00371ECA"/>
    <w:rsid w:val="0037209F"/>
    <w:rsid w:val="003726B7"/>
    <w:rsid w:val="00372984"/>
    <w:rsid w:val="00372A95"/>
    <w:rsid w:val="00372AE1"/>
    <w:rsid w:val="00372B4A"/>
    <w:rsid w:val="00373254"/>
    <w:rsid w:val="003733D9"/>
    <w:rsid w:val="003734A7"/>
    <w:rsid w:val="003734B6"/>
    <w:rsid w:val="00373684"/>
    <w:rsid w:val="003738DA"/>
    <w:rsid w:val="00373AFB"/>
    <w:rsid w:val="00373CCC"/>
    <w:rsid w:val="00373F24"/>
    <w:rsid w:val="0037417E"/>
    <w:rsid w:val="00374622"/>
    <w:rsid w:val="0037480E"/>
    <w:rsid w:val="0037489A"/>
    <w:rsid w:val="00374E3A"/>
    <w:rsid w:val="00374FE9"/>
    <w:rsid w:val="0037539C"/>
    <w:rsid w:val="00375424"/>
    <w:rsid w:val="003754E1"/>
    <w:rsid w:val="00375597"/>
    <w:rsid w:val="00375630"/>
    <w:rsid w:val="00375BF6"/>
    <w:rsid w:val="00375C5A"/>
    <w:rsid w:val="00375CBE"/>
    <w:rsid w:val="00375EE8"/>
    <w:rsid w:val="00375FDA"/>
    <w:rsid w:val="00376585"/>
    <w:rsid w:val="00376651"/>
    <w:rsid w:val="00376816"/>
    <w:rsid w:val="00376844"/>
    <w:rsid w:val="00376933"/>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74"/>
    <w:rsid w:val="003806E4"/>
    <w:rsid w:val="0038093F"/>
    <w:rsid w:val="00380AC1"/>
    <w:rsid w:val="00380E9B"/>
    <w:rsid w:val="00381015"/>
    <w:rsid w:val="003814F7"/>
    <w:rsid w:val="00381755"/>
    <w:rsid w:val="00381E30"/>
    <w:rsid w:val="00381E4C"/>
    <w:rsid w:val="003820F4"/>
    <w:rsid w:val="0038251C"/>
    <w:rsid w:val="003825ED"/>
    <w:rsid w:val="0038264C"/>
    <w:rsid w:val="00382738"/>
    <w:rsid w:val="00382880"/>
    <w:rsid w:val="00382A18"/>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93B"/>
    <w:rsid w:val="00384ABB"/>
    <w:rsid w:val="00384AE0"/>
    <w:rsid w:val="00384C20"/>
    <w:rsid w:val="00384E52"/>
    <w:rsid w:val="0038500C"/>
    <w:rsid w:val="00385295"/>
    <w:rsid w:val="0038532C"/>
    <w:rsid w:val="0038556F"/>
    <w:rsid w:val="00385664"/>
    <w:rsid w:val="00385747"/>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EA9"/>
    <w:rsid w:val="00387F13"/>
    <w:rsid w:val="00387FA6"/>
    <w:rsid w:val="00390051"/>
    <w:rsid w:val="003900A2"/>
    <w:rsid w:val="003902B6"/>
    <w:rsid w:val="003903E6"/>
    <w:rsid w:val="00390535"/>
    <w:rsid w:val="0039094B"/>
    <w:rsid w:val="003909C6"/>
    <w:rsid w:val="00390BF7"/>
    <w:rsid w:val="00390C65"/>
    <w:rsid w:val="003911BC"/>
    <w:rsid w:val="00391227"/>
    <w:rsid w:val="003912A4"/>
    <w:rsid w:val="003912C4"/>
    <w:rsid w:val="00391378"/>
    <w:rsid w:val="003914C8"/>
    <w:rsid w:val="003915A4"/>
    <w:rsid w:val="003915B0"/>
    <w:rsid w:val="003915F3"/>
    <w:rsid w:val="00391625"/>
    <w:rsid w:val="003917A8"/>
    <w:rsid w:val="00391914"/>
    <w:rsid w:val="00391CD1"/>
    <w:rsid w:val="003922BF"/>
    <w:rsid w:val="00392C75"/>
    <w:rsid w:val="00392E4E"/>
    <w:rsid w:val="003930EB"/>
    <w:rsid w:val="003931D8"/>
    <w:rsid w:val="00393229"/>
    <w:rsid w:val="00393509"/>
    <w:rsid w:val="00393569"/>
    <w:rsid w:val="00393590"/>
    <w:rsid w:val="00393C42"/>
    <w:rsid w:val="00393E53"/>
    <w:rsid w:val="00393EFB"/>
    <w:rsid w:val="00394172"/>
    <w:rsid w:val="003942F1"/>
    <w:rsid w:val="00394705"/>
    <w:rsid w:val="0039480F"/>
    <w:rsid w:val="00394B28"/>
    <w:rsid w:val="0039514E"/>
    <w:rsid w:val="00395151"/>
    <w:rsid w:val="003951E3"/>
    <w:rsid w:val="0039525E"/>
    <w:rsid w:val="00395514"/>
    <w:rsid w:val="0039554E"/>
    <w:rsid w:val="003957BB"/>
    <w:rsid w:val="00395932"/>
    <w:rsid w:val="00395C25"/>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0EBC"/>
    <w:rsid w:val="003A193D"/>
    <w:rsid w:val="003A1973"/>
    <w:rsid w:val="003A19A1"/>
    <w:rsid w:val="003A1B73"/>
    <w:rsid w:val="003A201A"/>
    <w:rsid w:val="003A21D7"/>
    <w:rsid w:val="003A24F9"/>
    <w:rsid w:val="003A25B0"/>
    <w:rsid w:val="003A270F"/>
    <w:rsid w:val="003A2AF4"/>
    <w:rsid w:val="003A2E76"/>
    <w:rsid w:val="003A2EA3"/>
    <w:rsid w:val="003A309A"/>
    <w:rsid w:val="003A31C2"/>
    <w:rsid w:val="003A3237"/>
    <w:rsid w:val="003A3314"/>
    <w:rsid w:val="003A335C"/>
    <w:rsid w:val="003A36D3"/>
    <w:rsid w:val="003A3B8F"/>
    <w:rsid w:val="003A3EE5"/>
    <w:rsid w:val="003A3EF6"/>
    <w:rsid w:val="003A420A"/>
    <w:rsid w:val="003A4264"/>
    <w:rsid w:val="003A4296"/>
    <w:rsid w:val="003A42CC"/>
    <w:rsid w:val="003A4319"/>
    <w:rsid w:val="003A4523"/>
    <w:rsid w:val="003A4954"/>
    <w:rsid w:val="003A4A5A"/>
    <w:rsid w:val="003A4AA7"/>
    <w:rsid w:val="003A4AD7"/>
    <w:rsid w:val="003A4D30"/>
    <w:rsid w:val="003A50F8"/>
    <w:rsid w:val="003A52C4"/>
    <w:rsid w:val="003A5735"/>
    <w:rsid w:val="003A57AA"/>
    <w:rsid w:val="003A58C7"/>
    <w:rsid w:val="003A5ACF"/>
    <w:rsid w:val="003A618E"/>
    <w:rsid w:val="003A66D7"/>
    <w:rsid w:val="003A674E"/>
    <w:rsid w:val="003A6CDC"/>
    <w:rsid w:val="003A7265"/>
    <w:rsid w:val="003A7367"/>
    <w:rsid w:val="003A797C"/>
    <w:rsid w:val="003A7A6F"/>
    <w:rsid w:val="003A7FF6"/>
    <w:rsid w:val="003B0336"/>
    <w:rsid w:val="003B03F4"/>
    <w:rsid w:val="003B0413"/>
    <w:rsid w:val="003B0677"/>
    <w:rsid w:val="003B083A"/>
    <w:rsid w:val="003B0A0F"/>
    <w:rsid w:val="003B0B9C"/>
    <w:rsid w:val="003B0D40"/>
    <w:rsid w:val="003B0EC1"/>
    <w:rsid w:val="003B12DD"/>
    <w:rsid w:val="003B1300"/>
    <w:rsid w:val="003B1577"/>
    <w:rsid w:val="003B1697"/>
    <w:rsid w:val="003B16D2"/>
    <w:rsid w:val="003B1824"/>
    <w:rsid w:val="003B192B"/>
    <w:rsid w:val="003B1B21"/>
    <w:rsid w:val="003B1B30"/>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113"/>
    <w:rsid w:val="003B44FE"/>
    <w:rsid w:val="003B46B5"/>
    <w:rsid w:val="003B4849"/>
    <w:rsid w:val="003B4A40"/>
    <w:rsid w:val="003B4A70"/>
    <w:rsid w:val="003B4D70"/>
    <w:rsid w:val="003B4EDF"/>
    <w:rsid w:val="003B4F2E"/>
    <w:rsid w:val="003B51D6"/>
    <w:rsid w:val="003B55EE"/>
    <w:rsid w:val="003B58B3"/>
    <w:rsid w:val="003B5B16"/>
    <w:rsid w:val="003B5C09"/>
    <w:rsid w:val="003B5C97"/>
    <w:rsid w:val="003B5CB6"/>
    <w:rsid w:val="003B5D35"/>
    <w:rsid w:val="003B605D"/>
    <w:rsid w:val="003B6110"/>
    <w:rsid w:val="003B6255"/>
    <w:rsid w:val="003B632F"/>
    <w:rsid w:val="003B6330"/>
    <w:rsid w:val="003B6346"/>
    <w:rsid w:val="003B6427"/>
    <w:rsid w:val="003B65D2"/>
    <w:rsid w:val="003B68ED"/>
    <w:rsid w:val="003B6960"/>
    <w:rsid w:val="003B6A9C"/>
    <w:rsid w:val="003B6AF5"/>
    <w:rsid w:val="003B6B94"/>
    <w:rsid w:val="003B6C95"/>
    <w:rsid w:val="003B6DA5"/>
    <w:rsid w:val="003B6DB5"/>
    <w:rsid w:val="003B6E55"/>
    <w:rsid w:val="003B7014"/>
    <w:rsid w:val="003B730A"/>
    <w:rsid w:val="003B76BF"/>
    <w:rsid w:val="003B7716"/>
    <w:rsid w:val="003B7979"/>
    <w:rsid w:val="003B7A53"/>
    <w:rsid w:val="003B7A9B"/>
    <w:rsid w:val="003B7B24"/>
    <w:rsid w:val="003B7BB9"/>
    <w:rsid w:val="003B7BEB"/>
    <w:rsid w:val="003B7ECE"/>
    <w:rsid w:val="003C00AB"/>
    <w:rsid w:val="003C041C"/>
    <w:rsid w:val="003C07D8"/>
    <w:rsid w:val="003C0F40"/>
    <w:rsid w:val="003C0F54"/>
    <w:rsid w:val="003C0FEF"/>
    <w:rsid w:val="003C121D"/>
    <w:rsid w:val="003C1658"/>
    <w:rsid w:val="003C1867"/>
    <w:rsid w:val="003C188E"/>
    <w:rsid w:val="003C1937"/>
    <w:rsid w:val="003C2167"/>
    <w:rsid w:val="003C260C"/>
    <w:rsid w:val="003C277F"/>
    <w:rsid w:val="003C281D"/>
    <w:rsid w:val="003C2897"/>
    <w:rsid w:val="003C29EE"/>
    <w:rsid w:val="003C2C8D"/>
    <w:rsid w:val="003C2E50"/>
    <w:rsid w:val="003C3016"/>
    <w:rsid w:val="003C319E"/>
    <w:rsid w:val="003C33A3"/>
    <w:rsid w:val="003C387E"/>
    <w:rsid w:val="003C3ACE"/>
    <w:rsid w:val="003C3CCD"/>
    <w:rsid w:val="003C3D25"/>
    <w:rsid w:val="003C3DB9"/>
    <w:rsid w:val="003C3F26"/>
    <w:rsid w:val="003C40A4"/>
    <w:rsid w:val="003C44E3"/>
    <w:rsid w:val="003C45A6"/>
    <w:rsid w:val="003C4DC1"/>
    <w:rsid w:val="003C4ED1"/>
    <w:rsid w:val="003C4EEA"/>
    <w:rsid w:val="003C511B"/>
    <w:rsid w:val="003C53A9"/>
    <w:rsid w:val="003C5497"/>
    <w:rsid w:val="003C587F"/>
    <w:rsid w:val="003C5A7A"/>
    <w:rsid w:val="003C5D3D"/>
    <w:rsid w:val="003C6073"/>
    <w:rsid w:val="003C64B5"/>
    <w:rsid w:val="003C64F7"/>
    <w:rsid w:val="003C65D0"/>
    <w:rsid w:val="003C675B"/>
    <w:rsid w:val="003C690E"/>
    <w:rsid w:val="003C6B06"/>
    <w:rsid w:val="003C6C49"/>
    <w:rsid w:val="003C6D10"/>
    <w:rsid w:val="003C6D72"/>
    <w:rsid w:val="003C6ED2"/>
    <w:rsid w:val="003C6FBE"/>
    <w:rsid w:val="003C6FFB"/>
    <w:rsid w:val="003C7466"/>
    <w:rsid w:val="003C74C2"/>
    <w:rsid w:val="003C757F"/>
    <w:rsid w:val="003C75B1"/>
    <w:rsid w:val="003C75B4"/>
    <w:rsid w:val="003C76AA"/>
    <w:rsid w:val="003C7820"/>
    <w:rsid w:val="003C79A3"/>
    <w:rsid w:val="003C7B60"/>
    <w:rsid w:val="003D00D2"/>
    <w:rsid w:val="003D017B"/>
    <w:rsid w:val="003D056E"/>
    <w:rsid w:val="003D0AFB"/>
    <w:rsid w:val="003D0BD2"/>
    <w:rsid w:val="003D0BE3"/>
    <w:rsid w:val="003D11B6"/>
    <w:rsid w:val="003D1331"/>
    <w:rsid w:val="003D1730"/>
    <w:rsid w:val="003D184B"/>
    <w:rsid w:val="003D1C0A"/>
    <w:rsid w:val="003D1C91"/>
    <w:rsid w:val="003D21F7"/>
    <w:rsid w:val="003D228D"/>
    <w:rsid w:val="003D23EE"/>
    <w:rsid w:val="003D2589"/>
    <w:rsid w:val="003D25F4"/>
    <w:rsid w:val="003D26D5"/>
    <w:rsid w:val="003D26F7"/>
    <w:rsid w:val="003D2CD5"/>
    <w:rsid w:val="003D2CEE"/>
    <w:rsid w:val="003D2F99"/>
    <w:rsid w:val="003D30D6"/>
    <w:rsid w:val="003D3325"/>
    <w:rsid w:val="003D34E8"/>
    <w:rsid w:val="003D3721"/>
    <w:rsid w:val="003D3A0C"/>
    <w:rsid w:val="003D3E70"/>
    <w:rsid w:val="003D41F2"/>
    <w:rsid w:val="003D462C"/>
    <w:rsid w:val="003D4937"/>
    <w:rsid w:val="003D4B9D"/>
    <w:rsid w:val="003D4E2B"/>
    <w:rsid w:val="003D4F92"/>
    <w:rsid w:val="003D576D"/>
    <w:rsid w:val="003D5CD5"/>
    <w:rsid w:val="003D6151"/>
    <w:rsid w:val="003D61CE"/>
    <w:rsid w:val="003D6235"/>
    <w:rsid w:val="003D6672"/>
    <w:rsid w:val="003D670E"/>
    <w:rsid w:val="003D684E"/>
    <w:rsid w:val="003D68D4"/>
    <w:rsid w:val="003D68F6"/>
    <w:rsid w:val="003D690B"/>
    <w:rsid w:val="003D69FF"/>
    <w:rsid w:val="003D6A6E"/>
    <w:rsid w:val="003D6CA1"/>
    <w:rsid w:val="003D6EE8"/>
    <w:rsid w:val="003D6F6F"/>
    <w:rsid w:val="003D728F"/>
    <w:rsid w:val="003D746B"/>
    <w:rsid w:val="003D76CD"/>
    <w:rsid w:val="003D76F9"/>
    <w:rsid w:val="003D79C4"/>
    <w:rsid w:val="003D7AF7"/>
    <w:rsid w:val="003D7B0C"/>
    <w:rsid w:val="003D7CF1"/>
    <w:rsid w:val="003E025F"/>
    <w:rsid w:val="003E0730"/>
    <w:rsid w:val="003E0A59"/>
    <w:rsid w:val="003E0E48"/>
    <w:rsid w:val="003E1178"/>
    <w:rsid w:val="003E137D"/>
    <w:rsid w:val="003E1723"/>
    <w:rsid w:val="003E1769"/>
    <w:rsid w:val="003E1902"/>
    <w:rsid w:val="003E1A3A"/>
    <w:rsid w:val="003E1A8D"/>
    <w:rsid w:val="003E1B7B"/>
    <w:rsid w:val="003E1BC0"/>
    <w:rsid w:val="003E1BC4"/>
    <w:rsid w:val="003E1D15"/>
    <w:rsid w:val="003E1D48"/>
    <w:rsid w:val="003E1D49"/>
    <w:rsid w:val="003E1EE5"/>
    <w:rsid w:val="003E1F00"/>
    <w:rsid w:val="003E2010"/>
    <w:rsid w:val="003E2078"/>
    <w:rsid w:val="003E2375"/>
    <w:rsid w:val="003E23F6"/>
    <w:rsid w:val="003E2540"/>
    <w:rsid w:val="003E2AA8"/>
    <w:rsid w:val="003E2D9E"/>
    <w:rsid w:val="003E2ED0"/>
    <w:rsid w:val="003E3331"/>
    <w:rsid w:val="003E33DF"/>
    <w:rsid w:val="003E35BF"/>
    <w:rsid w:val="003E3637"/>
    <w:rsid w:val="003E37EE"/>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3E1"/>
    <w:rsid w:val="003E55B9"/>
    <w:rsid w:val="003E5B22"/>
    <w:rsid w:val="003E5D70"/>
    <w:rsid w:val="003E5E9C"/>
    <w:rsid w:val="003E5F4F"/>
    <w:rsid w:val="003E5FD6"/>
    <w:rsid w:val="003E603E"/>
    <w:rsid w:val="003E61D8"/>
    <w:rsid w:val="003E629E"/>
    <w:rsid w:val="003E63AC"/>
    <w:rsid w:val="003E6517"/>
    <w:rsid w:val="003E6906"/>
    <w:rsid w:val="003E6985"/>
    <w:rsid w:val="003E6BF2"/>
    <w:rsid w:val="003E6D22"/>
    <w:rsid w:val="003E6D70"/>
    <w:rsid w:val="003E6FA0"/>
    <w:rsid w:val="003E7016"/>
    <w:rsid w:val="003E71CD"/>
    <w:rsid w:val="003E744D"/>
    <w:rsid w:val="003E7CDD"/>
    <w:rsid w:val="003F01F6"/>
    <w:rsid w:val="003F020C"/>
    <w:rsid w:val="003F033C"/>
    <w:rsid w:val="003F03C4"/>
    <w:rsid w:val="003F04C5"/>
    <w:rsid w:val="003F066F"/>
    <w:rsid w:val="003F07C3"/>
    <w:rsid w:val="003F0C9B"/>
    <w:rsid w:val="003F0E68"/>
    <w:rsid w:val="003F110B"/>
    <w:rsid w:val="003F1299"/>
    <w:rsid w:val="003F1C0F"/>
    <w:rsid w:val="003F1F1D"/>
    <w:rsid w:val="003F225B"/>
    <w:rsid w:val="003F232B"/>
    <w:rsid w:val="003F2A8C"/>
    <w:rsid w:val="003F2CEF"/>
    <w:rsid w:val="003F2DEE"/>
    <w:rsid w:val="003F307C"/>
    <w:rsid w:val="003F31AE"/>
    <w:rsid w:val="003F325F"/>
    <w:rsid w:val="003F3282"/>
    <w:rsid w:val="003F34C8"/>
    <w:rsid w:val="003F3650"/>
    <w:rsid w:val="003F3722"/>
    <w:rsid w:val="003F3733"/>
    <w:rsid w:val="003F3919"/>
    <w:rsid w:val="003F39F1"/>
    <w:rsid w:val="003F3B8F"/>
    <w:rsid w:val="003F3CE3"/>
    <w:rsid w:val="003F416F"/>
    <w:rsid w:val="003F41F2"/>
    <w:rsid w:val="003F4201"/>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321"/>
    <w:rsid w:val="003F647C"/>
    <w:rsid w:val="003F6545"/>
    <w:rsid w:val="003F66F8"/>
    <w:rsid w:val="003F6726"/>
    <w:rsid w:val="003F6ABD"/>
    <w:rsid w:val="003F6B6C"/>
    <w:rsid w:val="003F6F06"/>
    <w:rsid w:val="003F6F6C"/>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D05"/>
    <w:rsid w:val="00401FCB"/>
    <w:rsid w:val="0040203A"/>
    <w:rsid w:val="00402B30"/>
    <w:rsid w:val="00402C69"/>
    <w:rsid w:val="00402F48"/>
    <w:rsid w:val="0040305F"/>
    <w:rsid w:val="004030CE"/>
    <w:rsid w:val="004034C1"/>
    <w:rsid w:val="004034E5"/>
    <w:rsid w:val="00403504"/>
    <w:rsid w:val="00403633"/>
    <w:rsid w:val="00403812"/>
    <w:rsid w:val="00403959"/>
    <w:rsid w:val="00403B3C"/>
    <w:rsid w:val="00403C3A"/>
    <w:rsid w:val="00403DE5"/>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390"/>
    <w:rsid w:val="004065C4"/>
    <w:rsid w:val="004066EE"/>
    <w:rsid w:val="00406765"/>
    <w:rsid w:val="00406955"/>
    <w:rsid w:val="00406B99"/>
    <w:rsid w:val="00406F6F"/>
    <w:rsid w:val="004073A8"/>
    <w:rsid w:val="00407428"/>
    <w:rsid w:val="004074FF"/>
    <w:rsid w:val="004077F4"/>
    <w:rsid w:val="00407840"/>
    <w:rsid w:val="0040796E"/>
    <w:rsid w:val="004079E9"/>
    <w:rsid w:val="0041021F"/>
    <w:rsid w:val="004103F2"/>
    <w:rsid w:val="00410619"/>
    <w:rsid w:val="0041073C"/>
    <w:rsid w:val="004107D2"/>
    <w:rsid w:val="00410AB1"/>
    <w:rsid w:val="004112AE"/>
    <w:rsid w:val="004114BE"/>
    <w:rsid w:val="0041156F"/>
    <w:rsid w:val="00411903"/>
    <w:rsid w:val="004119A1"/>
    <w:rsid w:val="00411CCB"/>
    <w:rsid w:val="00411E7E"/>
    <w:rsid w:val="00411F4F"/>
    <w:rsid w:val="00412042"/>
    <w:rsid w:val="004124B3"/>
    <w:rsid w:val="00412535"/>
    <w:rsid w:val="004126DB"/>
    <w:rsid w:val="00412A7B"/>
    <w:rsid w:val="00412B5E"/>
    <w:rsid w:val="00412C90"/>
    <w:rsid w:val="00412D0B"/>
    <w:rsid w:val="00412E61"/>
    <w:rsid w:val="0041303A"/>
    <w:rsid w:val="00413097"/>
    <w:rsid w:val="004134C0"/>
    <w:rsid w:val="004136EB"/>
    <w:rsid w:val="00413C08"/>
    <w:rsid w:val="00413FFE"/>
    <w:rsid w:val="004141A1"/>
    <w:rsid w:val="00414299"/>
    <w:rsid w:val="004145B4"/>
    <w:rsid w:val="00414967"/>
    <w:rsid w:val="00414B5B"/>
    <w:rsid w:val="00414C19"/>
    <w:rsid w:val="00414CAD"/>
    <w:rsid w:val="004150F4"/>
    <w:rsid w:val="00415563"/>
    <w:rsid w:val="00415BC5"/>
    <w:rsid w:val="00415DB8"/>
    <w:rsid w:val="00415EE3"/>
    <w:rsid w:val="00415F40"/>
    <w:rsid w:val="0041604E"/>
    <w:rsid w:val="004161DD"/>
    <w:rsid w:val="00416341"/>
    <w:rsid w:val="004173EB"/>
    <w:rsid w:val="00417B31"/>
    <w:rsid w:val="0042018B"/>
    <w:rsid w:val="004203E3"/>
    <w:rsid w:val="0042055A"/>
    <w:rsid w:val="004209F7"/>
    <w:rsid w:val="00420BD0"/>
    <w:rsid w:val="00420CB0"/>
    <w:rsid w:val="00420F40"/>
    <w:rsid w:val="0042114F"/>
    <w:rsid w:val="00421840"/>
    <w:rsid w:val="00421975"/>
    <w:rsid w:val="00421B69"/>
    <w:rsid w:val="00421BB3"/>
    <w:rsid w:val="00421F35"/>
    <w:rsid w:val="0042208B"/>
    <w:rsid w:val="00422404"/>
    <w:rsid w:val="004229AD"/>
    <w:rsid w:val="00422C05"/>
    <w:rsid w:val="0042304A"/>
    <w:rsid w:val="004232DA"/>
    <w:rsid w:val="004238F9"/>
    <w:rsid w:val="00423967"/>
    <w:rsid w:val="00423B8D"/>
    <w:rsid w:val="004240E0"/>
    <w:rsid w:val="0042436F"/>
    <w:rsid w:val="00424879"/>
    <w:rsid w:val="00424B6C"/>
    <w:rsid w:val="00424BC8"/>
    <w:rsid w:val="00424C9B"/>
    <w:rsid w:val="00424C9C"/>
    <w:rsid w:val="00424E78"/>
    <w:rsid w:val="00424F79"/>
    <w:rsid w:val="0042523D"/>
    <w:rsid w:val="0042527E"/>
    <w:rsid w:val="004252FB"/>
    <w:rsid w:val="004253AF"/>
    <w:rsid w:val="00425683"/>
    <w:rsid w:val="0042572F"/>
    <w:rsid w:val="00425907"/>
    <w:rsid w:val="00425987"/>
    <w:rsid w:val="00425A69"/>
    <w:rsid w:val="00425B72"/>
    <w:rsid w:val="00425E08"/>
    <w:rsid w:val="00425F1B"/>
    <w:rsid w:val="004260FD"/>
    <w:rsid w:val="004266A3"/>
    <w:rsid w:val="004266B1"/>
    <w:rsid w:val="00426F11"/>
    <w:rsid w:val="00427015"/>
    <w:rsid w:val="004273A5"/>
    <w:rsid w:val="00427696"/>
    <w:rsid w:val="00427865"/>
    <w:rsid w:val="00427876"/>
    <w:rsid w:val="004278E6"/>
    <w:rsid w:val="00427D09"/>
    <w:rsid w:val="00427F9F"/>
    <w:rsid w:val="00430012"/>
    <w:rsid w:val="004302B7"/>
    <w:rsid w:val="0043054F"/>
    <w:rsid w:val="00430567"/>
    <w:rsid w:val="0043063B"/>
    <w:rsid w:val="004308E5"/>
    <w:rsid w:val="004309AA"/>
    <w:rsid w:val="004309E8"/>
    <w:rsid w:val="00430DFD"/>
    <w:rsid w:val="00431096"/>
    <w:rsid w:val="0043122D"/>
    <w:rsid w:val="004322D4"/>
    <w:rsid w:val="00432570"/>
    <w:rsid w:val="0043269D"/>
    <w:rsid w:val="00432A76"/>
    <w:rsid w:val="00432F05"/>
    <w:rsid w:val="004330BC"/>
    <w:rsid w:val="004334B0"/>
    <w:rsid w:val="00433783"/>
    <w:rsid w:val="0043396B"/>
    <w:rsid w:val="00433AD1"/>
    <w:rsid w:val="00433C0B"/>
    <w:rsid w:val="00433EC8"/>
    <w:rsid w:val="00434174"/>
    <w:rsid w:val="0043417D"/>
    <w:rsid w:val="0043445D"/>
    <w:rsid w:val="00434627"/>
    <w:rsid w:val="0043479C"/>
    <w:rsid w:val="00434A59"/>
    <w:rsid w:val="00434E88"/>
    <w:rsid w:val="00435099"/>
    <w:rsid w:val="004350A2"/>
    <w:rsid w:val="00435101"/>
    <w:rsid w:val="004351AE"/>
    <w:rsid w:val="0043542B"/>
    <w:rsid w:val="00435632"/>
    <w:rsid w:val="00435734"/>
    <w:rsid w:val="0043584E"/>
    <w:rsid w:val="004358C5"/>
    <w:rsid w:val="0043594B"/>
    <w:rsid w:val="004359E9"/>
    <w:rsid w:val="004359FA"/>
    <w:rsid w:val="00435D10"/>
    <w:rsid w:val="004362BB"/>
    <w:rsid w:val="004368AE"/>
    <w:rsid w:val="004369C6"/>
    <w:rsid w:val="00436CC1"/>
    <w:rsid w:val="00436CDF"/>
    <w:rsid w:val="00437330"/>
    <w:rsid w:val="004378EC"/>
    <w:rsid w:val="004379D0"/>
    <w:rsid w:val="00437FB4"/>
    <w:rsid w:val="00440018"/>
    <w:rsid w:val="004402CD"/>
    <w:rsid w:val="0044040B"/>
    <w:rsid w:val="00440604"/>
    <w:rsid w:val="004407A0"/>
    <w:rsid w:val="00440822"/>
    <w:rsid w:val="00440DFC"/>
    <w:rsid w:val="00440E5B"/>
    <w:rsid w:val="00440FD7"/>
    <w:rsid w:val="004410D2"/>
    <w:rsid w:val="0044123D"/>
    <w:rsid w:val="0044129B"/>
    <w:rsid w:val="004412D1"/>
    <w:rsid w:val="0044130F"/>
    <w:rsid w:val="00441AFE"/>
    <w:rsid w:val="00441C3C"/>
    <w:rsid w:val="00441D02"/>
    <w:rsid w:val="00442386"/>
    <w:rsid w:val="00442B2E"/>
    <w:rsid w:val="00442BCC"/>
    <w:rsid w:val="00442BD9"/>
    <w:rsid w:val="00442D21"/>
    <w:rsid w:val="00442FF5"/>
    <w:rsid w:val="00443182"/>
    <w:rsid w:val="004431E9"/>
    <w:rsid w:val="00443287"/>
    <w:rsid w:val="00443392"/>
    <w:rsid w:val="004433C5"/>
    <w:rsid w:val="00443630"/>
    <w:rsid w:val="0044365B"/>
    <w:rsid w:val="0044368D"/>
    <w:rsid w:val="00443ADC"/>
    <w:rsid w:val="004442DD"/>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6095"/>
    <w:rsid w:val="004460FE"/>
    <w:rsid w:val="004461FA"/>
    <w:rsid w:val="0044680C"/>
    <w:rsid w:val="00446A40"/>
    <w:rsid w:val="00446CE8"/>
    <w:rsid w:val="004477EF"/>
    <w:rsid w:val="00447895"/>
    <w:rsid w:val="00447A38"/>
    <w:rsid w:val="00447BCF"/>
    <w:rsid w:val="00450446"/>
    <w:rsid w:val="004504D6"/>
    <w:rsid w:val="004507E5"/>
    <w:rsid w:val="00450833"/>
    <w:rsid w:val="00450AC0"/>
    <w:rsid w:val="00450B9C"/>
    <w:rsid w:val="00450D71"/>
    <w:rsid w:val="004512E4"/>
    <w:rsid w:val="004516D6"/>
    <w:rsid w:val="004516F2"/>
    <w:rsid w:val="004519F1"/>
    <w:rsid w:val="00451ED2"/>
    <w:rsid w:val="004525C1"/>
    <w:rsid w:val="00452619"/>
    <w:rsid w:val="004526DF"/>
    <w:rsid w:val="00452A17"/>
    <w:rsid w:val="00452C4A"/>
    <w:rsid w:val="00452E1E"/>
    <w:rsid w:val="00452E70"/>
    <w:rsid w:val="00453037"/>
    <w:rsid w:val="00453106"/>
    <w:rsid w:val="00453314"/>
    <w:rsid w:val="0045334B"/>
    <w:rsid w:val="00453A19"/>
    <w:rsid w:val="00453B7D"/>
    <w:rsid w:val="00453ED8"/>
    <w:rsid w:val="0045437C"/>
    <w:rsid w:val="004543BB"/>
    <w:rsid w:val="00454739"/>
    <w:rsid w:val="00454882"/>
    <w:rsid w:val="00454A14"/>
    <w:rsid w:val="00454A30"/>
    <w:rsid w:val="00454D6E"/>
    <w:rsid w:val="00454F63"/>
    <w:rsid w:val="00454F87"/>
    <w:rsid w:val="004553CB"/>
    <w:rsid w:val="0045588B"/>
    <w:rsid w:val="00455C49"/>
    <w:rsid w:val="00455F9E"/>
    <w:rsid w:val="0045610F"/>
    <w:rsid w:val="004563D6"/>
    <w:rsid w:val="004564F7"/>
    <w:rsid w:val="00456654"/>
    <w:rsid w:val="004568BB"/>
    <w:rsid w:val="00456C43"/>
    <w:rsid w:val="00456EC9"/>
    <w:rsid w:val="00456EF5"/>
    <w:rsid w:val="004577BF"/>
    <w:rsid w:val="004577CB"/>
    <w:rsid w:val="0045781E"/>
    <w:rsid w:val="00457AFC"/>
    <w:rsid w:val="00457CFF"/>
    <w:rsid w:val="004600CC"/>
    <w:rsid w:val="004600EE"/>
    <w:rsid w:val="00460494"/>
    <w:rsid w:val="004605BC"/>
    <w:rsid w:val="00460AD1"/>
    <w:rsid w:val="00461003"/>
    <w:rsid w:val="00461158"/>
    <w:rsid w:val="0046159A"/>
    <w:rsid w:val="004618B8"/>
    <w:rsid w:val="00461B72"/>
    <w:rsid w:val="00461B9D"/>
    <w:rsid w:val="00462001"/>
    <w:rsid w:val="00462117"/>
    <w:rsid w:val="00462400"/>
    <w:rsid w:val="004624B9"/>
    <w:rsid w:val="004627BC"/>
    <w:rsid w:val="00462C57"/>
    <w:rsid w:val="00462F8E"/>
    <w:rsid w:val="004630A2"/>
    <w:rsid w:val="00463226"/>
    <w:rsid w:val="004635B5"/>
    <w:rsid w:val="00463769"/>
    <w:rsid w:val="00463ADA"/>
    <w:rsid w:val="00463B9A"/>
    <w:rsid w:val="00463BA9"/>
    <w:rsid w:val="00463C42"/>
    <w:rsid w:val="00463F28"/>
    <w:rsid w:val="0046407B"/>
    <w:rsid w:val="004643B9"/>
    <w:rsid w:val="0046458A"/>
    <w:rsid w:val="004646EE"/>
    <w:rsid w:val="004648AF"/>
    <w:rsid w:val="004649AB"/>
    <w:rsid w:val="004649B8"/>
    <w:rsid w:val="00464DCD"/>
    <w:rsid w:val="00464DED"/>
    <w:rsid w:val="00464FC4"/>
    <w:rsid w:val="004651D0"/>
    <w:rsid w:val="0046566C"/>
    <w:rsid w:val="0046581F"/>
    <w:rsid w:val="00465877"/>
    <w:rsid w:val="00465A90"/>
    <w:rsid w:val="00465AEB"/>
    <w:rsid w:val="00465CC2"/>
    <w:rsid w:val="00465F5F"/>
    <w:rsid w:val="00466357"/>
    <w:rsid w:val="004665D2"/>
    <w:rsid w:val="0046689D"/>
    <w:rsid w:val="00466AB7"/>
    <w:rsid w:val="00466B35"/>
    <w:rsid w:val="00466C93"/>
    <w:rsid w:val="00466D14"/>
    <w:rsid w:val="00466DE0"/>
    <w:rsid w:val="00466E6A"/>
    <w:rsid w:val="00467357"/>
    <w:rsid w:val="00467610"/>
    <w:rsid w:val="004677AB"/>
    <w:rsid w:val="004677C1"/>
    <w:rsid w:val="00467906"/>
    <w:rsid w:val="00467B7D"/>
    <w:rsid w:val="00467CFF"/>
    <w:rsid w:val="00467E58"/>
    <w:rsid w:val="00467FAA"/>
    <w:rsid w:val="00467FEE"/>
    <w:rsid w:val="00467FFC"/>
    <w:rsid w:val="00470031"/>
    <w:rsid w:val="004700AF"/>
    <w:rsid w:val="0047030E"/>
    <w:rsid w:val="0047041D"/>
    <w:rsid w:val="004707D6"/>
    <w:rsid w:val="00470B1D"/>
    <w:rsid w:val="00470D18"/>
    <w:rsid w:val="00470F57"/>
    <w:rsid w:val="0047102C"/>
    <w:rsid w:val="00471068"/>
    <w:rsid w:val="0047114E"/>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6"/>
    <w:rsid w:val="0047349E"/>
    <w:rsid w:val="00473717"/>
    <w:rsid w:val="004738CB"/>
    <w:rsid w:val="004738F7"/>
    <w:rsid w:val="00473935"/>
    <w:rsid w:val="00473A0E"/>
    <w:rsid w:val="00473D60"/>
    <w:rsid w:val="00473E5C"/>
    <w:rsid w:val="00473EC6"/>
    <w:rsid w:val="00474437"/>
    <w:rsid w:val="0047457D"/>
    <w:rsid w:val="00474709"/>
    <w:rsid w:val="0047475A"/>
    <w:rsid w:val="00474BEC"/>
    <w:rsid w:val="00474E90"/>
    <w:rsid w:val="00474F03"/>
    <w:rsid w:val="00475053"/>
    <w:rsid w:val="004750D7"/>
    <w:rsid w:val="004750E2"/>
    <w:rsid w:val="004753C4"/>
    <w:rsid w:val="004753F4"/>
    <w:rsid w:val="00475849"/>
    <w:rsid w:val="0047592B"/>
    <w:rsid w:val="004759EC"/>
    <w:rsid w:val="00475AFC"/>
    <w:rsid w:val="00475B4E"/>
    <w:rsid w:val="00475D63"/>
    <w:rsid w:val="00475E7A"/>
    <w:rsid w:val="0047635D"/>
    <w:rsid w:val="00476425"/>
    <w:rsid w:val="00476711"/>
    <w:rsid w:val="004767BE"/>
    <w:rsid w:val="00476824"/>
    <w:rsid w:val="0047689B"/>
    <w:rsid w:val="004768D5"/>
    <w:rsid w:val="00476AB0"/>
    <w:rsid w:val="00476BB5"/>
    <w:rsid w:val="00477402"/>
    <w:rsid w:val="00477631"/>
    <w:rsid w:val="00477975"/>
    <w:rsid w:val="00477D9B"/>
    <w:rsid w:val="00477EA8"/>
    <w:rsid w:val="0048001E"/>
    <w:rsid w:val="00480173"/>
    <w:rsid w:val="004806B9"/>
    <w:rsid w:val="004807B0"/>
    <w:rsid w:val="00480B68"/>
    <w:rsid w:val="00480B72"/>
    <w:rsid w:val="00480E45"/>
    <w:rsid w:val="00480E46"/>
    <w:rsid w:val="00481225"/>
    <w:rsid w:val="0048131F"/>
    <w:rsid w:val="004813B3"/>
    <w:rsid w:val="004814A1"/>
    <w:rsid w:val="004815FA"/>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A99"/>
    <w:rsid w:val="00483B40"/>
    <w:rsid w:val="00483C6D"/>
    <w:rsid w:val="00483D75"/>
    <w:rsid w:val="0048412E"/>
    <w:rsid w:val="00484273"/>
    <w:rsid w:val="004847CB"/>
    <w:rsid w:val="00484937"/>
    <w:rsid w:val="00484A58"/>
    <w:rsid w:val="004852F4"/>
    <w:rsid w:val="0048546E"/>
    <w:rsid w:val="0048552D"/>
    <w:rsid w:val="004855D7"/>
    <w:rsid w:val="00485638"/>
    <w:rsid w:val="0048585C"/>
    <w:rsid w:val="00485CDE"/>
    <w:rsid w:val="00485D08"/>
    <w:rsid w:val="00485FCD"/>
    <w:rsid w:val="0048641F"/>
    <w:rsid w:val="00486603"/>
    <w:rsid w:val="00486C0B"/>
    <w:rsid w:val="00486CB5"/>
    <w:rsid w:val="00486D4F"/>
    <w:rsid w:val="00486D50"/>
    <w:rsid w:val="00486D7F"/>
    <w:rsid w:val="00486DD5"/>
    <w:rsid w:val="00486F13"/>
    <w:rsid w:val="00487009"/>
    <w:rsid w:val="00487069"/>
    <w:rsid w:val="004870C9"/>
    <w:rsid w:val="004871B7"/>
    <w:rsid w:val="00487659"/>
    <w:rsid w:val="00487A90"/>
    <w:rsid w:val="00487C28"/>
    <w:rsid w:val="00487D7A"/>
    <w:rsid w:val="00487DFF"/>
    <w:rsid w:val="00487F5F"/>
    <w:rsid w:val="00490293"/>
    <w:rsid w:val="004907D3"/>
    <w:rsid w:val="004907F2"/>
    <w:rsid w:val="004909B7"/>
    <w:rsid w:val="00490A86"/>
    <w:rsid w:val="00490E8E"/>
    <w:rsid w:val="00491088"/>
    <w:rsid w:val="0049136A"/>
    <w:rsid w:val="00491432"/>
    <w:rsid w:val="0049143C"/>
    <w:rsid w:val="0049169F"/>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67C"/>
    <w:rsid w:val="00493B0F"/>
    <w:rsid w:val="00493B38"/>
    <w:rsid w:val="00493B68"/>
    <w:rsid w:val="00493BA4"/>
    <w:rsid w:val="00493CCF"/>
    <w:rsid w:val="00493E6C"/>
    <w:rsid w:val="0049439A"/>
    <w:rsid w:val="00494683"/>
    <w:rsid w:val="004949AD"/>
    <w:rsid w:val="00494E20"/>
    <w:rsid w:val="00494F75"/>
    <w:rsid w:val="00495054"/>
    <w:rsid w:val="004951BE"/>
    <w:rsid w:val="004951D8"/>
    <w:rsid w:val="0049526A"/>
    <w:rsid w:val="00495557"/>
    <w:rsid w:val="00495658"/>
    <w:rsid w:val="00495748"/>
    <w:rsid w:val="004958A4"/>
    <w:rsid w:val="00495BB5"/>
    <w:rsid w:val="00495C30"/>
    <w:rsid w:val="00495C92"/>
    <w:rsid w:val="00495D27"/>
    <w:rsid w:val="00495D65"/>
    <w:rsid w:val="00495D8E"/>
    <w:rsid w:val="00495E63"/>
    <w:rsid w:val="00495F0C"/>
    <w:rsid w:val="00495FB1"/>
    <w:rsid w:val="00496031"/>
    <w:rsid w:val="004961B3"/>
    <w:rsid w:val="004961E7"/>
    <w:rsid w:val="0049622B"/>
    <w:rsid w:val="004962EB"/>
    <w:rsid w:val="00496865"/>
    <w:rsid w:val="00496F2D"/>
    <w:rsid w:val="00497272"/>
    <w:rsid w:val="00497671"/>
    <w:rsid w:val="0049782B"/>
    <w:rsid w:val="00497B0F"/>
    <w:rsid w:val="00497B52"/>
    <w:rsid w:val="00497C2A"/>
    <w:rsid w:val="00497C74"/>
    <w:rsid w:val="00497CAB"/>
    <w:rsid w:val="004A0086"/>
    <w:rsid w:val="004A0116"/>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CAE"/>
    <w:rsid w:val="004A1D9F"/>
    <w:rsid w:val="004A1F03"/>
    <w:rsid w:val="004A1FF3"/>
    <w:rsid w:val="004A2079"/>
    <w:rsid w:val="004A21A7"/>
    <w:rsid w:val="004A21D5"/>
    <w:rsid w:val="004A22D4"/>
    <w:rsid w:val="004A2355"/>
    <w:rsid w:val="004A23F0"/>
    <w:rsid w:val="004A250E"/>
    <w:rsid w:val="004A272C"/>
    <w:rsid w:val="004A2805"/>
    <w:rsid w:val="004A2F7C"/>
    <w:rsid w:val="004A3254"/>
    <w:rsid w:val="004A3261"/>
    <w:rsid w:val="004A34F8"/>
    <w:rsid w:val="004A3878"/>
    <w:rsid w:val="004A3E7B"/>
    <w:rsid w:val="004A3FB2"/>
    <w:rsid w:val="004A4356"/>
    <w:rsid w:val="004A437C"/>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893"/>
    <w:rsid w:val="004A79E6"/>
    <w:rsid w:val="004B0237"/>
    <w:rsid w:val="004B028E"/>
    <w:rsid w:val="004B038D"/>
    <w:rsid w:val="004B06B6"/>
    <w:rsid w:val="004B070F"/>
    <w:rsid w:val="004B08AF"/>
    <w:rsid w:val="004B0A61"/>
    <w:rsid w:val="004B0AEA"/>
    <w:rsid w:val="004B0BD9"/>
    <w:rsid w:val="004B0E7C"/>
    <w:rsid w:val="004B105B"/>
    <w:rsid w:val="004B14A4"/>
    <w:rsid w:val="004B14E1"/>
    <w:rsid w:val="004B15AD"/>
    <w:rsid w:val="004B15F1"/>
    <w:rsid w:val="004B17CB"/>
    <w:rsid w:val="004B1891"/>
    <w:rsid w:val="004B18BE"/>
    <w:rsid w:val="004B203E"/>
    <w:rsid w:val="004B20F7"/>
    <w:rsid w:val="004B22BC"/>
    <w:rsid w:val="004B277F"/>
    <w:rsid w:val="004B28A2"/>
    <w:rsid w:val="004B2BFD"/>
    <w:rsid w:val="004B2E4D"/>
    <w:rsid w:val="004B3090"/>
    <w:rsid w:val="004B33B9"/>
    <w:rsid w:val="004B340E"/>
    <w:rsid w:val="004B3420"/>
    <w:rsid w:val="004B37E4"/>
    <w:rsid w:val="004B3944"/>
    <w:rsid w:val="004B3971"/>
    <w:rsid w:val="004B399F"/>
    <w:rsid w:val="004B39D5"/>
    <w:rsid w:val="004B39F4"/>
    <w:rsid w:val="004B3B68"/>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936"/>
    <w:rsid w:val="004B6B02"/>
    <w:rsid w:val="004B6C88"/>
    <w:rsid w:val="004B6D63"/>
    <w:rsid w:val="004B6FEC"/>
    <w:rsid w:val="004B71A4"/>
    <w:rsid w:val="004C0571"/>
    <w:rsid w:val="004C093C"/>
    <w:rsid w:val="004C0A9A"/>
    <w:rsid w:val="004C0BC9"/>
    <w:rsid w:val="004C0C8F"/>
    <w:rsid w:val="004C0DF1"/>
    <w:rsid w:val="004C0DF8"/>
    <w:rsid w:val="004C0E96"/>
    <w:rsid w:val="004C0EF6"/>
    <w:rsid w:val="004C1151"/>
    <w:rsid w:val="004C11D4"/>
    <w:rsid w:val="004C1479"/>
    <w:rsid w:val="004C14A0"/>
    <w:rsid w:val="004C1697"/>
    <w:rsid w:val="004C1747"/>
    <w:rsid w:val="004C17DD"/>
    <w:rsid w:val="004C1A61"/>
    <w:rsid w:val="004C1D49"/>
    <w:rsid w:val="004C1E31"/>
    <w:rsid w:val="004C1E97"/>
    <w:rsid w:val="004C1FB7"/>
    <w:rsid w:val="004C2009"/>
    <w:rsid w:val="004C2076"/>
    <w:rsid w:val="004C236F"/>
    <w:rsid w:val="004C243B"/>
    <w:rsid w:val="004C246F"/>
    <w:rsid w:val="004C2683"/>
    <w:rsid w:val="004C26BA"/>
    <w:rsid w:val="004C27DD"/>
    <w:rsid w:val="004C2843"/>
    <w:rsid w:val="004C28D5"/>
    <w:rsid w:val="004C2ECD"/>
    <w:rsid w:val="004C3089"/>
    <w:rsid w:val="004C3316"/>
    <w:rsid w:val="004C35D2"/>
    <w:rsid w:val="004C38A6"/>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D4"/>
    <w:rsid w:val="004C61E2"/>
    <w:rsid w:val="004C648E"/>
    <w:rsid w:val="004C66F5"/>
    <w:rsid w:val="004C67F9"/>
    <w:rsid w:val="004C6804"/>
    <w:rsid w:val="004C6A3A"/>
    <w:rsid w:val="004C6ADB"/>
    <w:rsid w:val="004C6BE0"/>
    <w:rsid w:val="004C6D24"/>
    <w:rsid w:val="004C7020"/>
    <w:rsid w:val="004C7154"/>
    <w:rsid w:val="004C7503"/>
    <w:rsid w:val="004C7581"/>
    <w:rsid w:val="004C76F3"/>
    <w:rsid w:val="004C776E"/>
    <w:rsid w:val="004C77D9"/>
    <w:rsid w:val="004C7921"/>
    <w:rsid w:val="004C7F3E"/>
    <w:rsid w:val="004D05F3"/>
    <w:rsid w:val="004D08BF"/>
    <w:rsid w:val="004D0B38"/>
    <w:rsid w:val="004D0B9F"/>
    <w:rsid w:val="004D0C77"/>
    <w:rsid w:val="004D0DD6"/>
    <w:rsid w:val="004D0FF1"/>
    <w:rsid w:val="004D1027"/>
    <w:rsid w:val="004D12D2"/>
    <w:rsid w:val="004D134E"/>
    <w:rsid w:val="004D13B6"/>
    <w:rsid w:val="004D14CC"/>
    <w:rsid w:val="004D156A"/>
    <w:rsid w:val="004D156E"/>
    <w:rsid w:val="004D1B28"/>
    <w:rsid w:val="004D1D5E"/>
    <w:rsid w:val="004D1DC3"/>
    <w:rsid w:val="004D1E00"/>
    <w:rsid w:val="004D1FEF"/>
    <w:rsid w:val="004D238F"/>
    <w:rsid w:val="004D2E88"/>
    <w:rsid w:val="004D30C4"/>
    <w:rsid w:val="004D323C"/>
    <w:rsid w:val="004D3253"/>
    <w:rsid w:val="004D35C6"/>
    <w:rsid w:val="004D378E"/>
    <w:rsid w:val="004D3797"/>
    <w:rsid w:val="004D3A2C"/>
    <w:rsid w:val="004D3B94"/>
    <w:rsid w:val="004D3BF7"/>
    <w:rsid w:val="004D3FDF"/>
    <w:rsid w:val="004D4312"/>
    <w:rsid w:val="004D4544"/>
    <w:rsid w:val="004D4647"/>
    <w:rsid w:val="004D4AB8"/>
    <w:rsid w:val="004D4C47"/>
    <w:rsid w:val="004D5169"/>
    <w:rsid w:val="004D5477"/>
    <w:rsid w:val="004D5745"/>
    <w:rsid w:val="004D593D"/>
    <w:rsid w:val="004D5CD9"/>
    <w:rsid w:val="004D5E82"/>
    <w:rsid w:val="004D5F42"/>
    <w:rsid w:val="004D602D"/>
    <w:rsid w:val="004D6CF4"/>
    <w:rsid w:val="004D6E44"/>
    <w:rsid w:val="004D6EDA"/>
    <w:rsid w:val="004D6F65"/>
    <w:rsid w:val="004D7597"/>
    <w:rsid w:val="004D76BF"/>
    <w:rsid w:val="004D771F"/>
    <w:rsid w:val="004D7841"/>
    <w:rsid w:val="004D79F3"/>
    <w:rsid w:val="004D7B81"/>
    <w:rsid w:val="004D7E13"/>
    <w:rsid w:val="004D7E2A"/>
    <w:rsid w:val="004E00C1"/>
    <w:rsid w:val="004E0480"/>
    <w:rsid w:val="004E0734"/>
    <w:rsid w:val="004E07AA"/>
    <w:rsid w:val="004E0DAB"/>
    <w:rsid w:val="004E0E58"/>
    <w:rsid w:val="004E0E80"/>
    <w:rsid w:val="004E0E9C"/>
    <w:rsid w:val="004E1164"/>
    <w:rsid w:val="004E1294"/>
    <w:rsid w:val="004E12E9"/>
    <w:rsid w:val="004E1447"/>
    <w:rsid w:val="004E1753"/>
    <w:rsid w:val="004E18DF"/>
    <w:rsid w:val="004E1905"/>
    <w:rsid w:val="004E1992"/>
    <w:rsid w:val="004E1DC1"/>
    <w:rsid w:val="004E1FDF"/>
    <w:rsid w:val="004E205B"/>
    <w:rsid w:val="004E2138"/>
    <w:rsid w:val="004E21C6"/>
    <w:rsid w:val="004E22A4"/>
    <w:rsid w:val="004E2726"/>
    <w:rsid w:val="004E281C"/>
    <w:rsid w:val="004E283A"/>
    <w:rsid w:val="004E2949"/>
    <w:rsid w:val="004E2A17"/>
    <w:rsid w:val="004E2ADF"/>
    <w:rsid w:val="004E2CE5"/>
    <w:rsid w:val="004E2E35"/>
    <w:rsid w:val="004E3200"/>
    <w:rsid w:val="004E3341"/>
    <w:rsid w:val="004E3415"/>
    <w:rsid w:val="004E3543"/>
    <w:rsid w:val="004E366E"/>
    <w:rsid w:val="004E39FA"/>
    <w:rsid w:val="004E3AE0"/>
    <w:rsid w:val="004E3C70"/>
    <w:rsid w:val="004E3EFB"/>
    <w:rsid w:val="004E4161"/>
    <w:rsid w:val="004E438B"/>
    <w:rsid w:val="004E443C"/>
    <w:rsid w:val="004E451A"/>
    <w:rsid w:val="004E4B90"/>
    <w:rsid w:val="004E4F11"/>
    <w:rsid w:val="004E5352"/>
    <w:rsid w:val="004E53E0"/>
    <w:rsid w:val="004E59AE"/>
    <w:rsid w:val="004E5A51"/>
    <w:rsid w:val="004E5A77"/>
    <w:rsid w:val="004E5AD2"/>
    <w:rsid w:val="004E5C72"/>
    <w:rsid w:val="004E5FFF"/>
    <w:rsid w:val="004E6091"/>
    <w:rsid w:val="004E6617"/>
    <w:rsid w:val="004E6625"/>
    <w:rsid w:val="004E6929"/>
    <w:rsid w:val="004E698C"/>
    <w:rsid w:val="004E6EB9"/>
    <w:rsid w:val="004E6F28"/>
    <w:rsid w:val="004E74E2"/>
    <w:rsid w:val="004E7CA9"/>
    <w:rsid w:val="004E7CE1"/>
    <w:rsid w:val="004E7D7E"/>
    <w:rsid w:val="004E7FA9"/>
    <w:rsid w:val="004F0057"/>
    <w:rsid w:val="004F0144"/>
    <w:rsid w:val="004F01C3"/>
    <w:rsid w:val="004F01DD"/>
    <w:rsid w:val="004F023E"/>
    <w:rsid w:val="004F03EB"/>
    <w:rsid w:val="004F061C"/>
    <w:rsid w:val="004F0776"/>
    <w:rsid w:val="004F0C08"/>
    <w:rsid w:val="004F0D65"/>
    <w:rsid w:val="004F0D81"/>
    <w:rsid w:val="004F10BF"/>
    <w:rsid w:val="004F12E6"/>
    <w:rsid w:val="004F1AC2"/>
    <w:rsid w:val="004F1FAC"/>
    <w:rsid w:val="004F1FBB"/>
    <w:rsid w:val="004F1FE4"/>
    <w:rsid w:val="004F212A"/>
    <w:rsid w:val="004F217D"/>
    <w:rsid w:val="004F25E2"/>
    <w:rsid w:val="004F2D15"/>
    <w:rsid w:val="004F3127"/>
    <w:rsid w:val="004F313B"/>
    <w:rsid w:val="004F34D9"/>
    <w:rsid w:val="004F38E8"/>
    <w:rsid w:val="004F3B07"/>
    <w:rsid w:val="004F3B17"/>
    <w:rsid w:val="004F3D83"/>
    <w:rsid w:val="004F3E85"/>
    <w:rsid w:val="004F3EC7"/>
    <w:rsid w:val="004F4071"/>
    <w:rsid w:val="004F41DE"/>
    <w:rsid w:val="004F4638"/>
    <w:rsid w:val="004F4655"/>
    <w:rsid w:val="004F481D"/>
    <w:rsid w:val="004F498B"/>
    <w:rsid w:val="004F4A20"/>
    <w:rsid w:val="004F4C1A"/>
    <w:rsid w:val="004F514F"/>
    <w:rsid w:val="004F5693"/>
    <w:rsid w:val="004F58C9"/>
    <w:rsid w:val="004F5A1A"/>
    <w:rsid w:val="004F5AA1"/>
    <w:rsid w:val="004F5AE3"/>
    <w:rsid w:val="004F5B97"/>
    <w:rsid w:val="004F6187"/>
    <w:rsid w:val="004F6360"/>
    <w:rsid w:val="004F68F7"/>
    <w:rsid w:val="004F6C03"/>
    <w:rsid w:val="004F6E44"/>
    <w:rsid w:val="004F7584"/>
    <w:rsid w:val="004F7A0A"/>
    <w:rsid w:val="004F7A2C"/>
    <w:rsid w:val="004F7FEF"/>
    <w:rsid w:val="0050018D"/>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CE9"/>
    <w:rsid w:val="00501E42"/>
    <w:rsid w:val="00501E71"/>
    <w:rsid w:val="0050214A"/>
    <w:rsid w:val="00502387"/>
    <w:rsid w:val="00502D0D"/>
    <w:rsid w:val="00502D67"/>
    <w:rsid w:val="00502F22"/>
    <w:rsid w:val="0050310D"/>
    <w:rsid w:val="0050345A"/>
    <w:rsid w:val="005035BF"/>
    <w:rsid w:val="00503973"/>
    <w:rsid w:val="0050397D"/>
    <w:rsid w:val="005039CF"/>
    <w:rsid w:val="00503EBA"/>
    <w:rsid w:val="0050461E"/>
    <w:rsid w:val="005049A3"/>
    <w:rsid w:val="005052B3"/>
    <w:rsid w:val="005055E5"/>
    <w:rsid w:val="005057EA"/>
    <w:rsid w:val="00505A0C"/>
    <w:rsid w:val="00505A5D"/>
    <w:rsid w:val="00505A71"/>
    <w:rsid w:val="00505B38"/>
    <w:rsid w:val="00505D76"/>
    <w:rsid w:val="005062A4"/>
    <w:rsid w:val="00506336"/>
    <w:rsid w:val="0050661D"/>
    <w:rsid w:val="0050681E"/>
    <w:rsid w:val="005069A8"/>
    <w:rsid w:val="00506B5F"/>
    <w:rsid w:val="00506C13"/>
    <w:rsid w:val="00506CFE"/>
    <w:rsid w:val="00507067"/>
    <w:rsid w:val="005071F2"/>
    <w:rsid w:val="00507367"/>
    <w:rsid w:val="00507380"/>
    <w:rsid w:val="005074C9"/>
    <w:rsid w:val="005075AB"/>
    <w:rsid w:val="005078B3"/>
    <w:rsid w:val="00507918"/>
    <w:rsid w:val="00507ABB"/>
    <w:rsid w:val="00507D22"/>
    <w:rsid w:val="00507FB0"/>
    <w:rsid w:val="00510059"/>
    <w:rsid w:val="005100B8"/>
    <w:rsid w:val="0051056C"/>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9E7"/>
    <w:rsid w:val="00511C15"/>
    <w:rsid w:val="00511D82"/>
    <w:rsid w:val="00511E58"/>
    <w:rsid w:val="005120EA"/>
    <w:rsid w:val="0051212A"/>
    <w:rsid w:val="005121E2"/>
    <w:rsid w:val="00512314"/>
    <w:rsid w:val="005123D3"/>
    <w:rsid w:val="00512A6D"/>
    <w:rsid w:val="00512BA1"/>
    <w:rsid w:val="005133E5"/>
    <w:rsid w:val="0051347D"/>
    <w:rsid w:val="0051349F"/>
    <w:rsid w:val="00513851"/>
    <w:rsid w:val="00513877"/>
    <w:rsid w:val="005139E5"/>
    <w:rsid w:val="00513BF5"/>
    <w:rsid w:val="00513CF8"/>
    <w:rsid w:val="005140E6"/>
    <w:rsid w:val="0051411E"/>
    <w:rsid w:val="005145C5"/>
    <w:rsid w:val="00514730"/>
    <w:rsid w:val="005147BB"/>
    <w:rsid w:val="005147F4"/>
    <w:rsid w:val="00514A3A"/>
    <w:rsid w:val="00514E17"/>
    <w:rsid w:val="005152C9"/>
    <w:rsid w:val="00515314"/>
    <w:rsid w:val="00515393"/>
    <w:rsid w:val="005153B4"/>
    <w:rsid w:val="005153CE"/>
    <w:rsid w:val="0051551E"/>
    <w:rsid w:val="0051560D"/>
    <w:rsid w:val="00515737"/>
    <w:rsid w:val="0051587A"/>
    <w:rsid w:val="00515BCE"/>
    <w:rsid w:val="00516066"/>
    <w:rsid w:val="00516160"/>
    <w:rsid w:val="00516265"/>
    <w:rsid w:val="00516D9F"/>
    <w:rsid w:val="00516E9F"/>
    <w:rsid w:val="00516F49"/>
    <w:rsid w:val="00516FE4"/>
    <w:rsid w:val="00517357"/>
    <w:rsid w:val="005175AE"/>
    <w:rsid w:val="0051783B"/>
    <w:rsid w:val="00517B0C"/>
    <w:rsid w:val="00517B20"/>
    <w:rsid w:val="00517CB7"/>
    <w:rsid w:val="00517D05"/>
    <w:rsid w:val="00520154"/>
    <w:rsid w:val="005202BD"/>
    <w:rsid w:val="005204F4"/>
    <w:rsid w:val="005207FC"/>
    <w:rsid w:val="00520D7C"/>
    <w:rsid w:val="00521034"/>
    <w:rsid w:val="0052138A"/>
    <w:rsid w:val="005214ED"/>
    <w:rsid w:val="0052164E"/>
    <w:rsid w:val="0052169D"/>
    <w:rsid w:val="0052187E"/>
    <w:rsid w:val="005219B7"/>
    <w:rsid w:val="00521AB9"/>
    <w:rsid w:val="00521ABB"/>
    <w:rsid w:val="0052209B"/>
    <w:rsid w:val="005221B2"/>
    <w:rsid w:val="005223A5"/>
    <w:rsid w:val="0052243A"/>
    <w:rsid w:val="0052299E"/>
    <w:rsid w:val="00522DDE"/>
    <w:rsid w:val="00522FB6"/>
    <w:rsid w:val="0052304E"/>
    <w:rsid w:val="005230B7"/>
    <w:rsid w:val="00523157"/>
    <w:rsid w:val="0052334E"/>
    <w:rsid w:val="005233F5"/>
    <w:rsid w:val="0052349A"/>
    <w:rsid w:val="005235CB"/>
    <w:rsid w:val="005236AB"/>
    <w:rsid w:val="005237B8"/>
    <w:rsid w:val="005237BA"/>
    <w:rsid w:val="00523A83"/>
    <w:rsid w:val="00523AEC"/>
    <w:rsid w:val="00523E19"/>
    <w:rsid w:val="00523F25"/>
    <w:rsid w:val="00524107"/>
    <w:rsid w:val="00524136"/>
    <w:rsid w:val="00524150"/>
    <w:rsid w:val="00524255"/>
    <w:rsid w:val="00524370"/>
    <w:rsid w:val="005244C5"/>
    <w:rsid w:val="00524693"/>
    <w:rsid w:val="005246B0"/>
    <w:rsid w:val="0052474E"/>
    <w:rsid w:val="00524BD5"/>
    <w:rsid w:val="00524C6A"/>
    <w:rsid w:val="00524F60"/>
    <w:rsid w:val="005256E5"/>
    <w:rsid w:val="00525992"/>
    <w:rsid w:val="00525A0D"/>
    <w:rsid w:val="005260C5"/>
    <w:rsid w:val="005260D8"/>
    <w:rsid w:val="0052615C"/>
    <w:rsid w:val="00526293"/>
    <w:rsid w:val="0052643B"/>
    <w:rsid w:val="005267DC"/>
    <w:rsid w:val="00526827"/>
    <w:rsid w:val="00526BD8"/>
    <w:rsid w:val="00526CA2"/>
    <w:rsid w:val="00526CA8"/>
    <w:rsid w:val="00526CCF"/>
    <w:rsid w:val="00526D49"/>
    <w:rsid w:val="00526E1F"/>
    <w:rsid w:val="00526EBD"/>
    <w:rsid w:val="005271C9"/>
    <w:rsid w:val="005272D7"/>
    <w:rsid w:val="005273F0"/>
    <w:rsid w:val="00527995"/>
    <w:rsid w:val="00527B51"/>
    <w:rsid w:val="00527CA2"/>
    <w:rsid w:val="005300DA"/>
    <w:rsid w:val="00530157"/>
    <w:rsid w:val="00530208"/>
    <w:rsid w:val="00530248"/>
    <w:rsid w:val="00530472"/>
    <w:rsid w:val="005304E0"/>
    <w:rsid w:val="005308E1"/>
    <w:rsid w:val="00530CAC"/>
    <w:rsid w:val="00530F90"/>
    <w:rsid w:val="00531033"/>
    <w:rsid w:val="00531062"/>
    <w:rsid w:val="00531595"/>
    <w:rsid w:val="00531818"/>
    <w:rsid w:val="00531B26"/>
    <w:rsid w:val="00531BB7"/>
    <w:rsid w:val="0053232E"/>
    <w:rsid w:val="005323F1"/>
    <w:rsid w:val="005328B7"/>
    <w:rsid w:val="00532B79"/>
    <w:rsid w:val="00532BDF"/>
    <w:rsid w:val="00532D8A"/>
    <w:rsid w:val="005332CE"/>
    <w:rsid w:val="00533353"/>
    <w:rsid w:val="005337E4"/>
    <w:rsid w:val="00533922"/>
    <w:rsid w:val="00533E9B"/>
    <w:rsid w:val="00533F76"/>
    <w:rsid w:val="00533FA2"/>
    <w:rsid w:val="00533FA7"/>
    <w:rsid w:val="00533FDB"/>
    <w:rsid w:val="00534343"/>
    <w:rsid w:val="005343D4"/>
    <w:rsid w:val="00534644"/>
    <w:rsid w:val="00534757"/>
    <w:rsid w:val="00535067"/>
    <w:rsid w:val="00535205"/>
    <w:rsid w:val="00535232"/>
    <w:rsid w:val="00535388"/>
    <w:rsid w:val="005358B3"/>
    <w:rsid w:val="00535B25"/>
    <w:rsid w:val="00535B50"/>
    <w:rsid w:val="00535C32"/>
    <w:rsid w:val="00536069"/>
    <w:rsid w:val="005362FA"/>
    <w:rsid w:val="0053639C"/>
    <w:rsid w:val="005365AA"/>
    <w:rsid w:val="00536692"/>
    <w:rsid w:val="00536967"/>
    <w:rsid w:val="00536975"/>
    <w:rsid w:val="0053698E"/>
    <w:rsid w:val="00536B68"/>
    <w:rsid w:val="00536B76"/>
    <w:rsid w:val="00536D4D"/>
    <w:rsid w:val="00537035"/>
    <w:rsid w:val="00537270"/>
    <w:rsid w:val="005372E9"/>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57A"/>
    <w:rsid w:val="00544918"/>
    <w:rsid w:val="00544928"/>
    <w:rsid w:val="0054498D"/>
    <w:rsid w:val="00544B77"/>
    <w:rsid w:val="00544E23"/>
    <w:rsid w:val="00545062"/>
    <w:rsid w:val="0054534A"/>
    <w:rsid w:val="0054540D"/>
    <w:rsid w:val="005456A9"/>
    <w:rsid w:val="0054579F"/>
    <w:rsid w:val="005458A5"/>
    <w:rsid w:val="005459D3"/>
    <w:rsid w:val="00545A8C"/>
    <w:rsid w:val="00545C38"/>
    <w:rsid w:val="00545D61"/>
    <w:rsid w:val="00545DF9"/>
    <w:rsid w:val="00545F99"/>
    <w:rsid w:val="00546233"/>
    <w:rsid w:val="005462CB"/>
    <w:rsid w:val="00546375"/>
    <w:rsid w:val="0054653E"/>
    <w:rsid w:val="00546B02"/>
    <w:rsid w:val="00546D0E"/>
    <w:rsid w:val="00546D78"/>
    <w:rsid w:val="0054707A"/>
    <w:rsid w:val="005473EA"/>
    <w:rsid w:val="005475E1"/>
    <w:rsid w:val="0054763F"/>
    <w:rsid w:val="00547841"/>
    <w:rsid w:val="00547A50"/>
    <w:rsid w:val="00547DF0"/>
    <w:rsid w:val="00547E3B"/>
    <w:rsid w:val="00547F6E"/>
    <w:rsid w:val="005501E1"/>
    <w:rsid w:val="0055043E"/>
    <w:rsid w:val="0055050E"/>
    <w:rsid w:val="00550567"/>
    <w:rsid w:val="00550821"/>
    <w:rsid w:val="005508DC"/>
    <w:rsid w:val="00550BFF"/>
    <w:rsid w:val="00550CF4"/>
    <w:rsid w:val="00550F07"/>
    <w:rsid w:val="00550F74"/>
    <w:rsid w:val="00550FC4"/>
    <w:rsid w:val="00551288"/>
    <w:rsid w:val="005512A7"/>
    <w:rsid w:val="005513E0"/>
    <w:rsid w:val="005514EE"/>
    <w:rsid w:val="005516B2"/>
    <w:rsid w:val="0055194B"/>
    <w:rsid w:val="00551A60"/>
    <w:rsid w:val="00551B63"/>
    <w:rsid w:val="00551DD2"/>
    <w:rsid w:val="00551EB0"/>
    <w:rsid w:val="00551FED"/>
    <w:rsid w:val="00552C21"/>
    <w:rsid w:val="00552DB9"/>
    <w:rsid w:val="00552E88"/>
    <w:rsid w:val="00553081"/>
    <w:rsid w:val="005531DF"/>
    <w:rsid w:val="005535AA"/>
    <w:rsid w:val="0055362B"/>
    <w:rsid w:val="005536A7"/>
    <w:rsid w:val="005537A2"/>
    <w:rsid w:val="00553DAD"/>
    <w:rsid w:val="00554683"/>
    <w:rsid w:val="00554758"/>
    <w:rsid w:val="00554ACD"/>
    <w:rsid w:val="00554C20"/>
    <w:rsid w:val="00554C58"/>
    <w:rsid w:val="00554D72"/>
    <w:rsid w:val="00554DAD"/>
    <w:rsid w:val="00554FA2"/>
    <w:rsid w:val="005550E6"/>
    <w:rsid w:val="0055520C"/>
    <w:rsid w:val="005554BC"/>
    <w:rsid w:val="005558D9"/>
    <w:rsid w:val="00555B72"/>
    <w:rsid w:val="00555B89"/>
    <w:rsid w:val="00555BD7"/>
    <w:rsid w:val="00555CF6"/>
    <w:rsid w:val="00556361"/>
    <w:rsid w:val="005564B8"/>
    <w:rsid w:val="005569FC"/>
    <w:rsid w:val="00556A21"/>
    <w:rsid w:val="00556E35"/>
    <w:rsid w:val="00556F11"/>
    <w:rsid w:val="00556FD5"/>
    <w:rsid w:val="00557019"/>
    <w:rsid w:val="005570F7"/>
    <w:rsid w:val="0055711F"/>
    <w:rsid w:val="00557270"/>
    <w:rsid w:val="00557359"/>
    <w:rsid w:val="00557827"/>
    <w:rsid w:val="00557B9E"/>
    <w:rsid w:val="00557DE4"/>
    <w:rsid w:val="00557F82"/>
    <w:rsid w:val="00560102"/>
    <w:rsid w:val="005606DA"/>
    <w:rsid w:val="00560802"/>
    <w:rsid w:val="005609D2"/>
    <w:rsid w:val="00560A3D"/>
    <w:rsid w:val="005610A0"/>
    <w:rsid w:val="005612D0"/>
    <w:rsid w:val="00561631"/>
    <w:rsid w:val="005617BA"/>
    <w:rsid w:val="0056185C"/>
    <w:rsid w:val="00561BE5"/>
    <w:rsid w:val="00561E6D"/>
    <w:rsid w:val="00561F9C"/>
    <w:rsid w:val="00561FED"/>
    <w:rsid w:val="005621A6"/>
    <w:rsid w:val="005623E8"/>
    <w:rsid w:val="005625F4"/>
    <w:rsid w:val="005626BF"/>
    <w:rsid w:val="005629B1"/>
    <w:rsid w:val="00562BBA"/>
    <w:rsid w:val="0056371A"/>
    <w:rsid w:val="00563955"/>
    <w:rsid w:val="005639FD"/>
    <w:rsid w:val="00563B74"/>
    <w:rsid w:val="00563D08"/>
    <w:rsid w:val="00563DFF"/>
    <w:rsid w:val="00563E54"/>
    <w:rsid w:val="00563F16"/>
    <w:rsid w:val="00563F47"/>
    <w:rsid w:val="00563F55"/>
    <w:rsid w:val="00564021"/>
    <w:rsid w:val="0056431B"/>
    <w:rsid w:val="005643B1"/>
    <w:rsid w:val="005647DB"/>
    <w:rsid w:val="005648E4"/>
    <w:rsid w:val="00564B70"/>
    <w:rsid w:val="00565272"/>
    <w:rsid w:val="00565918"/>
    <w:rsid w:val="00565921"/>
    <w:rsid w:val="00565A61"/>
    <w:rsid w:val="00565D02"/>
    <w:rsid w:val="00565F56"/>
    <w:rsid w:val="0056637F"/>
    <w:rsid w:val="00566394"/>
    <w:rsid w:val="00566803"/>
    <w:rsid w:val="005668BB"/>
    <w:rsid w:val="0056697E"/>
    <w:rsid w:val="00566AB4"/>
    <w:rsid w:val="00566CD4"/>
    <w:rsid w:val="00566F0E"/>
    <w:rsid w:val="005670DA"/>
    <w:rsid w:val="0056743F"/>
    <w:rsid w:val="005675E9"/>
    <w:rsid w:val="0056777A"/>
    <w:rsid w:val="00567783"/>
    <w:rsid w:val="00567877"/>
    <w:rsid w:val="00567949"/>
    <w:rsid w:val="00567C85"/>
    <w:rsid w:val="00567E2F"/>
    <w:rsid w:val="00567FC5"/>
    <w:rsid w:val="00570010"/>
    <w:rsid w:val="00570129"/>
    <w:rsid w:val="00570147"/>
    <w:rsid w:val="00570273"/>
    <w:rsid w:val="005704F0"/>
    <w:rsid w:val="00570623"/>
    <w:rsid w:val="00570A7D"/>
    <w:rsid w:val="00570AEF"/>
    <w:rsid w:val="00570F91"/>
    <w:rsid w:val="0057110D"/>
    <w:rsid w:val="005712A4"/>
    <w:rsid w:val="005716C8"/>
    <w:rsid w:val="005718A8"/>
    <w:rsid w:val="00571942"/>
    <w:rsid w:val="00571B5A"/>
    <w:rsid w:val="00571B64"/>
    <w:rsid w:val="005721A4"/>
    <w:rsid w:val="00572203"/>
    <w:rsid w:val="005722BC"/>
    <w:rsid w:val="005723B6"/>
    <w:rsid w:val="005723BB"/>
    <w:rsid w:val="0057289B"/>
    <w:rsid w:val="005731E9"/>
    <w:rsid w:val="00573302"/>
    <w:rsid w:val="0057357F"/>
    <w:rsid w:val="00573647"/>
    <w:rsid w:val="00573903"/>
    <w:rsid w:val="005739D7"/>
    <w:rsid w:val="00573B1A"/>
    <w:rsid w:val="00573B6A"/>
    <w:rsid w:val="00573D33"/>
    <w:rsid w:val="00573DC5"/>
    <w:rsid w:val="0057409E"/>
    <w:rsid w:val="00574223"/>
    <w:rsid w:val="00574D66"/>
    <w:rsid w:val="00574E2E"/>
    <w:rsid w:val="00575284"/>
    <w:rsid w:val="0057546D"/>
    <w:rsid w:val="0057554A"/>
    <w:rsid w:val="00575822"/>
    <w:rsid w:val="00575E87"/>
    <w:rsid w:val="00575F00"/>
    <w:rsid w:val="0057604C"/>
    <w:rsid w:val="00576147"/>
    <w:rsid w:val="00576254"/>
    <w:rsid w:val="00576265"/>
    <w:rsid w:val="00576436"/>
    <w:rsid w:val="00576564"/>
    <w:rsid w:val="005767C0"/>
    <w:rsid w:val="00576DD5"/>
    <w:rsid w:val="00576E83"/>
    <w:rsid w:val="00576EAA"/>
    <w:rsid w:val="00576FFD"/>
    <w:rsid w:val="005773DC"/>
    <w:rsid w:val="00577618"/>
    <w:rsid w:val="005776CB"/>
    <w:rsid w:val="00577812"/>
    <w:rsid w:val="005779D6"/>
    <w:rsid w:val="00577DE7"/>
    <w:rsid w:val="0058007E"/>
    <w:rsid w:val="0058019F"/>
    <w:rsid w:val="00580408"/>
    <w:rsid w:val="00580664"/>
    <w:rsid w:val="00580CB7"/>
    <w:rsid w:val="00580CCE"/>
    <w:rsid w:val="005814E6"/>
    <w:rsid w:val="0058167E"/>
    <w:rsid w:val="0058172C"/>
    <w:rsid w:val="005818C5"/>
    <w:rsid w:val="00581958"/>
    <w:rsid w:val="00581A42"/>
    <w:rsid w:val="00581AB5"/>
    <w:rsid w:val="00581C03"/>
    <w:rsid w:val="00581D7D"/>
    <w:rsid w:val="00581EBE"/>
    <w:rsid w:val="005821CC"/>
    <w:rsid w:val="00582274"/>
    <w:rsid w:val="0058271C"/>
    <w:rsid w:val="00582D68"/>
    <w:rsid w:val="00582E7D"/>
    <w:rsid w:val="00582E8D"/>
    <w:rsid w:val="00583268"/>
    <w:rsid w:val="005833D3"/>
    <w:rsid w:val="00583944"/>
    <w:rsid w:val="00583E5F"/>
    <w:rsid w:val="0058406F"/>
    <w:rsid w:val="00584205"/>
    <w:rsid w:val="00584757"/>
    <w:rsid w:val="00584BFE"/>
    <w:rsid w:val="00584D23"/>
    <w:rsid w:val="00584EC4"/>
    <w:rsid w:val="00584EDC"/>
    <w:rsid w:val="0058507E"/>
    <w:rsid w:val="00585148"/>
    <w:rsid w:val="00585172"/>
    <w:rsid w:val="00585537"/>
    <w:rsid w:val="005855E7"/>
    <w:rsid w:val="00585692"/>
    <w:rsid w:val="005859D4"/>
    <w:rsid w:val="00585AC5"/>
    <w:rsid w:val="00585CF3"/>
    <w:rsid w:val="00585F57"/>
    <w:rsid w:val="00586025"/>
    <w:rsid w:val="005860DE"/>
    <w:rsid w:val="00586302"/>
    <w:rsid w:val="00586314"/>
    <w:rsid w:val="005864D9"/>
    <w:rsid w:val="0058654F"/>
    <w:rsid w:val="0058662C"/>
    <w:rsid w:val="0058693D"/>
    <w:rsid w:val="00586ACB"/>
    <w:rsid w:val="00586CF9"/>
    <w:rsid w:val="00586D70"/>
    <w:rsid w:val="00586E61"/>
    <w:rsid w:val="00586F26"/>
    <w:rsid w:val="00587122"/>
    <w:rsid w:val="0058769C"/>
    <w:rsid w:val="00587E75"/>
    <w:rsid w:val="00587E8E"/>
    <w:rsid w:val="00590248"/>
    <w:rsid w:val="005903FA"/>
    <w:rsid w:val="0059077C"/>
    <w:rsid w:val="00590885"/>
    <w:rsid w:val="00591000"/>
    <w:rsid w:val="0059119C"/>
    <w:rsid w:val="005911E2"/>
    <w:rsid w:val="005916D5"/>
    <w:rsid w:val="005918AF"/>
    <w:rsid w:val="00591940"/>
    <w:rsid w:val="00591C48"/>
    <w:rsid w:val="00591C6E"/>
    <w:rsid w:val="00591CC1"/>
    <w:rsid w:val="00591EF0"/>
    <w:rsid w:val="0059244F"/>
    <w:rsid w:val="005925F2"/>
    <w:rsid w:val="005926E2"/>
    <w:rsid w:val="00592AA8"/>
    <w:rsid w:val="005931F5"/>
    <w:rsid w:val="00593202"/>
    <w:rsid w:val="0059340C"/>
    <w:rsid w:val="00593546"/>
    <w:rsid w:val="00593968"/>
    <w:rsid w:val="00593DE3"/>
    <w:rsid w:val="005940A3"/>
    <w:rsid w:val="00594376"/>
    <w:rsid w:val="00594451"/>
    <w:rsid w:val="0059465D"/>
    <w:rsid w:val="005949B6"/>
    <w:rsid w:val="00594A07"/>
    <w:rsid w:val="00594A50"/>
    <w:rsid w:val="005951D7"/>
    <w:rsid w:val="0059526A"/>
    <w:rsid w:val="005958A4"/>
    <w:rsid w:val="005958A8"/>
    <w:rsid w:val="00595993"/>
    <w:rsid w:val="00595CF0"/>
    <w:rsid w:val="00595EBD"/>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0AC"/>
    <w:rsid w:val="005A03EA"/>
    <w:rsid w:val="005A05F8"/>
    <w:rsid w:val="005A0983"/>
    <w:rsid w:val="005A0C46"/>
    <w:rsid w:val="005A0D27"/>
    <w:rsid w:val="005A127B"/>
    <w:rsid w:val="005A12CE"/>
    <w:rsid w:val="005A14C5"/>
    <w:rsid w:val="005A16D2"/>
    <w:rsid w:val="005A18FC"/>
    <w:rsid w:val="005A19A2"/>
    <w:rsid w:val="005A19B3"/>
    <w:rsid w:val="005A1B49"/>
    <w:rsid w:val="005A1BD4"/>
    <w:rsid w:val="005A214D"/>
    <w:rsid w:val="005A2383"/>
    <w:rsid w:val="005A2C93"/>
    <w:rsid w:val="005A2D82"/>
    <w:rsid w:val="005A2DFD"/>
    <w:rsid w:val="005A2E96"/>
    <w:rsid w:val="005A3447"/>
    <w:rsid w:val="005A3602"/>
    <w:rsid w:val="005A36B6"/>
    <w:rsid w:val="005A3D41"/>
    <w:rsid w:val="005A3DA1"/>
    <w:rsid w:val="005A4315"/>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1FAE"/>
    <w:rsid w:val="005B20C7"/>
    <w:rsid w:val="005B215A"/>
    <w:rsid w:val="005B25EC"/>
    <w:rsid w:val="005B2820"/>
    <w:rsid w:val="005B2CBF"/>
    <w:rsid w:val="005B31C8"/>
    <w:rsid w:val="005B3204"/>
    <w:rsid w:val="005B33F1"/>
    <w:rsid w:val="005B363A"/>
    <w:rsid w:val="005B466D"/>
    <w:rsid w:val="005B4BB9"/>
    <w:rsid w:val="005B4CE7"/>
    <w:rsid w:val="005B4EE9"/>
    <w:rsid w:val="005B4F48"/>
    <w:rsid w:val="005B5615"/>
    <w:rsid w:val="005B56F3"/>
    <w:rsid w:val="005B5751"/>
    <w:rsid w:val="005B57A5"/>
    <w:rsid w:val="005B5CB2"/>
    <w:rsid w:val="005B60C7"/>
    <w:rsid w:val="005B60D6"/>
    <w:rsid w:val="005B636A"/>
    <w:rsid w:val="005B640F"/>
    <w:rsid w:val="005B6763"/>
    <w:rsid w:val="005B69F0"/>
    <w:rsid w:val="005B6A18"/>
    <w:rsid w:val="005B7207"/>
    <w:rsid w:val="005B780A"/>
    <w:rsid w:val="005B7913"/>
    <w:rsid w:val="005B795A"/>
    <w:rsid w:val="005B7E45"/>
    <w:rsid w:val="005B7F65"/>
    <w:rsid w:val="005C0039"/>
    <w:rsid w:val="005C0448"/>
    <w:rsid w:val="005C05E4"/>
    <w:rsid w:val="005C0981"/>
    <w:rsid w:val="005C098F"/>
    <w:rsid w:val="005C0A8D"/>
    <w:rsid w:val="005C0BF7"/>
    <w:rsid w:val="005C0BFD"/>
    <w:rsid w:val="005C0FDB"/>
    <w:rsid w:val="005C1201"/>
    <w:rsid w:val="005C131D"/>
    <w:rsid w:val="005C1634"/>
    <w:rsid w:val="005C1AC5"/>
    <w:rsid w:val="005C1B7D"/>
    <w:rsid w:val="005C1BB5"/>
    <w:rsid w:val="005C222F"/>
    <w:rsid w:val="005C2352"/>
    <w:rsid w:val="005C2429"/>
    <w:rsid w:val="005C28BB"/>
    <w:rsid w:val="005C2956"/>
    <w:rsid w:val="005C2C95"/>
    <w:rsid w:val="005C2DD4"/>
    <w:rsid w:val="005C2E02"/>
    <w:rsid w:val="005C2E7C"/>
    <w:rsid w:val="005C2F04"/>
    <w:rsid w:val="005C3025"/>
    <w:rsid w:val="005C3288"/>
    <w:rsid w:val="005C34BF"/>
    <w:rsid w:val="005C3511"/>
    <w:rsid w:val="005C389C"/>
    <w:rsid w:val="005C3A23"/>
    <w:rsid w:val="005C3B0C"/>
    <w:rsid w:val="005C3BF3"/>
    <w:rsid w:val="005C3CFC"/>
    <w:rsid w:val="005C3E80"/>
    <w:rsid w:val="005C407B"/>
    <w:rsid w:val="005C4284"/>
    <w:rsid w:val="005C42F0"/>
    <w:rsid w:val="005C43C8"/>
    <w:rsid w:val="005C43E2"/>
    <w:rsid w:val="005C4625"/>
    <w:rsid w:val="005C469E"/>
    <w:rsid w:val="005C4877"/>
    <w:rsid w:val="005C4892"/>
    <w:rsid w:val="005C4922"/>
    <w:rsid w:val="005C4EAA"/>
    <w:rsid w:val="005C5095"/>
    <w:rsid w:val="005C50FA"/>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0C"/>
    <w:rsid w:val="005C74DA"/>
    <w:rsid w:val="005C78FE"/>
    <w:rsid w:val="005C7BF3"/>
    <w:rsid w:val="005C7DFF"/>
    <w:rsid w:val="005D0215"/>
    <w:rsid w:val="005D027C"/>
    <w:rsid w:val="005D077F"/>
    <w:rsid w:val="005D07C9"/>
    <w:rsid w:val="005D0A2E"/>
    <w:rsid w:val="005D10A9"/>
    <w:rsid w:val="005D1144"/>
    <w:rsid w:val="005D12EF"/>
    <w:rsid w:val="005D133F"/>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6CE"/>
    <w:rsid w:val="005D39EF"/>
    <w:rsid w:val="005D3B50"/>
    <w:rsid w:val="005D3E72"/>
    <w:rsid w:val="005D4028"/>
    <w:rsid w:val="005D42B7"/>
    <w:rsid w:val="005D4565"/>
    <w:rsid w:val="005D4997"/>
    <w:rsid w:val="005D51F0"/>
    <w:rsid w:val="005D521B"/>
    <w:rsid w:val="005D5298"/>
    <w:rsid w:val="005D52A1"/>
    <w:rsid w:val="005D532B"/>
    <w:rsid w:val="005D5392"/>
    <w:rsid w:val="005D54EF"/>
    <w:rsid w:val="005D5533"/>
    <w:rsid w:val="005D55A7"/>
    <w:rsid w:val="005D55D2"/>
    <w:rsid w:val="005D56BC"/>
    <w:rsid w:val="005D5C1F"/>
    <w:rsid w:val="005D603E"/>
    <w:rsid w:val="005D60C9"/>
    <w:rsid w:val="005D613F"/>
    <w:rsid w:val="005D6198"/>
    <w:rsid w:val="005D660C"/>
    <w:rsid w:val="005D678B"/>
    <w:rsid w:val="005D6A50"/>
    <w:rsid w:val="005D6C8E"/>
    <w:rsid w:val="005D73A6"/>
    <w:rsid w:val="005D7574"/>
    <w:rsid w:val="005D77C7"/>
    <w:rsid w:val="005D790D"/>
    <w:rsid w:val="005D7951"/>
    <w:rsid w:val="005D7ACC"/>
    <w:rsid w:val="005E018B"/>
    <w:rsid w:val="005E03B0"/>
    <w:rsid w:val="005E0660"/>
    <w:rsid w:val="005E0815"/>
    <w:rsid w:val="005E0A1F"/>
    <w:rsid w:val="005E0D4F"/>
    <w:rsid w:val="005E0E6C"/>
    <w:rsid w:val="005E10C3"/>
    <w:rsid w:val="005E1387"/>
    <w:rsid w:val="005E1480"/>
    <w:rsid w:val="005E1512"/>
    <w:rsid w:val="005E15E3"/>
    <w:rsid w:val="005E1A55"/>
    <w:rsid w:val="005E1E55"/>
    <w:rsid w:val="005E2005"/>
    <w:rsid w:val="005E224F"/>
    <w:rsid w:val="005E2460"/>
    <w:rsid w:val="005E262C"/>
    <w:rsid w:val="005E27B6"/>
    <w:rsid w:val="005E2A6D"/>
    <w:rsid w:val="005E2B22"/>
    <w:rsid w:val="005E2BD3"/>
    <w:rsid w:val="005E2C61"/>
    <w:rsid w:val="005E2CA4"/>
    <w:rsid w:val="005E3046"/>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7D5"/>
    <w:rsid w:val="005E5A02"/>
    <w:rsid w:val="005E5B7D"/>
    <w:rsid w:val="005E6317"/>
    <w:rsid w:val="005E636F"/>
    <w:rsid w:val="005E6F07"/>
    <w:rsid w:val="005E6F0F"/>
    <w:rsid w:val="005E74B4"/>
    <w:rsid w:val="005E793F"/>
    <w:rsid w:val="005E79D7"/>
    <w:rsid w:val="005E7A93"/>
    <w:rsid w:val="005E7E6E"/>
    <w:rsid w:val="005E7E8D"/>
    <w:rsid w:val="005F006A"/>
    <w:rsid w:val="005F00E1"/>
    <w:rsid w:val="005F00FC"/>
    <w:rsid w:val="005F0231"/>
    <w:rsid w:val="005F02B2"/>
    <w:rsid w:val="005F0691"/>
    <w:rsid w:val="005F06F6"/>
    <w:rsid w:val="005F0835"/>
    <w:rsid w:val="005F09F5"/>
    <w:rsid w:val="005F0A4B"/>
    <w:rsid w:val="005F0A74"/>
    <w:rsid w:val="005F0BF7"/>
    <w:rsid w:val="005F1311"/>
    <w:rsid w:val="005F14F7"/>
    <w:rsid w:val="005F1558"/>
    <w:rsid w:val="005F188D"/>
    <w:rsid w:val="005F1922"/>
    <w:rsid w:val="005F1D8D"/>
    <w:rsid w:val="005F21C9"/>
    <w:rsid w:val="005F247D"/>
    <w:rsid w:val="005F26B1"/>
    <w:rsid w:val="005F2B03"/>
    <w:rsid w:val="005F2EF6"/>
    <w:rsid w:val="005F30BF"/>
    <w:rsid w:val="005F35F8"/>
    <w:rsid w:val="005F372C"/>
    <w:rsid w:val="005F3739"/>
    <w:rsid w:val="005F39BF"/>
    <w:rsid w:val="005F3C33"/>
    <w:rsid w:val="005F3E71"/>
    <w:rsid w:val="005F3FB8"/>
    <w:rsid w:val="005F4312"/>
    <w:rsid w:val="005F4523"/>
    <w:rsid w:val="005F4788"/>
    <w:rsid w:val="005F4856"/>
    <w:rsid w:val="005F4B69"/>
    <w:rsid w:val="005F4E22"/>
    <w:rsid w:val="005F4EA7"/>
    <w:rsid w:val="005F502B"/>
    <w:rsid w:val="005F5040"/>
    <w:rsid w:val="005F507A"/>
    <w:rsid w:val="005F51F2"/>
    <w:rsid w:val="005F520D"/>
    <w:rsid w:val="005F54FF"/>
    <w:rsid w:val="005F56AE"/>
    <w:rsid w:val="005F5816"/>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9FB"/>
    <w:rsid w:val="005F7B6C"/>
    <w:rsid w:val="005F7DB6"/>
    <w:rsid w:val="005F7E7B"/>
    <w:rsid w:val="0060026E"/>
    <w:rsid w:val="00600389"/>
    <w:rsid w:val="0060043C"/>
    <w:rsid w:val="006005D6"/>
    <w:rsid w:val="00600815"/>
    <w:rsid w:val="006009AC"/>
    <w:rsid w:val="006009F3"/>
    <w:rsid w:val="00600BF8"/>
    <w:rsid w:val="00600E99"/>
    <w:rsid w:val="00601098"/>
    <w:rsid w:val="006010FE"/>
    <w:rsid w:val="006011BA"/>
    <w:rsid w:val="0060144C"/>
    <w:rsid w:val="00601957"/>
    <w:rsid w:val="00602081"/>
    <w:rsid w:val="00602180"/>
    <w:rsid w:val="00602383"/>
    <w:rsid w:val="006023DB"/>
    <w:rsid w:val="006026AC"/>
    <w:rsid w:val="006026E6"/>
    <w:rsid w:val="00602761"/>
    <w:rsid w:val="00602987"/>
    <w:rsid w:val="006029C8"/>
    <w:rsid w:val="00602BEF"/>
    <w:rsid w:val="00602D58"/>
    <w:rsid w:val="00602E57"/>
    <w:rsid w:val="00603012"/>
    <w:rsid w:val="006030BB"/>
    <w:rsid w:val="006030BD"/>
    <w:rsid w:val="006035FD"/>
    <w:rsid w:val="00603808"/>
    <w:rsid w:val="00603C02"/>
    <w:rsid w:val="00603C48"/>
    <w:rsid w:val="00603E32"/>
    <w:rsid w:val="006044E1"/>
    <w:rsid w:val="00604627"/>
    <w:rsid w:val="006047B1"/>
    <w:rsid w:val="006047D4"/>
    <w:rsid w:val="00604C70"/>
    <w:rsid w:val="00604DE8"/>
    <w:rsid w:val="006051F3"/>
    <w:rsid w:val="00605261"/>
    <w:rsid w:val="0060548A"/>
    <w:rsid w:val="006054D2"/>
    <w:rsid w:val="006055B8"/>
    <w:rsid w:val="0060563D"/>
    <w:rsid w:val="00605BE0"/>
    <w:rsid w:val="00605BE6"/>
    <w:rsid w:val="00605FAA"/>
    <w:rsid w:val="006060A3"/>
    <w:rsid w:val="006064F1"/>
    <w:rsid w:val="00606608"/>
    <w:rsid w:val="0060683B"/>
    <w:rsid w:val="00606BA1"/>
    <w:rsid w:val="00606C4D"/>
    <w:rsid w:val="00606D98"/>
    <w:rsid w:val="00606F78"/>
    <w:rsid w:val="00606FA7"/>
    <w:rsid w:val="0060719F"/>
    <w:rsid w:val="0060722B"/>
    <w:rsid w:val="006076E6"/>
    <w:rsid w:val="00607856"/>
    <w:rsid w:val="006079D1"/>
    <w:rsid w:val="00607BD8"/>
    <w:rsid w:val="00607C4F"/>
    <w:rsid w:val="00607DA0"/>
    <w:rsid w:val="00610168"/>
    <w:rsid w:val="006101F7"/>
    <w:rsid w:val="0061038F"/>
    <w:rsid w:val="00610465"/>
    <w:rsid w:val="00610479"/>
    <w:rsid w:val="00610A82"/>
    <w:rsid w:val="00610A92"/>
    <w:rsid w:val="00610BAF"/>
    <w:rsid w:val="00610DF3"/>
    <w:rsid w:val="00611228"/>
    <w:rsid w:val="0061156F"/>
    <w:rsid w:val="00611990"/>
    <w:rsid w:val="00611B42"/>
    <w:rsid w:val="00611BAB"/>
    <w:rsid w:val="00611BB6"/>
    <w:rsid w:val="00611C80"/>
    <w:rsid w:val="00611CF8"/>
    <w:rsid w:val="00611E6A"/>
    <w:rsid w:val="00611EAE"/>
    <w:rsid w:val="00612031"/>
    <w:rsid w:val="006120DC"/>
    <w:rsid w:val="0061213B"/>
    <w:rsid w:val="006124F6"/>
    <w:rsid w:val="00612529"/>
    <w:rsid w:val="0061286F"/>
    <w:rsid w:val="00612A4F"/>
    <w:rsid w:val="00612B0B"/>
    <w:rsid w:val="0061317B"/>
    <w:rsid w:val="006131C5"/>
    <w:rsid w:val="00613534"/>
    <w:rsid w:val="00613606"/>
    <w:rsid w:val="0061373D"/>
    <w:rsid w:val="0061388C"/>
    <w:rsid w:val="006139BA"/>
    <w:rsid w:val="00613A9B"/>
    <w:rsid w:val="00613B66"/>
    <w:rsid w:val="00613CCA"/>
    <w:rsid w:val="00613FAC"/>
    <w:rsid w:val="0061438F"/>
    <w:rsid w:val="00614424"/>
    <w:rsid w:val="006144DF"/>
    <w:rsid w:val="006147D7"/>
    <w:rsid w:val="00614B75"/>
    <w:rsid w:val="00614C5D"/>
    <w:rsid w:val="00614C65"/>
    <w:rsid w:val="00614D6C"/>
    <w:rsid w:val="00614E21"/>
    <w:rsid w:val="00614E47"/>
    <w:rsid w:val="0061530F"/>
    <w:rsid w:val="006154AB"/>
    <w:rsid w:val="00615572"/>
    <w:rsid w:val="0061557B"/>
    <w:rsid w:val="006160C4"/>
    <w:rsid w:val="00616265"/>
    <w:rsid w:val="006163CF"/>
    <w:rsid w:val="0061668C"/>
    <w:rsid w:val="00616B95"/>
    <w:rsid w:val="00616F6F"/>
    <w:rsid w:val="00617161"/>
    <w:rsid w:val="00617344"/>
    <w:rsid w:val="00617401"/>
    <w:rsid w:val="006176D6"/>
    <w:rsid w:val="00617784"/>
    <w:rsid w:val="00617AAE"/>
    <w:rsid w:val="00617DAC"/>
    <w:rsid w:val="00617EEA"/>
    <w:rsid w:val="0062042E"/>
    <w:rsid w:val="006206B5"/>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6DB"/>
    <w:rsid w:val="0062377F"/>
    <w:rsid w:val="00623907"/>
    <w:rsid w:val="00623954"/>
    <w:rsid w:val="00623B98"/>
    <w:rsid w:val="00623C13"/>
    <w:rsid w:val="00623F05"/>
    <w:rsid w:val="0062415F"/>
    <w:rsid w:val="006241D9"/>
    <w:rsid w:val="00624376"/>
    <w:rsid w:val="0062460B"/>
    <w:rsid w:val="0062479F"/>
    <w:rsid w:val="0062495F"/>
    <w:rsid w:val="00624A70"/>
    <w:rsid w:val="00624AB7"/>
    <w:rsid w:val="00624B39"/>
    <w:rsid w:val="00624BA2"/>
    <w:rsid w:val="00624DAB"/>
    <w:rsid w:val="0062509A"/>
    <w:rsid w:val="006253FD"/>
    <w:rsid w:val="0062595E"/>
    <w:rsid w:val="00625C6D"/>
    <w:rsid w:val="00625F42"/>
    <w:rsid w:val="00626004"/>
    <w:rsid w:val="006261DE"/>
    <w:rsid w:val="006262F3"/>
    <w:rsid w:val="0062646D"/>
    <w:rsid w:val="006264E6"/>
    <w:rsid w:val="006269A8"/>
    <w:rsid w:val="00626A30"/>
    <w:rsid w:val="00626CEC"/>
    <w:rsid w:val="0062703F"/>
    <w:rsid w:val="006270A1"/>
    <w:rsid w:val="006270A7"/>
    <w:rsid w:val="006272A4"/>
    <w:rsid w:val="00627705"/>
    <w:rsid w:val="0062773E"/>
    <w:rsid w:val="0062796F"/>
    <w:rsid w:val="006279C8"/>
    <w:rsid w:val="00627A43"/>
    <w:rsid w:val="00627D4A"/>
    <w:rsid w:val="006300E3"/>
    <w:rsid w:val="0063013E"/>
    <w:rsid w:val="006306A9"/>
    <w:rsid w:val="006307DF"/>
    <w:rsid w:val="00630A60"/>
    <w:rsid w:val="00630EB3"/>
    <w:rsid w:val="00630F9E"/>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40AF"/>
    <w:rsid w:val="006341F7"/>
    <w:rsid w:val="00634297"/>
    <w:rsid w:val="00634A6B"/>
    <w:rsid w:val="00634C12"/>
    <w:rsid w:val="00634C5F"/>
    <w:rsid w:val="00634CB5"/>
    <w:rsid w:val="00634D24"/>
    <w:rsid w:val="00634ECD"/>
    <w:rsid w:val="00634F72"/>
    <w:rsid w:val="006350B8"/>
    <w:rsid w:val="00635127"/>
    <w:rsid w:val="00635301"/>
    <w:rsid w:val="00635317"/>
    <w:rsid w:val="00635423"/>
    <w:rsid w:val="00635457"/>
    <w:rsid w:val="00635485"/>
    <w:rsid w:val="0063561D"/>
    <w:rsid w:val="0063563F"/>
    <w:rsid w:val="00635860"/>
    <w:rsid w:val="006359F5"/>
    <w:rsid w:val="00635C5C"/>
    <w:rsid w:val="00635C89"/>
    <w:rsid w:val="00635DF2"/>
    <w:rsid w:val="00635E59"/>
    <w:rsid w:val="006361AE"/>
    <w:rsid w:val="006361ED"/>
    <w:rsid w:val="00636542"/>
    <w:rsid w:val="006366DB"/>
    <w:rsid w:val="00636717"/>
    <w:rsid w:val="00636989"/>
    <w:rsid w:val="00636C84"/>
    <w:rsid w:val="00636CAE"/>
    <w:rsid w:val="00636DF1"/>
    <w:rsid w:val="0063709E"/>
    <w:rsid w:val="0063717F"/>
    <w:rsid w:val="00637224"/>
    <w:rsid w:val="006377C8"/>
    <w:rsid w:val="00637999"/>
    <w:rsid w:val="00637B92"/>
    <w:rsid w:val="00637C9E"/>
    <w:rsid w:val="00637CC6"/>
    <w:rsid w:val="00637D06"/>
    <w:rsid w:val="00637E56"/>
    <w:rsid w:val="00637F5A"/>
    <w:rsid w:val="006400B3"/>
    <w:rsid w:val="00640161"/>
    <w:rsid w:val="0064022B"/>
    <w:rsid w:val="006403BC"/>
    <w:rsid w:val="00640412"/>
    <w:rsid w:val="006405B9"/>
    <w:rsid w:val="00640967"/>
    <w:rsid w:val="006409F4"/>
    <w:rsid w:val="00640AA9"/>
    <w:rsid w:val="00640AEF"/>
    <w:rsid w:val="00640D07"/>
    <w:rsid w:val="00640F62"/>
    <w:rsid w:val="00641202"/>
    <w:rsid w:val="00641298"/>
    <w:rsid w:val="0064145C"/>
    <w:rsid w:val="00641F9C"/>
    <w:rsid w:val="0064200B"/>
    <w:rsid w:val="0064202D"/>
    <w:rsid w:val="0064226C"/>
    <w:rsid w:val="0064238B"/>
    <w:rsid w:val="00642521"/>
    <w:rsid w:val="006429DB"/>
    <w:rsid w:val="00642A43"/>
    <w:rsid w:val="00642C89"/>
    <w:rsid w:val="00642E56"/>
    <w:rsid w:val="00642FD8"/>
    <w:rsid w:val="006430AE"/>
    <w:rsid w:val="0064310B"/>
    <w:rsid w:val="006431A1"/>
    <w:rsid w:val="00643313"/>
    <w:rsid w:val="0064346C"/>
    <w:rsid w:val="006434A3"/>
    <w:rsid w:val="00643552"/>
    <w:rsid w:val="00643563"/>
    <w:rsid w:val="006439A0"/>
    <w:rsid w:val="006439C4"/>
    <w:rsid w:val="006439E9"/>
    <w:rsid w:val="00643AE4"/>
    <w:rsid w:val="00643DE6"/>
    <w:rsid w:val="0064410E"/>
    <w:rsid w:val="00644147"/>
    <w:rsid w:val="006441C9"/>
    <w:rsid w:val="0064427F"/>
    <w:rsid w:val="00644553"/>
    <w:rsid w:val="006448EB"/>
    <w:rsid w:val="00644E7A"/>
    <w:rsid w:val="00644E7E"/>
    <w:rsid w:val="00644E87"/>
    <w:rsid w:val="0064511E"/>
    <w:rsid w:val="00645339"/>
    <w:rsid w:val="00645403"/>
    <w:rsid w:val="00645512"/>
    <w:rsid w:val="006457C8"/>
    <w:rsid w:val="00645D23"/>
    <w:rsid w:val="00646231"/>
    <w:rsid w:val="00646235"/>
    <w:rsid w:val="00646259"/>
    <w:rsid w:val="0064625A"/>
    <w:rsid w:val="00646381"/>
    <w:rsid w:val="0064655E"/>
    <w:rsid w:val="006469BA"/>
    <w:rsid w:val="00646E88"/>
    <w:rsid w:val="00646EE8"/>
    <w:rsid w:val="0064706F"/>
    <w:rsid w:val="0064732A"/>
    <w:rsid w:val="006474B3"/>
    <w:rsid w:val="006474F2"/>
    <w:rsid w:val="00647EB2"/>
    <w:rsid w:val="00647FD7"/>
    <w:rsid w:val="0065008E"/>
    <w:rsid w:val="00650092"/>
    <w:rsid w:val="00650355"/>
    <w:rsid w:val="006506EC"/>
    <w:rsid w:val="00650767"/>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EC"/>
    <w:rsid w:val="006527D6"/>
    <w:rsid w:val="00652939"/>
    <w:rsid w:val="0065299B"/>
    <w:rsid w:val="00652AA8"/>
    <w:rsid w:val="00652B4A"/>
    <w:rsid w:val="00652CC1"/>
    <w:rsid w:val="0065326D"/>
    <w:rsid w:val="0065343C"/>
    <w:rsid w:val="0065343E"/>
    <w:rsid w:val="0065373D"/>
    <w:rsid w:val="006537CA"/>
    <w:rsid w:val="00653842"/>
    <w:rsid w:val="006539EE"/>
    <w:rsid w:val="00653E17"/>
    <w:rsid w:val="00654090"/>
    <w:rsid w:val="00654240"/>
    <w:rsid w:val="00654280"/>
    <w:rsid w:val="006542F2"/>
    <w:rsid w:val="006543E4"/>
    <w:rsid w:val="006544AB"/>
    <w:rsid w:val="006546BB"/>
    <w:rsid w:val="0065481D"/>
    <w:rsid w:val="00654876"/>
    <w:rsid w:val="00654A84"/>
    <w:rsid w:val="00654AB8"/>
    <w:rsid w:val="00654AD7"/>
    <w:rsid w:val="00654B50"/>
    <w:rsid w:val="00654B83"/>
    <w:rsid w:val="006550AE"/>
    <w:rsid w:val="00655436"/>
    <w:rsid w:val="006554E8"/>
    <w:rsid w:val="006555CF"/>
    <w:rsid w:val="006556B5"/>
    <w:rsid w:val="00655798"/>
    <w:rsid w:val="006559E6"/>
    <w:rsid w:val="00655CB3"/>
    <w:rsid w:val="00655CDA"/>
    <w:rsid w:val="00656066"/>
    <w:rsid w:val="006561B2"/>
    <w:rsid w:val="006561E2"/>
    <w:rsid w:val="0065663A"/>
    <w:rsid w:val="00656AF0"/>
    <w:rsid w:val="00656B6A"/>
    <w:rsid w:val="00656C7F"/>
    <w:rsid w:val="00656CC2"/>
    <w:rsid w:val="00656E87"/>
    <w:rsid w:val="00656F8B"/>
    <w:rsid w:val="00656FCA"/>
    <w:rsid w:val="00657366"/>
    <w:rsid w:val="00657734"/>
    <w:rsid w:val="00657A69"/>
    <w:rsid w:val="00657AE5"/>
    <w:rsid w:val="00657BE2"/>
    <w:rsid w:val="00657C4B"/>
    <w:rsid w:val="00657EBC"/>
    <w:rsid w:val="00657F70"/>
    <w:rsid w:val="00657FC6"/>
    <w:rsid w:val="0066015F"/>
    <w:rsid w:val="00660361"/>
    <w:rsid w:val="006604B7"/>
    <w:rsid w:val="00660675"/>
    <w:rsid w:val="00660BE4"/>
    <w:rsid w:val="00660E89"/>
    <w:rsid w:val="00660EFE"/>
    <w:rsid w:val="00660FE4"/>
    <w:rsid w:val="006619C8"/>
    <w:rsid w:val="00661A7E"/>
    <w:rsid w:val="006621A6"/>
    <w:rsid w:val="0066224E"/>
    <w:rsid w:val="006626D9"/>
    <w:rsid w:val="00662883"/>
    <w:rsid w:val="00662EDB"/>
    <w:rsid w:val="0066301F"/>
    <w:rsid w:val="006631F7"/>
    <w:rsid w:val="006633C0"/>
    <w:rsid w:val="006635CF"/>
    <w:rsid w:val="0066376F"/>
    <w:rsid w:val="006637E3"/>
    <w:rsid w:val="0066384C"/>
    <w:rsid w:val="00663A41"/>
    <w:rsid w:val="00663AFC"/>
    <w:rsid w:val="00663FB6"/>
    <w:rsid w:val="00664205"/>
    <w:rsid w:val="006646A5"/>
    <w:rsid w:val="00664883"/>
    <w:rsid w:val="00664975"/>
    <w:rsid w:val="00664ADF"/>
    <w:rsid w:val="00664CFD"/>
    <w:rsid w:val="00665A2E"/>
    <w:rsid w:val="00665AD4"/>
    <w:rsid w:val="00665C42"/>
    <w:rsid w:val="00665C96"/>
    <w:rsid w:val="00665CEA"/>
    <w:rsid w:val="00666084"/>
    <w:rsid w:val="006661EA"/>
    <w:rsid w:val="00666215"/>
    <w:rsid w:val="006662D1"/>
    <w:rsid w:val="00666499"/>
    <w:rsid w:val="0066655F"/>
    <w:rsid w:val="006665CB"/>
    <w:rsid w:val="0066661F"/>
    <w:rsid w:val="00666B90"/>
    <w:rsid w:val="00666C1E"/>
    <w:rsid w:val="006675B0"/>
    <w:rsid w:val="006676C5"/>
    <w:rsid w:val="00667961"/>
    <w:rsid w:val="00667D30"/>
    <w:rsid w:val="0067002B"/>
    <w:rsid w:val="00670147"/>
    <w:rsid w:val="0067029D"/>
    <w:rsid w:val="00670403"/>
    <w:rsid w:val="006704C3"/>
    <w:rsid w:val="00670B0C"/>
    <w:rsid w:val="00670F2F"/>
    <w:rsid w:val="00671028"/>
    <w:rsid w:val="00671299"/>
    <w:rsid w:val="006713DF"/>
    <w:rsid w:val="0067143B"/>
    <w:rsid w:val="00671487"/>
    <w:rsid w:val="006715B7"/>
    <w:rsid w:val="00671B21"/>
    <w:rsid w:val="00671D6A"/>
    <w:rsid w:val="00671E76"/>
    <w:rsid w:val="00672129"/>
    <w:rsid w:val="0067233B"/>
    <w:rsid w:val="0067251D"/>
    <w:rsid w:val="0067253E"/>
    <w:rsid w:val="00672583"/>
    <w:rsid w:val="00672736"/>
    <w:rsid w:val="006729B7"/>
    <w:rsid w:val="00672CD3"/>
    <w:rsid w:val="006732E8"/>
    <w:rsid w:val="00673426"/>
    <w:rsid w:val="00673482"/>
    <w:rsid w:val="0067369D"/>
    <w:rsid w:val="006737AC"/>
    <w:rsid w:val="006738FF"/>
    <w:rsid w:val="0067390D"/>
    <w:rsid w:val="00673A9C"/>
    <w:rsid w:val="00673BED"/>
    <w:rsid w:val="00673D17"/>
    <w:rsid w:val="00673E4F"/>
    <w:rsid w:val="00673F85"/>
    <w:rsid w:val="0067444B"/>
    <w:rsid w:val="00674684"/>
    <w:rsid w:val="00674A86"/>
    <w:rsid w:val="00674AAE"/>
    <w:rsid w:val="00674B42"/>
    <w:rsid w:val="00674BAF"/>
    <w:rsid w:val="006752F2"/>
    <w:rsid w:val="00675509"/>
    <w:rsid w:val="006757AA"/>
    <w:rsid w:val="00675830"/>
    <w:rsid w:val="00675916"/>
    <w:rsid w:val="006759B3"/>
    <w:rsid w:val="00675AD1"/>
    <w:rsid w:val="00675C3F"/>
    <w:rsid w:val="00675CC8"/>
    <w:rsid w:val="00675F5D"/>
    <w:rsid w:val="00675FCF"/>
    <w:rsid w:val="006760AC"/>
    <w:rsid w:val="006763F4"/>
    <w:rsid w:val="00676467"/>
    <w:rsid w:val="006766AA"/>
    <w:rsid w:val="006767BC"/>
    <w:rsid w:val="00676904"/>
    <w:rsid w:val="0067695B"/>
    <w:rsid w:val="00677604"/>
    <w:rsid w:val="00677861"/>
    <w:rsid w:val="0067798F"/>
    <w:rsid w:val="00677AD6"/>
    <w:rsid w:val="00677ECA"/>
    <w:rsid w:val="006800E7"/>
    <w:rsid w:val="00680197"/>
    <w:rsid w:val="006804C4"/>
    <w:rsid w:val="00680500"/>
    <w:rsid w:val="006806CA"/>
    <w:rsid w:val="00680854"/>
    <w:rsid w:val="006808E0"/>
    <w:rsid w:val="00680ED3"/>
    <w:rsid w:val="00680F0D"/>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3F9A"/>
    <w:rsid w:val="006840C6"/>
    <w:rsid w:val="006840EA"/>
    <w:rsid w:val="006843E5"/>
    <w:rsid w:val="006845E5"/>
    <w:rsid w:val="006847B6"/>
    <w:rsid w:val="006847CF"/>
    <w:rsid w:val="006848D2"/>
    <w:rsid w:val="00684B52"/>
    <w:rsid w:val="00684BF5"/>
    <w:rsid w:val="00684EEF"/>
    <w:rsid w:val="00684F24"/>
    <w:rsid w:val="006851A5"/>
    <w:rsid w:val="006851A7"/>
    <w:rsid w:val="00685266"/>
    <w:rsid w:val="00685571"/>
    <w:rsid w:val="006856F1"/>
    <w:rsid w:val="006858DF"/>
    <w:rsid w:val="00685A4D"/>
    <w:rsid w:val="00685ACD"/>
    <w:rsid w:val="00685B24"/>
    <w:rsid w:val="006861E9"/>
    <w:rsid w:val="00686313"/>
    <w:rsid w:val="006864C8"/>
    <w:rsid w:val="0068655A"/>
    <w:rsid w:val="00686C7F"/>
    <w:rsid w:val="0068775A"/>
    <w:rsid w:val="00687BC0"/>
    <w:rsid w:val="00687D29"/>
    <w:rsid w:val="00687E54"/>
    <w:rsid w:val="00690013"/>
    <w:rsid w:val="0069026C"/>
    <w:rsid w:val="0069044B"/>
    <w:rsid w:val="0069071A"/>
    <w:rsid w:val="00690823"/>
    <w:rsid w:val="00690992"/>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40F"/>
    <w:rsid w:val="0069258D"/>
    <w:rsid w:val="00692D6E"/>
    <w:rsid w:val="00692D95"/>
    <w:rsid w:val="00692F5F"/>
    <w:rsid w:val="00693086"/>
    <w:rsid w:val="00693114"/>
    <w:rsid w:val="0069346F"/>
    <w:rsid w:val="0069360E"/>
    <w:rsid w:val="0069389B"/>
    <w:rsid w:val="00693943"/>
    <w:rsid w:val="00693A6B"/>
    <w:rsid w:val="00693AC5"/>
    <w:rsid w:val="00693B3C"/>
    <w:rsid w:val="00693D4E"/>
    <w:rsid w:val="00693F81"/>
    <w:rsid w:val="006941FD"/>
    <w:rsid w:val="0069432C"/>
    <w:rsid w:val="006943D2"/>
    <w:rsid w:val="006945B4"/>
    <w:rsid w:val="00694630"/>
    <w:rsid w:val="0069471C"/>
    <w:rsid w:val="006949AC"/>
    <w:rsid w:val="006949B6"/>
    <w:rsid w:val="00694A94"/>
    <w:rsid w:val="00694C68"/>
    <w:rsid w:val="00694D27"/>
    <w:rsid w:val="00694E98"/>
    <w:rsid w:val="0069509A"/>
    <w:rsid w:val="006952CE"/>
    <w:rsid w:val="00695629"/>
    <w:rsid w:val="006956AF"/>
    <w:rsid w:val="00695821"/>
    <w:rsid w:val="00695BC0"/>
    <w:rsid w:val="00695C46"/>
    <w:rsid w:val="00695D25"/>
    <w:rsid w:val="00696041"/>
    <w:rsid w:val="006963CB"/>
    <w:rsid w:val="006966F7"/>
    <w:rsid w:val="0069678F"/>
    <w:rsid w:val="006967C7"/>
    <w:rsid w:val="006969DC"/>
    <w:rsid w:val="00696E73"/>
    <w:rsid w:val="00696EAD"/>
    <w:rsid w:val="00696EF5"/>
    <w:rsid w:val="006971B0"/>
    <w:rsid w:val="006971D9"/>
    <w:rsid w:val="00697310"/>
    <w:rsid w:val="00697441"/>
    <w:rsid w:val="00697579"/>
    <w:rsid w:val="006A01DE"/>
    <w:rsid w:val="006A024D"/>
    <w:rsid w:val="006A0927"/>
    <w:rsid w:val="006A0A0A"/>
    <w:rsid w:val="006A0C73"/>
    <w:rsid w:val="006A0D67"/>
    <w:rsid w:val="006A0F1F"/>
    <w:rsid w:val="006A114D"/>
    <w:rsid w:val="006A115E"/>
    <w:rsid w:val="006A153A"/>
    <w:rsid w:val="006A1831"/>
    <w:rsid w:val="006A1981"/>
    <w:rsid w:val="006A1B57"/>
    <w:rsid w:val="006A1C0D"/>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4FE"/>
    <w:rsid w:val="006A3535"/>
    <w:rsid w:val="006A36F7"/>
    <w:rsid w:val="006A3804"/>
    <w:rsid w:val="006A3908"/>
    <w:rsid w:val="006A3964"/>
    <w:rsid w:val="006A3CA5"/>
    <w:rsid w:val="006A3CB4"/>
    <w:rsid w:val="006A44FD"/>
    <w:rsid w:val="006A468C"/>
    <w:rsid w:val="006A4694"/>
    <w:rsid w:val="006A4C45"/>
    <w:rsid w:val="006A4E79"/>
    <w:rsid w:val="006A4F27"/>
    <w:rsid w:val="006A4F64"/>
    <w:rsid w:val="006A4F97"/>
    <w:rsid w:val="006A5093"/>
    <w:rsid w:val="006A52D5"/>
    <w:rsid w:val="006A544E"/>
    <w:rsid w:val="006A5729"/>
    <w:rsid w:val="006A5A90"/>
    <w:rsid w:val="006A5BCC"/>
    <w:rsid w:val="006A5D48"/>
    <w:rsid w:val="006A5D76"/>
    <w:rsid w:val="006A5E27"/>
    <w:rsid w:val="006A5EA3"/>
    <w:rsid w:val="006A5F2A"/>
    <w:rsid w:val="006A63F1"/>
    <w:rsid w:val="006A6454"/>
    <w:rsid w:val="006A64A4"/>
    <w:rsid w:val="006A6594"/>
    <w:rsid w:val="006A677A"/>
    <w:rsid w:val="006A68E4"/>
    <w:rsid w:val="006A6BD0"/>
    <w:rsid w:val="006A6C22"/>
    <w:rsid w:val="006A6C6C"/>
    <w:rsid w:val="006A6D16"/>
    <w:rsid w:val="006A6E8C"/>
    <w:rsid w:val="006A70FE"/>
    <w:rsid w:val="006A7227"/>
    <w:rsid w:val="006A735B"/>
    <w:rsid w:val="006A7497"/>
    <w:rsid w:val="006A7738"/>
    <w:rsid w:val="006A77C7"/>
    <w:rsid w:val="006A7DBE"/>
    <w:rsid w:val="006A7F52"/>
    <w:rsid w:val="006A7FF0"/>
    <w:rsid w:val="006B028F"/>
    <w:rsid w:val="006B0483"/>
    <w:rsid w:val="006B0992"/>
    <w:rsid w:val="006B09D4"/>
    <w:rsid w:val="006B0C5B"/>
    <w:rsid w:val="006B0DB4"/>
    <w:rsid w:val="006B130E"/>
    <w:rsid w:val="006B136E"/>
    <w:rsid w:val="006B1587"/>
    <w:rsid w:val="006B1595"/>
    <w:rsid w:val="006B1766"/>
    <w:rsid w:val="006B1AD0"/>
    <w:rsid w:val="006B1B62"/>
    <w:rsid w:val="006B1ED2"/>
    <w:rsid w:val="006B21BB"/>
    <w:rsid w:val="006B2449"/>
    <w:rsid w:val="006B2476"/>
    <w:rsid w:val="006B2734"/>
    <w:rsid w:val="006B2B01"/>
    <w:rsid w:val="006B2D56"/>
    <w:rsid w:val="006B2EA4"/>
    <w:rsid w:val="006B3151"/>
    <w:rsid w:val="006B31C4"/>
    <w:rsid w:val="006B320C"/>
    <w:rsid w:val="006B3462"/>
    <w:rsid w:val="006B36B3"/>
    <w:rsid w:val="006B3719"/>
    <w:rsid w:val="006B3832"/>
    <w:rsid w:val="006B3891"/>
    <w:rsid w:val="006B3A2C"/>
    <w:rsid w:val="006B3AB6"/>
    <w:rsid w:val="006B3ADC"/>
    <w:rsid w:val="006B3CAB"/>
    <w:rsid w:val="006B3FAE"/>
    <w:rsid w:val="006B42AA"/>
    <w:rsid w:val="006B44CB"/>
    <w:rsid w:val="006B46BC"/>
    <w:rsid w:val="006B49B3"/>
    <w:rsid w:val="006B49D2"/>
    <w:rsid w:val="006B4CE5"/>
    <w:rsid w:val="006B570A"/>
    <w:rsid w:val="006B5715"/>
    <w:rsid w:val="006B5A61"/>
    <w:rsid w:val="006B5CE5"/>
    <w:rsid w:val="006B61B1"/>
    <w:rsid w:val="006B648C"/>
    <w:rsid w:val="006B6546"/>
    <w:rsid w:val="006B65F0"/>
    <w:rsid w:val="006B6728"/>
    <w:rsid w:val="006B6CB7"/>
    <w:rsid w:val="006B6D0B"/>
    <w:rsid w:val="006B6ECD"/>
    <w:rsid w:val="006B6ED5"/>
    <w:rsid w:val="006B6F1F"/>
    <w:rsid w:val="006B6F7D"/>
    <w:rsid w:val="006B701C"/>
    <w:rsid w:val="006B7082"/>
    <w:rsid w:val="006B709A"/>
    <w:rsid w:val="006B7254"/>
    <w:rsid w:val="006B7408"/>
    <w:rsid w:val="006B7501"/>
    <w:rsid w:val="006B7513"/>
    <w:rsid w:val="006B760E"/>
    <w:rsid w:val="006B7837"/>
    <w:rsid w:val="006B785A"/>
    <w:rsid w:val="006B7895"/>
    <w:rsid w:val="006B7910"/>
    <w:rsid w:val="006B7A59"/>
    <w:rsid w:val="006B7D98"/>
    <w:rsid w:val="006C01C8"/>
    <w:rsid w:val="006C0253"/>
    <w:rsid w:val="006C02FA"/>
    <w:rsid w:val="006C03A4"/>
    <w:rsid w:val="006C0412"/>
    <w:rsid w:val="006C0632"/>
    <w:rsid w:val="006C067E"/>
    <w:rsid w:val="006C071F"/>
    <w:rsid w:val="006C0A54"/>
    <w:rsid w:val="006C0C90"/>
    <w:rsid w:val="006C0EE9"/>
    <w:rsid w:val="006C0FCD"/>
    <w:rsid w:val="006C1729"/>
    <w:rsid w:val="006C192D"/>
    <w:rsid w:val="006C1B43"/>
    <w:rsid w:val="006C1C38"/>
    <w:rsid w:val="006C1CD1"/>
    <w:rsid w:val="006C2550"/>
    <w:rsid w:val="006C2678"/>
    <w:rsid w:val="006C285E"/>
    <w:rsid w:val="006C29F9"/>
    <w:rsid w:val="006C2C38"/>
    <w:rsid w:val="006C2C45"/>
    <w:rsid w:val="006C2C8F"/>
    <w:rsid w:val="006C2E65"/>
    <w:rsid w:val="006C2E7F"/>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2E8"/>
    <w:rsid w:val="006C4313"/>
    <w:rsid w:val="006C4338"/>
    <w:rsid w:val="006C440F"/>
    <w:rsid w:val="006C4623"/>
    <w:rsid w:val="006C4703"/>
    <w:rsid w:val="006C4AB0"/>
    <w:rsid w:val="006C4EB7"/>
    <w:rsid w:val="006C4ED2"/>
    <w:rsid w:val="006C52E8"/>
    <w:rsid w:val="006C5346"/>
    <w:rsid w:val="006C583D"/>
    <w:rsid w:val="006C589E"/>
    <w:rsid w:val="006C58E9"/>
    <w:rsid w:val="006C5B44"/>
    <w:rsid w:val="006C5F68"/>
    <w:rsid w:val="006C61F8"/>
    <w:rsid w:val="006C64D5"/>
    <w:rsid w:val="006C67DA"/>
    <w:rsid w:val="006C684F"/>
    <w:rsid w:val="006C6D0C"/>
    <w:rsid w:val="006C6E6D"/>
    <w:rsid w:val="006C6F18"/>
    <w:rsid w:val="006C711B"/>
    <w:rsid w:val="006C7242"/>
    <w:rsid w:val="006C74DD"/>
    <w:rsid w:val="006C79A8"/>
    <w:rsid w:val="006C7AE2"/>
    <w:rsid w:val="006C7CC7"/>
    <w:rsid w:val="006D077B"/>
    <w:rsid w:val="006D0974"/>
    <w:rsid w:val="006D09D2"/>
    <w:rsid w:val="006D0A72"/>
    <w:rsid w:val="006D0C8A"/>
    <w:rsid w:val="006D0D92"/>
    <w:rsid w:val="006D119A"/>
    <w:rsid w:val="006D121E"/>
    <w:rsid w:val="006D13F9"/>
    <w:rsid w:val="006D176E"/>
    <w:rsid w:val="006D1BD4"/>
    <w:rsid w:val="006D1EE5"/>
    <w:rsid w:val="006D2145"/>
    <w:rsid w:val="006D2ED4"/>
    <w:rsid w:val="006D2FF8"/>
    <w:rsid w:val="006D302A"/>
    <w:rsid w:val="006D30B2"/>
    <w:rsid w:val="006D3577"/>
    <w:rsid w:val="006D35FD"/>
    <w:rsid w:val="006D3721"/>
    <w:rsid w:val="006D3811"/>
    <w:rsid w:val="006D3872"/>
    <w:rsid w:val="006D3F34"/>
    <w:rsid w:val="006D40E7"/>
    <w:rsid w:val="006D447B"/>
    <w:rsid w:val="006D4824"/>
    <w:rsid w:val="006D4954"/>
    <w:rsid w:val="006D496A"/>
    <w:rsid w:val="006D49C4"/>
    <w:rsid w:val="006D4ACE"/>
    <w:rsid w:val="006D4BE1"/>
    <w:rsid w:val="006D4D3F"/>
    <w:rsid w:val="006D4F23"/>
    <w:rsid w:val="006D5154"/>
    <w:rsid w:val="006D517D"/>
    <w:rsid w:val="006D518F"/>
    <w:rsid w:val="006D5268"/>
    <w:rsid w:val="006D5632"/>
    <w:rsid w:val="006D56FC"/>
    <w:rsid w:val="006D58DB"/>
    <w:rsid w:val="006D5C2B"/>
    <w:rsid w:val="006D5C96"/>
    <w:rsid w:val="006D6010"/>
    <w:rsid w:val="006D6080"/>
    <w:rsid w:val="006D653C"/>
    <w:rsid w:val="006D656D"/>
    <w:rsid w:val="006D668D"/>
    <w:rsid w:val="006D68C5"/>
    <w:rsid w:val="006D6AD3"/>
    <w:rsid w:val="006D6B10"/>
    <w:rsid w:val="006D6B95"/>
    <w:rsid w:val="006D6C39"/>
    <w:rsid w:val="006D6E5E"/>
    <w:rsid w:val="006D6F77"/>
    <w:rsid w:val="006D7146"/>
    <w:rsid w:val="006D7309"/>
    <w:rsid w:val="006D74E0"/>
    <w:rsid w:val="006D7795"/>
    <w:rsid w:val="006D779B"/>
    <w:rsid w:val="006D79BA"/>
    <w:rsid w:val="006D7E70"/>
    <w:rsid w:val="006E0258"/>
    <w:rsid w:val="006E06B3"/>
    <w:rsid w:val="006E09ED"/>
    <w:rsid w:val="006E0BB8"/>
    <w:rsid w:val="006E0D37"/>
    <w:rsid w:val="006E0FB9"/>
    <w:rsid w:val="006E14B3"/>
    <w:rsid w:val="006E175D"/>
    <w:rsid w:val="006E191C"/>
    <w:rsid w:val="006E1963"/>
    <w:rsid w:val="006E1EAC"/>
    <w:rsid w:val="006E1F52"/>
    <w:rsid w:val="006E22E1"/>
    <w:rsid w:val="006E2554"/>
    <w:rsid w:val="006E2653"/>
    <w:rsid w:val="006E27DA"/>
    <w:rsid w:val="006E2875"/>
    <w:rsid w:val="006E2D3E"/>
    <w:rsid w:val="006E329A"/>
    <w:rsid w:val="006E3477"/>
    <w:rsid w:val="006E358D"/>
    <w:rsid w:val="006E35F9"/>
    <w:rsid w:val="006E38DE"/>
    <w:rsid w:val="006E3A90"/>
    <w:rsid w:val="006E3CC7"/>
    <w:rsid w:val="006E4585"/>
    <w:rsid w:val="006E4900"/>
    <w:rsid w:val="006E4923"/>
    <w:rsid w:val="006E4960"/>
    <w:rsid w:val="006E4DC4"/>
    <w:rsid w:val="006E4FEC"/>
    <w:rsid w:val="006E52A9"/>
    <w:rsid w:val="006E5332"/>
    <w:rsid w:val="006E533F"/>
    <w:rsid w:val="006E53A3"/>
    <w:rsid w:val="006E5696"/>
    <w:rsid w:val="006E5BBA"/>
    <w:rsid w:val="006E5CAB"/>
    <w:rsid w:val="006E6338"/>
    <w:rsid w:val="006E64B3"/>
    <w:rsid w:val="006E66A7"/>
    <w:rsid w:val="006E6799"/>
    <w:rsid w:val="006E68C1"/>
    <w:rsid w:val="006E6EAF"/>
    <w:rsid w:val="006E6F14"/>
    <w:rsid w:val="006E79B9"/>
    <w:rsid w:val="006E7BD8"/>
    <w:rsid w:val="006E7C69"/>
    <w:rsid w:val="006F007E"/>
    <w:rsid w:val="006F02FD"/>
    <w:rsid w:val="006F0A88"/>
    <w:rsid w:val="006F0B08"/>
    <w:rsid w:val="006F0D91"/>
    <w:rsid w:val="006F0DA1"/>
    <w:rsid w:val="006F0E98"/>
    <w:rsid w:val="006F14F2"/>
    <w:rsid w:val="006F18BB"/>
    <w:rsid w:val="006F18D6"/>
    <w:rsid w:val="006F1A0D"/>
    <w:rsid w:val="006F1A95"/>
    <w:rsid w:val="006F1B02"/>
    <w:rsid w:val="006F1BCA"/>
    <w:rsid w:val="006F1CA0"/>
    <w:rsid w:val="006F1D16"/>
    <w:rsid w:val="006F1EFF"/>
    <w:rsid w:val="006F23EC"/>
    <w:rsid w:val="006F2578"/>
    <w:rsid w:val="006F2683"/>
    <w:rsid w:val="006F2F10"/>
    <w:rsid w:val="006F344B"/>
    <w:rsid w:val="006F3664"/>
    <w:rsid w:val="006F40BA"/>
    <w:rsid w:val="006F42AE"/>
    <w:rsid w:val="006F4507"/>
    <w:rsid w:val="006F5608"/>
    <w:rsid w:val="006F560B"/>
    <w:rsid w:val="006F5F5D"/>
    <w:rsid w:val="006F6014"/>
    <w:rsid w:val="006F604B"/>
    <w:rsid w:val="006F6337"/>
    <w:rsid w:val="006F6502"/>
    <w:rsid w:val="006F6734"/>
    <w:rsid w:val="006F6847"/>
    <w:rsid w:val="006F6C2B"/>
    <w:rsid w:val="006F7262"/>
    <w:rsid w:val="006F73B3"/>
    <w:rsid w:val="006F73B4"/>
    <w:rsid w:val="006F73FC"/>
    <w:rsid w:val="006F7524"/>
    <w:rsid w:val="006F7546"/>
    <w:rsid w:val="006F76C5"/>
    <w:rsid w:val="006F78B1"/>
    <w:rsid w:val="006F794B"/>
    <w:rsid w:val="006F7A24"/>
    <w:rsid w:val="006F7CA3"/>
    <w:rsid w:val="006F7E88"/>
    <w:rsid w:val="007003D9"/>
    <w:rsid w:val="00700478"/>
    <w:rsid w:val="0070089D"/>
    <w:rsid w:val="0070116F"/>
    <w:rsid w:val="00701369"/>
    <w:rsid w:val="007013B5"/>
    <w:rsid w:val="00701496"/>
    <w:rsid w:val="007015CC"/>
    <w:rsid w:val="00701705"/>
    <w:rsid w:val="0070170E"/>
    <w:rsid w:val="00701780"/>
    <w:rsid w:val="00701B34"/>
    <w:rsid w:val="00701D18"/>
    <w:rsid w:val="00701F44"/>
    <w:rsid w:val="007027F8"/>
    <w:rsid w:val="00702AAC"/>
    <w:rsid w:val="00702C97"/>
    <w:rsid w:val="00702D7E"/>
    <w:rsid w:val="00702E1B"/>
    <w:rsid w:val="00703024"/>
    <w:rsid w:val="007030C7"/>
    <w:rsid w:val="0070343A"/>
    <w:rsid w:val="007035D6"/>
    <w:rsid w:val="007035E8"/>
    <w:rsid w:val="00703938"/>
    <w:rsid w:val="007039BA"/>
    <w:rsid w:val="00703AFB"/>
    <w:rsid w:val="00703EFD"/>
    <w:rsid w:val="007040E6"/>
    <w:rsid w:val="007044BB"/>
    <w:rsid w:val="0070488F"/>
    <w:rsid w:val="00704F73"/>
    <w:rsid w:val="00705306"/>
    <w:rsid w:val="007053A6"/>
    <w:rsid w:val="007054E5"/>
    <w:rsid w:val="00705812"/>
    <w:rsid w:val="0070591A"/>
    <w:rsid w:val="00706076"/>
    <w:rsid w:val="007060FC"/>
    <w:rsid w:val="0070621C"/>
    <w:rsid w:val="00706253"/>
    <w:rsid w:val="00706625"/>
    <w:rsid w:val="0070690C"/>
    <w:rsid w:val="00706952"/>
    <w:rsid w:val="00706965"/>
    <w:rsid w:val="00706B0E"/>
    <w:rsid w:val="00706B40"/>
    <w:rsid w:val="00706C63"/>
    <w:rsid w:val="00706FC4"/>
    <w:rsid w:val="00707286"/>
    <w:rsid w:val="007073B1"/>
    <w:rsid w:val="0070768C"/>
    <w:rsid w:val="007076E6"/>
    <w:rsid w:val="00707C10"/>
    <w:rsid w:val="00707D18"/>
    <w:rsid w:val="00707F91"/>
    <w:rsid w:val="00710129"/>
    <w:rsid w:val="00710370"/>
    <w:rsid w:val="0071052A"/>
    <w:rsid w:val="00710736"/>
    <w:rsid w:val="00710F1F"/>
    <w:rsid w:val="007112F8"/>
    <w:rsid w:val="007112FD"/>
    <w:rsid w:val="0071198B"/>
    <w:rsid w:val="00711A3A"/>
    <w:rsid w:val="00711AB9"/>
    <w:rsid w:val="00711E02"/>
    <w:rsid w:val="0071226A"/>
    <w:rsid w:val="007122DA"/>
    <w:rsid w:val="00712475"/>
    <w:rsid w:val="0071247C"/>
    <w:rsid w:val="0071255A"/>
    <w:rsid w:val="00712622"/>
    <w:rsid w:val="007126B1"/>
    <w:rsid w:val="007127A2"/>
    <w:rsid w:val="007127A3"/>
    <w:rsid w:val="007129D9"/>
    <w:rsid w:val="00712C57"/>
    <w:rsid w:val="00712F2D"/>
    <w:rsid w:val="00713515"/>
    <w:rsid w:val="00713587"/>
    <w:rsid w:val="0071385C"/>
    <w:rsid w:val="007138DE"/>
    <w:rsid w:val="00713970"/>
    <w:rsid w:val="007139CD"/>
    <w:rsid w:val="00713C20"/>
    <w:rsid w:val="00714A31"/>
    <w:rsid w:val="00714A43"/>
    <w:rsid w:val="00714FBE"/>
    <w:rsid w:val="007150B0"/>
    <w:rsid w:val="007155A6"/>
    <w:rsid w:val="0071570C"/>
    <w:rsid w:val="00715797"/>
    <w:rsid w:val="00715A9A"/>
    <w:rsid w:val="00715B97"/>
    <w:rsid w:val="00715C39"/>
    <w:rsid w:val="00716092"/>
    <w:rsid w:val="00716314"/>
    <w:rsid w:val="00716813"/>
    <w:rsid w:val="00716926"/>
    <w:rsid w:val="00716979"/>
    <w:rsid w:val="00716A08"/>
    <w:rsid w:val="00716B77"/>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AC0"/>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63E"/>
    <w:rsid w:val="0072282B"/>
    <w:rsid w:val="00722A36"/>
    <w:rsid w:val="00722D3C"/>
    <w:rsid w:val="00722F29"/>
    <w:rsid w:val="00723066"/>
    <w:rsid w:val="0072339E"/>
    <w:rsid w:val="007233C9"/>
    <w:rsid w:val="0072350A"/>
    <w:rsid w:val="00723619"/>
    <w:rsid w:val="00723760"/>
    <w:rsid w:val="007237AA"/>
    <w:rsid w:val="00723859"/>
    <w:rsid w:val="00723D05"/>
    <w:rsid w:val="00723D0A"/>
    <w:rsid w:val="00723F44"/>
    <w:rsid w:val="00724316"/>
    <w:rsid w:val="007249C7"/>
    <w:rsid w:val="00724CC7"/>
    <w:rsid w:val="00724DE0"/>
    <w:rsid w:val="007250E5"/>
    <w:rsid w:val="00725157"/>
    <w:rsid w:val="00725267"/>
    <w:rsid w:val="007254F6"/>
    <w:rsid w:val="00725838"/>
    <w:rsid w:val="007259AF"/>
    <w:rsid w:val="00725B82"/>
    <w:rsid w:val="00725D0B"/>
    <w:rsid w:val="00725E6B"/>
    <w:rsid w:val="007262BD"/>
    <w:rsid w:val="00726414"/>
    <w:rsid w:val="007265FA"/>
    <w:rsid w:val="00726615"/>
    <w:rsid w:val="00726997"/>
    <w:rsid w:val="00726A2C"/>
    <w:rsid w:val="00726F50"/>
    <w:rsid w:val="00726FA4"/>
    <w:rsid w:val="00727346"/>
    <w:rsid w:val="007276BE"/>
    <w:rsid w:val="00727856"/>
    <w:rsid w:val="00727AD4"/>
    <w:rsid w:val="00727BD2"/>
    <w:rsid w:val="00730286"/>
    <w:rsid w:val="00730356"/>
    <w:rsid w:val="007306DC"/>
    <w:rsid w:val="007309B3"/>
    <w:rsid w:val="007309F6"/>
    <w:rsid w:val="00730A05"/>
    <w:rsid w:val="00730A9D"/>
    <w:rsid w:val="00730C79"/>
    <w:rsid w:val="007312CA"/>
    <w:rsid w:val="007317E5"/>
    <w:rsid w:val="0073183B"/>
    <w:rsid w:val="00731859"/>
    <w:rsid w:val="007318DD"/>
    <w:rsid w:val="00731A19"/>
    <w:rsid w:val="00731D48"/>
    <w:rsid w:val="00731DB2"/>
    <w:rsid w:val="00732022"/>
    <w:rsid w:val="007320B3"/>
    <w:rsid w:val="00732489"/>
    <w:rsid w:val="00732583"/>
    <w:rsid w:val="00732779"/>
    <w:rsid w:val="00732854"/>
    <w:rsid w:val="00732C0F"/>
    <w:rsid w:val="00732C89"/>
    <w:rsid w:val="00732C99"/>
    <w:rsid w:val="00732CD8"/>
    <w:rsid w:val="00732DFE"/>
    <w:rsid w:val="00732FCA"/>
    <w:rsid w:val="007330EB"/>
    <w:rsid w:val="007334CA"/>
    <w:rsid w:val="007334CC"/>
    <w:rsid w:val="0073350B"/>
    <w:rsid w:val="007335B6"/>
    <w:rsid w:val="007336DE"/>
    <w:rsid w:val="00733BB2"/>
    <w:rsid w:val="0073402E"/>
    <w:rsid w:val="00734033"/>
    <w:rsid w:val="0073444A"/>
    <w:rsid w:val="007344BB"/>
    <w:rsid w:val="007344EC"/>
    <w:rsid w:val="007346F5"/>
    <w:rsid w:val="0073489F"/>
    <w:rsid w:val="007349EC"/>
    <w:rsid w:val="00734C92"/>
    <w:rsid w:val="00734DD0"/>
    <w:rsid w:val="00734ED8"/>
    <w:rsid w:val="007352FB"/>
    <w:rsid w:val="0073538B"/>
    <w:rsid w:val="00735467"/>
    <w:rsid w:val="007354B7"/>
    <w:rsid w:val="00735528"/>
    <w:rsid w:val="00735732"/>
    <w:rsid w:val="00735777"/>
    <w:rsid w:val="00735A18"/>
    <w:rsid w:val="00735BA3"/>
    <w:rsid w:val="00735D25"/>
    <w:rsid w:val="00736037"/>
    <w:rsid w:val="0073605C"/>
    <w:rsid w:val="007364DE"/>
    <w:rsid w:val="007365B7"/>
    <w:rsid w:val="00736924"/>
    <w:rsid w:val="00736971"/>
    <w:rsid w:val="00736A21"/>
    <w:rsid w:val="007371C1"/>
    <w:rsid w:val="007371F5"/>
    <w:rsid w:val="007373D9"/>
    <w:rsid w:val="00737595"/>
    <w:rsid w:val="007376F4"/>
    <w:rsid w:val="0073781D"/>
    <w:rsid w:val="00737925"/>
    <w:rsid w:val="00737C55"/>
    <w:rsid w:val="00737D5E"/>
    <w:rsid w:val="00737E4C"/>
    <w:rsid w:val="0074002E"/>
    <w:rsid w:val="00740045"/>
    <w:rsid w:val="007401CE"/>
    <w:rsid w:val="00740260"/>
    <w:rsid w:val="0074028F"/>
    <w:rsid w:val="007402F4"/>
    <w:rsid w:val="00740673"/>
    <w:rsid w:val="00740FF2"/>
    <w:rsid w:val="0074107F"/>
    <w:rsid w:val="0074122F"/>
    <w:rsid w:val="00741684"/>
    <w:rsid w:val="00741714"/>
    <w:rsid w:val="007417A9"/>
    <w:rsid w:val="007417DC"/>
    <w:rsid w:val="0074185E"/>
    <w:rsid w:val="0074188B"/>
    <w:rsid w:val="007418E5"/>
    <w:rsid w:val="00741A20"/>
    <w:rsid w:val="00741B43"/>
    <w:rsid w:val="00741F41"/>
    <w:rsid w:val="00741FFB"/>
    <w:rsid w:val="00742016"/>
    <w:rsid w:val="00742242"/>
    <w:rsid w:val="00742245"/>
    <w:rsid w:val="007423BB"/>
    <w:rsid w:val="00742666"/>
    <w:rsid w:val="00742862"/>
    <w:rsid w:val="007429D5"/>
    <w:rsid w:val="00742B32"/>
    <w:rsid w:val="00743169"/>
    <w:rsid w:val="0074338A"/>
    <w:rsid w:val="00743682"/>
    <w:rsid w:val="00743964"/>
    <w:rsid w:val="007439D0"/>
    <w:rsid w:val="00743A8A"/>
    <w:rsid w:val="00743B3A"/>
    <w:rsid w:val="00743EFB"/>
    <w:rsid w:val="00743FA6"/>
    <w:rsid w:val="007440EB"/>
    <w:rsid w:val="00744A81"/>
    <w:rsid w:val="00744AF4"/>
    <w:rsid w:val="00744C07"/>
    <w:rsid w:val="00744EE4"/>
    <w:rsid w:val="007457BD"/>
    <w:rsid w:val="0074586F"/>
    <w:rsid w:val="007459BF"/>
    <w:rsid w:val="00745A65"/>
    <w:rsid w:val="00745CA3"/>
    <w:rsid w:val="00745D71"/>
    <w:rsid w:val="0074606C"/>
    <w:rsid w:val="007460AE"/>
    <w:rsid w:val="00746214"/>
    <w:rsid w:val="007463AA"/>
    <w:rsid w:val="00746512"/>
    <w:rsid w:val="007468D5"/>
    <w:rsid w:val="007469A3"/>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432"/>
    <w:rsid w:val="0075295E"/>
    <w:rsid w:val="007529BE"/>
    <w:rsid w:val="00752ACF"/>
    <w:rsid w:val="00752E3A"/>
    <w:rsid w:val="00752E92"/>
    <w:rsid w:val="00752EC6"/>
    <w:rsid w:val="00752FB3"/>
    <w:rsid w:val="00752FD3"/>
    <w:rsid w:val="007532EE"/>
    <w:rsid w:val="007536E9"/>
    <w:rsid w:val="0075393B"/>
    <w:rsid w:val="00753A31"/>
    <w:rsid w:val="00754589"/>
    <w:rsid w:val="00754C80"/>
    <w:rsid w:val="00754F4E"/>
    <w:rsid w:val="00754F9F"/>
    <w:rsid w:val="00755089"/>
    <w:rsid w:val="00755223"/>
    <w:rsid w:val="00755262"/>
    <w:rsid w:val="007555BA"/>
    <w:rsid w:val="007555DD"/>
    <w:rsid w:val="007555F5"/>
    <w:rsid w:val="00755851"/>
    <w:rsid w:val="00755AD0"/>
    <w:rsid w:val="00755AF5"/>
    <w:rsid w:val="00755F06"/>
    <w:rsid w:val="00755F22"/>
    <w:rsid w:val="00755FD6"/>
    <w:rsid w:val="00755FF4"/>
    <w:rsid w:val="007560B5"/>
    <w:rsid w:val="00756393"/>
    <w:rsid w:val="00756B24"/>
    <w:rsid w:val="00756B8F"/>
    <w:rsid w:val="00756D40"/>
    <w:rsid w:val="00756D44"/>
    <w:rsid w:val="00756D82"/>
    <w:rsid w:val="00756E5D"/>
    <w:rsid w:val="00756FC0"/>
    <w:rsid w:val="007571F0"/>
    <w:rsid w:val="0075727F"/>
    <w:rsid w:val="0075728D"/>
    <w:rsid w:val="00757377"/>
    <w:rsid w:val="007577C1"/>
    <w:rsid w:val="007579CD"/>
    <w:rsid w:val="00757B34"/>
    <w:rsid w:val="00757ED3"/>
    <w:rsid w:val="00757EF0"/>
    <w:rsid w:val="00757FDF"/>
    <w:rsid w:val="00760136"/>
    <w:rsid w:val="0076014D"/>
    <w:rsid w:val="007604D5"/>
    <w:rsid w:val="007604FB"/>
    <w:rsid w:val="007606EE"/>
    <w:rsid w:val="00760715"/>
    <w:rsid w:val="00760BEA"/>
    <w:rsid w:val="00760F11"/>
    <w:rsid w:val="0076101C"/>
    <w:rsid w:val="0076136D"/>
    <w:rsid w:val="0076146C"/>
    <w:rsid w:val="007614D6"/>
    <w:rsid w:val="00761660"/>
    <w:rsid w:val="00761894"/>
    <w:rsid w:val="00761949"/>
    <w:rsid w:val="00761B7E"/>
    <w:rsid w:val="00761CEB"/>
    <w:rsid w:val="00761EBC"/>
    <w:rsid w:val="00761FEC"/>
    <w:rsid w:val="00762031"/>
    <w:rsid w:val="007620CF"/>
    <w:rsid w:val="00762261"/>
    <w:rsid w:val="0076227B"/>
    <w:rsid w:val="00762364"/>
    <w:rsid w:val="0076237E"/>
    <w:rsid w:val="0076238A"/>
    <w:rsid w:val="007623B8"/>
    <w:rsid w:val="007629C0"/>
    <w:rsid w:val="00762A95"/>
    <w:rsid w:val="00762B54"/>
    <w:rsid w:val="00762D6F"/>
    <w:rsid w:val="00763029"/>
    <w:rsid w:val="00763648"/>
    <w:rsid w:val="007636BD"/>
    <w:rsid w:val="00763C6E"/>
    <w:rsid w:val="00763CB7"/>
    <w:rsid w:val="00763D1B"/>
    <w:rsid w:val="00763F2D"/>
    <w:rsid w:val="00764135"/>
    <w:rsid w:val="00764194"/>
    <w:rsid w:val="007641BD"/>
    <w:rsid w:val="0076445A"/>
    <w:rsid w:val="0076446C"/>
    <w:rsid w:val="00764490"/>
    <w:rsid w:val="007646AC"/>
    <w:rsid w:val="00764A6D"/>
    <w:rsid w:val="00764C3D"/>
    <w:rsid w:val="00765695"/>
    <w:rsid w:val="00765A1B"/>
    <w:rsid w:val="00765A2E"/>
    <w:rsid w:val="00765C5D"/>
    <w:rsid w:val="00765ECF"/>
    <w:rsid w:val="00765FE6"/>
    <w:rsid w:val="0076612F"/>
    <w:rsid w:val="0076642C"/>
    <w:rsid w:val="0076647C"/>
    <w:rsid w:val="00766491"/>
    <w:rsid w:val="007664B8"/>
    <w:rsid w:val="00766609"/>
    <w:rsid w:val="0076685D"/>
    <w:rsid w:val="0076687C"/>
    <w:rsid w:val="00766F38"/>
    <w:rsid w:val="0076755C"/>
    <w:rsid w:val="007675D8"/>
    <w:rsid w:val="0076768E"/>
    <w:rsid w:val="007676E5"/>
    <w:rsid w:val="00767700"/>
    <w:rsid w:val="0076771A"/>
    <w:rsid w:val="00767D35"/>
    <w:rsid w:val="00767E15"/>
    <w:rsid w:val="00767FD9"/>
    <w:rsid w:val="007700F8"/>
    <w:rsid w:val="007703E0"/>
    <w:rsid w:val="00770A05"/>
    <w:rsid w:val="00770D59"/>
    <w:rsid w:val="00770D71"/>
    <w:rsid w:val="007713FB"/>
    <w:rsid w:val="00771AE2"/>
    <w:rsid w:val="00771BFA"/>
    <w:rsid w:val="00771C6C"/>
    <w:rsid w:val="00771D80"/>
    <w:rsid w:val="00771E2B"/>
    <w:rsid w:val="00771F9B"/>
    <w:rsid w:val="007721A7"/>
    <w:rsid w:val="007721DC"/>
    <w:rsid w:val="00772257"/>
    <w:rsid w:val="00772356"/>
    <w:rsid w:val="007725AF"/>
    <w:rsid w:val="007726A9"/>
    <w:rsid w:val="00772723"/>
    <w:rsid w:val="0077283C"/>
    <w:rsid w:val="0077294D"/>
    <w:rsid w:val="00772BB8"/>
    <w:rsid w:val="00772E41"/>
    <w:rsid w:val="0077313D"/>
    <w:rsid w:val="007735A3"/>
    <w:rsid w:val="007735FD"/>
    <w:rsid w:val="0077367E"/>
    <w:rsid w:val="007736A6"/>
    <w:rsid w:val="007737E7"/>
    <w:rsid w:val="00773830"/>
    <w:rsid w:val="007738D3"/>
    <w:rsid w:val="00773FF9"/>
    <w:rsid w:val="0077413F"/>
    <w:rsid w:val="00774581"/>
    <w:rsid w:val="007746D7"/>
    <w:rsid w:val="00774779"/>
    <w:rsid w:val="007748BB"/>
    <w:rsid w:val="00774A0D"/>
    <w:rsid w:val="00774AAA"/>
    <w:rsid w:val="00774AD8"/>
    <w:rsid w:val="00774FCC"/>
    <w:rsid w:val="0077510C"/>
    <w:rsid w:val="00775284"/>
    <w:rsid w:val="00775886"/>
    <w:rsid w:val="00775934"/>
    <w:rsid w:val="00775974"/>
    <w:rsid w:val="00775CBC"/>
    <w:rsid w:val="00775F0A"/>
    <w:rsid w:val="007762E2"/>
    <w:rsid w:val="00776B7F"/>
    <w:rsid w:val="00776DA5"/>
    <w:rsid w:val="00776F6E"/>
    <w:rsid w:val="0077711A"/>
    <w:rsid w:val="007773AE"/>
    <w:rsid w:val="00777476"/>
    <w:rsid w:val="00777789"/>
    <w:rsid w:val="0077778C"/>
    <w:rsid w:val="00777CD2"/>
    <w:rsid w:val="00777D1A"/>
    <w:rsid w:val="00777E6D"/>
    <w:rsid w:val="00777FA0"/>
    <w:rsid w:val="00777FA6"/>
    <w:rsid w:val="00777FCC"/>
    <w:rsid w:val="00780084"/>
    <w:rsid w:val="007802F9"/>
    <w:rsid w:val="00780541"/>
    <w:rsid w:val="00780617"/>
    <w:rsid w:val="007807F3"/>
    <w:rsid w:val="007809B8"/>
    <w:rsid w:val="007809E7"/>
    <w:rsid w:val="00780BB3"/>
    <w:rsid w:val="00780CF7"/>
    <w:rsid w:val="00780D9E"/>
    <w:rsid w:val="00780E5D"/>
    <w:rsid w:val="007813C1"/>
    <w:rsid w:val="007814AB"/>
    <w:rsid w:val="007814F2"/>
    <w:rsid w:val="007815C4"/>
    <w:rsid w:val="0078189F"/>
    <w:rsid w:val="00781BEF"/>
    <w:rsid w:val="00781C13"/>
    <w:rsid w:val="00781C96"/>
    <w:rsid w:val="00781EA9"/>
    <w:rsid w:val="007820BF"/>
    <w:rsid w:val="00782305"/>
    <w:rsid w:val="00782599"/>
    <w:rsid w:val="0078262A"/>
    <w:rsid w:val="00782A7E"/>
    <w:rsid w:val="00782ADF"/>
    <w:rsid w:val="00782D4D"/>
    <w:rsid w:val="00782D7F"/>
    <w:rsid w:val="00782EE3"/>
    <w:rsid w:val="00783197"/>
    <w:rsid w:val="007833CA"/>
    <w:rsid w:val="007834F3"/>
    <w:rsid w:val="00783A1E"/>
    <w:rsid w:val="00783B53"/>
    <w:rsid w:val="0078476D"/>
    <w:rsid w:val="007847CD"/>
    <w:rsid w:val="00784840"/>
    <w:rsid w:val="00784C02"/>
    <w:rsid w:val="00784C1B"/>
    <w:rsid w:val="00784D76"/>
    <w:rsid w:val="00784E22"/>
    <w:rsid w:val="00784FC2"/>
    <w:rsid w:val="00785562"/>
    <w:rsid w:val="0078594B"/>
    <w:rsid w:val="00785A27"/>
    <w:rsid w:val="00785F6D"/>
    <w:rsid w:val="0078660B"/>
    <w:rsid w:val="00786614"/>
    <w:rsid w:val="00786A73"/>
    <w:rsid w:val="00786ACC"/>
    <w:rsid w:val="00786CE9"/>
    <w:rsid w:val="00786D0E"/>
    <w:rsid w:val="00786D77"/>
    <w:rsid w:val="00787634"/>
    <w:rsid w:val="0078784E"/>
    <w:rsid w:val="00787999"/>
    <w:rsid w:val="00789C3B"/>
    <w:rsid w:val="0079035A"/>
    <w:rsid w:val="007906A1"/>
    <w:rsid w:val="007906F9"/>
    <w:rsid w:val="007907BA"/>
    <w:rsid w:val="00790A2B"/>
    <w:rsid w:val="00790A2F"/>
    <w:rsid w:val="00790D10"/>
    <w:rsid w:val="00790E92"/>
    <w:rsid w:val="0079139D"/>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3BA"/>
    <w:rsid w:val="0079348E"/>
    <w:rsid w:val="007935C4"/>
    <w:rsid w:val="007936A6"/>
    <w:rsid w:val="007936F3"/>
    <w:rsid w:val="00793884"/>
    <w:rsid w:val="00794503"/>
    <w:rsid w:val="00794606"/>
    <w:rsid w:val="007946B0"/>
    <w:rsid w:val="007946CE"/>
    <w:rsid w:val="00794740"/>
    <w:rsid w:val="007948B5"/>
    <w:rsid w:val="007949EC"/>
    <w:rsid w:val="00794BA7"/>
    <w:rsid w:val="00794F8E"/>
    <w:rsid w:val="007951DE"/>
    <w:rsid w:val="00795330"/>
    <w:rsid w:val="007954DA"/>
    <w:rsid w:val="007959A9"/>
    <w:rsid w:val="007959D7"/>
    <w:rsid w:val="00795AC3"/>
    <w:rsid w:val="00795AD3"/>
    <w:rsid w:val="00795BEE"/>
    <w:rsid w:val="00795F40"/>
    <w:rsid w:val="007962E0"/>
    <w:rsid w:val="00796386"/>
    <w:rsid w:val="007966B4"/>
    <w:rsid w:val="00796862"/>
    <w:rsid w:val="00796CFC"/>
    <w:rsid w:val="00796D4B"/>
    <w:rsid w:val="00796EFF"/>
    <w:rsid w:val="00797165"/>
    <w:rsid w:val="007974B1"/>
    <w:rsid w:val="00797545"/>
    <w:rsid w:val="007975F5"/>
    <w:rsid w:val="00797701"/>
    <w:rsid w:val="00797CF0"/>
    <w:rsid w:val="00797F43"/>
    <w:rsid w:val="007A055C"/>
    <w:rsid w:val="007A0767"/>
    <w:rsid w:val="007A082B"/>
    <w:rsid w:val="007A0928"/>
    <w:rsid w:val="007A0C8F"/>
    <w:rsid w:val="007A0D76"/>
    <w:rsid w:val="007A111B"/>
    <w:rsid w:val="007A1381"/>
    <w:rsid w:val="007A16F4"/>
    <w:rsid w:val="007A194E"/>
    <w:rsid w:val="007A1956"/>
    <w:rsid w:val="007A19B2"/>
    <w:rsid w:val="007A19E0"/>
    <w:rsid w:val="007A1B5F"/>
    <w:rsid w:val="007A1D46"/>
    <w:rsid w:val="007A1E6D"/>
    <w:rsid w:val="007A2072"/>
    <w:rsid w:val="007A2162"/>
    <w:rsid w:val="007A216C"/>
    <w:rsid w:val="007A242A"/>
    <w:rsid w:val="007A2553"/>
    <w:rsid w:val="007A2A37"/>
    <w:rsid w:val="007A2E2A"/>
    <w:rsid w:val="007A3364"/>
    <w:rsid w:val="007A368D"/>
    <w:rsid w:val="007A3CC4"/>
    <w:rsid w:val="007A3D28"/>
    <w:rsid w:val="007A3FE3"/>
    <w:rsid w:val="007A4074"/>
    <w:rsid w:val="007A41F4"/>
    <w:rsid w:val="007A44F7"/>
    <w:rsid w:val="007A476B"/>
    <w:rsid w:val="007A483E"/>
    <w:rsid w:val="007A4DE6"/>
    <w:rsid w:val="007A4E7D"/>
    <w:rsid w:val="007A4EC9"/>
    <w:rsid w:val="007A4F03"/>
    <w:rsid w:val="007A518E"/>
    <w:rsid w:val="007A51C1"/>
    <w:rsid w:val="007A55C4"/>
    <w:rsid w:val="007A55F4"/>
    <w:rsid w:val="007A5738"/>
    <w:rsid w:val="007A573A"/>
    <w:rsid w:val="007A5753"/>
    <w:rsid w:val="007A58E0"/>
    <w:rsid w:val="007A5B85"/>
    <w:rsid w:val="007A5CC6"/>
    <w:rsid w:val="007A5D89"/>
    <w:rsid w:val="007A5EEB"/>
    <w:rsid w:val="007A5F26"/>
    <w:rsid w:val="007A60E5"/>
    <w:rsid w:val="007A6298"/>
    <w:rsid w:val="007A64CF"/>
    <w:rsid w:val="007A6708"/>
    <w:rsid w:val="007A685F"/>
    <w:rsid w:val="007A6ED6"/>
    <w:rsid w:val="007A71D7"/>
    <w:rsid w:val="007A7362"/>
    <w:rsid w:val="007A7600"/>
    <w:rsid w:val="007A7960"/>
    <w:rsid w:val="007A79DC"/>
    <w:rsid w:val="007B0002"/>
    <w:rsid w:val="007B017D"/>
    <w:rsid w:val="007B01AF"/>
    <w:rsid w:val="007B030B"/>
    <w:rsid w:val="007B075C"/>
    <w:rsid w:val="007B083D"/>
    <w:rsid w:val="007B09B4"/>
    <w:rsid w:val="007B09D1"/>
    <w:rsid w:val="007B0ACC"/>
    <w:rsid w:val="007B1265"/>
    <w:rsid w:val="007B1A21"/>
    <w:rsid w:val="007B1ACD"/>
    <w:rsid w:val="007B21B1"/>
    <w:rsid w:val="007B234D"/>
    <w:rsid w:val="007B2559"/>
    <w:rsid w:val="007B2840"/>
    <w:rsid w:val="007B28B4"/>
    <w:rsid w:val="007B2C47"/>
    <w:rsid w:val="007B2E7A"/>
    <w:rsid w:val="007B2E95"/>
    <w:rsid w:val="007B2FDF"/>
    <w:rsid w:val="007B30EA"/>
    <w:rsid w:val="007B33D2"/>
    <w:rsid w:val="007B354B"/>
    <w:rsid w:val="007B392A"/>
    <w:rsid w:val="007B3A86"/>
    <w:rsid w:val="007B3DE7"/>
    <w:rsid w:val="007B3EF3"/>
    <w:rsid w:val="007B4246"/>
    <w:rsid w:val="007B43A1"/>
    <w:rsid w:val="007B4499"/>
    <w:rsid w:val="007B473D"/>
    <w:rsid w:val="007B4BFD"/>
    <w:rsid w:val="007B5151"/>
    <w:rsid w:val="007B5366"/>
    <w:rsid w:val="007B5419"/>
    <w:rsid w:val="007B544B"/>
    <w:rsid w:val="007B55D0"/>
    <w:rsid w:val="007B58B3"/>
    <w:rsid w:val="007B5B06"/>
    <w:rsid w:val="007B5E6F"/>
    <w:rsid w:val="007B5F7A"/>
    <w:rsid w:val="007B6199"/>
    <w:rsid w:val="007B63AE"/>
    <w:rsid w:val="007B677E"/>
    <w:rsid w:val="007B690E"/>
    <w:rsid w:val="007B6A76"/>
    <w:rsid w:val="007B6AAE"/>
    <w:rsid w:val="007B6C4C"/>
    <w:rsid w:val="007B6F26"/>
    <w:rsid w:val="007B7279"/>
    <w:rsid w:val="007B72CC"/>
    <w:rsid w:val="007B7837"/>
    <w:rsid w:val="007B7A69"/>
    <w:rsid w:val="007B7DF3"/>
    <w:rsid w:val="007B7E46"/>
    <w:rsid w:val="007B7F1B"/>
    <w:rsid w:val="007C056D"/>
    <w:rsid w:val="007C05EB"/>
    <w:rsid w:val="007C0E63"/>
    <w:rsid w:val="007C0F4F"/>
    <w:rsid w:val="007C0F7F"/>
    <w:rsid w:val="007C108D"/>
    <w:rsid w:val="007C1743"/>
    <w:rsid w:val="007C1AA2"/>
    <w:rsid w:val="007C1F3A"/>
    <w:rsid w:val="007C2114"/>
    <w:rsid w:val="007C231D"/>
    <w:rsid w:val="007C23AE"/>
    <w:rsid w:val="007C261E"/>
    <w:rsid w:val="007C2806"/>
    <w:rsid w:val="007C2AEF"/>
    <w:rsid w:val="007C2DEB"/>
    <w:rsid w:val="007C34BA"/>
    <w:rsid w:val="007C3616"/>
    <w:rsid w:val="007C3946"/>
    <w:rsid w:val="007C3A53"/>
    <w:rsid w:val="007C3A83"/>
    <w:rsid w:val="007C3B6B"/>
    <w:rsid w:val="007C3C2C"/>
    <w:rsid w:val="007C4201"/>
    <w:rsid w:val="007C463C"/>
    <w:rsid w:val="007C46BA"/>
    <w:rsid w:val="007C4ABD"/>
    <w:rsid w:val="007C4B44"/>
    <w:rsid w:val="007C5273"/>
    <w:rsid w:val="007C528F"/>
    <w:rsid w:val="007C55FF"/>
    <w:rsid w:val="007C59EB"/>
    <w:rsid w:val="007C5A14"/>
    <w:rsid w:val="007C5C83"/>
    <w:rsid w:val="007C5D8A"/>
    <w:rsid w:val="007C6321"/>
    <w:rsid w:val="007C662A"/>
    <w:rsid w:val="007C66AF"/>
    <w:rsid w:val="007C6958"/>
    <w:rsid w:val="007C6A21"/>
    <w:rsid w:val="007C6AAA"/>
    <w:rsid w:val="007C6CE1"/>
    <w:rsid w:val="007C708A"/>
    <w:rsid w:val="007C70D1"/>
    <w:rsid w:val="007C7680"/>
    <w:rsid w:val="007C7D92"/>
    <w:rsid w:val="007D00FA"/>
    <w:rsid w:val="007D014E"/>
    <w:rsid w:val="007D022D"/>
    <w:rsid w:val="007D050B"/>
    <w:rsid w:val="007D0527"/>
    <w:rsid w:val="007D0846"/>
    <w:rsid w:val="007D0BF7"/>
    <w:rsid w:val="007D0C47"/>
    <w:rsid w:val="007D0D50"/>
    <w:rsid w:val="007D0DD4"/>
    <w:rsid w:val="007D0EF7"/>
    <w:rsid w:val="007D1132"/>
    <w:rsid w:val="007D11D0"/>
    <w:rsid w:val="007D1666"/>
    <w:rsid w:val="007D16FF"/>
    <w:rsid w:val="007D1A42"/>
    <w:rsid w:val="007D1A5A"/>
    <w:rsid w:val="007D1AFC"/>
    <w:rsid w:val="007D1DCE"/>
    <w:rsid w:val="007D1DE9"/>
    <w:rsid w:val="007D221D"/>
    <w:rsid w:val="007D2611"/>
    <w:rsid w:val="007D269C"/>
    <w:rsid w:val="007D26D0"/>
    <w:rsid w:val="007D2B58"/>
    <w:rsid w:val="007D2B94"/>
    <w:rsid w:val="007D2CAF"/>
    <w:rsid w:val="007D31A0"/>
    <w:rsid w:val="007D34B9"/>
    <w:rsid w:val="007D35B2"/>
    <w:rsid w:val="007D3AEC"/>
    <w:rsid w:val="007D3FD8"/>
    <w:rsid w:val="007D4D57"/>
    <w:rsid w:val="007D4DC3"/>
    <w:rsid w:val="007D50FE"/>
    <w:rsid w:val="007D5181"/>
    <w:rsid w:val="007D5317"/>
    <w:rsid w:val="007D5450"/>
    <w:rsid w:val="007D573B"/>
    <w:rsid w:val="007D57F6"/>
    <w:rsid w:val="007D5967"/>
    <w:rsid w:val="007D5E26"/>
    <w:rsid w:val="007D5F56"/>
    <w:rsid w:val="007D602B"/>
    <w:rsid w:val="007D61C7"/>
    <w:rsid w:val="007D61E4"/>
    <w:rsid w:val="007D628A"/>
    <w:rsid w:val="007D62B4"/>
    <w:rsid w:val="007D64D8"/>
    <w:rsid w:val="007D650E"/>
    <w:rsid w:val="007D6551"/>
    <w:rsid w:val="007D67A4"/>
    <w:rsid w:val="007D69BC"/>
    <w:rsid w:val="007D6AFB"/>
    <w:rsid w:val="007D6BAA"/>
    <w:rsid w:val="007D6D53"/>
    <w:rsid w:val="007D6D5E"/>
    <w:rsid w:val="007D6FC8"/>
    <w:rsid w:val="007D7175"/>
    <w:rsid w:val="007D73E1"/>
    <w:rsid w:val="007D769B"/>
    <w:rsid w:val="007D76AE"/>
    <w:rsid w:val="007D77C7"/>
    <w:rsid w:val="007D7CC8"/>
    <w:rsid w:val="007E0349"/>
    <w:rsid w:val="007E0432"/>
    <w:rsid w:val="007E0597"/>
    <w:rsid w:val="007E069D"/>
    <w:rsid w:val="007E0B9A"/>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3B36"/>
    <w:rsid w:val="007E3FF5"/>
    <w:rsid w:val="007E4176"/>
    <w:rsid w:val="007E41A5"/>
    <w:rsid w:val="007E4646"/>
    <w:rsid w:val="007E4795"/>
    <w:rsid w:val="007E48FD"/>
    <w:rsid w:val="007E4EB3"/>
    <w:rsid w:val="007E4EE6"/>
    <w:rsid w:val="007E5099"/>
    <w:rsid w:val="007E50C5"/>
    <w:rsid w:val="007E512D"/>
    <w:rsid w:val="007E51E9"/>
    <w:rsid w:val="007E55BE"/>
    <w:rsid w:val="007E5675"/>
    <w:rsid w:val="007E5A5A"/>
    <w:rsid w:val="007E5B36"/>
    <w:rsid w:val="007E5BC4"/>
    <w:rsid w:val="007E5CC8"/>
    <w:rsid w:val="007E5CD4"/>
    <w:rsid w:val="007E5CE2"/>
    <w:rsid w:val="007E5D41"/>
    <w:rsid w:val="007E5E2C"/>
    <w:rsid w:val="007E5F27"/>
    <w:rsid w:val="007E6043"/>
    <w:rsid w:val="007E619E"/>
    <w:rsid w:val="007E6254"/>
    <w:rsid w:val="007E62B4"/>
    <w:rsid w:val="007E656D"/>
    <w:rsid w:val="007E65DD"/>
    <w:rsid w:val="007E66E2"/>
    <w:rsid w:val="007E67FB"/>
    <w:rsid w:val="007E6AAB"/>
    <w:rsid w:val="007E6DA4"/>
    <w:rsid w:val="007E6FAA"/>
    <w:rsid w:val="007E7501"/>
    <w:rsid w:val="007E756C"/>
    <w:rsid w:val="007E7B9F"/>
    <w:rsid w:val="007E7CFB"/>
    <w:rsid w:val="007E7D0D"/>
    <w:rsid w:val="007E7E1C"/>
    <w:rsid w:val="007F0776"/>
    <w:rsid w:val="007F07F4"/>
    <w:rsid w:val="007F07FD"/>
    <w:rsid w:val="007F0BF6"/>
    <w:rsid w:val="007F0CB8"/>
    <w:rsid w:val="007F0FD2"/>
    <w:rsid w:val="007F1016"/>
    <w:rsid w:val="007F10FC"/>
    <w:rsid w:val="007F12FF"/>
    <w:rsid w:val="007F142B"/>
    <w:rsid w:val="007F190C"/>
    <w:rsid w:val="007F19AA"/>
    <w:rsid w:val="007F1AAC"/>
    <w:rsid w:val="007F2272"/>
    <w:rsid w:val="007F2306"/>
    <w:rsid w:val="007F26DB"/>
    <w:rsid w:val="007F2C18"/>
    <w:rsid w:val="007F2DF4"/>
    <w:rsid w:val="007F2F43"/>
    <w:rsid w:val="007F2F4D"/>
    <w:rsid w:val="007F3242"/>
    <w:rsid w:val="007F37AD"/>
    <w:rsid w:val="007F37AE"/>
    <w:rsid w:val="007F38D3"/>
    <w:rsid w:val="007F3C73"/>
    <w:rsid w:val="007F418F"/>
    <w:rsid w:val="007F42CF"/>
    <w:rsid w:val="007F4331"/>
    <w:rsid w:val="007F4368"/>
    <w:rsid w:val="007F48BB"/>
    <w:rsid w:val="007F48ED"/>
    <w:rsid w:val="007F4B1E"/>
    <w:rsid w:val="007F4D56"/>
    <w:rsid w:val="007F4D74"/>
    <w:rsid w:val="007F4F16"/>
    <w:rsid w:val="007F53A9"/>
    <w:rsid w:val="007F55B5"/>
    <w:rsid w:val="007F55F1"/>
    <w:rsid w:val="007F5C43"/>
    <w:rsid w:val="007F5CE7"/>
    <w:rsid w:val="007F5D52"/>
    <w:rsid w:val="007F5EAD"/>
    <w:rsid w:val="007F5F33"/>
    <w:rsid w:val="007F6724"/>
    <w:rsid w:val="007F67A9"/>
    <w:rsid w:val="007F691E"/>
    <w:rsid w:val="007F6E0C"/>
    <w:rsid w:val="007F707C"/>
    <w:rsid w:val="007F727C"/>
    <w:rsid w:val="007F7309"/>
    <w:rsid w:val="007F73E2"/>
    <w:rsid w:val="007F748F"/>
    <w:rsid w:val="007F751E"/>
    <w:rsid w:val="007F7624"/>
    <w:rsid w:val="007F76BB"/>
    <w:rsid w:val="007F7BF8"/>
    <w:rsid w:val="007F7E2B"/>
    <w:rsid w:val="0080043A"/>
    <w:rsid w:val="00800555"/>
    <w:rsid w:val="00800593"/>
    <w:rsid w:val="008005CC"/>
    <w:rsid w:val="0080060F"/>
    <w:rsid w:val="00800797"/>
    <w:rsid w:val="008008A0"/>
    <w:rsid w:val="00800C51"/>
    <w:rsid w:val="00800CA5"/>
    <w:rsid w:val="00800CAA"/>
    <w:rsid w:val="00800FC4"/>
    <w:rsid w:val="00801189"/>
    <w:rsid w:val="00801548"/>
    <w:rsid w:val="00801586"/>
    <w:rsid w:val="0080159E"/>
    <w:rsid w:val="00801975"/>
    <w:rsid w:val="008019DF"/>
    <w:rsid w:val="00801A3A"/>
    <w:rsid w:val="00801E69"/>
    <w:rsid w:val="00801F3C"/>
    <w:rsid w:val="00802385"/>
    <w:rsid w:val="0080240A"/>
    <w:rsid w:val="008025C4"/>
    <w:rsid w:val="008026E5"/>
    <w:rsid w:val="0080298A"/>
    <w:rsid w:val="0080298B"/>
    <w:rsid w:val="00802A07"/>
    <w:rsid w:val="00802C75"/>
    <w:rsid w:val="00802DA5"/>
    <w:rsid w:val="00803046"/>
    <w:rsid w:val="00803471"/>
    <w:rsid w:val="00803776"/>
    <w:rsid w:val="008037DB"/>
    <w:rsid w:val="008039AB"/>
    <w:rsid w:val="00803B4B"/>
    <w:rsid w:val="008040B3"/>
    <w:rsid w:val="008040BC"/>
    <w:rsid w:val="008040E8"/>
    <w:rsid w:val="00804470"/>
    <w:rsid w:val="008045AD"/>
    <w:rsid w:val="008048AD"/>
    <w:rsid w:val="00804913"/>
    <w:rsid w:val="00804ABA"/>
    <w:rsid w:val="00804BE1"/>
    <w:rsid w:val="00804E79"/>
    <w:rsid w:val="00805038"/>
    <w:rsid w:val="0080503F"/>
    <w:rsid w:val="00805262"/>
    <w:rsid w:val="00805269"/>
    <w:rsid w:val="00805381"/>
    <w:rsid w:val="0080543D"/>
    <w:rsid w:val="008055A7"/>
    <w:rsid w:val="008055EA"/>
    <w:rsid w:val="008056F5"/>
    <w:rsid w:val="0080578D"/>
    <w:rsid w:val="008058F6"/>
    <w:rsid w:val="00805C7D"/>
    <w:rsid w:val="00805DE6"/>
    <w:rsid w:val="00805FA2"/>
    <w:rsid w:val="00805FB9"/>
    <w:rsid w:val="00806141"/>
    <w:rsid w:val="00806932"/>
    <w:rsid w:val="0080697C"/>
    <w:rsid w:val="00806B10"/>
    <w:rsid w:val="00806BF8"/>
    <w:rsid w:val="00807252"/>
    <w:rsid w:val="00807383"/>
    <w:rsid w:val="00807419"/>
    <w:rsid w:val="008076A5"/>
    <w:rsid w:val="00807732"/>
    <w:rsid w:val="008077B2"/>
    <w:rsid w:val="0080780B"/>
    <w:rsid w:val="008078B7"/>
    <w:rsid w:val="00807C1A"/>
    <w:rsid w:val="00807CE2"/>
    <w:rsid w:val="00807CE5"/>
    <w:rsid w:val="00807DA8"/>
    <w:rsid w:val="008102E8"/>
    <w:rsid w:val="00810474"/>
    <w:rsid w:val="008111F2"/>
    <w:rsid w:val="00811221"/>
    <w:rsid w:val="0081147E"/>
    <w:rsid w:val="0081170E"/>
    <w:rsid w:val="008118A3"/>
    <w:rsid w:val="00812108"/>
    <w:rsid w:val="00812128"/>
    <w:rsid w:val="00812176"/>
    <w:rsid w:val="00812321"/>
    <w:rsid w:val="00812AAE"/>
    <w:rsid w:val="00812AF2"/>
    <w:rsid w:val="00812D5C"/>
    <w:rsid w:val="00812E06"/>
    <w:rsid w:val="00813123"/>
    <w:rsid w:val="00813173"/>
    <w:rsid w:val="00813274"/>
    <w:rsid w:val="00813288"/>
    <w:rsid w:val="00813315"/>
    <w:rsid w:val="008133B2"/>
    <w:rsid w:val="008136B2"/>
    <w:rsid w:val="00813804"/>
    <w:rsid w:val="00813855"/>
    <w:rsid w:val="00813888"/>
    <w:rsid w:val="008139A5"/>
    <w:rsid w:val="00813B99"/>
    <w:rsid w:val="00813E35"/>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ABE"/>
    <w:rsid w:val="00817C17"/>
    <w:rsid w:val="008200F6"/>
    <w:rsid w:val="0082039C"/>
    <w:rsid w:val="0082043D"/>
    <w:rsid w:val="008204D5"/>
    <w:rsid w:val="008205AD"/>
    <w:rsid w:val="008206A5"/>
    <w:rsid w:val="008208ED"/>
    <w:rsid w:val="00820AEC"/>
    <w:rsid w:val="00820B2F"/>
    <w:rsid w:val="00820CE9"/>
    <w:rsid w:val="00820D90"/>
    <w:rsid w:val="00820DC9"/>
    <w:rsid w:val="00820F3A"/>
    <w:rsid w:val="00820FC7"/>
    <w:rsid w:val="00821271"/>
    <w:rsid w:val="0082127E"/>
    <w:rsid w:val="00821C68"/>
    <w:rsid w:val="00821C76"/>
    <w:rsid w:val="00821C8D"/>
    <w:rsid w:val="00821CA8"/>
    <w:rsid w:val="00822050"/>
    <w:rsid w:val="0082225E"/>
    <w:rsid w:val="00822425"/>
    <w:rsid w:val="0082242E"/>
    <w:rsid w:val="00822787"/>
    <w:rsid w:val="00822798"/>
    <w:rsid w:val="00822DF8"/>
    <w:rsid w:val="00822E12"/>
    <w:rsid w:val="00822F9D"/>
    <w:rsid w:val="00822FEE"/>
    <w:rsid w:val="0082313E"/>
    <w:rsid w:val="008232CC"/>
    <w:rsid w:val="0082343D"/>
    <w:rsid w:val="00823459"/>
    <w:rsid w:val="00823477"/>
    <w:rsid w:val="00823687"/>
    <w:rsid w:val="00823BCB"/>
    <w:rsid w:val="00823C26"/>
    <w:rsid w:val="00823EAE"/>
    <w:rsid w:val="00823F6F"/>
    <w:rsid w:val="00824055"/>
    <w:rsid w:val="0082405D"/>
    <w:rsid w:val="008242B4"/>
    <w:rsid w:val="00824306"/>
    <w:rsid w:val="00824671"/>
    <w:rsid w:val="008246B9"/>
    <w:rsid w:val="008248D4"/>
    <w:rsid w:val="00824A4A"/>
    <w:rsid w:val="00824AF1"/>
    <w:rsid w:val="00824BE7"/>
    <w:rsid w:val="00824D37"/>
    <w:rsid w:val="00824D4D"/>
    <w:rsid w:val="00824E46"/>
    <w:rsid w:val="00825189"/>
    <w:rsid w:val="0082519E"/>
    <w:rsid w:val="008252D3"/>
    <w:rsid w:val="00825335"/>
    <w:rsid w:val="008253A1"/>
    <w:rsid w:val="008257AA"/>
    <w:rsid w:val="0082585C"/>
    <w:rsid w:val="008259D7"/>
    <w:rsid w:val="00825B33"/>
    <w:rsid w:val="00825C27"/>
    <w:rsid w:val="00825CBB"/>
    <w:rsid w:val="00825DFA"/>
    <w:rsid w:val="00825FA7"/>
    <w:rsid w:val="008263BD"/>
    <w:rsid w:val="008264D6"/>
    <w:rsid w:val="0082663A"/>
    <w:rsid w:val="008266F1"/>
    <w:rsid w:val="008268CA"/>
    <w:rsid w:val="00826994"/>
    <w:rsid w:val="008269A8"/>
    <w:rsid w:val="00826EB4"/>
    <w:rsid w:val="008270CD"/>
    <w:rsid w:val="00827140"/>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0D4E"/>
    <w:rsid w:val="008313BB"/>
    <w:rsid w:val="008313E6"/>
    <w:rsid w:val="00831943"/>
    <w:rsid w:val="00831B63"/>
    <w:rsid w:val="00831BD2"/>
    <w:rsid w:val="00831E69"/>
    <w:rsid w:val="00831EFF"/>
    <w:rsid w:val="00831F1E"/>
    <w:rsid w:val="0083219B"/>
    <w:rsid w:val="0083247A"/>
    <w:rsid w:val="00832DA5"/>
    <w:rsid w:val="008331E9"/>
    <w:rsid w:val="008332FE"/>
    <w:rsid w:val="00833474"/>
    <w:rsid w:val="00833663"/>
    <w:rsid w:val="008336D4"/>
    <w:rsid w:val="00833794"/>
    <w:rsid w:val="008337A8"/>
    <w:rsid w:val="00833A5E"/>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1EA"/>
    <w:rsid w:val="00835361"/>
    <w:rsid w:val="00835635"/>
    <w:rsid w:val="0083572D"/>
    <w:rsid w:val="00835773"/>
    <w:rsid w:val="00835B17"/>
    <w:rsid w:val="00835CCC"/>
    <w:rsid w:val="00835F18"/>
    <w:rsid w:val="00835FCE"/>
    <w:rsid w:val="0083602B"/>
    <w:rsid w:val="00836126"/>
    <w:rsid w:val="00836316"/>
    <w:rsid w:val="00836715"/>
    <w:rsid w:val="00836A63"/>
    <w:rsid w:val="00836E03"/>
    <w:rsid w:val="00836EFF"/>
    <w:rsid w:val="00836F2C"/>
    <w:rsid w:val="00837343"/>
    <w:rsid w:val="00837848"/>
    <w:rsid w:val="00837874"/>
    <w:rsid w:val="008379C8"/>
    <w:rsid w:val="00837D08"/>
    <w:rsid w:val="00840220"/>
    <w:rsid w:val="00840853"/>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499"/>
    <w:rsid w:val="00842BB3"/>
    <w:rsid w:val="00842F90"/>
    <w:rsid w:val="0084310E"/>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5DCF"/>
    <w:rsid w:val="00845E45"/>
    <w:rsid w:val="00845F26"/>
    <w:rsid w:val="00846069"/>
    <w:rsid w:val="008460AE"/>
    <w:rsid w:val="00846287"/>
    <w:rsid w:val="008462C7"/>
    <w:rsid w:val="0084644F"/>
    <w:rsid w:val="008464D2"/>
    <w:rsid w:val="008465E6"/>
    <w:rsid w:val="00846905"/>
    <w:rsid w:val="00846A7E"/>
    <w:rsid w:val="008471CA"/>
    <w:rsid w:val="00847379"/>
    <w:rsid w:val="008473AB"/>
    <w:rsid w:val="008474E7"/>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4"/>
    <w:rsid w:val="00850DEB"/>
    <w:rsid w:val="00850F81"/>
    <w:rsid w:val="008511B7"/>
    <w:rsid w:val="008512A6"/>
    <w:rsid w:val="0085135A"/>
    <w:rsid w:val="008513C5"/>
    <w:rsid w:val="008513EA"/>
    <w:rsid w:val="008514DE"/>
    <w:rsid w:val="008514F5"/>
    <w:rsid w:val="008517C9"/>
    <w:rsid w:val="008517EE"/>
    <w:rsid w:val="00851A99"/>
    <w:rsid w:val="00851B1C"/>
    <w:rsid w:val="00851B27"/>
    <w:rsid w:val="00851C82"/>
    <w:rsid w:val="00851ED1"/>
    <w:rsid w:val="00851F07"/>
    <w:rsid w:val="00851F36"/>
    <w:rsid w:val="00852052"/>
    <w:rsid w:val="00852113"/>
    <w:rsid w:val="00852141"/>
    <w:rsid w:val="0085279C"/>
    <w:rsid w:val="008527E9"/>
    <w:rsid w:val="0085294E"/>
    <w:rsid w:val="00852A01"/>
    <w:rsid w:val="00852BFE"/>
    <w:rsid w:val="00852F8B"/>
    <w:rsid w:val="00853100"/>
    <w:rsid w:val="0085396A"/>
    <w:rsid w:val="00853A2E"/>
    <w:rsid w:val="00853C0E"/>
    <w:rsid w:val="00853D05"/>
    <w:rsid w:val="00853D12"/>
    <w:rsid w:val="00853F0F"/>
    <w:rsid w:val="00853F97"/>
    <w:rsid w:val="008540EB"/>
    <w:rsid w:val="00854208"/>
    <w:rsid w:val="0085431B"/>
    <w:rsid w:val="0085444A"/>
    <w:rsid w:val="008544B5"/>
    <w:rsid w:val="00854566"/>
    <w:rsid w:val="00854AC2"/>
    <w:rsid w:val="00854BC0"/>
    <w:rsid w:val="00854C05"/>
    <w:rsid w:val="00854C35"/>
    <w:rsid w:val="00855655"/>
    <w:rsid w:val="008558EF"/>
    <w:rsid w:val="008559FD"/>
    <w:rsid w:val="00855C66"/>
    <w:rsid w:val="00855D46"/>
    <w:rsid w:val="008560CE"/>
    <w:rsid w:val="008561F9"/>
    <w:rsid w:val="00856992"/>
    <w:rsid w:val="00856A09"/>
    <w:rsid w:val="00856A32"/>
    <w:rsid w:val="00856AA3"/>
    <w:rsid w:val="00856BCE"/>
    <w:rsid w:val="00856C81"/>
    <w:rsid w:val="00856DC3"/>
    <w:rsid w:val="008578AE"/>
    <w:rsid w:val="00857DEE"/>
    <w:rsid w:val="00857DF4"/>
    <w:rsid w:val="0086011C"/>
    <w:rsid w:val="00860503"/>
    <w:rsid w:val="008607F2"/>
    <w:rsid w:val="00860AD4"/>
    <w:rsid w:val="00860C63"/>
    <w:rsid w:val="00860DB7"/>
    <w:rsid w:val="00860DD6"/>
    <w:rsid w:val="00860F8F"/>
    <w:rsid w:val="00860F9B"/>
    <w:rsid w:val="008611D8"/>
    <w:rsid w:val="00861272"/>
    <w:rsid w:val="0086131E"/>
    <w:rsid w:val="00861477"/>
    <w:rsid w:val="008614CA"/>
    <w:rsid w:val="00861514"/>
    <w:rsid w:val="0086179E"/>
    <w:rsid w:val="00861C54"/>
    <w:rsid w:val="00862085"/>
    <w:rsid w:val="00862226"/>
    <w:rsid w:val="0086245F"/>
    <w:rsid w:val="00862902"/>
    <w:rsid w:val="00862C4F"/>
    <w:rsid w:val="00862CD3"/>
    <w:rsid w:val="00862DAC"/>
    <w:rsid w:val="0086331F"/>
    <w:rsid w:val="00863378"/>
    <w:rsid w:val="008637E9"/>
    <w:rsid w:val="00863958"/>
    <w:rsid w:val="00863D7C"/>
    <w:rsid w:val="00863DF7"/>
    <w:rsid w:val="00863E90"/>
    <w:rsid w:val="00863EF6"/>
    <w:rsid w:val="0086409B"/>
    <w:rsid w:val="00864660"/>
    <w:rsid w:val="00864B33"/>
    <w:rsid w:val="00864B88"/>
    <w:rsid w:val="00864C3B"/>
    <w:rsid w:val="0086511E"/>
    <w:rsid w:val="0086530E"/>
    <w:rsid w:val="008654CA"/>
    <w:rsid w:val="00865506"/>
    <w:rsid w:val="0086566F"/>
    <w:rsid w:val="008656F8"/>
    <w:rsid w:val="008658AA"/>
    <w:rsid w:val="00865C52"/>
    <w:rsid w:val="00865D6C"/>
    <w:rsid w:val="00865DC7"/>
    <w:rsid w:val="00865FE9"/>
    <w:rsid w:val="00866040"/>
    <w:rsid w:val="00866341"/>
    <w:rsid w:val="0086637F"/>
    <w:rsid w:val="00866B3B"/>
    <w:rsid w:val="00866B94"/>
    <w:rsid w:val="00866EB5"/>
    <w:rsid w:val="00866EEF"/>
    <w:rsid w:val="00867014"/>
    <w:rsid w:val="008671C1"/>
    <w:rsid w:val="00867256"/>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0D89"/>
    <w:rsid w:val="00871095"/>
    <w:rsid w:val="008714E6"/>
    <w:rsid w:val="0087151E"/>
    <w:rsid w:val="00871A9E"/>
    <w:rsid w:val="00871AF3"/>
    <w:rsid w:val="00871B95"/>
    <w:rsid w:val="00871D7B"/>
    <w:rsid w:val="00872076"/>
    <w:rsid w:val="00872461"/>
    <w:rsid w:val="008724E3"/>
    <w:rsid w:val="00872587"/>
    <w:rsid w:val="0087271B"/>
    <w:rsid w:val="00872DB3"/>
    <w:rsid w:val="00873001"/>
    <w:rsid w:val="00873068"/>
    <w:rsid w:val="0087326F"/>
    <w:rsid w:val="00873530"/>
    <w:rsid w:val="00873597"/>
    <w:rsid w:val="008735DD"/>
    <w:rsid w:val="008737CC"/>
    <w:rsid w:val="00873986"/>
    <w:rsid w:val="00873CDB"/>
    <w:rsid w:val="00873E43"/>
    <w:rsid w:val="00874609"/>
    <w:rsid w:val="0087460B"/>
    <w:rsid w:val="0087490F"/>
    <w:rsid w:val="00874991"/>
    <w:rsid w:val="008749A2"/>
    <w:rsid w:val="00874AD4"/>
    <w:rsid w:val="00874B51"/>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6F1A"/>
    <w:rsid w:val="008774C0"/>
    <w:rsid w:val="00877BD5"/>
    <w:rsid w:val="00877DE5"/>
    <w:rsid w:val="00877F09"/>
    <w:rsid w:val="0088010C"/>
    <w:rsid w:val="008802CA"/>
    <w:rsid w:val="00880355"/>
    <w:rsid w:val="0088051A"/>
    <w:rsid w:val="00880834"/>
    <w:rsid w:val="008808E5"/>
    <w:rsid w:val="00880CBB"/>
    <w:rsid w:val="00880FD7"/>
    <w:rsid w:val="0088127C"/>
    <w:rsid w:val="0088159C"/>
    <w:rsid w:val="0088163A"/>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3F8B"/>
    <w:rsid w:val="00884163"/>
    <w:rsid w:val="008842DF"/>
    <w:rsid w:val="00884465"/>
    <w:rsid w:val="0088477C"/>
    <w:rsid w:val="0088484D"/>
    <w:rsid w:val="00884CE8"/>
    <w:rsid w:val="00884EF2"/>
    <w:rsid w:val="008852AB"/>
    <w:rsid w:val="0088545A"/>
    <w:rsid w:val="00885671"/>
    <w:rsid w:val="00885D54"/>
    <w:rsid w:val="00885E17"/>
    <w:rsid w:val="00885E2E"/>
    <w:rsid w:val="008862A8"/>
    <w:rsid w:val="008863A6"/>
    <w:rsid w:val="008865E3"/>
    <w:rsid w:val="008865F9"/>
    <w:rsid w:val="008866E0"/>
    <w:rsid w:val="008869D5"/>
    <w:rsid w:val="00886BE5"/>
    <w:rsid w:val="00886F5E"/>
    <w:rsid w:val="008872C2"/>
    <w:rsid w:val="008872C6"/>
    <w:rsid w:val="00887CAB"/>
    <w:rsid w:val="0089021A"/>
    <w:rsid w:val="008902C1"/>
    <w:rsid w:val="00890481"/>
    <w:rsid w:val="00890B56"/>
    <w:rsid w:val="00890ED1"/>
    <w:rsid w:val="00891182"/>
    <w:rsid w:val="008911CD"/>
    <w:rsid w:val="00891206"/>
    <w:rsid w:val="00891E41"/>
    <w:rsid w:val="00892250"/>
    <w:rsid w:val="008922AC"/>
    <w:rsid w:val="008922E2"/>
    <w:rsid w:val="0089248B"/>
    <w:rsid w:val="00892A3C"/>
    <w:rsid w:val="00892BFA"/>
    <w:rsid w:val="00892EE0"/>
    <w:rsid w:val="00892F56"/>
    <w:rsid w:val="00892FA2"/>
    <w:rsid w:val="00893069"/>
    <w:rsid w:val="00893121"/>
    <w:rsid w:val="00893142"/>
    <w:rsid w:val="00893473"/>
    <w:rsid w:val="00893656"/>
    <w:rsid w:val="0089365A"/>
    <w:rsid w:val="0089396D"/>
    <w:rsid w:val="008939CF"/>
    <w:rsid w:val="00893B73"/>
    <w:rsid w:val="00893CEE"/>
    <w:rsid w:val="00893D96"/>
    <w:rsid w:val="0089400A"/>
    <w:rsid w:val="00894067"/>
    <w:rsid w:val="00894301"/>
    <w:rsid w:val="008944F0"/>
    <w:rsid w:val="00894524"/>
    <w:rsid w:val="00894772"/>
    <w:rsid w:val="008949E8"/>
    <w:rsid w:val="00894BCE"/>
    <w:rsid w:val="00894BFF"/>
    <w:rsid w:val="00894C3C"/>
    <w:rsid w:val="0089516D"/>
    <w:rsid w:val="00895193"/>
    <w:rsid w:val="008952F1"/>
    <w:rsid w:val="00895545"/>
    <w:rsid w:val="00895B26"/>
    <w:rsid w:val="00895D58"/>
    <w:rsid w:val="00895E0F"/>
    <w:rsid w:val="00895F87"/>
    <w:rsid w:val="008961A7"/>
    <w:rsid w:val="008962CD"/>
    <w:rsid w:val="008963A5"/>
    <w:rsid w:val="00896431"/>
    <w:rsid w:val="00896575"/>
    <w:rsid w:val="00896612"/>
    <w:rsid w:val="00896747"/>
    <w:rsid w:val="008968D9"/>
    <w:rsid w:val="0089690E"/>
    <w:rsid w:val="00896A26"/>
    <w:rsid w:val="00896BC5"/>
    <w:rsid w:val="00896ED7"/>
    <w:rsid w:val="008971E7"/>
    <w:rsid w:val="008977EB"/>
    <w:rsid w:val="0089797E"/>
    <w:rsid w:val="00897A0E"/>
    <w:rsid w:val="00897ED1"/>
    <w:rsid w:val="00897F20"/>
    <w:rsid w:val="008A0453"/>
    <w:rsid w:val="008A061D"/>
    <w:rsid w:val="008A07CE"/>
    <w:rsid w:val="008A07F0"/>
    <w:rsid w:val="008A0C6F"/>
    <w:rsid w:val="008A1609"/>
    <w:rsid w:val="008A1B4C"/>
    <w:rsid w:val="008A1BAA"/>
    <w:rsid w:val="008A1BC1"/>
    <w:rsid w:val="008A1E72"/>
    <w:rsid w:val="008A2347"/>
    <w:rsid w:val="008A2413"/>
    <w:rsid w:val="008A25A6"/>
    <w:rsid w:val="008A2904"/>
    <w:rsid w:val="008A291F"/>
    <w:rsid w:val="008A2A1B"/>
    <w:rsid w:val="008A2D72"/>
    <w:rsid w:val="008A2E0C"/>
    <w:rsid w:val="008A2E11"/>
    <w:rsid w:val="008A34E0"/>
    <w:rsid w:val="008A368E"/>
    <w:rsid w:val="008A36F0"/>
    <w:rsid w:val="008A37E5"/>
    <w:rsid w:val="008A3CB6"/>
    <w:rsid w:val="008A401D"/>
    <w:rsid w:val="008A4256"/>
    <w:rsid w:val="008A451C"/>
    <w:rsid w:val="008A47DC"/>
    <w:rsid w:val="008A4824"/>
    <w:rsid w:val="008A49B1"/>
    <w:rsid w:val="008A4D1D"/>
    <w:rsid w:val="008A4E12"/>
    <w:rsid w:val="008A4EE1"/>
    <w:rsid w:val="008A4F1E"/>
    <w:rsid w:val="008A4F8E"/>
    <w:rsid w:val="008A529E"/>
    <w:rsid w:val="008A53F8"/>
    <w:rsid w:val="008A56DC"/>
    <w:rsid w:val="008A5771"/>
    <w:rsid w:val="008A57FB"/>
    <w:rsid w:val="008A5E33"/>
    <w:rsid w:val="008A5ED4"/>
    <w:rsid w:val="008A63B0"/>
    <w:rsid w:val="008A65AB"/>
    <w:rsid w:val="008A6623"/>
    <w:rsid w:val="008A663D"/>
    <w:rsid w:val="008A680F"/>
    <w:rsid w:val="008A6A40"/>
    <w:rsid w:val="008A6A49"/>
    <w:rsid w:val="008A728F"/>
    <w:rsid w:val="008A73C1"/>
    <w:rsid w:val="008A74D2"/>
    <w:rsid w:val="008A7516"/>
    <w:rsid w:val="008A76A5"/>
    <w:rsid w:val="008AAC26"/>
    <w:rsid w:val="008B007B"/>
    <w:rsid w:val="008B03E5"/>
    <w:rsid w:val="008B052D"/>
    <w:rsid w:val="008B058B"/>
    <w:rsid w:val="008B0B57"/>
    <w:rsid w:val="008B0CB1"/>
    <w:rsid w:val="008B1089"/>
    <w:rsid w:val="008B1146"/>
    <w:rsid w:val="008B114F"/>
    <w:rsid w:val="008B1150"/>
    <w:rsid w:val="008B1161"/>
    <w:rsid w:val="008B11A4"/>
    <w:rsid w:val="008B1293"/>
    <w:rsid w:val="008B13DE"/>
    <w:rsid w:val="008B1813"/>
    <w:rsid w:val="008B1870"/>
    <w:rsid w:val="008B21B6"/>
    <w:rsid w:val="008B2236"/>
    <w:rsid w:val="008B226B"/>
    <w:rsid w:val="008B22DB"/>
    <w:rsid w:val="008B2515"/>
    <w:rsid w:val="008B297A"/>
    <w:rsid w:val="008B2FAB"/>
    <w:rsid w:val="008B316D"/>
    <w:rsid w:val="008B31D5"/>
    <w:rsid w:val="008B3498"/>
    <w:rsid w:val="008B3A18"/>
    <w:rsid w:val="008B3A4A"/>
    <w:rsid w:val="008B3D66"/>
    <w:rsid w:val="008B3EDB"/>
    <w:rsid w:val="008B411F"/>
    <w:rsid w:val="008B4175"/>
    <w:rsid w:val="008B4397"/>
    <w:rsid w:val="008B444E"/>
    <w:rsid w:val="008B44D0"/>
    <w:rsid w:val="008B452F"/>
    <w:rsid w:val="008B4626"/>
    <w:rsid w:val="008B47CA"/>
    <w:rsid w:val="008B48B7"/>
    <w:rsid w:val="008B4976"/>
    <w:rsid w:val="008B4A41"/>
    <w:rsid w:val="008B4FC7"/>
    <w:rsid w:val="008B5102"/>
    <w:rsid w:val="008B52FD"/>
    <w:rsid w:val="008B53AF"/>
    <w:rsid w:val="008B548D"/>
    <w:rsid w:val="008B554A"/>
    <w:rsid w:val="008B58E7"/>
    <w:rsid w:val="008B5AD7"/>
    <w:rsid w:val="008B5E20"/>
    <w:rsid w:val="008B615E"/>
    <w:rsid w:val="008B63D6"/>
    <w:rsid w:val="008B67BC"/>
    <w:rsid w:val="008B6DBC"/>
    <w:rsid w:val="008B6E48"/>
    <w:rsid w:val="008B6FC0"/>
    <w:rsid w:val="008B7102"/>
    <w:rsid w:val="008B7149"/>
    <w:rsid w:val="008B71D6"/>
    <w:rsid w:val="008B723D"/>
    <w:rsid w:val="008B73D7"/>
    <w:rsid w:val="008B76EE"/>
    <w:rsid w:val="008B7721"/>
    <w:rsid w:val="008B77E9"/>
    <w:rsid w:val="008B781A"/>
    <w:rsid w:val="008B7906"/>
    <w:rsid w:val="008B7A55"/>
    <w:rsid w:val="008B7CB2"/>
    <w:rsid w:val="008C0597"/>
    <w:rsid w:val="008C081E"/>
    <w:rsid w:val="008C0A48"/>
    <w:rsid w:val="008C0BCD"/>
    <w:rsid w:val="008C0E6B"/>
    <w:rsid w:val="008C1AB6"/>
    <w:rsid w:val="008C1B54"/>
    <w:rsid w:val="008C23C8"/>
    <w:rsid w:val="008C23C9"/>
    <w:rsid w:val="008C24CB"/>
    <w:rsid w:val="008C274C"/>
    <w:rsid w:val="008C2C78"/>
    <w:rsid w:val="008C2D4C"/>
    <w:rsid w:val="008C2E28"/>
    <w:rsid w:val="008C2FA7"/>
    <w:rsid w:val="008C2FA9"/>
    <w:rsid w:val="008C30E7"/>
    <w:rsid w:val="008C310E"/>
    <w:rsid w:val="008C32A9"/>
    <w:rsid w:val="008C33E6"/>
    <w:rsid w:val="008C3401"/>
    <w:rsid w:val="008C34FE"/>
    <w:rsid w:val="008C363C"/>
    <w:rsid w:val="008C37B0"/>
    <w:rsid w:val="008C37DA"/>
    <w:rsid w:val="008C38DA"/>
    <w:rsid w:val="008C3959"/>
    <w:rsid w:val="008C3A88"/>
    <w:rsid w:val="008C3B2E"/>
    <w:rsid w:val="008C4352"/>
    <w:rsid w:val="008C4456"/>
    <w:rsid w:val="008C471F"/>
    <w:rsid w:val="008C47FA"/>
    <w:rsid w:val="008C497B"/>
    <w:rsid w:val="008C4C86"/>
    <w:rsid w:val="008C4CC1"/>
    <w:rsid w:val="008C4DF2"/>
    <w:rsid w:val="008C4F20"/>
    <w:rsid w:val="008C5008"/>
    <w:rsid w:val="008C525B"/>
    <w:rsid w:val="008C5371"/>
    <w:rsid w:val="008C5B5B"/>
    <w:rsid w:val="008C5E64"/>
    <w:rsid w:val="008C5EFC"/>
    <w:rsid w:val="008C65CC"/>
    <w:rsid w:val="008C6796"/>
    <w:rsid w:val="008C6985"/>
    <w:rsid w:val="008C6D97"/>
    <w:rsid w:val="008C6FA4"/>
    <w:rsid w:val="008C7015"/>
    <w:rsid w:val="008C7160"/>
    <w:rsid w:val="008C73AC"/>
    <w:rsid w:val="008C7674"/>
    <w:rsid w:val="008C770D"/>
    <w:rsid w:val="008C781A"/>
    <w:rsid w:val="008C7953"/>
    <w:rsid w:val="008C79B9"/>
    <w:rsid w:val="008C7B2E"/>
    <w:rsid w:val="008C7C58"/>
    <w:rsid w:val="008C7C7C"/>
    <w:rsid w:val="008C7D54"/>
    <w:rsid w:val="008D004C"/>
    <w:rsid w:val="008D052F"/>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23C"/>
    <w:rsid w:val="008D2521"/>
    <w:rsid w:val="008D2C41"/>
    <w:rsid w:val="008D3301"/>
    <w:rsid w:val="008D3347"/>
    <w:rsid w:val="008D394B"/>
    <w:rsid w:val="008D3AC8"/>
    <w:rsid w:val="008D3F53"/>
    <w:rsid w:val="008D42E6"/>
    <w:rsid w:val="008D480E"/>
    <w:rsid w:val="008D4E81"/>
    <w:rsid w:val="008D4F44"/>
    <w:rsid w:val="008D4FCB"/>
    <w:rsid w:val="008D5053"/>
    <w:rsid w:val="008D51EC"/>
    <w:rsid w:val="008D5326"/>
    <w:rsid w:val="008D53DC"/>
    <w:rsid w:val="008D5517"/>
    <w:rsid w:val="008D5530"/>
    <w:rsid w:val="008D5705"/>
    <w:rsid w:val="008D582A"/>
    <w:rsid w:val="008D5960"/>
    <w:rsid w:val="008D5A82"/>
    <w:rsid w:val="008D5C2B"/>
    <w:rsid w:val="008D6132"/>
    <w:rsid w:val="008D6163"/>
    <w:rsid w:val="008D64F3"/>
    <w:rsid w:val="008D6627"/>
    <w:rsid w:val="008D684F"/>
    <w:rsid w:val="008D6B42"/>
    <w:rsid w:val="008D6B6B"/>
    <w:rsid w:val="008D6CA4"/>
    <w:rsid w:val="008D6CCB"/>
    <w:rsid w:val="008D6CCD"/>
    <w:rsid w:val="008D6EF6"/>
    <w:rsid w:val="008D71C6"/>
    <w:rsid w:val="008D754B"/>
    <w:rsid w:val="008D7579"/>
    <w:rsid w:val="008D7731"/>
    <w:rsid w:val="008D77CB"/>
    <w:rsid w:val="008D7B61"/>
    <w:rsid w:val="008D7FB4"/>
    <w:rsid w:val="008E05F9"/>
    <w:rsid w:val="008E0629"/>
    <w:rsid w:val="008E06C1"/>
    <w:rsid w:val="008E089A"/>
    <w:rsid w:val="008E08AC"/>
    <w:rsid w:val="008E0967"/>
    <w:rsid w:val="008E0AE2"/>
    <w:rsid w:val="008E0EB3"/>
    <w:rsid w:val="008E0F86"/>
    <w:rsid w:val="008E116D"/>
    <w:rsid w:val="008E14A9"/>
    <w:rsid w:val="008E1615"/>
    <w:rsid w:val="008E171E"/>
    <w:rsid w:val="008E1816"/>
    <w:rsid w:val="008E1A26"/>
    <w:rsid w:val="008E1C61"/>
    <w:rsid w:val="008E1CA0"/>
    <w:rsid w:val="008E29F7"/>
    <w:rsid w:val="008E2A23"/>
    <w:rsid w:val="008E2ABF"/>
    <w:rsid w:val="008E2C87"/>
    <w:rsid w:val="008E2E72"/>
    <w:rsid w:val="008E37BC"/>
    <w:rsid w:val="008E3A35"/>
    <w:rsid w:val="008E3A51"/>
    <w:rsid w:val="008E3D95"/>
    <w:rsid w:val="008E3EDB"/>
    <w:rsid w:val="008E3FEB"/>
    <w:rsid w:val="008E4256"/>
    <w:rsid w:val="008E4436"/>
    <w:rsid w:val="008E45AD"/>
    <w:rsid w:val="008E460F"/>
    <w:rsid w:val="008E48AD"/>
    <w:rsid w:val="008E48E8"/>
    <w:rsid w:val="008E4B6C"/>
    <w:rsid w:val="008E4CF1"/>
    <w:rsid w:val="008E4ED2"/>
    <w:rsid w:val="008E4F0C"/>
    <w:rsid w:val="008E4F6A"/>
    <w:rsid w:val="008E503F"/>
    <w:rsid w:val="008E5040"/>
    <w:rsid w:val="008E5070"/>
    <w:rsid w:val="008E53A2"/>
    <w:rsid w:val="008E5434"/>
    <w:rsid w:val="008E5857"/>
    <w:rsid w:val="008E5B2F"/>
    <w:rsid w:val="008E5E6B"/>
    <w:rsid w:val="008E5F69"/>
    <w:rsid w:val="008E62A2"/>
    <w:rsid w:val="008E6841"/>
    <w:rsid w:val="008E694A"/>
    <w:rsid w:val="008E6BB6"/>
    <w:rsid w:val="008E6BBA"/>
    <w:rsid w:val="008E6E8C"/>
    <w:rsid w:val="008E6F38"/>
    <w:rsid w:val="008E7006"/>
    <w:rsid w:val="008E706E"/>
    <w:rsid w:val="008E7163"/>
    <w:rsid w:val="008E72F9"/>
    <w:rsid w:val="008E7362"/>
    <w:rsid w:val="008E75DC"/>
    <w:rsid w:val="008E76FC"/>
    <w:rsid w:val="008E7AEA"/>
    <w:rsid w:val="008E7B49"/>
    <w:rsid w:val="008E7B51"/>
    <w:rsid w:val="008E7CC6"/>
    <w:rsid w:val="008E7D48"/>
    <w:rsid w:val="008F0202"/>
    <w:rsid w:val="008F03B6"/>
    <w:rsid w:val="008F054C"/>
    <w:rsid w:val="008F0CE6"/>
    <w:rsid w:val="008F0D78"/>
    <w:rsid w:val="008F0FAA"/>
    <w:rsid w:val="008F1003"/>
    <w:rsid w:val="008F122E"/>
    <w:rsid w:val="008F1286"/>
    <w:rsid w:val="008F1311"/>
    <w:rsid w:val="008F1540"/>
    <w:rsid w:val="008F1584"/>
    <w:rsid w:val="008F1693"/>
    <w:rsid w:val="008F179B"/>
    <w:rsid w:val="008F18EC"/>
    <w:rsid w:val="008F1A55"/>
    <w:rsid w:val="008F1AF6"/>
    <w:rsid w:val="008F1F72"/>
    <w:rsid w:val="008F2010"/>
    <w:rsid w:val="008F2089"/>
    <w:rsid w:val="008F27AA"/>
    <w:rsid w:val="008F286D"/>
    <w:rsid w:val="008F2ACF"/>
    <w:rsid w:val="008F2BF5"/>
    <w:rsid w:val="008F2D5A"/>
    <w:rsid w:val="008F2E11"/>
    <w:rsid w:val="008F2E39"/>
    <w:rsid w:val="008F2EDB"/>
    <w:rsid w:val="008F313B"/>
    <w:rsid w:val="008F3270"/>
    <w:rsid w:val="008F3286"/>
    <w:rsid w:val="008F32EF"/>
    <w:rsid w:val="008F337D"/>
    <w:rsid w:val="008F3411"/>
    <w:rsid w:val="008F3484"/>
    <w:rsid w:val="008F348C"/>
    <w:rsid w:val="008F389C"/>
    <w:rsid w:val="008F3E59"/>
    <w:rsid w:val="008F3F63"/>
    <w:rsid w:val="008F4055"/>
    <w:rsid w:val="008F45B6"/>
    <w:rsid w:val="008F45F2"/>
    <w:rsid w:val="008F4677"/>
    <w:rsid w:val="008F46DA"/>
    <w:rsid w:val="008F4920"/>
    <w:rsid w:val="008F4C85"/>
    <w:rsid w:val="008F4E07"/>
    <w:rsid w:val="008F4F30"/>
    <w:rsid w:val="008F4F8E"/>
    <w:rsid w:val="008F55E8"/>
    <w:rsid w:val="008F56EA"/>
    <w:rsid w:val="008F596E"/>
    <w:rsid w:val="008F5F8F"/>
    <w:rsid w:val="008F68DC"/>
    <w:rsid w:val="008F6AFF"/>
    <w:rsid w:val="008F6D6F"/>
    <w:rsid w:val="008F7036"/>
    <w:rsid w:val="008F71E8"/>
    <w:rsid w:val="008F725B"/>
    <w:rsid w:val="008F726F"/>
    <w:rsid w:val="008F72B8"/>
    <w:rsid w:val="008F7C31"/>
    <w:rsid w:val="008F7CB3"/>
    <w:rsid w:val="008F7EA1"/>
    <w:rsid w:val="00900429"/>
    <w:rsid w:val="0090044B"/>
    <w:rsid w:val="00900485"/>
    <w:rsid w:val="009005A2"/>
    <w:rsid w:val="009007B4"/>
    <w:rsid w:val="00900C94"/>
    <w:rsid w:val="00900EF3"/>
    <w:rsid w:val="009010AA"/>
    <w:rsid w:val="009011E8"/>
    <w:rsid w:val="009014A7"/>
    <w:rsid w:val="0090153F"/>
    <w:rsid w:val="00901C30"/>
    <w:rsid w:val="00901D93"/>
    <w:rsid w:val="00901E06"/>
    <w:rsid w:val="00901EF1"/>
    <w:rsid w:val="009020C2"/>
    <w:rsid w:val="0090280E"/>
    <w:rsid w:val="0090287A"/>
    <w:rsid w:val="00902E36"/>
    <w:rsid w:val="00902E73"/>
    <w:rsid w:val="00902F19"/>
    <w:rsid w:val="00902FFC"/>
    <w:rsid w:val="009030C4"/>
    <w:rsid w:val="00903532"/>
    <w:rsid w:val="00903648"/>
    <w:rsid w:val="00903906"/>
    <w:rsid w:val="00903914"/>
    <w:rsid w:val="00903B72"/>
    <w:rsid w:val="00903BF8"/>
    <w:rsid w:val="009040B5"/>
    <w:rsid w:val="0090460F"/>
    <w:rsid w:val="009046B5"/>
    <w:rsid w:val="00905201"/>
    <w:rsid w:val="00905396"/>
    <w:rsid w:val="009054A3"/>
    <w:rsid w:val="00905775"/>
    <w:rsid w:val="009057B8"/>
    <w:rsid w:val="00905939"/>
    <w:rsid w:val="0090594B"/>
    <w:rsid w:val="009059C1"/>
    <w:rsid w:val="009059D5"/>
    <w:rsid w:val="00905A22"/>
    <w:rsid w:val="00905DB4"/>
    <w:rsid w:val="00906310"/>
    <w:rsid w:val="009064A7"/>
    <w:rsid w:val="00906817"/>
    <w:rsid w:val="009069DA"/>
    <w:rsid w:val="00906C6F"/>
    <w:rsid w:val="009070A1"/>
    <w:rsid w:val="00907123"/>
    <w:rsid w:val="00907197"/>
    <w:rsid w:val="009073ED"/>
    <w:rsid w:val="0090750F"/>
    <w:rsid w:val="00907604"/>
    <w:rsid w:val="00907AC2"/>
    <w:rsid w:val="00907B27"/>
    <w:rsid w:val="00907BBE"/>
    <w:rsid w:val="00907E9A"/>
    <w:rsid w:val="00907F5A"/>
    <w:rsid w:val="00910071"/>
    <w:rsid w:val="00910259"/>
    <w:rsid w:val="00910422"/>
    <w:rsid w:val="00910455"/>
    <w:rsid w:val="009107F5"/>
    <w:rsid w:val="00910832"/>
    <w:rsid w:val="00910A32"/>
    <w:rsid w:val="00910CED"/>
    <w:rsid w:val="00910EE8"/>
    <w:rsid w:val="00910F83"/>
    <w:rsid w:val="00911278"/>
    <w:rsid w:val="009115BB"/>
    <w:rsid w:val="00911639"/>
    <w:rsid w:val="009117C6"/>
    <w:rsid w:val="00911A21"/>
    <w:rsid w:val="00911A9D"/>
    <w:rsid w:val="00911BBF"/>
    <w:rsid w:val="0091259A"/>
    <w:rsid w:val="00912698"/>
    <w:rsid w:val="00912A00"/>
    <w:rsid w:val="00912BDE"/>
    <w:rsid w:val="00912EEE"/>
    <w:rsid w:val="00912F51"/>
    <w:rsid w:val="009131EC"/>
    <w:rsid w:val="0091324D"/>
    <w:rsid w:val="00913445"/>
    <w:rsid w:val="009136B4"/>
    <w:rsid w:val="009136CA"/>
    <w:rsid w:val="00913DCF"/>
    <w:rsid w:val="009141B2"/>
    <w:rsid w:val="009142AD"/>
    <w:rsid w:val="0091432D"/>
    <w:rsid w:val="0091439C"/>
    <w:rsid w:val="009147E6"/>
    <w:rsid w:val="00914BD1"/>
    <w:rsid w:val="00914CD0"/>
    <w:rsid w:val="00914DC0"/>
    <w:rsid w:val="00914F65"/>
    <w:rsid w:val="0091510F"/>
    <w:rsid w:val="0091541B"/>
    <w:rsid w:val="009154B0"/>
    <w:rsid w:val="009157B2"/>
    <w:rsid w:val="00915A63"/>
    <w:rsid w:val="00915EEB"/>
    <w:rsid w:val="00915EF3"/>
    <w:rsid w:val="00915FC6"/>
    <w:rsid w:val="009168D4"/>
    <w:rsid w:val="0091699D"/>
    <w:rsid w:val="00916CF7"/>
    <w:rsid w:val="00916EB2"/>
    <w:rsid w:val="00916FB9"/>
    <w:rsid w:val="00917175"/>
    <w:rsid w:val="0091762D"/>
    <w:rsid w:val="009177D8"/>
    <w:rsid w:val="00917A4F"/>
    <w:rsid w:val="00917B90"/>
    <w:rsid w:val="0092005C"/>
    <w:rsid w:val="009201DB"/>
    <w:rsid w:val="00920209"/>
    <w:rsid w:val="0092033B"/>
    <w:rsid w:val="009204C4"/>
    <w:rsid w:val="00920561"/>
    <w:rsid w:val="009205C1"/>
    <w:rsid w:val="0092067F"/>
    <w:rsid w:val="009207FA"/>
    <w:rsid w:val="00920876"/>
    <w:rsid w:val="009208FC"/>
    <w:rsid w:val="00920923"/>
    <w:rsid w:val="00920ADB"/>
    <w:rsid w:val="00920BF1"/>
    <w:rsid w:val="00920C92"/>
    <w:rsid w:val="00920CBF"/>
    <w:rsid w:val="00920D77"/>
    <w:rsid w:val="009210F0"/>
    <w:rsid w:val="009211D1"/>
    <w:rsid w:val="009211E1"/>
    <w:rsid w:val="00921348"/>
    <w:rsid w:val="00921543"/>
    <w:rsid w:val="00921768"/>
    <w:rsid w:val="009217D6"/>
    <w:rsid w:val="009217EE"/>
    <w:rsid w:val="00921846"/>
    <w:rsid w:val="0092184A"/>
    <w:rsid w:val="00921B31"/>
    <w:rsid w:val="00921CAD"/>
    <w:rsid w:val="009223C3"/>
    <w:rsid w:val="00922481"/>
    <w:rsid w:val="009226FB"/>
    <w:rsid w:val="00922ECF"/>
    <w:rsid w:val="00923092"/>
    <w:rsid w:val="009231BC"/>
    <w:rsid w:val="009231DC"/>
    <w:rsid w:val="0092330D"/>
    <w:rsid w:val="009233CD"/>
    <w:rsid w:val="009234A1"/>
    <w:rsid w:val="00923881"/>
    <w:rsid w:val="00923A7F"/>
    <w:rsid w:val="00923B39"/>
    <w:rsid w:val="00923CAC"/>
    <w:rsid w:val="00923D1C"/>
    <w:rsid w:val="00924208"/>
    <w:rsid w:val="009246EF"/>
    <w:rsid w:val="009247CB"/>
    <w:rsid w:val="0092498B"/>
    <w:rsid w:val="009249A3"/>
    <w:rsid w:val="00924B8D"/>
    <w:rsid w:val="00924CC4"/>
    <w:rsid w:val="00924D43"/>
    <w:rsid w:val="00924F9A"/>
    <w:rsid w:val="0092510C"/>
    <w:rsid w:val="009251E1"/>
    <w:rsid w:val="009252F0"/>
    <w:rsid w:val="0092575A"/>
    <w:rsid w:val="009257C4"/>
    <w:rsid w:val="00925890"/>
    <w:rsid w:val="00925946"/>
    <w:rsid w:val="00925AD5"/>
    <w:rsid w:val="00925FBF"/>
    <w:rsid w:val="0092606F"/>
    <w:rsid w:val="009263BA"/>
    <w:rsid w:val="0092657E"/>
    <w:rsid w:val="00926582"/>
    <w:rsid w:val="00926837"/>
    <w:rsid w:val="00926A86"/>
    <w:rsid w:val="00927126"/>
    <w:rsid w:val="009276B5"/>
    <w:rsid w:val="00927913"/>
    <w:rsid w:val="00927987"/>
    <w:rsid w:val="00927B2F"/>
    <w:rsid w:val="00927C30"/>
    <w:rsid w:val="00927C80"/>
    <w:rsid w:val="00927F58"/>
    <w:rsid w:val="00930063"/>
    <w:rsid w:val="009305F1"/>
    <w:rsid w:val="0093065A"/>
    <w:rsid w:val="00930B2A"/>
    <w:rsid w:val="00930D85"/>
    <w:rsid w:val="00930F3E"/>
    <w:rsid w:val="00931144"/>
    <w:rsid w:val="009312FC"/>
    <w:rsid w:val="009315BA"/>
    <w:rsid w:val="0093175F"/>
    <w:rsid w:val="0093179E"/>
    <w:rsid w:val="00931AB8"/>
    <w:rsid w:val="00931BC2"/>
    <w:rsid w:val="00931DB3"/>
    <w:rsid w:val="00931E00"/>
    <w:rsid w:val="00931E9E"/>
    <w:rsid w:val="00932045"/>
    <w:rsid w:val="00932106"/>
    <w:rsid w:val="00932542"/>
    <w:rsid w:val="009326FE"/>
    <w:rsid w:val="00932746"/>
    <w:rsid w:val="00932886"/>
    <w:rsid w:val="009328DF"/>
    <w:rsid w:val="00932CA3"/>
    <w:rsid w:val="00933011"/>
    <w:rsid w:val="0093322F"/>
    <w:rsid w:val="00933350"/>
    <w:rsid w:val="00933379"/>
    <w:rsid w:val="0093360C"/>
    <w:rsid w:val="00933621"/>
    <w:rsid w:val="009337AC"/>
    <w:rsid w:val="00933813"/>
    <w:rsid w:val="00933BCC"/>
    <w:rsid w:val="00933D05"/>
    <w:rsid w:val="00933E0F"/>
    <w:rsid w:val="00934129"/>
    <w:rsid w:val="009342D9"/>
    <w:rsid w:val="009342F2"/>
    <w:rsid w:val="00934309"/>
    <w:rsid w:val="00934709"/>
    <w:rsid w:val="00934800"/>
    <w:rsid w:val="0093481E"/>
    <w:rsid w:val="0093485C"/>
    <w:rsid w:val="00934C2A"/>
    <w:rsid w:val="00934E49"/>
    <w:rsid w:val="00934F9A"/>
    <w:rsid w:val="00935410"/>
    <w:rsid w:val="00935562"/>
    <w:rsid w:val="009355EC"/>
    <w:rsid w:val="009355F5"/>
    <w:rsid w:val="00935636"/>
    <w:rsid w:val="00935B2B"/>
    <w:rsid w:val="00935B74"/>
    <w:rsid w:val="00935F85"/>
    <w:rsid w:val="00936605"/>
    <w:rsid w:val="00936658"/>
    <w:rsid w:val="00936CCE"/>
    <w:rsid w:val="00936CF4"/>
    <w:rsid w:val="00936E80"/>
    <w:rsid w:val="009370A1"/>
    <w:rsid w:val="00937175"/>
    <w:rsid w:val="00937760"/>
    <w:rsid w:val="0093779E"/>
    <w:rsid w:val="009377E4"/>
    <w:rsid w:val="00937BB5"/>
    <w:rsid w:val="00937ECD"/>
    <w:rsid w:val="0094008E"/>
    <w:rsid w:val="00940266"/>
    <w:rsid w:val="00940537"/>
    <w:rsid w:val="009406DE"/>
    <w:rsid w:val="00940A54"/>
    <w:rsid w:val="00940CDC"/>
    <w:rsid w:val="00940EBC"/>
    <w:rsid w:val="00940F49"/>
    <w:rsid w:val="009410E1"/>
    <w:rsid w:val="0094112C"/>
    <w:rsid w:val="009412BE"/>
    <w:rsid w:val="009413F8"/>
    <w:rsid w:val="00941635"/>
    <w:rsid w:val="00941920"/>
    <w:rsid w:val="009419EE"/>
    <w:rsid w:val="00941D68"/>
    <w:rsid w:val="00941FAC"/>
    <w:rsid w:val="0094203F"/>
    <w:rsid w:val="00942270"/>
    <w:rsid w:val="0094266C"/>
    <w:rsid w:val="009427AB"/>
    <w:rsid w:val="00942810"/>
    <w:rsid w:val="0094291E"/>
    <w:rsid w:val="009429B6"/>
    <w:rsid w:val="00942C35"/>
    <w:rsid w:val="009431B7"/>
    <w:rsid w:val="0094321B"/>
    <w:rsid w:val="009437FA"/>
    <w:rsid w:val="00943A3D"/>
    <w:rsid w:val="00943DCF"/>
    <w:rsid w:val="00943DE2"/>
    <w:rsid w:val="00943E9A"/>
    <w:rsid w:val="00943EE1"/>
    <w:rsid w:val="009441E4"/>
    <w:rsid w:val="009441F5"/>
    <w:rsid w:val="009442FA"/>
    <w:rsid w:val="00944375"/>
    <w:rsid w:val="0094447D"/>
    <w:rsid w:val="00944845"/>
    <w:rsid w:val="00944B9C"/>
    <w:rsid w:val="00944E0B"/>
    <w:rsid w:val="00944E96"/>
    <w:rsid w:val="009451C8"/>
    <w:rsid w:val="0094538B"/>
    <w:rsid w:val="0094545C"/>
    <w:rsid w:val="009455B1"/>
    <w:rsid w:val="00945742"/>
    <w:rsid w:val="00945824"/>
    <w:rsid w:val="00945988"/>
    <w:rsid w:val="00945A6B"/>
    <w:rsid w:val="00945C7C"/>
    <w:rsid w:val="00945D77"/>
    <w:rsid w:val="00945F9F"/>
    <w:rsid w:val="00946198"/>
    <w:rsid w:val="0094624D"/>
    <w:rsid w:val="009463BF"/>
    <w:rsid w:val="0094667B"/>
    <w:rsid w:val="00946746"/>
    <w:rsid w:val="00946C09"/>
    <w:rsid w:val="00946EE4"/>
    <w:rsid w:val="009470B0"/>
    <w:rsid w:val="009472E9"/>
    <w:rsid w:val="0094730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39B"/>
    <w:rsid w:val="009525CB"/>
    <w:rsid w:val="009529F3"/>
    <w:rsid w:val="00952A1B"/>
    <w:rsid w:val="00952CAB"/>
    <w:rsid w:val="00952CFE"/>
    <w:rsid w:val="00952E27"/>
    <w:rsid w:val="00952E5F"/>
    <w:rsid w:val="0095313A"/>
    <w:rsid w:val="009532AC"/>
    <w:rsid w:val="00953322"/>
    <w:rsid w:val="009537A7"/>
    <w:rsid w:val="00953881"/>
    <w:rsid w:val="00953A4C"/>
    <w:rsid w:val="00953A7E"/>
    <w:rsid w:val="00953CF4"/>
    <w:rsid w:val="00953F73"/>
    <w:rsid w:val="00953FA1"/>
    <w:rsid w:val="009541AC"/>
    <w:rsid w:val="00954263"/>
    <w:rsid w:val="00954286"/>
    <w:rsid w:val="009542A8"/>
    <w:rsid w:val="00954501"/>
    <w:rsid w:val="00954892"/>
    <w:rsid w:val="0095494D"/>
    <w:rsid w:val="009549F9"/>
    <w:rsid w:val="00954ADB"/>
    <w:rsid w:val="00954BF0"/>
    <w:rsid w:val="009552EA"/>
    <w:rsid w:val="0095582B"/>
    <w:rsid w:val="00955861"/>
    <w:rsid w:val="009559B6"/>
    <w:rsid w:val="00955DDE"/>
    <w:rsid w:val="009561EF"/>
    <w:rsid w:val="00956793"/>
    <w:rsid w:val="00956827"/>
    <w:rsid w:val="009568F4"/>
    <w:rsid w:val="00956C96"/>
    <w:rsid w:val="00956E87"/>
    <w:rsid w:val="00956FD3"/>
    <w:rsid w:val="009571A6"/>
    <w:rsid w:val="009571B7"/>
    <w:rsid w:val="0095738D"/>
    <w:rsid w:val="00957665"/>
    <w:rsid w:val="00957C78"/>
    <w:rsid w:val="00957CEF"/>
    <w:rsid w:val="00957E04"/>
    <w:rsid w:val="0096018A"/>
    <w:rsid w:val="0096034D"/>
    <w:rsid w:val="009603BD"/>
    <w:rsid w:val="00960422"/>
    <w:rsid w:val="00960559"/>
    <w:rsid w:val="009606F6"/>
    <w:rsid w:val="00960972"/>
    <w:rsid w:val="00960A27"/>
    <w:rsid w:val="00960A6A"/>
    <w:rsid w:val="00960C62"/>
    <w:rsid w:val="00960C9C"/>
    <w:rsid w:val="00960FEE"/>
    <w:rsid w:val="009616EC"/>
    <w:rsid w:val="0096174B"/>
    <w:rsid w:val="00961909"/>
    <w:rsid w:val="00961B9A"/>
    <w:rsid w:val="00961D17"/>
    <w:rsid w:val="00961EA3"/>
    <w:rsid w:val="00961F76"/>
    <w:rsid w:val="00961FCD"/>
    <w:rsid w:val="0096203D"/>
    <w:rsid w:val="00962117"/>
    <w:rsid w:val="0096215D"/>
    <w:rsid w:val="009621C5"/>
    <w:rsid w:val="0096221B"/>
    <w:rsid w:val="00962243"/>
    <w:rsid w:val="00962362"/>
    <w:rsid w:val="00962A49"/>
    <w:rsid w:val="00962AF0"/>
    <w:rsid w:val="00962CC0"/>
    <w:rsid w:val="00962DA1"/>
    <w:rsid w:val="00962F80"/>
    <w:rsid w:val="00963025"/>
    <w:rsid w:val="00963187"/>
    <w:rsid w:val="00963420"/>
    <w:rsid w:val="009635A6"/>
    <w:rsid w:val="00963885"/>
    <w:rsid w:val="00963AC8"/>
    <w:rsid w:val="00963EC6"/>
    <w:rsid w:val="0096417C"/>
    <w:rsid w:val="009644FD"/>
    <w:rsid w:val="009645D2"/>
    <w:rsid w:val="00964834"/>
    <w:rsid w:val="00964EA4"/>
    <w:rsid w:val="00964F50"/>
    <w:rsid w:val="009653A7"/>
    <w:rsid w:val="00965421"/>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6A"/>
    <w:rsid w:val="00967EF5"/>
    <w:rsid w:val="00970039"/>
    <w:rsid w:val="00970100"/>
    <w:rsid w:val="009702C1"/>
    <w:rsid w:val="00970389"/>
    <w:rsid w:val="0097041A"/>
    <w:rsid w:val="00970687"/>
    <w:rsid w:val="00970793"/>
    <w:rsid w:val="0097083A"/>
    <w:rsid w:val="00970CD4"/>
    <w:rsid w:val="00970F19"/>
    <w:rsid w:val="0097113C"/>
    <w:rsid w:val="00971146"/>
    <w:rsid w:val="009711A9"/>
    <w:rsid w:val="009711CD"/>
    <w:rsid w:val="00971536"/>
    <w:rsid w:val="0097195B"/>
    <w:rsid w:val="00971E6E"/>
    <w:rsid w:val="00971FDE"/>
    <w:rsid w:val="009720A0"/>
    <w:rsid w:val="00972316"/>
    <w:rsid w:val="0097242F"/>
    <w:rsid w:val="009727B4"/>
    <w:rsid w:val="00972E0C"/>
    <w:rsid w:val="00972F3E"/>
    <w:rsid w:val="00972F5B"/>
    <w:rsid w:val="009732C1"/>
    <w:rsid w:val="009733B4"/>
    <w:rsid w:val="009733D4"/>
    <w:rsid w:val="009734B2"/>
    <w:rsid w:val="00973604"/>
    <w:rsid w:val="00973607"/>
    <w:rsid w:val="009739F4"/>
    <w:rsid w:val="00973BDF"/>
    <w:rsid w:val="00973D97"/>
    <w:rsid w:val="00973FF9"/>
    <w:rsid w:val="009740EE"/>
    <w:rsid w:val="00974552"/>
    <w:rsid w:val="00974559"/>
    <w:rsid w:val="009745C3"/>
    <w:rsid w:val="009745F4"/>
    <w:rsid w:val="00974688"/>
    <w:rsid w:val="00974B6E"/>
    <w:rsid w:val="00974CD8"/>
    <w:rsid w:val="00974CE0"/>
    <w:rsid w:val="00974E5C"/>
    <w:rsid w:val="00975097"/>
    <w:rsid w:val="009752C5"/>
    <w:rsid w:val="009753D0"/>
    <w:rsid w:val="00975444"/>
    <w:rsid w:val="00975594"/>
    <w:rsid w:val="0097578E"/>
    <w:rsid w:val="00975933"/>
    <w:rsid w:val="00975965"/>
    <w:rsid w:val="00975977"/>
    <w:rsid w:val="00975BA7"/>
    <w:rsid w:val="00975D20"/>
    <w:rsid w:val="00975DB5"/>
    <w:rsid w:val="00976045"/>
    <w:rsid w:val="00976088"/>
    <w:rsid w:val="0097626D"/>
    <w:rsid w:val="00976338"/>
    <w:rsid w:val="00976442"/>
    <w:rsid w:val="00976A05"/>
    <w:rsid w:val="00976A8A"/>
    <w:rsid w:val="009772A5"/>
    <w:rsid w:val="00977342"/>
    <w:rsid w:val="00977354"/>
    <w:rsid w:val="00977379"/>
    <w:rsid w:val="00977776"/>
    <w:rsid w:val="009777C2"/>
    <w:rsid w:val="00977866"/>
    <w:rsid w:val="00977C65"/>
    <w:rsid w:val="00977E3C"/>
    <w:rsid w:val="0098003E"/>
    <w:rsid w:val="00980064"/>
    <w:rsid w:val="0098013A"/>
    <w:rsid w:val="00980301"/>
    <w:rsid w:val="009804B5"/>
    <w:rsid w:val="0098050D"/>
    <w:rsid w:val="0098083F"/>
    <w:rsid w:val="00980865"/>
    <w:rsid w:val="00980A67"/>
    <w:rsid w:val="00980B01"/>
    <w:rsid w:val="00980B57"/>
    <w:rsid w:val="00980D08"/>
    <w:rsid w:val="00980E28"/>
    <w:rsid w:val="00980E63"/>
    <w:rsid w:val="009812CB"/>
    <w:rsid w:val="009815EC"/>
    <w:rsid w:val="00981888"/>
    <w:rsid w:val="009818A8"/>
    <w:rsid w:val="00981BA9"/>
    <w:rsid w:val="00981C16"/>
    <w:rsid w:val="00981D00"/>
    <w:rsid w:val="00981D20"/>
    <w:rsid w:val="00981E6F"/>
    <w:rsid w:val="00982465"/>
    <w:rsid w:val="009824A2"/>
    <w:rsid w:val="009824D5"/>
    <w:rsid w:val="00982534"/>
    <w:rsid w:val="00982B37"/>
    <w:rsid w:val="00982B80"/>
    <w:rsid w:val="00982CBB"/>
    <w:rsid w:val="00982E2B"/>
    <w:rsid w:val="00982E47"/>
    <w:rsid w:val="009830E6"/>
    <w:rsid w:val="0098325C"/>
    <w:rsid w:val="0098355B"/>
    <w:rsid w:val="00983580"/>
    <w:rsid w:val="00983B10"/>
    <w:rsid w:val="00983DC3"/>
    <w:rsid w:val="00983E0D"/>
    <w:rsid w:val="0098408A"/>
    <w:rsid w:val="00984141"/>
    <w:rsid w:val="00984240"/>
    <w:rsid w:val="00984369"/>
    <w:rsid w:val="0098449E"/>
    <w:rsid w:val="0098464F"/>
    <w:rsid w:val="00984756"/>
    <w:rsid w:val="0098480B"/>
    <w:rsid w:val="00985149"/>
    <w:rsid w:val="00985488"/>
    <w:rsid w:val="009854FA"/>
    <w:rsid w:val="00985BFE"/>
    <w:rsid w:val="00985C21"/>
    <w:rsid w:val="00985C48"/>
    <w:rsid w:val="00985E24"/>
    <w:rsid w:val="0098673A"/>
    <w:rsid w:val="009867BD"/>
    <w:rsid w:val="00986DA8"/>
    <w:rsid w:val="00986E12"/>
    <w:rsid w:val="009875AA"/>
    <w:rsid w:val="009877AD"/>
    <w:rsid w:val="009877BF"/>
    <w:rsid w:val="00987EE8"/>
    <w:rsid w:val="009902FC"/>
    <w:rsid w:val="00990461"/>
    <w:rsid w:val="00990698"/>
    <w:rsid w:val="00990790"/>
    <w:rsid w:val="0099095D"/>
    <w:rsid w:val="00990A5D"/>
    <w:rsid w:val="00990BE4"/>
    <w:rsid w:val="00990C54"/>
    <w:rsid w:val="00990F0C"/>
    <w:rsid w:val="009910BA"/>
    <w:rsid w:val="0099135D"/>
    <w:rsid w:val="009915E4"/>
    <w:rsid w:val="0099168F"/>
    <w:rsid w:val="009918EC"/>
    <w:rsid w:val="00991C0F"/>
    <w:rsid w:val="00991C91"/>
    <w:rsid w:val="00991D3C"/>
    <w:rsid w:val="00991D93"/>
    <w:rsid w:val="009921C2"/>
    <w:rsid w:val="0099234E"/>
    <w:rsid w:val="00992394"/>
    <w:rsid w:val="0099261C"/>
    <w:rsid w:val="0099264F"/>
    <w:rsid w:val="009928FA"/>
    <w:rsid w:val="00992B2B"/>
    <w:rsid w:val="00992B68"/>
    <w:rsid w:val="00992D80"/>
    <w:rsid w:val="00993183"/>
    <w:rsid w:val="009932C9"/>
    <w:rsid w:val="00993329"/>
    <w:rsid w:val="0099366C"/>
    <w:rsid w:val="00993A2A"/>
    <w:rsid w:val="00993B08"/>
    <w:rsid w:val="00993B7B"/>
    <w:rsid w:val="00993B7C"/>
    <w:rsid w:val="00993CC2"/>
    <w:rsid w:val="00993DF8"/>
    <w:rsid w:val="0099414F"/>
    <w:rsid w:val="00994257"/>
    <w:rsid w:val="00994284"/>
    <w:rsid w:val="009945D8"/>
    <w:rsid w:val="0099470F"/>
    <w:rsid w:val="00994959"/>
    <w:rsid w:val="00994B76"/>
    <w:rsid w:val="00994CA4"/>
    <w:rsid w:val="00995104"/>
    <w:rsid w:val="009951D8"/>
    <w:rsid w:val="00995295"/>
    <w:rsid w:val="00995A66"/>
    <w:rsid w:val="00995AC7"/>
    <w:rsid w:val="00995D14"/>
    <w:rsid w:val="00995D18"/>
    <w:rsid w:val="00995E52"/>
    <w:rsid w:val="00995E56"/>
    <w:rsid w:val="009960AC"/>
    <w:rsid w:val="009965FE"/>
    <w:rsid w:val="009966ED"/>
    <w:rsid w:val="00996942"/>
    <w:rsid w:val="00996960"/>
    <w:rsid w:val="00996ABB"/>
    <w:rsid w:val="00996C2F"/>
    <w:rsid w:val="00996F81"/>
    <w:rsid w:val="00996FA9"/>
    <w:rsid w:val="0099721B"/>
    <w:rsid w:val="00997369"/>
    <w:rsid w:val="0099745B"/>
    <w:rsid w:val="009974D2"/>
    <w:rsid w:val="0099757A"/>
    <w:rsid w:val="0099773F"/>
    <w:rsid w:val="00997E3B"/>
    <w:rsid w:val="00997E9D"/>
    <w:rsid w:val="009A0087"/>
    <w:rsid w:val="009A0410"/>
    <w:rsid w:val="009A0452"/>
    <w:rsid w:val="009A0582"/>
    <w:rsid w:val="009A05E5"/>
    <w:rsid w:val="009A0696"/>
    <w:rsid w:val="009A07BE"/>
    <w:rsid w:val="009A07FB"/>
    <w:rsid w:val="009A0922"/>
    <w:rsid w:val="009A0CE2"/>
    <w:rsid w:val="009A0D05"/>
    <w:rsid w:val="009A0D9F"/>
    <w:rsid w:val="009A0DD2"/>
    <w:rsid w:val="009A0E0E"/>
    <w:rsid w:val="009A0FBF"/>
    <w:rsid w:val="009A11FA"/>
    <w:rsid w:val="009A133C"/>
    <w:rsid w:val="009A15CF"/>
    <w:rsid w:val="009A174C"/>
    <w:rsid w:val="009A1896"/>
    <w:rsid w:val="009A1B20"/>
    <w:rsid w:val="009A1B4B"/>
    <w:rsid w:val="009A1CB7"/>
    <w:rsid w:val="009A1DCB"/>
    <w:rsid w:val="009A1F37"/>
    <w:rsid w:val="009A2048"/>
    <w:rsid w:val="009A207E"/>
    <w:rsid w:val="009A2518"/>
    <w:rsid w:val="009A26C8"/>
    <w:rsid w:val="009A26FF"/>
    <w:rsid w:val="009A27AE"/>
    <w:rsid w:val="009A2BEA"/>
    <w:rsid w:val="009A2C73"/>
    <w:rsid w:val="009A2EA3"/>
    <w:rsid w:val="009A2ECA"/>
    <w:rsid w:val="009A302F"/>
    <w:rsid w:val="009A3191"/>
    <w:rsid w:val="009A39B2"/>
    <w:rsid w:val="009A3DA0"/>
    <w:rsid w:val="009A402B"/>
    <w:rsid w:val="009A41F0"/>
    <w:rsid w:val="009A4321"/>
    <w:rsid w:val="009A450A"/>
    <w:rsid w:val="009A46B9"/>
    <w:rsid w:val="009A4A04"/>
    <w:rsid w:val="009A4A94"/>
    <w:rsid w:val="009A4CD7"/>
    <w:rsid w:val="009A4D3E"/>
    <w:rsid w:val="009A4F66"/>
    <w:rsid w:val="009A50A4"/>
    <w:rsid w:val="009A57C6"/>
    <w:rsid w:val="009A597B"/>
    <w:rsid w:val="009A5985"/>
    <w:rsid w:val="009A60B8"/>
    <w:rsid w:val="009A6382"/>
    <w:rsid w:val="009A6A1A"/>
    <w:rsid w:val="009A6B3E"/>
    <w:rsid w:val="009A6BC5"/>
    <w:rsid w:val="009A6C08"/>
    <w:rsid w:val="009A6CA4"/>
    <w:rsid w:val="009A6EA0"/>
    <w:rsid w:val="009A6FD9"/>
    <w:rsid w:val="009A6FF6"/>
    <w:rsid w:val="009A70AF"/>
    <w:rsid w:val="009A7155"/>
    <w:rsid w:val="009A724D"/>
    <w:rsid w:val="009A727F"/>
    <w:rsid w:val="009A742A"/>
    <w:rsid w:val="009A7692"/>
    <w:rsid w:val="009A772C"/>
    <w:rsid w:val="009A794E"/>
    <w:rsid w:val="009A7968"/>
    <w:rsid w:val="009A7C10"/>
    <w:rsid w:val="009B000F"/>
    <w:rsid w:val="009B010F"/>
    <w:rsid w:val="009B018C"/>
    <w:rsid w:val="009B0629"/>
    <w:rsid w:val="009B094D"/>
    <w:rsid w:val="009B09D9"/>
    <w:rsid w:val="009B0A3C"/>
    <w:rsid w:val="009B0CA1"/>
    <w:rsid w:val="009B0F4B"/>
    <w:rsid w:val="009B106D"/>
    <w:rsid w:val="009B10A9"/>
    <w:rsid w:val="009B1213"/>
    <w:rsid w:val="009B1547"/>
    <w:rsid w:val="009B1561"/>
    <w:rsid w:val="009B15F1"/>
    <w:rsid w:val="009B166F"/>
    <w:rsid w:val="009B172E"/>
    <w:rsid w:val="009B1742"/>
    <w:rsid w:val="009B1BCA"/>
    <w:rsid w:val="009B1CD1"/>
    <w:rsid w:val="009B1E2D"/>
    <w:rsid w:val="009B296B"/>
    <w:rsid w:val="009B2B38"/>
    <w:rsid w:val="009B33C7"/>
    <w:rsid w:val="009B3615"/>
    <w:rsid w:val="009B3B3A"/>
    <w:rsid w:val="009B3B43"/>
    <w:rsid w:val="009B3C12"/>
    <w:rsid w:val="009B3C85"/>
    <w:rsid w:val="009B4268"/>
    <w:rsid w:val="009B433D"/>
    <w:rsid w:val="009B46AF"/>
    <w:rsid w:val="009B4797"/>
    <w:rsid w:val="009B47BE"/>
    <w:rsid w:val="009B4CFD"/>
    <w:rsid w:val="009B4D72"/>
    <w:rsid w:val="009B4E72"/>
    <w:rsid w:val="009B504B"/>
    <w:rsid w:val="009B53BD"/>
    <w:rsid w:val="009B57EC"/>
    <w:rsid w:val="009B5BA4"/>
    <w:rsid w:val="009B5C02"/>
    <w:rsid w:val="009B5E8D"/>
    <w:rsid w:val="009B5F42"/>
    <w:rsid w:val="009B5FC2"/>
    <w:rsid w:val="009B601B"/>
    <w:rsid w:val="009B61B8"/>
    <w:rsid w:val="009B6596"/>
    <w:rsid w:val="009B65AD"/>
    <w:rsid w:val="009B6B3D"/>
    <w:rsid w:val="009B6DA1"/>
    <w:rsid w:val="009B6ED0"/>
    <w:rsid w:val="009B6F81"/>
    <w:rsid w:val="009B7003"/>
    <w:rsid w:val="009B782C"/>
    <w:rsid w:val="009B7E72"/>
    <w:rsid w:val="009B7EC9"/>
    <w:rsid w:val="009C056C"/>
    <w:rsid w:val="009C0732"/>
    <w:rsid w:val="009C091C"/>
    <w:rsid w:val="009C0A90"/>
    <w:rsid w:val="009C0BE8"/>
    <w:rsid w:val="009C11F9"/>
    <w:rsid w:val="009C1250"/>
    <w:rsid w:val="009C1251"/>
    <w:rsid w:val="009C1551"/>
    <w:rsid w:val="009C1694"/>
    <w:rsid w:val="009C181E"/>
    <w:rsid w:val="009C18C4"/>
    <w:rsid w:val="009C1A28"/>
    <w:rsid w:val="009C1CDC"/>
    <w:rsid w:val="009C1D89"/>
    <w:rsid w:val="009C1DDF"/>
    <w:rsid w:val="009C1E4E"/>
    <w:rsid w:val="009C20FD"/>
    <w:rsid w:val="009C22B2"/>
    <w:rsid w:val="009C235B"/>
    <w:rsid w:val="009C23A6"/>
    <w:rsid w:val="009C28FD"/>
    <w:rsid w:val="009C2D47"/>
    <w:rsid w:val="009C2E33"/>
    <w:rsid w:val="009C2F12"/>
    <w:rsid w:val="009C3222"/>
    <w:rsid w:val="009C33D9"/>
    <w:rsid w:val="009C34D0"/>
    <w:rsid w:val="009C3526"/>
    <w:rsid w:val="009C3623"/>
    <w:rsid w:val="009C3A20"/>
    <w:rsid w:val="009C3CD6"/>
    <w:rsid w:val="009C3E2F"/>
    <w:rsid w:val="009C3E87"/>
    <w:rsid w:val="009C40AA"/>
    <w:rsid w:val="009C40EF"/>
    <w:rsid w:val="009C458B"/>
    <w:rsid w:val="009C46AC"/>
    <w:rsid w:val="009C4B49"/>
    <w:rsid w:val="009C4BBB"/>
    <w:rsid w:val="009C4C6C"/>
    <w:rsid w:val="009C4D2B"/>
    <w:rsid w:val="009C4F45"/>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B15"/>
    <w:rsid w:val="009C7C5D"/>
    <w:rsid w:val="009C7D03"/>
    <w:rsid w:val="009D011E"/>
    <w:rsid w:val="009D0161"/>
    <w:rsid w:val="009D019B"/>
    <w:rsid w:val="009D05BF"/>
    <w:rsid w:val="009D0660"/>
    <w:rsid w:val="009D08E3"/>
    <w:rsid w:val="009D08F6"/>
    <w:rsid w:val="009D09B5"/>
    <w:rsid w:val="009D15AE"/>
    <w:rsid w:val="009D16D6"/>
    <w:rsid w:val="009D17EA"/>
    <w:rsid w:val="009D17FA"/>
    <w:rsid w:val="009D18AC"/>
    <w:rsid w:val="009D1A01"/>
    <w:rsid w:val="009D1F0C"/>
    <w:rsid w:val="009D1F29"/>
    <w:rsid w:val="009D203F"/>
    <w:rsid w:val="009D256E"/>
    <w:rsid w:val="009D268F"/>
    <w:rsid w:val="009D2740"/>
    <w:rsid w:val="009D2B9C"/>
    <w:rsid w:val="009D2BD0"/>
    <w:rsid w:val="009D2DE3"/>
    <w:rsid w:val="009D324B"/>
    <w:rsid w:val="009D38C0"/>
    <w:rsid w:val="009D3A3D"/>
    <w:rsid w:val="009D3B39"/>
    <w:rsid w:val="009D3C12"/>
    <w:rsid w:val="009D3D89"/>
    <w:rsid w:val="009D3E57"/>
    <w:rsid w:val="009D4016"/>
    <w:rsid w:val="009D4291"/>
    <w:rsid w:val="009D46EF"/>
    <w:rsid w:val="009D4755"/>
    <w:rsid w:val="009D4778"/>
    <w:rsid w:val="009D51AA"/>
    <w:rsid w:val="009D5417"/>
    <w:rsid w:val="009D569C"/>
    <w:rsid w:val="009D579A"/>
    <w:rsid w:val="009D58F8"/>
    <w:rsid w:val="009D5941"/>
    <w:rsid w:val="009D5C71"/>
    <w:rsid w:val="009D5E2A"/>
    <w:rsid w:val="009D6277"/>
    <w:rsid w:val="009D65CA"/>
    <w:rsid w:val="009D676E"/>
    <w:rsid w:val="009D691F"/>
    <w:rsid w:val="009D69AC"/>
    <w:rsid w:val="009D6A99"/>
    <w:rsid w:val="009D6DDE"/>
    <w:rsid w:val="009D704A"/>
    <w:rsid w:val="009D7112"/>
    <w:rsid w:val="009D72DF"/>
    <w:rsid w:val="009D755F"/>
    <w:rsid w:val="009D7797"/>
    <w:rsid w:val="009D7B15"/>
    <w:rsid w:val="009D7E7F"/>
    <w:rsid w:val="009D7F11"/>
    <w:rsid w:val="009E00DB"/>
    <w:rsid w:val="009E0475"/>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4A0"/>
    <w:rsid w:val="009E276A"/>
    <w:rsid w:val="009E27E3"/>
    <w:rsid w:val="009E29A1"/>
    <w:rsid w:val="009E2AA6"/>
    <w:rsid w:val="009E2D74"/>
    <w:rsid w:val="009E2FE1"/>
    <w:rsid w:val="009E2FF2"/>
    <w:rsid w:val="009E3297"/>
    <w:rsid w:val="009E3E52"/>
    <w:rsid w:val="009E3EBA"/>
    <w:rsid w:val="009E430F"/>
    <w:rsid w:val="009E449A"/>
    <w:rsid w:val="009E44BB"/>
    <w:rsid w:val="009E49DD"/>
    <w:rsid w:val="009E4A53"/>
    <w:rsid w:val="009E4C2D"/>
    <w:rsid w:val="009E4CA1"/>
    <w:rsid w:val="009E4CC5"/>
    <w:rsid w:val="009E4D48"/>
    <w:rsid w:val="009E4F89"/>
    <w:rsid w:val="009E511C"/>
    <w:rsid w:val="009E5394"/>
    <w:rsid w:val="009E53D3"/>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8DA"/>
    <w:rsid w:val="009E6B48"/>
    <w:rsid w:val="009E6CDE"/>
    <w:rsid w:val="009E6D94"/>
    <w:rsid w:val="009E71AF"/>
    <w:rsid w:val="009E72D8"/>
    <w:rsid w:val="009E734D"/>
    <w:rsid w:val="009E7364"/>
    <w:rsid w:val="009E74F7"/>
    <w:rsid w:val="009E76F9"/>
    <w:rsid w:val="009E77FC"/>
    <w:rsid w:val="009E7850"/>
    <w:rsid w:val="009E7C1D"/>
    <w:rsid w:val="009F0014"/>
    <w:rsid w:val="009F028D"/>
    <w:rsid w:val="009F09D7"/>
    <w:rsid w:val="009F09DF"/>
    <w:rsid w:val="009F0A1D"/>
    <w:rsid w:val="009F0BB9"/>
    <w:rsid w:val="009F0DCC"/>
    <w:rsid w:val="009F0E1A"/>
    <w:rsid w:val="009F10CF"/>
    <w:rsid w:val="009F122A"/>
    <w:rsid w:val="009F13D3"/>
    <w:rsid w:val="009F1C9B"/>
    <w:rsid w:val="009F1CC1"/>
    <w:rsid w:val="009F1D06"/>
    <w:rsid w:val="009F2269"/>
    <w:rsid w:val="009F27B5"/>
    <w:rsid w:val="009F28B5"/>
    <w:rsid w:val="009F2E5F"/>
    <w:rsid w:val="009F2F2C"/>
    <w:rsid w:val="009F3077"/>
    <w:rsid w:val="009F30A9"/>
    <w:rsid w:val="009F3581"/>
    <w:rsid w:val="009F3A71"/>
    <w:rsid w:val="009F3AF0"/>
    <w:rsid w:val="009F3CC9"/>
    <w:rsid w:val="009F3DD0"/>
    <w:rsid w:val="009F3DE5"/>
    <w:rsid w:val="009F3FB2"/>
    <w:rsid w:val="009F410E"/>
    <w:rsid w:val="009F4261"/>
    <w:rsid w:val="009F4450"/>
    <w:rsid w:val="009F48C0"/>
    <w:rsid w:val="009F4955"/>
    <w:rsid w:val="009F4BC9"/>
    <w:rsid w:val="009F4E2E"/>
    <w:rsid w:val="009F4E3D"/>
    <w:rsid w:val="009F4F1F"/>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C8E"/>
    <w:rsid w:val="009F7D59"/>
    <w:rsid w:val="009F7D5D"/>
    <w:rsid w:val="00A00089"/>
    <w:rsid w:val="00A000B2"/>
    <w:rsid w:val="00A0010B"/>
    <w:rsid w:val="00A0021C"/>
    <w:rsid w:val="00A0028F"/>
    <w:rsid w:val="00A010DC"/>
    <w:rsid w:val="00A012C7"/>
    <w:rsid w:val="00A01417"/>
    <w:rsid w:val="00A01677"/>
    <w:rsid w:val="00A01B12"/>
    <w:rsid w:val="00A01E2A"/>
    <w:rsid w:val="00A01E81"/>
    <w:rsid w:val="00A022D4"/>
    <w:rsid w:val="00A023B0"/>
    <w:rsid w:val="00A029F2"/>
    <w:rsid w:val="00A02A02"/>
    <w:rsid w:val="00A02D43"/>
    <w:rsid w:val="00A02D4C"/>
    <w:rsid w:val="00A038E0"/>
    <w:rsid w:val="00A03901"/>
    <w:rsid w:val="00A03ADC"/>
    <w:rsid w:val="00A03AE3"/>
    <w:rsid w:val="00A03B33"/>
    <w:rsid w:val="00A03CB8"/>
    <w:rsid w:val="00A03CDD"/>
    <w:rsid w:val="00A042A0"/>
    <w:rsid w:val="00A042BE"/>
    <w:rsid w:val="00A0454F"/>
    <w:rsid w:val="00A0458F"/>
    <w:rsid w:val="00A04690"/>
    <w:rsid w:val="00A046FB"/>
    <w:rsid w:val="00A04765"/>
    <w:rsid w:val="00A0492A"/>
    <w:rsid w:val="00A04B93"/>
    <w:rsid w:val="00A0512C"/>
    <w:rsid w:val="00A051CB"/>
    <w:rsid w:val="00A052DE"/>
    <w:rsid w:val="00A05977"/>
    <w:rsid w:val="00A05ABE"/>
    <w:rsid w:val="00A05CC5"/>
    <w:rsid w:val="00A05ED2"/>
    <w:rsid w:val="00A05F04"/>
    <w:rsid w:val="00A06019"/>
    <w:rsid w:val="00A06168"/>
    <w:rsid w:val="00A06186"/>
    <w:rsid w:val="00A06372"/>
    <w:rsid w:val="00A06D4B"/>
    <w:rsid w:val="00A06D7F"/>
    <w:rsid w:val="00A073CF"/>
    <w:rsid w:val="00A0752A"/>
    <w:rsid w:val="00A078F4"/>
    <w:rsid w:val="00A07980"/>
    <w:rsid w:val="00A07D10"/>
    <w:rsid w:val="00A102E4"/>
    <w:rsid w:val="00A10649"/>
    <w:rsid w:val="00A10808"/>
    <w:rsid w:val="00A10CC6"/>
    <w:rsid w:val="00A10D11"/>
    <w:rsid w:val="00A10F29"/>
    <w:rsid w:val="00A110CE"/>
    <w:rsid w:val="00A11115"/>
    <w:rsid w:val="00A11444"/>
    <w:rsid w:val="00A11624"/>
    <w:rsid w:val="00A116CA"/>
    <w:rsid w:val="00A116E5"/>
    <w:rsid w:val="00A11800"/>
    <w:rsid w:val="00A11A9A"/>
    <w:rsid w:val="00A11AB8"/>
    <w:rsid w:val="00A11C0C"/>
    <w:rsid w:val="00A11D59"/>
    <w:rsid w:val="00A11D5C"/>
    <w:rsid w:val="00A120FC"/>
    <w:rsid w:val="00A121E6"/>
    <w:rsid w:val="00A1237A"/>
    <w:rsid w:val="00A123D6"/>
    <w:rsid w:val="00A12403"/>
    <w:rsid w:val="00A12750"/>
    <w:rsid w:val="00A12B27"/>
    <w:rsid w:val="00A12B2A"/>
    <w:rsid w:val="00A12CA3"/>
    <w:rsid w:val="00A12CB4"/>
    <w:rsid w:val="00A12D69"/>
    <w:rsid w:val="00A12D9D"/>
    <w:rsid w:val="00A12E2D"/>
    <w:rsid w:val="00A135A8"/>
    <w:rsid w:val="00A13725"/>
    <w:rsid w:val="00A1386E"/>
    <w:rsid w:val="00A138EF"/>
    <w:rsid w:val="00A13C1F"/>
    <w:rsid w:val="00A141BA"/>
    <w:rsid w:val="00A14210"/>
    <w:rsid w:val="00A142AE"/>
    <w:rsid w:val="00A148BF"/>
    <w:rsid w:val="00A14A24"/>
    <w:rsid w:val="00A15108"/>
    <w:rsid w:val="00A1514B"/>
    <w:rsid w:val="00A15187"/>
    <w:rsid w:val="00A1521B"/>
    <w:rsid w:val="00A15640"/>
    <w:rsid w:val="00A159F7"/>
    <w:rsid w:val="00A15C50"/>
    <w:rsid w:val="00A15CF5"/>
    <w:rsid w:val="00A15F89"/>
    <w:rsid w:val="00A1649C"/>
    <w:rsid w:val="00A1660F"/>
    <w:rsid w:val="00A16616"/>
    <w:rsid w:val="00A16B1D"/>
    <w:rsid w:val="00A16C9D"/>
    <w:rsid w:val="00A16EBB"/>
    <w:rsid w:val="00A1735A"/>
    <w:rsid w:val="00A1785B"/>
    <w:rsid w:val="00A178CF"/>
    <w:rsid w:val="00A17926"/>
    <w:rsid w:val="00A17DAE"/>
    <w:rsid w:val="00A203C1"/>
    <w:rsid w:val="00A203E2"/>
    <w:rsid w:val="00A20603"/>
    <w:rsid w:val="00A20837"/>
    <w:rsid w:val="00A20925"/>
    <w:rsid w:val="00A20A4E"/>
    <w:rsid w:val="00A20C1B"/>
    <w:rsid w:val="00A211AC"/>
    <w:rsid w:val="00A21277"/>
    <w:rsid w:val="00A212EF"/>
    <w:rsid w:val="00A21569"/>
    <w:rsid w:val="00A217EC"/>
    <w:rsid w:val="00A21AE9"/>
    <w:rsid w:val="00A21B58"/>
    <w:rsid w:val="00A21DF1"/>
    <w:rsid w:val="00A2222A"/>
    <w:rsid w:val="00A224EB"/>
    <w:rsid w:val="00A225CB"/>
    <w:rsid w:val="00A22951"/>
    <w:rsid w:val="00A22B7E"/>
    <w:rsid w:val="00A22CF4"/>
    <w:rsid w:val="00A22D74"/>
    <w:rsid w:val="00A23113"/>
    <w:rsid w:val="00A231F2"/>
    <w:rsid w:val="00A236CB"/>
    <w:rsid w:val="00A237E3"/>
    <w:rsid w:val="00A23968"/>
    <w:rsid w:val="00A23B78"/>
    <w:rsid w:val="00A23C2D"/>
    <w:rsid w:val="00A23D71"/>
    <w:rsid w:val="00A23D7F"/>
    <w:rsid w:val="00A243EF"/>
    <w:rsid w:val="00A24401"/>
    <w:rsid w:val="00A244A8"/>
    <w:rsid w:val="00A24CB3"/>
    <w:rsid w:val="00A253A6"/>
    <w:rsid w:val="00A25A78"/>
    <w:rsid w:val="00A25ACB"/>
    <w:rsid w:val="00A25B9E"/>
    <w:rsid w:val="00A2642F"/>
    <w:rsid w:val="00A26463"/>
    <w:rsid w:val="00A266E9"/>
    <w:rsid w:val="00A26B77"/>
    <w:rsid w:val="00A26C45"/>
    <w:rsid w:val="00A26E28"/>
    <w:rsid w:val="00A26E31"/>
    <w:rsid w:val="00A272CE"/>
    <w:rsid w:val="00A2750B"/>
    <w:rsid w:val="00A275C3"/>
    <w:rsid w:val="00A276B9"/>
    <w:rsid w:val="00A2774B"/>
    <w:rsid w:val="00A2776C"/>
    <w:rsid w:val="00A27A5F"/>
    <w:rsid w:val="00A27B69"/>
    <w:rsid w:val="00A27D4B"/>
    <w:rsid w:val="00A27DC4"/>
    <w:rsid w:val="00A27EB5"/>
    <w:rsid w:val="00A3002C"/>
    <w:rsid w:val="00A3022B"/>
    <w:rsid w:val="00A30338"/>
    <w:rsid w:val="00A303BB"/>
    <w:rsid w:val="00A30614"/>
    <w:rsid w:val="00A30835"/>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A45"/>
    <w:rsid w:val="00A32B8B"/>
    <w:rsid w:val="00A32E4F"/>
    <w:rsid w:val="00A3320F"/>
    <w:rsid w:val="00A33220"/>
    <w:rsid w:val="00A33432"/>
    <w:rsid w:val="00A335A9"/>
    <w:rsid w:val="00A3360C"/>
    <w:rsid w:val="00A33618"/>
    <w:rsid w:val="00A336C5"/>
    <w:rsid w:val="00A3376A"/>
    <w:rsid w:val="00A33939"/>
    <w:rsid w:val="00A33BCC"/>
    <w:rsid w:val="00A33CA4"/>
    <w:rsid w:val="00A342D4"/>
    <w:rsid w:val="00A3445C"/>
    <w:rsid w:val="00A345AC"/>
    <w:rsid w:val="00A34854"/>
    <w:rsid w:val="00A3496B"/>
    <w:rsid w:val="00A34BA0"/>
    <w:rsid w:val="00A34CED"/>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2EC"/>
    <w:rsid w:val="00A367FD"/>
    <w:rsid w:val="00A36965"/>
    <w:rsid w:val="00A36A97"/>
    <w:rsid w:val="00A36CA6"/>
    <w:rsid w:val="00A36CE8"/>
    <w:rsid w:val="00A36D90"/>
    <w:rsid w:val="00A36F02"/>
    <w:rsid w:val="00A36F6A"/>
    <w:rsid w:val="00A37069"/>
    <w:rsid w:val="00A37327"/>
    <w:rsid w:val="00A37465"/>
    <w:rsid w:val="00A374A2"/>
    <w:rsid w:val="00A37603"/>
    <w:rsid w:val="00A376DE"/>
    <w:rsid w:val="00A376E4"/>
    <w:rsid w:val="00A376FE"/>
    <w:rsid w:val="00A37DAF"/>
    <w:rsid w:val="00A37EE1"/>
    <w:rsid w:val="00A37F19"/>
    <w:rsid w:val="00A40343"/>
    <w:rsid w:val="00A403D4"/>
    <w:rsid w:val="00A4047C"/>
    <w:rsid w:val="00A40516"/>
    <w:rsid w:val="00A408FA"/>
    <w:rsid w:val="00A40962"/>
    <w:rsid w:val="00A40B01"/>
    <w:rsid w:val="00A40CB8"/>
    <w:rsid w:val="00A40D3E"/>
    <w:rsid w:val="00A40D9A"/>
    <w:rsid w:val="00A41102"/>
    <w:rsid w:val="00A41371"/>
    <w:rsid w:val="00A41400"/>
    <w:rsid w:val="00A414BE"/>
    <w:rsid w:val="00A41797"/>
    <w:rsid w:val="00A4194F"/>
    <w:rsid w:val="00A41DD3"/>
    <w:rsid w:val="00A41F51"/>
    <w:rsid w:val="00A42067"/>
    <w:rsid w:val="00A42165"/>
    <w:rsid w:val="00A42213"/>
    <w:rsid w:val="00A42463"/>
    <w:rsid w:val="00A427B3"/>
    <w:rsid w:val="00A429F6"/>
    <w:rsid w:val="00A42AC6"/>
    <w:rsid w:val="00A42B71"/>
    <w:rsid w:val="00A42B99"/>
    <w:rsid w:val="00A43042"/>
    <w:rsid w:val="00A4317B"/>
    <w:rsid w:val="00A432EA"/>
    <w:rsid w:val="00A4353D"/>
    <w:rsid w:val="00A43806"/>
    <w:rsid w:val="00A438A2"/>
    <w:rsid w:val="00A43CC0"/>
    <w:rsid w:val="00A43E9C"/>
    <w:rsid w:val="00A43EA3"/>
    <w:rsid w:val="00A44006"/>
    <w:rsid w:val="00A4415C"/>
    <w:rsid w:val="00A443EC"/>
    <w:rsid w:val="00A447DD"/>
    <w:rsid w:val="00A44806"/>
    <w:rsid w:val="00A449DF"/>
    <w:rsid w:val="00A44AA7"/>
    <w:rsid w:val="00A44BF3"/>
    <w:rsid w:val="00A44C6A"/>
    <w:rsid w:val="00A44C83"/>
    <w:rsid w:val="00A44C96"/>
    <w:rsid w:val="00A44F67"/>
    <w:rsid w:val="00A45218"/>
    <w:rsid w:val="00A45437"/>
    <w:rsid w:val="00A454CE"/>
    <w:rsid w:val="00A45893"/>
    <w:rsid w:val="00A45CF3"/>
    <w:rsid w:val="00A45D05"/>
    <w:rsid w:val="00A45D78"/>
    <w:rsid w:val="00A45E1D"/>
    <w:rsid w:val="00A46189"/>
    <w:rsid w:val="00A46772"/>
    <w:rsid w:val="00A467B3"/>
    <w:rsid w:val="00A46FB6"/>
    <w:rsid w:val="00A4708A"/>
    <w:rsid w:val="00A4723A"/>
    <w:rsid w:val="00A47B6C"/>
    <w:rsid w:val="00A47CB5"/>
    <w:rsid w:val="00A47E64"/>
    <w:rsid w:val="00A50235"/>
    <w:rsid w:val="00A50335"/>
    <w:rsid w:val="00A507E3"/>
    <w:rsid w:val="00A511D6"/>
    <w:rsid w:val="00A51691"/>
    <w:rsid w:val="00A516D5"/>
    <w:rsid w:val="00A516DB"/>
    <w:rsid w:val="00A5191C"/>
    <w:rsid w:val="00A51C53"/>
    <w:rsid w:val="00A520B6"/>
    <w:rsid w:val="00A5217E"/>
    <w:rsid w:val="00A522FF"/>
    <w:rsid w:val="00A523E0"/>
    <w:rsid w:val="00A52402"/>
    <w:rsid w:val="00A52580"/>
    <w:rsid w:val="00A525D8"/>
    <w:rsid w:val="00A52849"/>
    <w:rsid w:val="00A528BA"/>
    <w:rsid w:val="00A52924"/>
    <w:rsid w:val="00A52925"/>
    <w:rsid w:val="00A52A26"/>
    <w:rsid w:val="00A52D50"/>
    <w:rsid w:val="00A52F74"/>
    <w:rsid w:val="00A530E3"/>
    <w:rsid w:val="00A530E7"/>
    <w:rsid w:val="00A534E0"/>
    <w:rsid w:val="00A535C9"/>
    <w:rsid w:val="00A53708"/>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DE9"/>
    <w:rsid w:val="00A54E4D"/>
    <w:rsid w:val="00A54FC0"/>
    <w:rsid w:val="00A55157"/>
    <w:rsid w:val="00A554D2"/>
    <w:rsid w:val="00A55722"/>
    <w:rsid w:val="00A55779"/>
    <w:rsid w:val="00A55A7B"/>
    <w:rsid w:val="00A55ECB"/>
    <w:rsid w:val="00A55FD9"/>
    <w:rsid w:val="00A55FE3"/>
    <w:rsid w:val="00A5633E"/>
    <w:rsid w:val="00A5668D"/>
    <w:rsid w:val="00A56B05"/>
    <w:rsid w:val="00A56B33"/>
    <w:rsid w:val="00A57103"/>
    <w:rsid w:val="00A5715D"/>
    <w:rsid w:val="00A57162"/>
    <w:rsid w:val="00A571C1"/>
    <w:rsid w:val="00A57935"/>
    <w:rsid w:val="00A57956"/>
    <w:rsid w:val="00A57B78"/>
    <w:rsid w:val="00A57CF9"/>
    <w:rsid w:val="00A57F85"/>
    <w:rsid w:val="00A602AD"/>
    <w:rsid w:val="00A60708"/>
    <w:rsid w:val="00A60BFE"/>
    <w:rsid w:val="00A60DF7"/>
    <w:rsid w:val="00A60EEA"/>
    <w:rsid w:val="00A611E2"/>
    <w:rsid w:val="00A612B7"/>
    <w:rsid w:val="00A61548"/>
    <w:rsid w:val="00A6192D"/>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79A"/>
    <w:rsid w:val="00A63A52"/>
    <w:rsid w:val="00A63DD5"/>
    <w:rsid w:val="00A63FA6"/>
    <w:rsid w:val="00A6400E"/>
    <w:rsid w:val="00A6433D"/>
    <w:rsid w:val="00A64370"/>
    <w:rsid w:val="00A64432"/>
    <w:rsid w:val="00A64892"/>
    <w:rsid w:val="00A648EF"/>
    <w:rsid w:val="00A64A2F"/>
    <w:rsid w:val="00A64A63"/>
    <w:rsid w:val="00A64C57"/>
    <w:rsid w:val="00A64D7C"/>
    <w:rsid w:val="00A64FEF"/>
    <w:rsid w:val="00A65018"/>
    <w:rsid w:val="00A6514D"/>
    <w:rsid w:val="00A65683"/>
    <w:rsid w:val="00A65740"/>
    <w:rsid w:val="00A65BE7"/>
    <w:rsid w:val="00A65D68"/>
    <w:rsid w:val="00A66005"/>
    <w:rsid w:val="00A6607F"/>
    <w:rsid w:val="00A6632C"/>
    <w:rsid w:val="00A6636C"/>
    <w:rsid w:val="00A663E9"/>
    <w:rsid w:val="00A66431"/>
    <w:rsid w:val="00A664E3"/>
    <w:rsid w:val="00A6659E"/>
    <w:rsid w:val="00A668DD"/>
    <w:rsid w:val="00A66C3D"/>
    <w:rsid w:val="00A66C8C"/>
    <w:rsid w:val="00A671FA"/>
    <w:rsid w:val="00A67383"/>
    <w:rsid w:val="00A67710"/>
    <w:rsid w:val="00A677C7"/>
    <w:rsid w:val="00A70019"/>
    <w:rsid w:val="00A70023"/>
    <w:rsid w:val="00A70394"/>
    <w:rsid w:val="00A703A0"/>
    <w:rsid w:val="00A704B9"/>
    <w:rsid w:val="00A7054C"/>
    <w:rsid w:val="00A7057A"/>
    <w:rsid w:val="00A70747"/>
    <w:rsid w:val="00A7097F"/>
    <w:rsid w:val="00A70A7D"/>
    <w:rsid w:val="00A70C6A"/>
    <w:rsid w:val="00A70C81"/>
    <w:rsid w:val="00A71042"/>
    <w:rsid w:val="00A71044"/>
    <w:rsid w:val="00A710EA"/>
    <w:rsid w:val="00A71343"/>
    <w:rsid w:val="00A714A4"/>
    <w:rsid w:val="00A716C3"/>
    <w:rsid w:val="00A71775"/>
    <w:rsid w:val="00A71875"/>
    <w:rsid w:val="00A71947"/>
    <w:rsid w:val="00A71AFA"/>
    <w:rsid w:val="00A71B7D"/>
    <w:rsid w:val="00A71C84"/>
    <w:rsid w:val="00A71DB5"/>
    <w:rsid w:val="00A71E21"/>
    <w:rsid w:val="00A71E6D"/>
    <w:rsid w:val="00A7208A"/>
    <w:rsid w:val="00A721AB"/>
    <w:rsid w:val="00A728E1"/>
    <w:rsid w:val="00A72C65"/>
    <w:rsid w:val="00A730ED"/>
    <w:rsid w:val="00A73139"/>
    <w:rsid w:val="00A731F9"/>
    <w:rsid w:val="00A7327E"/>
    <w:rsid w:val="00A7340E"/>
    <w:rsid w:val="00A73621"/>
    <w:rsid w:val="00A73811"/>
    <w:rsid w:val="00A73BB2"/>
    <w:rsid w:val="00A73CB4"/>
    <w:rsid w:val="00A73D03"/>
    <w:rsid w:val="00A73F50"/>
    <w:rsid w:val="00A7428C"/>
    <w:rsid w:val="00A74739"/>
    <w:rsid w:val="00A74790"/>
    <w:rsid w:val="00A749D2"/>
    <w:rsid w:val="00A74BEE"/>
    <w:rsid w:val="00A74DB9"/>
    <w:rsid w:val="00A751EF"/>
    <w:rsid w:val="00A752D8"/>
    <w:rsid w:val="00A75423"/>
    <w:rsid w:val="00A75E8D"/>
    <w:rsid w:val="00A75F81"/>
    <w:rsid w:val="00A760DF"/>
    <w:rsid w:val="00A762AA"/>
    <w:rsid w:val="00A764A7"/>
    <w:rsid w:val="00A766FF"/>
    <w:rsid w:val="00A76B4A"/>
    <w:rsid w:val="00A76E00"/>
    <w:rsid w:val="00A76EE9"/>
    <w:rsid w:val="00A7700E"/>
    <w:rsid w:val="00A77131"/>
    <w:rsid w:val="00A7746B"/>
    <w:rsid w:val="00A77620"/>
    <w:rsid w:val="00A77845"/>
    <w:rsid w:val="00A77B53"/>
    <w:rsid w:val="00A77C7B"/>
    <w:rsid w:val="00A77D15"/>
    <w:rsid w:val="00A77D45"/>
    <w:rsid w:val="00A77E99"/>
    <w:rsid w:val="00A802A5"/>
    <w:rsid w:val="00A8050B"/>
    <w:rsid w:val="00A80624"/>
    <w:rsid w:val="00A8089C"/>
    <w:rsid w:val="00A8094A"/>
    <w:rsid w:val="00A80A31"/>
    <w:rsid w:val="00A80C47"/>
    <w:rsid w:val="00A80FCE"/>
    <w:rsid w:val="00A81089"/>
    <w:rsid w:val="00A8111C"/>
    <w:rsid w:val="00A81326"/>
    <w:rsid w:val="00A813B1"/>
    <w:rsid w:val="00A81999"/>
    <w:rsid w:val="00A81D11"/>
    <w:rsid w:val="00A81EFB"/>
    <w:rsid w:val="00A8210E"/>
    <w:rsid w:val="00A8212E"/>
    <w:rsid w:val="00A8236D"/>
    <w:rsid w:val="00A823E1"/>
    <w:rsid w:val="00A82770"/>
    <w:rsid w:val="00A827C8"/>
    <w:rsid w:val="00A828C6"/>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7F0"/>
    <w:rsid w:val="00A8597C"/>
    <w:rsid w:val="00A859E5"/>
    <w:rsid w:val="00A85C13"/>
    <w:rsid w:val="00A85C6A"/>
    <w:rsid w:val="00A861D1"/>
    <w:rsid w:val="00A862C5"/>
    <w:rsid w:val="00A86418"/>
    <w:rsid w:val="00A86617"/>
    <w:rsid w:val="00A86B32"/>
    <w:rsid w:val="00A86E24"/>
    <w:rsid w:val="00A86F5A"/>
    <w:rsid w:val="00A86F95"/>
    <w:rsid w:val="00A870D1"/>
    <w:rsid w:val="00A87180"/>
    <w:rsid w:val="00A87261"/>
    <w:rsid w:val="00A87407"/>
    <w:rsid w:val="00A87514"/>
    <w:rsid w:val="00A875F9"/>
    <w:rsid w:val="00A87648"/>
    <w:rsid w:val="00A87869"/>
    <w:rsid w:val="00A878D1"/>
    <w:rsid w:val="00A87CC9"/>
    <w:rsid w:val="00A90154"/>
    <w:rsid w:val="00A90272"/>
    <w:rsid w:val="00A90657"/>
    <w:rsid w:val="00A906FA"/>
    <w:rsid w:val="00A90944"/>
    <w:rsid w:val="00A90A7F"/>
    <w:rsid w:val="00A90AAD"/>
    <w:rsid w:val="00A90B82"/>
    <w:rsid w:val="00A90FFA"/>
    <w:rsid w:val="00A91051"/>
    <w:rsid w:val="00A91215"/>
    <w:rsid w:val="00A9132A"/>
    <w:rsid w:val="00A9134F"/>
    <w:rsid w:val="00A91BCE"/>
    <w:rsid w:val="00A91E60"/>
    <w:rsid w:val="00A92066"/>
    <w:rsid w:val="00A9216C"/>
    <w:rsid w:val="00A92172"/>
    <w:rsid w:val="00A928CC"/>
    <w:rsid w:val="00A92B1E"/>
    <w:rsid w:val="00A92D10"/>
    <w:rsid w:val="00A92DBF"/>
    <w:rsid w:val="00A930F9"/>
    <w:rsid w:val="00A9343B"/>
    <w:rsid w:val="00A93584"/>
    <w:rsid w:val="00A935EC"/>
    <w:rsid w:val="00A937A1"/>
    <w:rsid w:val="00A93F61"/>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618"/>
    <w:rsid w:val="00A9692E"/>
    <w:rsid w:val="00A969CA"/>
    <w:rsid w:val="00A96AAF"/>
    <w:rsid w:val="00A97011"/>
    <w:rsid w:val="00A970D3"/>
    <w:rsid w:val="00A973E2"/>
    <w:rsid w:val="00A976F1"/>
    <w:rsid w:val="00A9775F"/>
    <w:rsid w:val="00A97A08"/>
    <w:rsid w:val="00A97CE6"/>
    <w:rsid w:val="00AA02CB"/>
    <w:rsid w:val="00AA0532"/>
    <w:rsid w:val="00AA05DF"/>
    <w:rsid w:val="00AA0892"/>
    <w:rsid w:val="00AA0AC1"/>
    <w:rsid w:val="00AA0B79"/>
    <w:rsid w:val="00AA0FDB"/>
    <w:rsid w:val="00AA1092"/>
    <w:rsid w:val="00AA13DA"/>
    <w:rsid w:val="00AA1465"/>
    <w:rsid w:val="00AA1532"/>
    <w:rsid w:val="00AA1757"/>
    <w:rsid w:val="00AA181B"/>
    <w:rsid w:val="00AA1907"/>
    <w:rsid w:val="00AA1B96"/>
    <w:rsid w:val="00AA2174"/>
    <w:rsid w:val="00AA21EC"/>
    <w:rsid w:val="00AA2221"/>
    <w:rsid w:val="00AA260D"/>
    <w:rsid w:val="00AA2801"/>
    <w:rsid w:val="00AA29BD"/>
    <w:rsid w:val="00AA2BE2"/>
    <w:rsid w:val="00AA3671"/>
    <w:rsid w:val="00AA3A33"/>
    <w:rsid w:val="00AA3AFC"/>
    <w:rsid w:val="00AA3CC0"/>
    <w:rsid w:val="00AA3EF2"/>
    <w:rsid w:val="00AA42AC"/>
    <w:rsid w:val="00AA450F"/>
    <w:rsid w:val="00AA467D"/>
    <w:rsid w:val="00AA47BA"/>
    <w:rsid w:val="00AA4802"/>
    <w:rsid w:val="00AA49EF"/>
    <w:rsid w:val="00AA4BDC"/>
    <w:rsid w:val="00AA4BF2"/>
    <w:rsid w:val="00AA4C11"/>
    <w:rsid w:val="00AA4C22"/>
    <w:rsid w:val="00AA4D65"/>
    <w:rsid w:val="00AA4DF6"/>
    <w:rsid w:val="00AA4F53"/>
    <w:rsid w:val="00AA5118"/>
    <w:rsid w:val="00AA54C6"/>
    <w:rsid w:val="00AA54D1"/>
    <w:rsid w:val="00AA56B0"/>
    <w:rsid w:val="00AA575C"/>
    <w:rsid w:val="00AA5A3C"/>
    <w:rsid w:val="00AA5BC6"/>
    <w:rsid w:val="00AA5D47"/>
    <w:rsid w:val="00AA6097"/>
    <w:rsid w:val="00AA6163"/>
    <w:rsid w:val="00AA61F2"/>
    <w:rsid w:val="00AA6616"/>
    <w:rsid w:val="00AA667E"/>
    <w:rsid w:val="00AA68D2"/>
    <w:rsid w:val="00AA6AC1"/>
    <w:rsid w:val="00AA6AE7"/>
    <w:rsid w:val="00AA6B65"/>
    <w:rsid w:val="00AA6DD4"/>
    <w:rsid w:val="00AA7090"/>
    <w:rsid w:val="00AA73FF"/>
    <w:rsid w:val="00AA7751"/>
    <w:rsid w:val="00AA77EF"/>
    <w:rsid w:val="00AA7AFA"/>
    <w:rsid w:val="00AA7D2E"/>
    <w:rsid w:val="00AB01F2"/>
    <w:rsid w:val="00AB0274"/>
    <w:rsid w:val="00AB036B"/>
    <w:rsid w:val="00AB039D"/>
    <w:rsid w:val="00AB03F7"/>
    <w:rsid w:val="00AB0436"/>
    <w:rsid w:val="00AB07E2"/>
    <w:rsid w:val="00AB0AA1"/>
    <w:rsid w:val="00AB0D3A"/>
    <w:rsid w:val="00AB1196"/>
    <w:rsid w:val="00AB11AB"/>
    <w:rsid w:val="00AB14CC"/>
    <w:rsid w:val="00AB1738"/>
    <w:rsid w:val="00AB173C"/>
    <w:rsid w:val="00AB1950"/>
    <w:rsid w:val="00AB1AD7"/>
    <w:rsid w:val="00AB1D8F"/>
    <w:rsid w:val="00AB1DC2"/>
    <w:rsid w:val="00AB1EF6"/>
    <w:rsid w:val="00AB221A"/>
    <w:rsid w:val="00AB2362"/>
    <w:rsid w:val="00AB2456"/>
    <w:rsid w:val="00AB2569"/>
    <w:rsid w:val="00AB261F"/>
    <w:rsid w:val="00AB289F"/>
    <w:rsid w:val="00AB2DC1"/>
    <w:rsid w:val="00AB2EC2"/>
    <w:rsid w:val="00AB2EEB"/>
    <w:rsid w:val="00AB2F7D"/>
    <w:rsid w:val="00AB3292"/>
    <w:rsid w:val="00AB33E3"/>
    <w:rsid w:val="00AB361A"/>
    <w:rsid w:val="00AB3657"/>
    <w:rsid w:val="00AB38C6"/>
    <w:rsid w:val="00AB3960"/>
    <w:rsid w:val="00AB39B3"/>
    <w:rsid w:val="00AB3A69"/>
    <w:rsid w:val="00AB3B56"/>
    <w:rsid w:val="00AB3E86"/>
    <w:rsid w:val="00AB4299"/>
    <w:rsid w:val="00AB44AC"/>
    <w:rsid w:val="00AB47D8"/>
    <w:rsid w:val="00AB4865"/>
    <w:rsid w:val="00AB4D93"/>
    <w:rsid w:val="00AB4DA2"/>
    <w:rsid w:val="00AB52DD"/>
    <w:rsid w:val="00AB547C"/>
    <w:rsid w:val="00AB56A2"/>
    <w:rsid w:val="00AB58D2"/>
    <w:rsid w:val="00AB5DE5"/>
    <w:rsid w:val="00AB5E40"/>
    <w:rsid w:val="00AB5F98"/>
    <w:rsid w:val="00AB608D"/>
    <w:rsid w:val="00AB61FB"/>
    <w:rsid w:val="00AB63A6"/>
    <w:rsid w:val="00AB6425"/>
    <w:rsid w:val="00AB650D"/>
    <w:rsid w:val="00AB67D2"/>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612"/>
    <w:rsid w:val="00AC0AB1"/>
    <w:rsid w:val="00AC1217"/>
    <w:rsid w:val="00AC1346"/>
    <w:rsid w:val="00AC1468"/>
    <w:rsid w:val="00AC18D9"/>
    <w:rsid w:val="00AC1B55"/>
    <w:rsid w:val="00AC1C13"/>
    <w:rsid w:val="00AC245D"/>
    <w:rsid w:val="00AC2487"/>
    <w:rsid w:val="00AC27FF"/>
    <w:rsid w:val="00AC2A2F"/>
    <w:rsid w:val="00AC2C04"/>
    <w:rsid w:val="00AC2C70"/>
    <w:rsid w:val="00AC2DC2"/>
    <w:rsid w:val="00AC2F16"/>
    <w:rsid w:val="00AC31EC"/>
    <w:rsid w:val="00AC31FD"/>
    <w:rsid w:val="00AC3293"/>
    <w:rsid w:val="00AC3624"/>
    <w:rsid w:val="00AC37F5"/>
    <w:rsid w:val="00AC39FE"/>
    <w:rsid w:val="00AC3B0B"/>
    <w:rsid w:val="00AC3B27"/>
    <w:rsid w:val="00AC410C"/>
    <w:rsid w:val="00AC429F"/>
    <w:rsid w:val="00AC42B2"/>
    <w:rsid w:val="00AC4321"/>
    <w:rsid w:val="00AC4557"/>
    <w:rsid w:val="00AC463A"/>
    <w:rsid w:val="00AC49CF"/>
    <w:rsid w:val="00AC4A47"/>
    <w:rsid w:val="00AC4B2B"/>
    <w:rsid w:val="00AC527B"/>
    <w:rsid w:val="00AC53F6"/>
    <w:rsid w:val="00AC542C"/>
    <w:rsid w:val="00AC5772"/>
    <w:rsid w:val="00AC59A7"/>
    <w:rsid w:val="00AC5B6C"/>
    <w:rsid w:val="00AC5B79"/>
    <w:rsid w:val="00AC5BE8"/>
    <w:rsid w:val="00AC5C06"/>
    <w:rsid w:val="00AC5EFE"/>
    <w:rsid w:val="00AC68C8"/>
    <w:rsid w:val="00AC6955"/>
    <w:rsid w:val="00AC6AFA"/>
    <w:rsid w:val="00AC6F35"/>
    <w:rsid w:val="00AC717A"/>
    <w:rsid w:val="00AC71E0"/>
    <w:rsid w:val="00AC77CB"/>
    <w:rsid w:val="00AC782D"/>
    <w:rsid w:val="00AC789E"/>
    <w:rsid w:val="00AC7908"/>
    <w:rsid w:val="00AC79A0"/>
    <w:rsid w:val="00AC7A16"/>
    <w:rsid w:val="00AC7C5A"/>
    <w:rsid w:val="00AC7E54"/>
    <w:rsid w:val="00AD0009"/>
    <w:rsid w:val="00AD012E"/>
    <w:rsid w:val="00AD069D"/>
    <w:rsid w:val="00AD081B"/>
    <w:rsid w:val="00AD084B"/>
    <w:rsid w:val="00AD0A55"/>
    <w:rsid w:val="00AD0C38"/>
    <w:rsid w:val="00AD101C"/>
    <w:rsid w:val="00AD1295"/>
    <w:rsid w:val="00AD13DD"/>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88"/>
    <w:rsid w:val="00AD38A2"/>
    <w:rsid w:val="00AD38EF"/>
    <w:rsid w:val="00AD3A52"/>
    <w:rsid w:val="00AD3A59"/>
    <w:rsid w:val="00AD3F62"/>
    <w:rsid w:val="00AD4035"/>
    <w:rsid w:val="00AD44DE"/>
    <w:rsid w:val="00AD4872"/>
    <w:rsid w:val="00AD4DB2"/>
    <w:rsid w:val="00AD4F2A"/>
    <w:rsid w:val="00AD500B"/>
    <w:rsid w:val="00AD51AB"/>
    <w:rsid w:val="00AD5205"/>
    <w:rsid w:val="00AD5708"/>
    <w:rsid w:val="00AD5852"/>
    <w:rsid w:val="00AD598B"/>
    <w:rsid w:val="00AD5A14"/>
    <w:rsid w:val="00AD5E0C"/>
    <w:rsid w:val="00AD6123"/>
    <w:rsid w:val="00AD6845"/>
    <w:rsid w:val="00AD68C1"/>
    <w:rsid w:val="00AD6C00"/>
    <w:rsid w:val="00AD6C74"/>
    <w:rsid w:val="00AD7053"/>
    <w:rsid w:val="00AD748B"/>
    <w:rsid w:val="00AD7659"/>
    <w:rsid w:val="00AD7895"/>
    <w:rsid w:val="00AD79F1"/>
    <w:rsid w:val="00AD79F4"/>
    <w:rsid w:val="00AD7B8E"/>
    <w:rsid w:val="00AD7FC8"/>
    <w:rsid w:val="00AE00E2"/>
    <w:rsid w:val="00AE01CF"/>
    <w:rsid w:val="00AE01E4"/>
    <w:rsid w:val="00AE045E"/>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3E88"/>
    <w:rsid w:val="00AE41B1"/>
    <w:rsid w:val="00AE4240"/>
    <w:rsid w:val="00AE43E9"/>
    <w:rsid w:val="00AE45D5"/>
    <w:rsid w:val="00AE46C8"/>
    <w:rsid w:val="00AE4955"/>
    <w:rsid w:val="00AE4C04"/>
    <w:rsid w:val="00AE4E68"/>
    <w:rsid w:val="00AE4E9D"/>
    <w:rsid w:val="00AE527A"/>
    <w:rsid w:val="00AE539B"/>
    <w:rsid w:val="00AE5404"/>
    <w:rsid w:val="00AE5422"/>
    <w:rsid w:val="00AE5791"/>
    <w:rsid w:val="00AE579B"/>
    <w:rsid w:val="00AE57BB"/>
    <w:rsid w:val="00AE59A6"/>
    <w:rsid w:val="00AE6127"/>
    <w:rsid w:val="00AE6747"/>
    <w:rsid w:val="00AE67EB"/>
    <w:rsid w:val="00AE68F8"/>
    <w:rsid w:val="00AE6AAA"/>
    <w:rsid w:val="00AE6BE3"/>
    <w:rsid w:val="00AE6F13"/>
    <w:rsid w:val="00AE7068"/>
    <w:rsid w:val="00AE7321"/>
    <w:rsid w:val="00AE73D7"/>
    <w:rsid w:val="00AE75C1"/>
    <w:rsid w:val="00AE76FD"/>
    <w:rsid w:val="00AE7841"/>
    <w:rsid w:val="00AE7B30"/>
    <w:rsid w:val="00AE7C82"/>
    <w:rsid w:val="00AE7D10"/>
    <w:rsid w:val="00AF025C"/>
    <w:rsid w:val="00AF043A"/>
    <w:rsid w:val="00AF05B0"/>
    <w:rsid w:val="00AF0E17"/>
    <w:rsid w:val="00AF10B2"/>
    <w:rsid w:val="00AF112A"/>
    <w:rsid w:val="00AF11C4"/>
    <w:rsid w:val="00AF12A8"/>
    <w:rsid w:val="00AF1777"/>
    <w:rsid w:val="00AF18E7"/>
    <w:rsid w:val="00AF1B7A"/>
    <w:rsid w:val="00AF1BE6"/>
    <w:rsid w:val="00AF1C90"/>
    <w:rsid w:val="00AF1D41"/>
    <w:rsid w:val="00AF1F1A"/>
    <w:rsid w:val="00AF2181"/>
    <w:rsid w:val="00AF24DF"/>
    <w:rsid w:val="00AF263B"/>
    <w:rsid w:val="00AF29A5"/>
    <w:rsid w:val="00AF29F6"/>
    <w:rsid w:val="00AF2A7B"/>
    <w:rsid w:val="00AF2C75"/>
    <w:rsid w:val="00AF2CCD"/>
    <w:rsid w:val="00AF34A0"/>
    <w:rsid w:val="00AF3903"/>
    <w:rsid w:val="00AF3B34"/>
    <w:rsid w:val="00AF3C5C"/>
    <w:rsid w:val="00AF3D83"/>
    <w:rsid w:val="00AF3DCD"/>
    <w:rsid w:val="00AF427C"/>
    <w:rsid w:val="00AF4511"/>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8"/>
    <w:rsid w:val="00AF744E"/>
    <w:rsid w:val="00AF74C2"/>
    <w:rsid w:val="00AF7615"/>
    <w:rsid w:val="00AF76E1"/>
    <w:rsid w:val="00AF79E5"/>
    <w:rsid w:val="00AF7A9B"/>
    <w:rsid w:val="00AF7E44"/>
    <w:rsid w:val="00AF7E92"/>
    <w:rsid w:val="00B00018"/>
    <w:rsid w:val="00B000BE"/>
    <w:rsid w:val="00B0020B"/>
    <w:rsid w:val="00B0030E"/>
    <w:rsid w:val="00B00555"/>
    <w:rsid w:val="00B00879"/>
    <w:rsid w:val="00B00938"/>
    <w:rsid w:val="00B00C29"/>
    <w:rsid w:val="00B00D80"/>
    <w:rsid w:val="00B012CA"/>
    <w:rsid w:val="00B01369"/>
    <w:rsid w:val="00B01D56"/>
    <w:rsid w:val="00B01D9E"/>
    <w:rsid w:val="00B01E3F"/>
    <w:rsid w:val="00B023FD"/>
    <w:rsid w:val="00B0249F"/>
    <w:rsid w:val="00B02584"/>
    <w:rsid w:val="00B029D0"/>
    <w:rsid w:val="00B029EB"/>
    <w:rsid w:val="00B02C47"/>
    <w:rsid w:val="00B035D9"/>
    <w:rsid w:val="00B037FD"/>
    <w:rsid w:val="00B03AAB"/>
    <w:rsid w:val="00B03AC1"/>
    <w:rsid w:val="00B03BF2"/>
    <w:rsid w:val="00B04024"/>
    <w:rsid w:val="00B042BF"/>
    <w:rsid w:val="00B04410"/>
    <w:rsid w:val="00B044CA"/>
    <w:rsid w:val="00B044E2"/>
    <w:rsid w:val="00B0470A"/>
    <w:rsid w:val="00B04734"/>
    <w:rsid w:val="00B0479B"/>
    <w:rsid w:val="00B04867"/>
    <w:rsid w:val="00B048F0"/>
    <w:rsid w:val="00B049F1"/>
    <w:rsid w:val="00B04D56"/>
    <w:rsid w:val="00B0510E"/>
    <w:rsid w:val="00B05139"/>
    <w:rsid w:val="00B05247"/>
    <w:rsid w:val="00B052D4"/>
    <w:rsid w:val="00B052F6"/>
    <w:rsid w:val="00B05423"/>
    <w:rsid w:val="00B05D68"/>
    <w:rsid w:val="00B05E8D"/>
    <w:rsid w:val="00B05FEC"/>
    <w:rsid w:val="00B0627F"/>
    <w:rsid w:val="00B062B1"/>
    <w:rsid w:val="00B064DB"/>
    <w:rsid w:val="00B066FD"/>
    <w:rsid w:val="00B0689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704"/>
    <w:rsid w:val="00B1176C"/>
    <w:rsid w:val="00B118D1"/>
    <w:rsid w:val="00B11A4E"/>
    <w:rsid w:val="00B11B5F"/>
    <w:rsid w:val="00B11BD3"/>
    <w:rsid w:val="00B11F81"/>
    <w:rsid w:val="00B121CA"/>
    <w:rsid w:val="00B12319"/>
    <w:rsid w:val="00B1265F"/>
    <w:rsid w:val="00B12B3E"/>
    <w:rsid w:val="00B12F0E"/>
    <w:rsid w:val="00B12F3B"/>
    <w:rsid w:val="00B13015"/>
    <w:rsid w:val="00B13089"/>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212"/>
    <w:rsid w:val="00B15300"/>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165"/>
    <w:rsid w:val="00B17232"/>
    <w:rsid w:val="00B17491"/>
    <w:rsid w:val="00B17AFB"/>
    <w:rsid w:val="00B17F37"/>
    <w:rsid w:val="00B17F6C"/>
    <w:rsid w:val="00B20090"/>
    <w:rsid w:val="00B202D4"/>
    <w:rsid w:val="00B20515"/>
    <w:rsid w:val="00B20E42"/>
    <w:rsid w:val="00B20E6A"/>
    <w:rsid w:val="00B20E83"/>
    <w:rsid w:val="00B21057"/>
    <w:rsid w:val="00B2112B"/>
    <w:rsid w:val="00B216EC"/>
    <w:rsid w:val="00B21868"/>
    <w:rsid w:val="00B21A36"/>
    <w:rsid w:val="00B21A6C"/>
    <w:rsid w:val="00B21B7A"/>
    <w:rsid w:val="00B21CF3"/>
    <w:rsid w:val="00B21D69"/>
    <w:rsid w:val="00B21F61"/>
    <w:rsid w:val="00B21F71"/>
    <w:rsid w:val="00B220CC"/>
    <w:rsid w:val="00B2217D"/>
    <w:rsid w:val="00B22760"/>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4E8"/>
    <w:rsid w:val="00B249E8"/>
    <w:rsid w:val="00B24B30"/>
    <w:rsid w:val="00B24CD7"/>
    <w:rsid w:val="00B24F22"/>
    <w:rsid w:val="00B24F96"/>
    <w:rsid w:val="00B25459"/>
    <w:rsid w:val="00B2545F"/>
    <w:rsid w:val="00B25579"/>
    <w:rsid w:val="00B25609"/>
    <w:rsid w:val="00B25994"/>
    <w:rsid w:val="00B259BD"/>
    <w:rsid w:val="00B259CD"/>
    <w:rsid w:val="00B25F06"/>
    <w:rsid w:val="00B25F50"/>
    <w:rsid w:val="00B25F52"/>
    <w:rsid w:val="00B2603B"/>
    <w:rsid w:val="00B261AA"/>
    <w:rsid w:val="00B261DE"/>
    <w:rsid w:val="00B2621B"/>
    <w:rsid w:val="00B263D0"/>
    <w:rsid w:val="00B266A0"/>
    <w:rsid w:val="00B266C8"/>
    <w:rsid w:val="00B26A1F"/>
    <w:rsid w:val="00B26A5D"/>
    <w:rsid w:val="00B26B55"/>
    <w:rsid w:val="00B26FEA"/>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5CC"/>
    <w:rsid w:val="00B3087F"/>
    <w:rsid w:val="00B30929"/>
    <w:rsid w:val="00B3114C"/>
    <w:rsid w:val="00B31308"/>
    <w:rsid w:val="00B313C6"/>
    <w:rsid w:val="00B31441"/>
    <w:rsid w:val="00B31560"/>
    <w:rsid w:val="00B315ED"/>
    <w:rsid w:val="00B31669"/>
    <w:rsid w:val="00B317FA"/>
    <w:rsid w:val="00B3191D"/>
    <w:rsid w:val="00B319AB"/>
    <w:rsid w:val="00B31F13"/>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87C"/>
    <w:rsid w:val="00B35BE0"/>
    <w:rsid w:val="00B35BF4"/>
    <w:rsid w:val="00B35E70"/>
    <w:rsid w:val="00B36121"/>
    <w:rsid w:val="00B3614B"/>
    <w:rsid w:val="00B36273"/>
    <w:rsid w:val="00B36749"/>
    <w:rsid w:val="00B36803"/>
    <w:rsid w:val="00B36921"/>
    <w:rsid w:val="00B36DE3"/>
    <w:rsid w:val="00B3750F"/>
    <w:rsid w:val="00B37757"/>
    <w:rsid w:val="00B37D27"/>
    <w:rsid w:val="00B37D40"/>
    <w:rsid w:val="00B37DE1"/>
    <w:rsid w:val="00B37DFC"/>
    <w:rsid w:val="00B37EA2"/>
    <w:rsid w:val="00B37EF4"/>
    <w:rsid w:val="00B40760"/>
    <w:rsid w:val="00B409C0"/>
    <w:rsid w:val="00B409F4"/>
    <w:rsid w:val="00B40CD0"/>
    <w:rsid w:val="00B40E39"/>
    <w:rsid w:val="00B4113C"/>
    <w:rsid w:val="00B4135A"/>
    <w:rsid w:val="00B4141A"/>
    <w:rsid w:val="00B41471"/>
    <w:rsid w:val="00B414BD"/>
    <w:rsid w:val="00B4159C"/>
    <w:rsid w:val="00B41749"/>
    <w:rsid w:val="00B417DF"/>
    <w:rsid w:val="00B4197F"/>
    <w:rsid w:val="00B41AD3"/>
    <w:rsid w:val="00B42146"/>
    <w:rsid w:val="00B42270"/>
    <w:rsid w:val="00B4258A"/>
    <w:rsid w:val="00B426F8"/>
    <w:rsid w:val="00B42D23"/>
    <w:rsid w:val="00B42FBA"/>
    <w:rsid w:val="00B42FC1"/>
    <w:rsid w:val="00B432AA"/>
    <w:rsid w:val="00B4361C"/>
    <w:rsid w:val="00B4387A"/>
    <w:rsid w:val="00B43A66"/>
    <w:rsid w:val="00B43B10"/>
    <w:rsid w:val="00B43D20"/>
    <w:rsid w:val="00B43D9C"/>
    <w:rsid w:val="00B4413B"/>
    <w:rsid w:val="00B441DB"/>
    <w:rsid w:val="00B443C1"/>
    <w:rsid w:val="00B44422"/>
    <w:rsid w:val="00B44674"/>
    <w:rsid w:val="00B44915"/>
    <w:rsid w:val="00B44BF9"/>
    <w:rsid w:val="00B44C24"/>
    <w:rsid w:val="00B45079"/>
    <w:rsid w:val="00B4556A"/>
    <w:rsid w:val="00B45626"/>
    <w:rsid w:val="00B45687"/>
    <w:rsid w:val="00B45AF9"/>
    <w:rsid w:val="00B45B79"/>
    <w:rsid w:val="00B45B7A"/>
    <w:rsid w:val="00B46B64"/>
    <w:rsid w:val="00B46BDD"/>
    <w:rsid w:val="00B46CC1"/>
    <w:rsid w:val="00B46DBE"/>
    <w:rsid w:val="00B4703E"/>
    <w:rsid w:val="00B4707A"/>
    <w:rsid w:val="00B470EA"/>
    <w:rsid w:val="00B47394"/>
    <w:rsid w:val="00B475A9"/>
    <w:rsid w:val="00B477C1"/>
    <w:rsid w:val="00B47906"/>
    <w:rsid w:val="00B4799D"/>
    <w:rsid w:val="00B47A89"/>
    <w:rsid w:val="00B47D66"/>
    <w:rsid w:val="00B47F0C"/>
    <w:rsid w:val="00B502CA"/>
    <w:rsid w:val="00B50331"/>
    <w:rsid w:val="00B50334"/>
    <w:rsid w:val="00B50C4C"/>
    <w:rsid w:val="00B50C5A"/>
    <w:rsid w:val="00B50D1D"/>
    <w:rsid w:val="00B50DBD"/>
    <w:rsid w:val="00B50EB7"/>
    <w:rsid w:val="00B50EBE"/>
    <w:rsid w:val="00B50F42"/>
    <w:rsid w:val="00B5135D"/>
    <w:rsid w:val="00B5146C"/>
    <w:rsid w:val="00B5160C"/>
    <w:rsid w:val="00B51A16"/>
    <w:rsid w:val="00B51BFA"/>
    <w:rsid w:val="00B51D18"/>
    <w:rsid w:val="00B51E10"/>
    <w:rsid w:val="00B51E46"/>
    <w:rsid w:val="00B51EB4"/>
    <w:rsid w:val="00B52323"/>
    <w:rsid w:val="00B5274E"/>
    <w:rsid w:val="00B52B71"/>
    <w:rsid w:val="00B52B80"/>
    <w:rsid w:val="00B52CCA"/>
    <w:rsid w:val="00B52D3E"/>
    <w:rsid w:val="00B52DCB"/>
    <w:rsid w:val="00B52E0E"/>
    <w:rsid w:val="00B52F34"/>
    <w:rsid w:val="00B530DC"/>
    <w:rsid w:val="00B5313E"/>
    <w:rsid w:val="00B53267"/>
    <w:rsid w:val="00B532D3"/>
    <w:rsid w:val="00B53387"/>
    <w:rsid w:val="00B534F0"/>
    <w:rsid w:val="00B535A8"/>
    <w:rsid w:val="00B53AEF"/>
    <w:rsid w:val="00B53BC9"/>
    <w:rsid w:val="00B53D03"/>
    <w:rsid w:val="00B53E86"/>
    <w:rsid w:val="00B5417C"/>
    <w:rsid w:val="00B546E2"/>
    <w:rsid w:val="00B5507B"/>
    <w:rsid w:val="00B5548E"/>
    <w:rsid w:val="00B55645"/>
    <w:rsid w:val="00B55AC6"/>
    <w:rsid w:val="00B55D56"/>
    <w:rsid w:val="00B55F9E"/>
    <w:rsid w:val="00B55FBA"/>
    <w:rsid w:val="00B560F0"/>
    <w:rsid w:val="00B56134"/>
    <w:rsid w:val="00B566BA"/>
    <w:rsid w:val="00B569A4"/>
    <w:rsid w:val="00B569B8"/>
    <w:rsid w:val="00B570F1"/>
    <w:rsid w:val="00B57DC9"/>
    <w:rsid w:val="00B57E2F"/>
    <w:rsid w:val="00B60670"/>
    <w:rsid w:val="00B60686"/>
    <w:rsid w:val="00B60950"/>
    <w:rsid w:val="00B609BB"/>
    <w:rsid w:val="00B60D65"/>
    <w:rsid w:val="00B60D86"/>
    <w:rsid w:val="00B60DEB"/>
    <w:rsid w:val="00B6114D"/>
    <w:rsid w:val="00B612DE"/>
    <w:rsid w:val="00B6132E"/>
    <w:rsid w:val="00B613EC"/>
    <w:rsid w:val="00B615D3"/>
    <w:rsid w:val="00B61650"/>
    <w:rsid w:val="00B618C8"/>
    <w:rsid w:val="00B61EB6"/>
    <w:rsid w:val="00B62148"/>
    <w:rsid w:val="00B62226"/>
    <w:rsid w:val="00B626A3"/>
    <w:rsid w:val="00B62746"/>
    <w:rsid w:val="00B62954"/>
    <w:rsid w:val="00B62C97"/>
    <w:rsid w:val="00B62DAF"/>
    <w:rsid w:val="00B62E1E"/>
    <w:rsid w:val="00B62F2A"/>
    <w:rsid w:val="00B62FE1"/>
    <w:rsid w:val="00B63570"/>
    <w:rsid w:val="00B6392E"/>
    <w:rsid w:val="00B63BA9"/>
    <w:rsid w:val="00B63C03"/>
    <w:rsid w:val="00B63FEA"/>
    <w:rsid w:val="00B63FEC"/>
    <w:rsid w:val="00B64103"/>
    <w:rsid w:val="00B641A2"/>
    <w:rsid w:val="00B6429C"/>
    <w:rsid w:val="00B64AB2"/>
    <w:rsid w:val="00B651FC"/>
    <w:rsid w:val="00B65207"/>
    <w:rsid w:val="00B6522F"/>
    <w:rsid w:val="00B65343"/>
    <w:rsid w:val="00B654FC"/>
    <w:rsid w:val="00B65BE6"/>
    <w:rsid w:val="00B65C8F"/>
    <w:rsid w:val="00B65D39"/>
    <w:rsid w:val="00B65EDD"/>
    <w:rsid w:val="00B65FEF"/>
    <w:rsid w:val="00B6648B"/>
    <w:rsid w:val="00B66508"/>
    <w:rsid w:val="00B665B6"/>
    <w:rsid w:val="00B66615"/>
    <w:rsid w:val="00B66646"/>
    <w:rsid w:val="00B6669F"/>
    <w:rsid w:val="00B66704"/>
    <w:rsid w:val="00B667B3"/>
    <w:rsid w:val="00B66D07"/>
    <w:rsid w:val="00B66D23"/>
    <w:rsid w:val="00B66E04"/>
    <w:rsid w:val="00B67104"/>
    <w:rsid w:val="00B672A1"/>
    <w:rsid w:val="00B67333"/>
    <w:rsid w:val="00B673C4"/>
    <w:rsid w:val="00B67518"/>
    <w:rsid w:val="00B678D5"/>
    <w:rsid w:val="00B678D9"/>
    <w:rsid w:val="00B67B4D"/>
    <w:rsid w:val="00B67CB0"/>
    <w:rsid w:val="00B67DB4"/>
    <w:rsid w:val="00B67DB7"/>
    <w:rsid w:val="00B67DC3"/>
    <w:rsid w:val="00B67E5F"/>
    <w:rsid w:val="00B70554"/>
    <w:rsid w:val="00B706D1"/>
    <w:rsid w:val="00B70A2D"/>
    <w:rsid w:val="00B70BEC"/>
    <w:rsid w:val="00B71015"/>
    <w:rsid w:val="00B71248"/>
    <w:rsid w:val="00B7127C"/>
    <w:rsid w:val="00B713F3"/>
    <w:rsid w:val="00B71505"/>
    <w:rsid w:val="00B71B61"/>
    <w:rsid w:val="00B72018"/>
    <w:rsid w:val="00B72633"/>
    <w:rsid w:val="00B727D2"/>
    <w:rsid w:val="00B72965"/>
    <w:rsid w:val="00B72A38"/>
    <w:rsid w:val="00B72A3E"/>
    <w:rsid w:val="00B72E6C"/>
    <w:rsid w:val="00B72F50"/>
    <w:rsid w:val="00B72FBF"/>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6A9"/>
    <w:rsid w:val="00B748CC"/>
    <w:rsid w:val="00B74A97"/>
    <w:rsid w:val="00B74B49"/>
    <w:rsid w:val="00B74B4A"/>
    <w:rsid w:val="00B74B7D"/>
    <w:rsid w:val="00B74FAA"/>
    <w:rsid w:val="00B75285"/>
    <w:rsid w:val="00B75485"/>
    <w:rsid w:val="00B75488"/>
    <w:rsid w:val="00B7555F"/>
    <w:rsid w:val="00B757AA"/>
    <w:rsid w:val="00B758A5"/>
    <w:rsid w:val="00B75A8C"/>
    <w:rsid w:val="00B75B2C"/>
    <w:rsid w:val="00B75E18"/>
    <w:rsid w:val="00B76067"/>
    <w:rsid w:val="00B76260"/>
    <w:rsid w:val="00B76399"/>
    <w:rsid w:val="00B76706"/>
    <w:rsid w:val="00B76966"/>
    <w:rsid w:val="00B76E0E"/>
    <w:rsid w:val="00B76EBD"/>
    <w:rsid w:val="00B76ECE"/>
    <w:rsid w:val="00B7713D"/>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BB0"/>
    <w:rsid w:val="00B81C89"/>
    <w:rsid w:val="00B81E3E"/>
    <w:rsid w:val="00B82082"/>
    <w:rsid w:val="00B82121"/>
    <w:rsid w:val="00B82321"/>
    <w:rsid w:val="00B8255F"/>
    <w:rsid w:val="00B825B0"/>
    <w:rsid w:val="00B82A7D"/>
    <w:rsid w:val="00B82C01"/>
    <w:rsid w:val="00B82C1F"/>
    <w:rsid w:val="00B82E52"/>
    <w:rsid w:val="00B8304C"/>
    <w:rsid w:val="00B83381"/>
    <w:rsid w:val="00B835A3"/>
    <w:rsid w:val="00B83CCF"/>
    <w:rsid w:val="00B83E46"/>
    <w:rsid w:val="00B843B6"/>
    <w:rsid w:val="00B8456C"/>
    <w:rsid w:val="00B84689"/>
    <w:rsid w:val="00B849C9"/>
    <w:rsid w:val="00B84A62"/>
    <w:rsid w:val="00B84ED3"/>
    <w:rsid w:val="00B84F34"/>
    <w:rsid w:val="00B84F7F"/>
    <w:rsid w:val="00B853C7"/>
    <w:rsid w:val="00B85414"/>
    <w:rsid w:val="00B85465"/>
    <w:rsid w:val="00B85747"/>
    <w:rsid w:val="00B8645C"/>
    <w:rsid w:val="00B866B1"/>
    <w:rsid w:val="00B86801"/>
    <w:rsid w:val="00B86933"/>
    <w:rsid w:val="00B86BB1"/>
    <w:rsid w:val="00B86C48"/>
    <w:rsid w:val="00B87258"/>
    <w:rsid w:val="00B87688"/>
    <w:rsid w:val="00B8777E"/>
    <w:rsid w:val="00B879B4"/>
    <w:rsid w:val="00B87D7A"/>
    <w:rsid w:val="00B9006B"/>
    <w:rsid w:val="00B90888"/>
    <w:rsid w:val="00B908F8"/>
    <w:rsid w:val="00B90B26"/>
    <w:rsid w:val="00B90B5D"/>
    <w:rsid w:val="00B90D71"/>
    <w:rsid w:val="00B90DBE"/>
    <w:rsid w:val="00B90DC1"/>
    <w:rsid w:val="00B9101E"/>
    <w:rsid w:val="00B91027"/>
    <w:rsid w:val="00B9111B"/>
    <w:rsid w:val="00B911E7"/>
    <w:rsid w:val="00B91223"/>
    <w:rsid w:val="00B9141B"/>
    <w:rsid w:val="00B91487"/>
    <w:rsid w:val="00B916A7"/>
    <w:rsid w:val="00B917C1"/>
    <w:rsid w:val="00B91B66"/>
    <w:rsid w:val="00B91D5A"/>
    <w:rsid w:val="00B91F97"/>
    <w:rsid w:val="00B921B0"/>
    <w:rsid w:val="00B92243"/>
    <w:rsid w:val="00B9228D"/>
    <w:rsid w:val="00B9259E"/>
    <w:rsid w:val="00B927AA"/>
    <w:rsid w:val="00B927CB"/>
    <w:rsid w:val="00B92C78"/>
    <w:rsid w:val="00B92CB2"/>
    <w:rsid w:val="00B92DA4"/>
    <w:rsid w:val="00B92DCC"/>
    <w:rsid w:val="00B92FE6"/>
    <w:rsid w:val="00B93044"/>
    <w:rsid w:val="00B9314B"/>
    <w:rsid w:val="00B935F8"/>
    <w:rsid w:val="00B93A10"/>
    <w:rsid w:val="00B93D0B"/>
    <w:rsid w:val="00B93D3B"/>
    <w:rsid w:val="00B93E98"/>
    <w:rsid w:val="00B94161"/>
    <w:rsid w:val="00B943FB"/>
    <w:rsid w:val="00B94852"/>
    <w:rsid w:val="00B94914"/>
    <w:rsid w:val="00B94A79"/>
    <w:rsid w:val="00B94ADD"/>
    <w:rsid w:val="00B94C87"/>
    <w:rsid w:val="00B94D17"/>
    <w:rsid w:val="00B950CA"/>
    <w:rsid w:val="00B952F6"/>
    <w:rsid w:val="00B953B9"/>
    <w:rsid w:val="00B95491"/>
    <w:rsid w:val="00B95568"/>
    <w:rsid w:val="00B9557F"/>
    <w:rsid w:val="00B955E6"/>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7E4"/>
    <w:rsid w:val="00B97A18"/>
    <w:rsid w:val="00B97B3D"/>
    <w:rsid w:val="00BA015D"/>
    <w:rsid w:val="00BA01A7"/>
    <w:rsid w:val="00BA0229"/>
    <w:rsid w:val="00BA0860"/>
    <w:rsid w:val="00BA0A8E"/>
    <w:rsid w:val="00BA0ECC"/>
    <w:rsid w:val="00BA103C"/>
    <w:rsid w:val="00BA17E4"/>
    <w:rsid w:val="00BA1A10"/>
    <w:rsid w:val="00BA1B35"/>
    <w:rsid w:val="00BA1B99"/>
    <w:rsid w:val="00BA1C72"/>
    <w:rsid w:val="00BA1C8A"/>
    <w:rsid w:val="00BA2652"/>
    <w:rsid w:val="00BA2914"/>
    <w:rsid w:val="00BA2B6F"/>
    <w:rsid w:val="00BA2DD7"/>
    <w:rsid w:val="00BA2E5F"/>
    <w:rsid w:val="00BA3072"/>
    <w:rsid w:val="00BA30C7"/>
    <w:rsid w:val="00BA35C5"/>
    <w:rsid w:val="00BA3857"/>
    <w:rsid w:val="00BA3A00"/>
    <w:rsid w:val="00BA3CB8"/>
    <w:rsid w:val="00BA3CFD"/>
    <w:rsid w:val="00BA3D55"/>
    <w:rsid w:val="00BA409C"/>
    <w:rsid w:val="00BA4183"/>
    <w:rsid w:val="00BA449D"/>
    <w:rsid w:val="00BA45D8"/>
    <w:rsid w:val="00BA4A98"/>
    <w:rsid w:val="00BA52B6"/>
    <w:rsid w:val="00BA5320"/>
    <w:rsid w:val="00BA532E"/>
    <w:rsid w:val="00BA5695"/>
    <w:rsid w:val="00BA5982"/>
    <w:rsid w:val="00BA5B32"/>
    <w:rsid w:val="00BA5B52"/>
    <w:rsid w:val="00BA5B9A"/>
    <w:rsid w:val="00BA5D39"/>
    <w:rsid w:val="00BA5E53"/>
    <w:rsid w:val="00BA5ED7"/>
    <w:rsid w:val="00BA613A"/>
    <w:rsid w:val="00BA61DB"/>
    <w:rsid w:val="00BA61FB"/>
    <w:rsid w:val="00BA6226"/>
    <w:rsid w:val="00BA6510"/>
    <w:rsid w:val="00BA65AB"/>
    <w:rsid w:val="00BA67CA"/>
    <w:rsid w:val="00BA688B"/>
    <w:rsid w:val="00BA6C06"/>
    <w:rsid w:val="00BA6DF7"/>
    <w:rsid w:val="00BA7246"/>
    <w:rsid w:val="00BA7262"/>
    <w:rsid w:val="00BA7269"/>
    <w:rsid w:val="00BA757B"/>
    <w:rsid w:val="00BA75A2"/>
    <w:rsid w:val="00BA7AAD"/>
    <w:rsid w:val="00BA7AB6"/>
    <w:rsid w:val="00BA7B74"/>
    <w:rsid w:val="00BA7D3A"/>
    <w:rsid w:val="00BB0181"/>
    <w:rsid w:val="00BB0743"/>
    <w:rsid w:val="00BB0E11"/>
    <w:rsid w:val="00BB0F25"/>
    <w:rsid w:val="00BB0F4D"/>
    <w:rsid w:val="00BB1628"/>
    <w:rsid w:val="00BB1803"/>
    <w:rsid w:val="00BB1837"/>
    <w:rsid w:val="00BB1857"/>
    <w:rsid w:val="00BB18C4"/>
    <w:rsid w:val="00BB1C14"/>
    <w:rsid w:val="00BB1CBA"/>
    <w:rsid w:val="00BB239A"/>
    <w:rsid w:val="00BB24E8"/>
    <w:rsid w:val="00BB258C"/>
    <w:rsid w:val="00BB25A9"/>
    <w:rsid w:val="00BB27DE"/>
    <w:rsid w:val="00BB298C"/>
    <w:rsid w:val="00BB29AF"/>
    <w:rsid w:val="00BB2ABC"/>
    <w:rsid w:val="00BB2B29"/>
    <w:rsid w:val="00BB2D92"/>
    <w:rsid w:val="00BB3461"/>
    <w:rsid w:val="00BB3619"/>
    <w:rsid w:val="00BB36B1"/>
    <w:rsid w:val="00BB3700"/>
    <w:rsid w:val="00BB372A"/>
    <w:rsid w:val="00BB3895"/>
    <w:rsid w:val="00BB3990"/>
    <w:rsid w:val="00BB3F05"/>
    <w:rsid w:val="00BB4035"/>
    <w:rsid w:val="00BB4222"/>
    <w:rsid w:val="00BB434B"/>
    <w:rsid w:val="00BB4485"/>
    <w:rsid w:val="00BB453B"/>
    <w:rsid w:val="00BB4AEA"/>
    <w:rsid w:val="00BB4B7E"/>
    <w:rsid w:val="00BB4F35"/>
    <w:rsid w:val="00BB5673"/>
    <w:rsid w:val="00BB5AAA"/>
    <w:rsid w:val="00BB5B80"/>
    <w:rsid w:val="00BB5EEC"/>
    <w:rsid w:val="00BB617F"/>
    <w:rsid w:val="00BB67F4"/>
    <w:rsid w:val="00BB68FD"/>
    <w:rsid w:val="00BB6C69"/>
    <w:rsid w:val="00BB70C8"/>
    <w:rsid w:val="00BB7218"/>
    <w:rsid w:val="00BB7227"/>
    <w:rsid w:val="00BB7409"/>
    <w:rsid w:val="00BB7410"/>
    <w:rsid w:val="00BB761A"/>
    <w:rsid w:val="00BB788E"/>
    <w:rsid w:val="00BB78D1"/>
    <w:rsid w:val="00BC0455"/>
    <w:rsid w:val="00BC092F"/>
    <w:rsid w:val="00BC0974"/>
    <w:rsid w:val="00BC0AB0"/>
    <w:rsid w:val="00BC0C75"/>
    <w:rsid w:val="00BC0E32"/>
    <w:rsid w:val="00BC0E33"/>
    <w:rsid w:val="00BC0F7E"/>
    <w:rsid w:val="00BC126B"/>
    <w:rsid w:val="00BC130F"/>
    <w:rsid w:val="00BC1330"/>
    <w:rsid w:val="00BC1822"/>
    <w:rsid w:val="00BC18C9"/>
    <w:rsid w:val="00BC1918"/>
    <w:rsid w:val="00BC1A76"/>
    <w:rsid w:val="00BC1AB4"/>
    <w:rsid w:val="00BC1B77"/>
    <w:rsid w:val="00BC1FFB"/>
    <w:rsid w:val="00BC2122"/>
    <w:rsid w:val="00BC23A4"/>
    <w:rsid w:val="00BC23A5"/>
    <w:rsid w:val="00BC265E"/>
    <w:rsid w:val="00BC269F"/>
    <w:rsid w:val="00BC29C7"/>
    <w:rsid w:val="00BC2BC9"/>
    <w:rsid w:val="00BC2BE0"/>
    <w:rsid w:val="00BC2D2B"/>
    <w:rsid w:val="00BC2DB1"/>
    <w:rsid w:val="00BC2DD0"/>
    <w:rsid w:val="00BC2FCB"/>
    <w:rsid w:val="00BC328F"/>
    <w:rsid w:val="00BC33CF"/>
    <w:rsid w:val="00BC3482"/>
    <w:rsid w:val="00BC35A6"/>
    <w:rsid w:val="00BC38CE"/>
    <w:rsid w:val="00BC3991"/>
    <w:rsid w:val="00BC3AE0"/>
    <w:rsid w:val="00BC3FD0"/>
    <w:rsid w:val="00BC4609"/>
    <w:rsid w:val="00BC4787"/>
    <w:rsid w:val="00BC4A8B"/>
    <w:rsid w:val="00BC4B45"/>
    <w:rsid w:val="00BC4B70"/>
    <w:rsid w:val="00BC555E"/>
    <w:rsid w:val="00BC569E"/>
    <w:rsid w:val="00BC56C1"/>
    <w:rsid w:val="00BC575C"/>
    <w:rsid w:val="00BC5923"/>
    <w:rsid w:val="00BC5A95"/>
    <w:rsid w:val="00BC5AD6"/>
    <w:rsid w:val="00BC5CC2"/>
    <w:rsid w:val="00BC61C4"/>
    <w:rsid w:val="00BC65D9"/>
    <w:rsid w:val="00BC683D"/>
    <w:rsid w:val="00BC69AA"/>
    <w:rsid w:val="00BC6B48"/>
    <w:rsid w:val="00BC6CC5"/>
    <w:rsid w:val="00BC6D68"/>
    <w:rsid w:val="00BC6DC4"/>
    <w:rsid w:val="00BC7025"/>
    <w:rsid w:val="00BC70F5"/>
    <w:rsid w:val="00BC7240"/>
    <w:rsid w:val="00BC74D6"/>
    <w:rsid w:val="00BC76EA"/>
    <w:rsid w:val="00BC79A6"/>
    <w:rsid w:val="00BC79B3"/>
    <w:rsid w:val="00BC7A27"/>
    <w:rsid w:val="00BC7B8D"/>
    <w:rsid w:val="00BC7C7C"/>
    <w:rsid w:val="00BC9093"/>
    <w:rsid w:val="00BD0322"/>
    <w:rsid w:val="00BD05D8"/>
    <w:rsid w:val="00BD06E7"/>
    <w:rsid w:val="00BD093E"/>
    <w:rsid w:val="00BD0A2B"/>
    <w:rsid w:val="00BD0C7F"/>
    <w:rsid w:val="00BD0CAD"/>
    <w:rsid w:val="00BD16A2"/>
    <w:rsid w:val="00BD1838"/>
    <w:rsid w:val="00BD1BAB"/>
    <w:rsid w:val="00BD1CFD"/>
    <w:rsid w:val="00BD20C3"/>
    <w:rsid w:val="00BD216D"/>
    <w:rsid w:val="00BD2733"/>
    <w:rsid w:val="00BD2C72"/>
    <w:rsid w:val="00BD2CF3"/>
    <w:rsid w:val="00BD3003"/>
    <w:rsid w:val="00BD304A"/>
    <w:rsid w:val="00BD30D1"/>
    <w:rsid w:val="00BD324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D9A"/>
    <w:rsid w:val="00BD4E1E"/>
    <w:rsid w:val="00BD4E82"/>
    <w:rsid w:val="00BD4FEC"/>
    <w:rsid w:val="00BD503E"/>
    <w:rsid w:val="00BD5550"/>
    <w:rsid w:val="00BD559C"/>
    <w:rsid w:val="00BD56B8"/>
    <w:rsid w:val="00BD5802"/>
    <w:rsid w:val="00BD5EAA"/>
    <w:rsid w:val="00BD5EBE"/>
    <w:rsid w:val="00BD618C"/>
    <w:rsid w:val="00BD64BE"/>
    <w:rsid w:val="00BD6593"/>
    <w:rsid w:val="00BD6630"/>
    <w:rsid w:val="00BD6640"/>
    <w:rsid w:val="00BD6C37"/>
    <w:rsid w:val="00BD6DFD"/>
    <w:rsid w:val="00BD6FDD"/>
    <w:rsid w:val="00BD7460"/>
    <w:rsid w:val="00BD74BF"/>
    <w:rsid w:val="00BD7ED0"/>
    <w:rsid w:val="00BD7FCB"/>
    <w:rsid w:val="00BE0156"/>
    <w:rsid w:val="00BE05B9"/>
    <w:rsid w:val="00BE0AC6"/>
    <w:rsid w:val="00BE0BE7"/>
    <w:rsid w:val="00BE0F8B"/>
    <w:rsid w:val="00BE0F99"/>
    <w:rsid w:val="00BE101D"/>
    <w:rsid w:val="00BE104E"/>
    <w:rsid w:val="00BE1176"/>
    <w:rsid w:val="00BE12C9"/>
    <w:rsid w:val="00BE140E"/>
    <w:rsid w:val="00BE1529"/>
    <w:rsid w:val="00BE16AB"/>
    <w:rsid w:val="00BE1CB8"/>
    <w:rsid w:val="00BE1EB7"/>
    <w:rsid w:val="00BE20F4"/>
    <w:rsid w:val="00BE21A4"/>
    <w:rsid w:val="00BE2334"/>
    <w:rsid w:val="00BE2550"/>
    <w:rsid w:val="00BE2748"/>
    <w:rsid w:val="00BE2A26"/>
    <w:rsid w:val="00BE2A83"/>
    <w:rsid w:val="00BE2A90"/>
    <w:rsid w:val="00BE2C59"/>
    <w:rsid w:val="00BE3137"/>
    <w:rsid w:val="00BE3459"/>
    <w:rsid w:val="00BE3647"/>
    <w:rsid w:val="00BE3651"/>
    <w:rsid w:val="00BE37FF"/>
    <w:rsid w:val="00BE39B4"/>
    <w:rsid w:val="00BE39DE"/>
    <w:rsid w:val="00BE3AD1"/>
    <w:rsid w:val="00BE3D57"/>
    <w:rsid w:val="00BE3DBE"/>
    <w:rsid w:val="00BE3E6B"/>
    <w:rsid w:val="00BE410A"/>
    <w:rsid w:val="00BE4661"/>
    <w:rsid w:val="00BE47DD"/>
    <w:rsid w:val="00BE48E6"/>
    <w:rsid w:val="00BE4938"/>
    <w:rsid w:val="00BE4DC7"/>
    <w:rsid w:val="00BE4DFE"/>
    <w:rsid w:val="00BE5116"/>
    <w:rsid w:val="00BE534A"/>
    <w:rsid w:val="00BE5ACB"/>
    <w:rsid w:val="00BE5B67"/>
    <w:rsid w:val="00BE5DD0"/>
    <w:rsid w:val="00BE5E4E"/>
    <w:rsid w:val="00BE5F21"/>
    <w:rsid w:val="00BE5FB1"/>
    <w:rsid w:val="00BE6283"/>
    <w:rsid w:val="00BE6458"/>
    <w:rsid w:val="00BE6628"/>
    <w:rsid w:val="00BE67E1"/>
    <w:rsid w:val="00BE6C18"/>
    <w:rsid w:val="00BE6CE4"/>
    <w:rsid w:val="00BE74FD"/>
    <w:rsid w:val="00BE7598"/>
    <w:rsid w:val="00BE78AF"/>
    <w:rsid w:val="00BE7912"/>
    <w:rsid w:val="00BE7CF2"/>
    <w:rsid w:val="00BE7DC5"/>
    <w:rsid w:val="00BF000B"/>
    <w:rsid w:val="00BF0046"/>
    <w:rsid w:val="00BF0052"/>
    <w:rsid w:val="00BF026E"/>
    <w:rsid w:val="00BF02A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6B"/>
    <w:rsid w:val="00BF38CD"/>
    <w:rsid w:val="00BF3B82"/>
    <w:rsid w:val="00BF3E3F"/>
    <w:rsid w:val="00BF428C"/>
    <w:rsid w:val="00BF4775"/>
    <w:rsid w:val="00BF4860"/>
    <w:rsid w:val="00BF48E2"/>
    <w:rsid w:val="00BF4BF3"/>
    <w:rsid w:val="00BF4EE4"/>
    <w:rsid w:val="00BF4F15"/>
    <w:rsid w:val="00BF4F5D"/>
    <w:rsid w:val="00BF5122"/>
    <w:rsid w:val="00BF544F"/>
    <w:rsid w:val="00BF5455"/>
    <w:rsid w:val="00BF5B81"/>
    <w:rsid w:val="00BF5B8E"/>
    <w:rsid w:val="00BF62E6"/>
    <w:rsid w:val="00BF63B6"/>
    <w:rsid w:val="00BF653F"/>
    <w:rsid w:val="00BF65A5"/>
    <w:rsid w:val="00BF676E"/>
    <w:rsid w:val="00BF6A44"/>
    <w:rsid w:val="00BF6B2D"/>
    <w:rsid w:val="00BF6C05"/>
    <w:rsid w:val="00BF6E21"/>
    <w:rsid w:val="00BF6FD1"/>
    <w:rsid w:val="00BF7598"/>
    <w:rsid w:val="00BF7886"/>
    <w:rsid w:val="00C000A3"/>
    <w:rsid w:val="00C0042E"/>
    <w:rsid w:val="00C005D8"/>
    <w:rsid w:val="00C006A0"/>
    <w:rsid w:val="00C008E5"/>
    <w:rsid w:val="00C00E0A"/>
    <w:rsid w:val="00C00EDF"/>
    <w:rsid w:val="00C01169"/>
    <w:rsid w:val="00C012AF"/>
    <w:rsid w:val="00C01844"/>
    <w:rsid w:val="00C01876"/>
    <w:rsid w:val="00C018AE"/>
    <w:rsid w:val="00C01B16"/>
    <w:rsid w:val="00C01CAA"/>
    <w:rsid w:val="00C024A0"/>
    <w:rsid w:val="00C026D5"/>
    <w:rsid w:val="00C0297F"/>
    <w:rsid w:val="00C029D7"/>
    <w:rsid w:val="00C02B16"/>
    <w:rsid w:val="00C02BD0"/>
    <w:rsid w:val="00C02D1E"/>
    <w:rsid w:val="00C030FE"/>
    <w:rsid w:val="00C03530"/>
    <w:rsid w:val="00C036B9"/>
    <w:rsid w:val="00C0370B"/>
    <w:rsid w:val="00C03F43"/>
    <w:rsid w:val="00C03F48"/>
    <w:rsid w:val="00C03FD8"/>
    <w:rsid w:val="00C04513"/>
    <w:rsid w:val="00C04557"/>
    <w:rsid w:val="00C04CDB"/>
    <w:rsid w:val="00C04DD1"/>
    <w:rsid w:val="00C0502A"/>
    <w:rsid w:val="00C05121"/>
    <w:rsid w:val="00C05248"/>
    <w:rsid w:val="00C055F5"/>
    <w:rsid w:val="00C0560B"/>
    <w:rsid w:val="00C056B5"/>
    <w:rsid w:val="00C056C9"/>
    <w:rsid w:val="00C057EB"/>
    <w:rsid w:val="00C05900"/>
    <w:rsid w:val="00C05AB1"/>
    <w:rsid w:val="00C05AE7"/>
    <w:rsid w:val="00C05EFF"/>
    <w:rsid w:val="00C05FFB"/>
    <w:rsid w:val="00C06179"/>
    <w:rsid w:val="00C06186"/>
    <w:rsid w:val="00C06540"/>
    <w:rsid w:val="00C06822"/>
    <w:rsid w:val="00C0691E"/>
    <w:rsid w:val="00C069F1"/>
    <w:rsid w:val="00C06BCE"/>
    <w:rsid w:val="00C06DB4"/>
    <w:rsid w:val="00C06F28"/>
    <w:rsid w:val="00C06FD0"/>
    <w:rsid w:val="00C0707C"/>
    <w:rsid w:val="00C07267"/>
    <w:rsid w:val="00C0747B"/>
    <w:rsid w:val="00C076C2"/>
    <w:rsid w:val="00C07972"/>
    <w:rsid w:val="00C07E81"/>
    <w:rsid w:val="00C07ED2"/>
    <w:rsid w:val="00C10448"/>
    <w:rsid w:val="00C105C2"/>
    <w:rsid w:val="00C109CB"/>
    <w:rsid w:val="00C10AAA"/>
    <w:rsid w:val="00C10C9B"/>
    <w:rsid w:val="00C10CC1"/>
    <w:rsid w:val="00C10F6E"/>
    <w:rsid w:val="00C10F78"/>
    <w:rsid w:val="00C11561"/>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21"/>
    <w:rsid w:val="00C152E3"/>
    <w:rsid w:val="00C154BB"/>
    <w:rsid w:val="00C154CD"/>
    <w:rsid w:val="00C15507"/>
    <w:rsid w:val="00C15671"/>
    <w:rsid w:val="00C15766"/>
    <w:rsid w:val="00C158D3"/>
    <w:rsid w:val="00C158DA"/>
    <w:rsid w:val="00C15981"/>
    <w:rsid w:val="00C15EB7"/>
    <w:rsid w:val="00C160CD"/>
    <w:rsid w:val="00C165B2"/>
    <w:rsid w:val="00C16703"/>
    <w:rsid w:val="00C16AB2"/>
    <w:rsid w:val="00C16C05"/>
    <w:rsid w:val="00C16CB3"/>
    <w:rsid w:val="00C17036"/>
    <w:rsid w:val="00C17215"/>
    <w:rsid w:val="00C173AD"/>
    <w:rsid w:val="00C17448"/>
    <w:rsid w:val="00C1758F"/>
    <w:rsid w:val="00C176CB"/>
    <w:rsid w:val="00C17A12"/>
    <w:rsid w:val="00C17B66"/>
    <w:rsid w:val="00C17DE5"/>
    <w:rsid w:val="00C17E68"/>
    <w:rsid w:val="00C17F3E"/>
    <w:rsid w:val="00C17FB2"/>
    <w:rsid w:val="00C205F7"/>
    <w:rsid w:val="00C208D5"/>
    <w:rsid w:val="00C20B43"/>
    <w:rsid w:val="00C20CAB"/>
    <w:rsid w:val="00C20F7A"/>
    <w:rsid w:val="00C210E6"/>
    <w:rsid w:val="00C21163"/>
    <w:rsid w:val="00C2128A"/>
    <w:rsid w:val="00C2149F"/>
    <w:rsid w:val="00C214C5"/>
    <w:rsid w:val="00C214E6"/>
    <w:rsid w:val="00C2151A"/>
    <w:rsid w:val="00C219FD"/>
    <w:rsid w:val="00C21A38"/>
    <w:rsid w:val="00C21C30"/>
    <w:rsid w:val="00C21EAB"/>
    <w:rsid w:val="00C21F8F"/>
    <w:rsid w:val="00C220D3"/>
    <w:rsid w:val="00C22154"/>
    <w:rsid w:val="00C224F6"/>
    <w:rsid w:val="00C2251E"/>
    <w:rsid w:val="00C225D6"/>
    <w:rsid w:val="00C22D7F"/>
    <w:rsid w:val="00C22EDF"/>
    <w:rsid w:val="00C23005"/>
    <w:rsid w:val="00C230B7"/>
    <w:rsid w:val="00C23139"/>
    <w:rsid w:val="00C2318D"/>
    <w:rsid w:val="00C233EA"/>
    <w:rsid w:val="00C2346D"/>
    <w:rsid w:val="00C236F1"/>
    <w:rsid w:val="00C2374B"/>
    <w:rsid w:val="00C23C8C"/>
    <w:rsid w:val="00C23E2C"/>
    <w:rsid w:val="00C23EC1"/>
    <w:rsid w:val="00C23F67"/>
    <w:rsid w:val="00C240BF"/>
    <w:rsid w:val="00C24211"/>
    <w:rsid w:val="00C24245"/>
    <w:rsid w:val="00C2479D"/>
    <w:rsid w:val="00C247BF"/>
    <w:rsid w:val="00C24BC2"/>
    <w:rsid w:val="00C24BE2"/>
    <w:rsid w:val="00C24ED1"/>
    <w:rsid w:val="00C24F1D"/>
    <w:rsid w:val="00C24F6C"/>
    <w:rsid w:val="00C25159"/>
    <w:rsid w:val="00C253E2"/>
    <w:rsid w:val="00C25D5F"/>
    <w:rsid w:val="00C26013"/>
    <w:rsid w:val="00C26040"/>
    <w:rsid w:val="00C2613D"/>
    <w:rsid w:val="00C267C6"/>
    <w:rsid w:val="00C26CC7"/>
    <w:rsid w:val="00C27030"/>
    <w:rsid w:val="00C271E2"/>
    <w:rsid w:val="00C27518"/>
    <w:rsid w:val="00C2784F"/>
    <w:rsid w:val="00C27C98"/>
    <w:rsid w:val="00C27D1D"/>
    <w:rsid w:val="00C27F24"/>
    <w:rsid w:val="00C301B8"/>
    <w:rsid w:val="00C3023F"/>
    <w:rsid w:val="00C30438"/>
    <w:rsid w:val="00C304C5"/>
    <w:rsid w:val="00C30873"/>
    <w:rsid w:val="00C30902"/>
    <w:rsid w:val="00C30BFF"/>
    <w:rsid w:val="00C30E82"/>
    <w:rsid w:val="00C3105A"/>
    <w:rsid w:val="00C31313"/>
    <w:rsid w:val="00C313F4"/>
    <w:rsid w:val="00C3143C"/>
    <w:rsid w:val="00C31810"/>
    <w:rsid w:val="00C3184B"/>
    <w:rsid w:val="00C318E5"/>
    <w:rsid w:val="00C31C66"/>
    <w:rsid w:val="00C31D95"/>
    <w:rsid w:val="00C31DE4"/>
    <w:rsid w:val="00C31FBA"/>
    <w:rsid w:val="00C323D1"/>
    <w:rsid w:val="00C32576"/>
    <w:rsid w:val="00C325F9"/>
    <w:rsid w:val="00C32AFA"/>
    <w:rsid w:val="00C32C12"/>
    <w:rsid w:val="00C32C39"/>
    <w:rsid w:val="00C32E32"/>
    <w:rsid w:val="00C333C8"/>
    <w:rsid w:val="00C33439"/>
    <w:rsid w:val="00C33DAD"/>
    <w:rsid w:val="00C33F96"/>
    <w:rsid w:val="00C34374"/>
    <w:rsid w:val="00C348C9"/>
    <w:rsid w:val="00C349B8"/>
    <w:rsid w:val="00C34A49"/>
    <w:rsid w:val="00C34BAA"/>
    <w:rsid w:val="00C34F1C"/>
    <w:rsid w:val="00C35415"/>
    <w:rsid w:val="00C354E3"/>
    <w:rsid w:val="00C355EB"/>
    <w:rsid w:val="00C35B9B"/>
    <w:rsid w:val="00C35D6A"/>
    <w:rsid w:val="00C35E06"/>
    <w:rsid w:val="00C35FB5"/>
    <w:rsid w:val="00C3607B"/>
    <w:rsid w:val="00C36132"/>
    <w:rsid w:val="00C36168"/>
    <w:rsid w:val="00C362BB"/>
    <w:rsid w:val="00C36535"/>
    <w:rsid w:val="00C3665A"/>
    <w:rsid w:val="00C367B2"/>
    <w:rsid w:val="00C36B06"/>
    <w:rsid w:val="00C36C89"/>
    <w:rsid w:val="00C36FA9"/>
    <w:rsid w:val="00C3708F"/>
    <w:rsid w:val="00C3728B"/>
    <w:rsid w:val="00C372B8"/>
    <w:rsid w:val="00C373CB"/>
    <w:rsid w:val="00C378EA"/>
    <w:rsid w:val="00C37BC1"/>
    <w:rsid w:val="00C37C88"/>
    <w:rsid w:val="00C37DE9"/>
    <w:rsid w:val="00C37FB8"/>
    <w:rsid w:val="00C401D1"/>
    <w:rsid w:val="00C403F2"/>
    <w:rsid w:val="00C40483"/>
    <w:rsid w:val="00C40634"/>
    <w:rsid w:val="00C407AB"/>
    <w:rsid w:val="00C40AAF"/>
    <w:rsid w:val="00C40C50"/>
    <w:rsid w:val="00C40F89"/>
    <w:rsid w:val="00C41695"/>
    <w:rsid w:val="00C41B04"/>
    <w:rsid w:val="00C41D69"/>
    <w:rsid w:val="00C41F7A"/>
    <w:rsid w:val="00C42042"/>
    <w:rsid w:val="00C420A7"/>
    <w:rsid w:val="00C4265D"/>
    <w:rsid w:val="00C42674"/>
    <w:rsid w:val="00C428A6"/>
    <w:rsid w:val="00C42D3F"/>
    <w:rsid w:val="00C42D4E"/>
    <w:rsid w:val="00C43908"/>
    <w:rsid w:val="00C43B4A"/>
    <w:rsid w:val="00C43C91"/>
    <w:rsid w:val="00C44069"/>
    <w:rsid w:val="00C443DF"/>
    <w:rsid w:val="00C44476"/>
    <w:rsid w:val="00C444E8"/>
    <w:rsid w:val="00C44613"/>
    <w:rsid w:val="00C44E32"/>
    <w:rsid w:val="00C4500C"/>
    <w:rsid w:val="00C4504E"/>
    <w:rsid w:val="00C45414"/>
    <w:rsid w:val="00C4545E"/>
    <w:rsid w:val="00C4574A"/>
    <w:rsid w:val="00C458FE"/>
    <w:rsid w:val="00C45A28"/>
    <w:rsid w:val="00C45A54"/>
    <w:rsid w:val="00C45C73"/>
    <w:rsid w:val="00C4629F"/>
    <w:rsid w:val="00C463D5"/>
    <w:rsid w:val="00C4644A"/>
    <w:rsid w:val="00C464FE"/>
    <w:rsid w:val="00C465E1"/>
    <w:rsid w:val="00C467FD"/>
    <w:rsid w:val="00C46812"/>
    <w:rsid w:val="00C469D0"/>
    <w:rsid w:val="00C46AA1"/>
    <w:rsid w:val="00C47016"/>
    <w:rsid w:val="00C47186"/>
    <w:rsid w:val="00C472B8"/>
    <w:rsid w:val="00C472DF"/>
    <w:rsid w:val="00C4730A"/>
    <w:rsid w:val="00C4751E"/>
    <w:rsid w:val="00C4751F"/>
    <w:rsid w:val="00C47594"/>
    <w:rsid w:val="00C47831"/>
    <w:rsid w:val="00C47A2C"/>
    <w:rsid w:val="00C47AA1"/>
    <w:rsid w:val="00C47C2D"/>
    <w:rsid w:val="00C501CA"/>
    <w:rsid w:val="00C50676"/>
    <w:rsid w:val="00C50A03"/>
    <w:rsid w:val="00C5100D"/>
    <w:rsid w:val="00C511FC"/>
    <w:rsid w:val="00C51307"/>
    <w:rsid w:val="00C5138B"/>
    <w:rsid w:val="00C51415"/>
    <w:rsid w:val="00C5156D"/>
    <w:rsid w:val="00C517CA"/>
    <w:rsid w:val="00C51864"/>
    <w:rsid w:val="00C51878"/>
    <w:rsid w:val="00C518A9"/>
    <w:rsid w:val="00C51A6C"/>
    <w:rsid w:val="00C523B3"/>
    <w:rsid w:val="00C524BE"/>
    <w:rsid w:val="00C5277B"/>
    <w:rsid w:val="00C529EA"/>
    <w:rsid w:val="00C52BF3"/>
    <w:rsid w:val="00C52DED"/>
    <w:rsid w:val="00C52F8C"/>
    <w:rsid w:val="00C52FFC"/>
    <w:rsid w:val="00C53154"/>
    <w:rsid w:val="00C531B8"/>
    <w:rsid w:val="00C53626"/>
    <w:rsid w:val="00C53708"/>
    <w:rsid w:val="00C53728"/>
    <w:rsid w:val="00C537BB"/>
    <w:rsid w:val="00C53955"/>
    <w:rsid w:val="00C53A76"/>
    <w:rsid w:val="00C53B0B"/>
    <w:rsid w:val="00C53BAC"/>
    <w:rsid w:val="00C53ED9"/>
    <w:rsid w:val="00C53F6B"/>
    <w:rsid w:val="00C540EA"/>
    <w:rsid w:val="00C5420F"/>
    <w:rsid w:val="00C54667"/>
    <w:rsid w:val="00C54668"/>
    <w:rsid w:val="00C546C6"/>
    <w:rsid w:val="00C5472E"/>
    <w:rsid w:val="00C548E5"/>
    <w:rsid w:val="00C54C3E"/>
    <w:rsid w:val="00C54DFB"/>
    <w:rsid w:val="00C54FA4"/>
    <w:rsid w:val="00C55124"/>
    <w:rsid w:val="00C552C8"/>
    <w:rsid w:val="00C5537A"/>
    <w:rsid w:val="00C55395"/>
    <w:rsid w:val="00C55402"/>
    <w:rsid w:val="00C5552B"/>
    <w:rsid w:val="00C5579F"/>
    <w:rsid w:val="00C5599F"/>
    <w:rsid w:val="00C55A42"/>
    <w:rsid w:val="00C55AB2"/>
    <w:rsid w:val="00C55BED"/>
    <w:rsid w:val="00C55D4D"/>
    <w:rsid w:val="00C5610F"/>
    <w:rsid w:val="00C56208"/>
    <w:rsid w:val="00C56897"/>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C67"/>
    <w:rsid w:val="00C612E0"/>
    <w:rsid w:val="00C61516"/>
    <w:rsid w:val="00C61641"/>
    <w:rsid w:val="00C61646"/>
    <w:rsid w:val="00C616E3"/>
    <w:rsid w:val="00C61856"/>
    <w:rsid w:val="00C618C3"/>
    <w:rsid w:val="00C61916"/>
    <w:rsid w:val="00C619ED"/>
    <w:rsid w:val="00C61E6A"/>
    <w:rsid w:val="00C62091"/>
    <w:rsid w:val="00C62171"/>
    <w:rsid w:val="00C622F5"/>
    <w:rsid w:val="00C62699"/>
    <w:rsid w:val="00C626A2"/>
    <w:rsid w:val="00C62853"/>
    <w:rsid w:val="00C62975"/>
    <w:rsid w:val="00C629C6"/>
    <w:rsid w:val="00C62E15"/>
    <w:rsid w:val="00C62E42"/>
    <w:rsid w:val="00C62F90"/>
    <w:rsid w:val="00C63051"/>
    <w:rsid w:val="00C630A4"/>
    <w:rsid w:val="00C632C3"/>
    <w:rsid w:val="00C63636"/>
    <w:rsid w:val="00C636CC"/>
    <w:rsid w:val="00C6371E"/>
    <w:rsid w:val="00C6376F"/>
    <w:rsid w:val="00C6386F"/>
    <w:rsid w:val="00C63F0A"/>
    <w:rsid w:val="00C641E9"/>
    <w:rsid w:val="00C646E0"/>
    <w:rsid w:val="00C646F0"/>
    <w:rsid w:val="00C6492D"/>
    <w:rsid w:val="00C649C6"/>
    <w:rsid w:val="00C64AA0"/>
    <w:rsid w:val="00C64AF1"/>
    <w:rsid w:val="00C64B75"/>
    <w:rsid w:val="00C64CA8"/>
    <w:rsid w:val="00C64E07"/>
    <w:rsid w:val="00C652DA"/>
    <w:rsid w:val="00C65572"/>
    <w:rsid w:val="00C65655"/>
    <w:rsid w:val="00C657DD"/>
    <w:rsid w:val="00C65A5E"/>
    <w:rsid w:val="00C65A69"/>
    <w:rsid w:val="00C65A6A"/>
    <w:rsid w:val="00C65D4F"/>
    <w:rsid w:val="00C65FF1"/>
    <w:rsid w:val="00C6607A"/>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70017"/>
    <w:rsid w:val="00C7010E"/>
    <w:rsid w:val="00C7026C"/>
    <w:rsid w:val="00C7031D"/>
    <w:rsid w:val="00C704C0"/>
    <w:rsid w:val="00C704C9"/>
    <w:rsid w:val="00C70720"/>
    <w:rsid w:val="00C70A1C"/>
    <w:rsid w:val="00C70ABC"/>
    <w:rsid w:val="00C70BC1"/>
    <w:rsid w:val="00C70ED2"/>
    <w:rsid w:val="00C71189"/>
    <w:rsid w:val="00C716C3"/>
    <w:rsid w:val="00C71824"/>
    <w:rsid w:val="00C71889"/>
    <w:rsid w:val="00C7198A"/>
    <w:rsid w:val="00C719FB"/>
    <w:rsid w:val="00C71A82"/>
    <w:rsid w:val="00C72074"/>
    <w:rsid w:val="00C7217C"/>
    <w:rsid w:val="00C7233C"/>
    <w:rsid w:val="00C72406"/>
    <w:rsid w:val="00C72422"/>
    <w:rsid w:val="00C7288A"/>
    <w:rsid w:val="00C72BA9"/>
    <w:rsid w:val="00C72C42"/>
    <w:rsid w:val="00C72FB3"/>
    <w:rsid w:val="00C73027"/>
    <w:rsid w:val="00C732CF"/>
    <w:rsid w:val="00C7363D"/>
    <w:rsid w:val="00C737F5"/>
    <w:rsid w:val="00C73805"/>
    <w:rsid w:val="00C738CF"/>
    <w:rsid w:val="00C73A42"/>
    <w:rsid w:val="00C73CA9"/>
    <w:rsid w:val="00C73D55"/>
    <w:rsid w:val="00C73DD4"/>
    <w:rsid w:val="00C74147"/>
    <w:rsid w:val="00C74327"/>
    <w:rsid w:val="00C747D6"/>
    <w:rsid w:val="00C74FFB"/>
    <w:rsid w:val="00C75145"/>
    <w:rsid w:val="00C75517"/>
    <w:rsid w:val="00C75619"/>
    <w:rsid w:val="00C75861"/>
    <w:rsid w:val="00C75A74"/>
    <w:rsid w:val="00C75AB3"/>
    <w:rsid w:val="00C75C38"/>
    <w:rsid w:val="00C75FB2"/>
    <w:rsid w:val="00C76077"/>
    <w:rsid w:val="00C76228"/>
    <w:rsid w:val="00C7642E"/>
    <w:rsid w:val="00C764E4"/>
    <w:rsid w:val="00C765EE"/>
    <w:rsid w:val="00C766C8"/>
    <w:rsid w:val="00C76A9A"/>
    <w:rsid w:val="00C76AAB"/>
    <w:rsid w:val="00C76BB9"/>
    <w:rsid w:val="00C76C31"/>
    <w:rsid w:val="00C76E57"/>
    <w:rsid w:val="00C770CE"/>
    <w:rsid w:val="00C7724F"/>
    <w:rsid w:val="00C77281"/>
    <w:rsid w:val="00C777A7"/>
    <w:rsid w:val="00C777E9"/>
    <w:rsid w:val="00C77804"/>
    <w:rsid w:val="00C77DE8"/>
    <w:rsid w:val="00C80099"/>
    <w:rsid w:val="00C80A72"/>
    <w:rsid w:val="00C80AF3"/>
    <w:rsid w:val="00C8110D"/>
    <w:rsid w:val="00C81331"/>
    <w:rsid w:val="00C81975"/>
    <w:rsid w:val="00C81BF0"/>
    <w:rsid w:val="00C8244D"/>
    <w:rsid w:val="00C82540"/>
    <w:rsid w:val="00C82624"/>
    <w:rsid w:val="00C82EBF"/>
    <w:rsid w:val="00C82ED3"/>
    <w:rsid w:val="00C82F4E"/>
    <w:rsid w:val="00C82FB5"/>
    <w:rsid w:val="00C83405"/>
    <w:rsid w:val="00C83613"/>
    <w:rsid w:val="00C83958"/>
    <w:rsid w:val="00C83F9A"/>
    <w:rsid w:val="00C84324"/>
    <w:rsid w:val="00C8434D"/>
    <w:rsid w:val="00C8480A"/>
    <w:rsid w:val="00C84898"/>
    <w:rsid w:val="00C848A0"/>
    <w:rsid w:val="00C84A98"/>
    <w:rsid w:val="00C84AE5"/>
    <w:rsid w:val="00C84D61"/>
    <w:rsid w:val="00C850F8"/>
    <w:rsid w:val="00C85145"/>
    <w:rsid w:val="00C85608"/>
    <w:rsid w:val="00C85B6F"/>
    <w:rsid w:val="00C86183"/>
    <w:rsid w:val="00C861EB"/>
    <w:rsid w:val="00C86245"/>
    <w:rsid w:val="00C86370"/>
    <w:rsid w:val="00C866EB"/>
    <w:rsid w:val="00C867AE"/>
    <w:rsid w:val="00C867E1"/>
    <w:rsid w:val="00C86D7B"/>
    <w:rsid w:val="00C86E81"/>
    <w:rsid w:val="00C86EEC"/>
    <w:rsid w:val="00C87318"/>
    <w:rsid w:val="00C875F0"/>
    <w:rsid w:val="00C8771A"/>
    <w:rsid w:val="00C878A7"/>
    <w:rsid w:val="00C87C1D"/>
    <w:rsid w:val="00C87D8A"/>
    <w:rsid w:val="00C900C3"/>
    <w:rsid w:val="00C901F6"/>
    <w:rsid w:val="00C90233"/>
    <w:rsid w:val="00C904A8"/>
    <w:rsid w:val="00C90603"/>
    <w:rsid w:val="00C90DA1"/>
    <w:rsid w:val="00C90F11"/>
    <w:rsid w:val="00C9131E"/>
    <w:rsid w:val="00C915A0"/>
    <w:rsid w:val="00C9185A"/>
    <w:rsid w:val="00C919DA"/>
    <w:rsid w:val="00C91A1D"/>
    <w:rsid w:val="00C91AB0"/>
    <w:rsid w:val="00C91B90"/>
    <w:rsid w:val="00C91BE3"/>
    <w:rsid w:val="00C91E07"/>
    <w:rsid w:val="00C91E87"/>
    <w:rsid w:val="00C91E8F"/>
    <w:rsid w:val="00C91F7A"/>
    <w:rsid w:val="00C91F87"/>
    <w:rsid w:val="00C9215C"/>
    <w:rsid w:val="00C92222"/>
    <w:rsid w:val="00C9228E"/>
    <w:rsid w:val="00C922CB"/>
    <w:rsid w:val="00C9250E"/>
    <w:rsid w:val="00C9256F"/>
    <w:rsid w:val="00C92609"/>
    <w:rsid w:val="00C9268B"/>
    <w:rsid w:val="00C9268D"/>
    <w:rsid w:val="00C92957"/>
    <w:rsid w:val="00C92C0C"/>
    <w:rsid w:val="00C92CFA"/>
    <w:rsid w:val="00C92F0A"/>
    <w:rsid w:val="00C92F77"/>
    <w:rsid w:val="00C930C9"/>
    <w:rsid w:val="00C9310B"/>
    <w:rsid w:val="00C93579"/>
    <w:rsid w:val="00C937E9"/>
    <w:rsid w:val="00C93A91"/>
    <w:rsid w:val="00C93C21"/>
    <w:rsid w:val="00C93CB0"/>
    <w:rsid w:val="00C93E12"/>
    <w:rsid w:val="00C93ECB"/>
    <w:rsid w:val="00C941E2"/>
    <w:rsid w:val="00C942CD"/>
    <w:rsid w:val="00C945E1"/>
    <w:rsid w:val="00C94744"/>
    <w:rsid w:val="00C95083"/>
    <w:rsid w:val="00C95394"/>
    <w:rsid w:val="00C953CB"/>
    <w:rsid w:val="00C95639"/>
    <w:rsid w:val="00C95761"/>
    <w:rsid w:val="00C9579C"/>
    <w:rsid w:val="00C95ED5"/>
    <w:rsid w:val="00C9619A"/>
    <w:rsid w:val="00C9653E"/>
    <w:rsid w:val="00C966AC"/>
    <w:rsid w:val="00C969DE"/>
    <w:rsid w:val="00C96B91"/>
    <w:rsid w:val="00C96FEF"/>
    <w:rsid w:val="00C97168"/>
    <w:rsid w:val="00C9732D"/>
    <w:rsid w:val="00C976DF"/>
    <w:rsid w:val="00C97969"/>
    <w:rsid w:val="00C97A74"/>
    <w:rsid w:val="00C97AB4"/>
    <w:rsid w:val="00C97ADC"/>
    <w:rsid w:val="00C97BE8"/>
    <w:rsid w:val="00C97C93"/>
    <w:rsid w:val="00C97D4F"/>
    <w:rsid w:val="00C97E59"/>
    <w:rsid w:val="00C97E64"/>
    <w:rsid w:val="00C97EBC"/>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BA2"/>
    <w:rsid w:val="00CA1C94"/>
    <w:rsid w:val="00CA1C97"/>
    <w:rsid w:val="00CA2278"/>
    <w:rsid w:val="00CA23ED"/>
    <w:rsid w:val="00CA24D9"/>
    <w:rsid w:val="00CA2EE2"/>
    <w:rsid w:val="00CA326D"/>
    <w:rsid w:val="00CA38C3"/>
    <w:rsid w:val="00CA3AD1"/>
    <w:rsid w:val="00CA3B75"/>
    <w:rsid w:val="00CA3CDD"/>
    <w:rsid w:val="00CA3DCC"/>
    <w:rsid w:val="00CA3EBD"/>
    <w:rsid w:val="00CA404F"/>
    <w:rsid w:val="00CA463C"/>
    <w:rsid w:val="00CA474B"/>
    <w:rsid w:val="00CA4760"/>
    <w:rsid w:val="00CA4863"/>
    <w:rsid w:val="00CA4C2D"/>
    <w:rsid w:val="00CA4C6A"/>
    <w:rsid w:val="00CA51AB"/>
    <w:rsid w:val="00CA51C3"/>
    <w:rsid w:val="00CA5A3C"/>
    <w:rsid w:val="00CA5B28"/>
    <w:rsid w:val="00CA5CEA"/>
    <w:rsid w:val="00CA5D19"/>
    <w:rsid w:val="00CA633D"/>
    <w:rsid w:val="00CA63D9"/>
    <w:rsid w:val="00CA6685"/>
    <w:rsid w:val="00CA6759"/>
    <w:rsid w:val="00CA68C1"/>
    <w:rsid w:val="00CA76F9"/>
    <w:rsid w:val="00CA7700"/>
    <w:rsid w:val="00CA7755"/>
    <w:rsid w:val="00CA776B"/>
    <w:rsid w:val="00CA777E"/>
    <w:rsid w:val="00CA7A40"/>
    <w:rsid w:val="00CA7A99"/>
    <w:rsid w:val="00CA7AA0"/>
    <w:rsid w:val="00CA7BAC"/>
    <w:rsid w:val="00CA7D9A"/>
    <w:rsid w:val="00CB0237"/>
    <w:rsid w:val="00CB03D4"/>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A34"/>
    <w:rsid w:val="00CB2EB3"/>
    <w:rsid w:val="00CB346D"/>
    <w:rsid w:val="00CB34E4"/>
    <w:rsid w:val="00CB3621"/>
    <w:rsid w:val="00CB373A"/>
    <w:rsid w:val="00CB38DE"/>
    <w:rsid w:val="00CB400B"/>
    <w:rsid w:val="00CB4184"/>
    <w:rsid w:val="00CB41DB"/>
    <w:rsid w:val="00CB421E"/>
    <w:rsid w:val="00CB469E"/>
    <w:rsid w:val="00CB486E"/>
    <w:rsid w:val="00CB494A"/>
    <w:rsid w:val="00CB4995"/>
    <w:rsid w:val="00CB4D0B"/>
    <w:rsid w:val="00CB50D9"/>
    <w:rsid w:val="00CB5282"/>
    <w:rsid w:val="00CB52FD"/>
    <w:rsid w:val="00CB5470"/>
    <w:rsid w:val="00CB56EC"/>
    <w:rsid w:val="00CB56F2"/>
    <w:rsid w:val="00CB5A25"/>
    <w:rsid w:val="00CB5B93"/>
    <w:rsid w:val="00CB5E6C"/>
    <w:rsid w:val="00CB5F55"/>
    <w:rsid w:val="00CB6064"/>
    <w:rsid w:val="00CB623C"/>
    <w:rsid w:val="00CB63B4"/>
    <w:rsid w:val="00CB6733"/>
    <w:rsid w:val="00CB6737"/>
    <w:rsid w:val="00CB6A01"/>
    <w:rsid w:val="00CB6FA6"/>
    <w:rsid w:val="00CB724B"/>
    <w:rsid w:val="00CB7274"/>
    <w:rsid w:val="00CB72C9"/>
    <w:rsid w:val="00CB740D"/>
    <w:rsid w:val="00CB7483"/>
    <w:rsid w:val="00CB78B6"/>
    <w:rsid w:val="00CB7B22"/>
    <w:rsid w:val="00CB7C5C"/>
    <w:rsid w:val="00CB7DE0"/>
    <w:rsid w:val="00CC0543"/>
    <w:rsid w:val="00CC05D3"/>
    <w:rsid w:val="00CC0609"/>
    <w:rsid w:val="00CC071E"/>
    <w:rsid w:val="00CC083E"/>
    <w:rsid w:val="00CC1002"/>
    <w:rsid w:val="00CC1463"/>
    <w:rsid w:val="00CC158D"/>
    <w:rsid w:val="00CC168E"/>
    <w:rsid w:val="00CC1758"/>
    <w:rsid w:val="00CC1C59"/>
    <w:rsid w:val="00CC1D4B"/>
    <w:rsid w:val="00CC1E96"/>
    <w:rsid w:val="00CC20BF"/>
    <w:rsid w:val="00CC2255"/>
    <w:rsid w:val="00CC237C"/>
    <w:rsid w:val="00CC246F"/>
    <w:rsid w:val="00CC25A8"/>
    <w:rsid w:val="00CC263C"/>
    <w:rsid w:val="00CC2775"/>
    <w:rsid w:val="00CC2D05"/>
    <w:rsid w:val="00CC2E07"/>
    <w:rsid w:val="00CC31E7"/>
    <w:rsid w:val="00CC3491"/>
    <w:rsid w:val="00CC3A21"/>
    <w:rsid w:val="00CC3A34"/>
    <w:rsid w:val="00CC3CEC"/>
    <w:rsid w:val="00CC3DC2"/>
    <w:rsid w:val="00CC40EB"/>
    <w:rsid w:val="00CC4179"/>
    <w:rsid w:val="00CC4314"/>
    <w:rsid w:val="00CC4522"/>
    <w:rsid w:val="00CC469F"/>
    <w:rsid w:val="00CC474D"/>
    <w:rsid w:val="00CC4818"/>
    <w:rsid w:val="00CC4869"/>
    <w:rsid w:val="00CC49F5"/>
    <w:rsid w:val="00CC4B9D"/>
    <w:rsid w:val="00CC4E02"/>
    <w:rsid w:val="00CC4FFC"/>
    <w:rsid w:val="00CC50F1"/>
    <w:rsid w:val="00CC5105"/>
    <w:rsid w:val="00CC5180"/>
    <w:rsid w:val="00CC51D6"/>
    <w:rsid w:val="00CC5280"/>
    <w:rsid w:val="00CC52A6"/>
    <w:rsid w:val="00CC554A"/>
    <w:rsid w:val="00CC5A20"/>
    <w:rsid w:val="00CC5B50"/>
    <w:rsid w:val="00CC5C70"/>
    <w:rsid w:val="00CC5DBC"/>
    <w:rsid w:val="00CC6139"/>
    <w:rsid w:val="00CC6282"/>
    <w:rsid w:val="00CC67AF"/>
    <w:rsid w:val="00CC6897"/>
    <w:rsid w:val="00CC68DC"/>
    <w:rsid w:val="00CC6A7E"/>
    <w:rsid w:val="00CC6F8F"/>
    <w:rsid w:val="00CC745A"/>
    <w:rsid w:val="00CC7832"/>
    <w:rsid w:val="00CC783C"/>
    <w:rsid w:val="00CC7D5E"/>
    <w:rsid w:val="00CC7E1E"/>
    <w:rsid w:val="00CC7E5C"/>
    <w:rsid w:val="00CC7FD7"/>
    <w:rsid w:val="00CD0113"/>
    <w:rsid w:val="00CD0127"/>
    <w:rsid w:val="00CD028A"/>
    <w:rsid w:val="00CD040A"/>
    <w:rsid w:val="00CD052F"/>
    <w:rsid w:val="00CD057B"/>
    <w:rsid w:val="00CD05A1"/>
    <w:rsid w:val="00CD0667"/>
    <w:rsid w:val="00CD06E4"/>
    <w:rsid w:val="00CD076C"/>
    <w:rsid w:val="00CD07A1"/>
    <w:rsid w:val="00CD087F"/>
    <w:rsid w:val="00CD0AD1"/>
    <w:rsid w:val="00CD0E95"/>
    <w:rsid w:val="00CD124E"/>
    <w:rsid w:val="00CD13A4"/>
    <w:rsid w:val="00CD16F6"/>
    <w:rsid w:val="00CD18D9"/>
    <w:rsid w:val="00CD19EB"/>
    <w:rsid w:val="00CD1B28"/>
    <w:rsid w:val="00CD1B29"/>
    <w:rsid w:val="00CD1C40"/>
    <w:rsid w:val="00CD1E87"/>
    <w:rsid w:val="00CD2013"/>
    <w:rsid w:val="00CD208C"/>
    <w:rsid w:val="00CD2242"/>
    <w:rsid w:val="00CD2296"/>
    <w:rsid w:val="00CD22BE"/>
    <w:rsid w:val="00CD249B"/>
    <w:rsid w:val="00CD2523"/>
    <w:rsid w:val="00CD2912"/>
    <w:rsid w:val="00CD291D"/>
    <w:rsid w:val="00CD2B2F"/>
    <w:rsid w:val="00CD2C3B"/>
    <w:rsid w:val="00CD2E1F"/>
    <w:rsid w:val="00CD2EB3"/>
    <w:rsid w:val="00CD30ED"/>
    <w:rsid w:val="00CD3197"/>
    <w:rsid w:val="00CD34DD"/>
    <w:rsid w:val="00CD34FA"/>
    <w:rsid w:val="00CD3544"/>
    <w:rsid w:val="00CD39B7"/>
    <w:rsid w:val="00CD3A9F"/>
    <w:rsid w:val="00CD3E8B"/>
    <w:rsid w:val="00CD4068"/>
    <w:rsid w:val="00CD41DD"/>
    <w:rsid w:val="00CD47F2"/>
    <w:rsid w:val="00CD4E1C"/>
    <w:rsid w:val="00CD4EBB"/>
    <w:rsid w:val="00CD5571"/>
    <w:rsid w:val="00CD5575"/>
    <w:rsid w:val="00CD5991"/>
    <w:rsid w:val="00CD5AC0"/>
    <w:rsid w:val="00CD5DA8"/>
    <w:rsid w:val="00CD5DAA"/>
    <w:rsid w:val="00CD5F0A"/>
    <w:rsid w:val="00CD5F4D"/>
    <w:rsid w:val="00CD6331"/>
    <w:rsid w:val="00CD6406"/>
    <w:rsid w:val="00CD64C9"/>
    <w:rsid w:val="00CD6540"/>
    <w:rsid w:val="00CD6703"/>
    <w:rsid w:val="00CD6A12"/>
    <w:rsid w:val="00CD6A6D"/>
    <w:rsid w:val="00CD6DD4"/>
    <w:rsid w:val="00CD6E3A"/>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88A"/>
    <w:rsid w:val="00CE19D8"/>
    <w:rsid w:val="00CE1A6A"/>
    <w:rsid w:val="00CE1BFB"/>
    <w:rsid w:val="00CE1EF2"/>
    <w:rsid w:val="00CE1FA2"/>
    <w:rsid w:val="00CE1FBD"/>
    <w:rsid w:val="00CE2001"/>
    <w:rsid w:val="00CE20D4"/>
    <w:rsid w:val="00CE2517"/>
    <w:rsid w:val="00CE2C4C"/>
    <w:rsid w:val="00CE2FEC"/>
    <w:rsid w:val="00CE3343"/>
    <w:rsid w:val="00CE3552"/>
    <w:rsid w:val="00CE3589"/>
    <w:rsid w:val="00CE3C8A"/>
    <w:rsid w:val="00CE3D2A"/>
    <w:rsid w:val="00CE4340"/>
    <w:rsid w:val="00CE436D"/>
    <w:rsid w:val="00CE44A8"/>
    <w:rsid w:val="00CE48FA"/>
    <w:rsid w:val="00CE495C"/>
    <w:rsid w:val="00CE4B61"/>
    <w:rsid w:val="00CE4EB1"/>
    <w:rsid w:val="00CE5216"/>
    <w:rsid w:val="00CE52E3"/>
    <w:rsid w:val="00CE533E"/>
    <w:rsid w:val="00CE5986"/>
    <w:rsid w:val="00CE5DD1"/>
    <w:rsid w:val="00CE5E30"/>
    <w:rsid w:val="00CE5E85"/>
    <w:rsid w:val="00CE5FAA"/>
    <w:rsid w:val="00CE63FA"/>
    <w:rsid w:val="00CE6EC3"/>
    <w:rsid w:val="00CE6EEE"/>
    <w:rsid w:val="00CE7572"/>
    <w:rsid w:val="00CE7675"/>
    <w:rsid w:val="00CE76EE"/>
    <w:rsid w:val="00CE7B52"/>
    <w:rsid w:val="00CE7E4D"/>
    <w:rsid w:val="00CE7E70"/>
    <w:rsid w:val="00CF0243"/>
    <w:rsid w:val="00CF02A7"/>
    <w:rsid w:val="00CF02FB"/>
    <w:rsid w:val="00CF0607"/>
    <w:rsid w:val="00CF08E2"/>
    <w:rsid w:val="00CF0D39"/>
    <w:rsid w:val="00CF0E85"/>
    <w:rsid w:val="00CF0E99"/>
    <w:rsid w:val="00CF0FAC"/>
    <w:rsid w:val="00CF0FFE"/>
    <w:rsid w:val="00CF101F"/>
    <w:rsid w:val="00CF130D"/>
    <w:rsid w:val="00CF132F"/>
    <w:rsid w:val="00CF1558"/>
    <w:rsid w:val="00CF1565"/>
    <w:rsid w:val="00CF162A"/>
    <w:rsid w:val="00CF177B"/>
    <w:rsid w:val="00CF192F"/>
    <w:rsid w:val="00CF194F"/>
    <w:rsid w:val="00CF1A06"/>
    <w:rsid w:val="00CF1B11"/>
    <w:rsid w:val="00CF1DF8"/>
    <w:rsid w:val="00CF1F60"/>
    <w:rsid w:val="00CF1FD6"/>
    <w:rsid w:val="00CF203C"/>
    <w:rsid w:val="00CF2145"/>
    <w:rsid w:val="00CF2348"/>
    <w:rsid w:val="00CF2435"/>
    <w:rsid w:val="00CF2501"/>
    <w:rsid w:val="00CF255C"/>
    <w:rsid w:val="00CF2631"/>
    <w:rsid w:val="00CF27A9"/>
    <w:rsid w:val="00CF27DB"/>
    <w:rsid w:val="00CF29A3"/>
    <w:rsid w:val="00CF29EB"/>
    <w:rsid w:val="00CF2D06"/>
    <w:rsid w:val="00CF3014"/>
    <w:rsid w:val="00CF32FA"/>
    <w:rsid w:val="00CF3310"/>
    <w:rsid w:val="00CF36BD"/>
    <w:rsid w:val="00CF3769"/>
    <w:rsid w:val="00CF3BF3"/>
    <w:rsid w:val="00CF3C30"/>
    <w:rsid w:val="00CF45CE"/>
    <w:rsid w:val="00CF474B"/>
    <w:rsid w:val="00CF547E"/>
    <w:rsid w:val="00CF5895"/>
    <w:rsid w:val="00CF592F"/>
    <w:rsid w:val="00CF5954"/>
    <w:rsid w:val="00CF5A41"/>
    <w:rsid w:val="00CF5B65"/>
    <w:rsid w:val="00CF5BD9"/>
    <w:rsid w:val="00CF5D8A"/>
    <w:rsid w:val="00CF5D99"/>
    <w:rsid w:val="00CF5F23"/>
    <w:rsid w:val="00CF6013"/>
    <w:rsid w:val="00CF62EA"/>
    <w:rsid w:val="00CF64BB"/>
    <w:rsid w:val="00CF650A"/>
    <w:rsid w:val="00CF69B7"/>
    <w:rsid w:val="00CF6BE8"/>
    <w:rsid w:val="00CF6BFC"/>
    <w:rsid w:val="00CF6D16"/>
    <w:rsid w:val="00CF6DBF"/>
    <w:rsid w:val="00CF6E1E"/>
    <w:rsid w:val="00CF6F7C"/>
    <w:rsid w:val="00CF6FF5"/>
    <w:rsid w:val="00CF703E"/>
    <w:rsid w:val="00CF7345"/>
    <w:rsid w:val="00CF741D"/>
    <w:rsid w:val="00CF7BFD"/>
    <w:rsid w:val="00CF7D09"/>
    <w:rsid w:val="00CF7E82"/>
    <w:rsid w:val="00D00051"/>
    <w:rsid w:val="00D00195"/>
    <w:rsid w:val="00D00243"/>
    <w:rsid w:val="00D00300"/>
    <w:rsid w:val="00D00402"/>
    <w:rsid w:val="00D0064D"/>
    <w:rsid w:val="00D00664"/>
    <w:rsid w:val="00D0075D"/>
    <w:rsid w:val="00D007E4"/>
    <w:rsid w:val="00D008E3"/>
    <w:rsid w:val="00D00993"/>
    <w:rsid w:val="00D0099E"/>
    <w:rsid w:val="00D009AA"/>
    <w:rsid w:val="00D009BA"/>
    <w:rsid w:val="00D00B45"/>
    <w:rsid w:val="00D00BBC"/>
    <w:rsid w:val="00D00C3D"/>
    <w:rsid w:val="00D00CA9"/>
    <w:rsid w:val="00D00DC1"/>
    <w:rsid w:val="00D010FD"/>
    <w:rsid w:val="00D0114A"/>
    <w:rsid w:val="00D01230"/>
    <w:rsid w:val="00D015EF"/>
    <w:rsid w:val="00D01688"/>
    <w:rsid w:val="00D016DD"/>
    <w:rsid w:val="00D01865"/>
    <w:rsid w:val="00D01AD7"/>
    <w:rsid w:val="00D01DEF"/>
    <w:rsid w:val="00D01E2C"/>
    <w:rsid w:val="00D01E95"/>
    <w:rsid w:val="00D01F9A"/>
    <w:rsid w:val="00D02198"/>
    <w:rsid w:val="00D0238E"/>
    <w:rsid w:val="00D0239F"/>
    <w:rsid w:val="00D029A6"/>
    <w:rsid w:val="00D02C42"/>
    <w:rsid w:val="00D0325A"/>
    <w:rsid w:val="00D0325B"/>
    <w:rsid w:val="00D03BDB"/>
    <w:rsid w:val="00D03C56"/>
    <w:rsid w:val="00D03E40"/>
    <w:rsid w:val="00D04064"/>
    <w:rsid w:val="00D04154"/>
    <w:rsid w:val="00D04171"/>
    <w:rsid w:val="00D04509"/>
    <w:rsid w:val="00D04ABA"/>
    <w:rsid w:val="00D04AEC"/>
    <w:rsid w:val="00D05038"/>
    <w:rsid w:val="00D050ED"/>
    <w:rsid w:val="00D05236"/>
    <w:rsid w:val="00D05591"/>
    <w:rsid w:val="00D055E1"/>
    <w:rsid w:val="00D056D4"/>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84"/>
    <w:rsid w:val="00D07D37"/>
    <w:rsid w:val="00D07D5C"/>
    <w:rsid w:val="00D07F1F"/>
    <w:rsid w:val="00D10049"/>
    <w:rsid w:val="00D1010F"/>
    <w:rsid w:val="00D102D3"/>
    <w:rsid w:val="00D102E3"/>
    <w:rsid w:val="00D1065D"/>
    <w:rsid w:val="00D1082E"/>
    <w:rsid w:val="00D10AB9"/>
    <w:rsid w:val="00D10D79"/>
    <w:rsid w:val="00D10E13"/>
    <w:rsid w:val="00D10E94"/>
    <w:rsid w:val="00D110A2"/>
    <w:rsid w:val="00D1136C"/>
    <w:rsid w:val="00D11599"/>
    <w:rsid w:val="00D118DD"/>
    <w:rsid w:val="00D1199D"/>
    <w:rsid w:val="00D11A1C"/>
    <w:rsid w:val="00D11BF4"/>
    <w:rsid w:val="00D11F64"/>
    <w:rsid w:val="00D12070"/>
    <w:rsid w:val="00D1211D"/>
    <w:rsid w:val="00D1221A"/>
    <w:rsid w:val="00D1221D"/>
    <w:rsid w:val="00D123A9"/>
    <w:rsid w:val="00D123EC"/>
    <w:rsid w:val="00D12697"/>
    <w:rsid w:val="00D127AE"/>
    <w:rsid w:val="00D12B64"/>
    <w:rsid w:val="00D12B78"/>
    <w:rsid w:val="00D13416"/>
    <w:rsid w:val="00D1366E"/>
    <w:rsid w:val="00D13839"/>
    <w:rsid w:val="00D13B8E"/>
    <w:rsid w:val="00D13CA8"/>
    <w:rsid w:val="00D13D6E"/>
    <w:rsid w:val="00D13F82"/>
    <w:rsid w:val="00D13FA5"/>
    <w:rsid w:val="00D14003"/>
    <w:rsid w:val="00D14040"/>
    <w:rsid w:val="00D14131"/>
    <w:rsid w:val="00D1414C"/>
    <w:rsid w:val="00D142FA"/>
    <w:rsid w:val="00D148DD"/>
    <w:rsid w:val="00D14A67"/>
    <w:rsid w:val="00D14B0B"/>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99"/>
    <w:rsid w:val="00D202EB"/>
    <w:rsid w:val="00D20639"/>
    <w:rsid w:val="00D20878"/>
    <w:rsid w:val="00D2089A"/>
    <w:rsid w:val="00D208BA"/>
    <w:rsid w:val="00D20933"/>
    <w:rsid w:val="00D209FF"/>
    <w:rsid w:val="00D20C9E"/>
    <w:rsid w:val="00D21573"/>
    <w:rsid w:val="00D21614"/>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310"/>
    <w:rsid w:val="00D23458"/>
    <w:rsid w:val="00D234CA"/>
    <w:rsid w:val="00D23750"/>
    <w:rsid w:val="00D23769"/>
    <w:rsid w:val="00D2381F"/>
    <w:rsid w:val="00D23A25"/>
    <w:rsid w:val="00D23A7E"/>
    <w:rsid w:val="00D23D17"/>
    <w:rsid w:val="00D241EF"/>
    <w:rsid w:val="00D24287"/>
    <w:rsid w:val="00D2434F"/>
    <w:rsid w:val="00D24364"/>
    <w:rsid w:val="00D244FC"/>
    <w:rsid w:val="00D24586"/>
    <w:rsid w:val="00D2475A"/>
    <w:rsid w:val="00D24874"/>
    <w:rsid w:val="00D248F3"/>
    <w:rsid w:val="00D24920"/>
    <w:rsid w:val="00D24D69"/>
    <w:rsid w:val="00D24F74"/>
    <w:rsid w:val="00D25094"/>
    <w:rsid w:val="00D250D2"/>
    <w:rsid w:val="00D250E9"/>
    <w:rsid w:val="00D250EF"/>
    <w:rsid w:val="00D25168"/>
    <w:rsid w:val="00D252A6"/>
    <w:rsid w:val="00D25351"/>
    <w:rsid w:val="00D256E6"/>
    <w:rsid w:val="00D25773"/>
    <w:rsid w:val="00D257D5"/>
    <w:rsid w:val="00D25CBB"/>
    <w:rsid w:val="00D25CCA"/>
    <w:rsid w:val="00D26150"/>
    <w:rsid w:val="00D2641F"/>
    <w:rsid w:val="00D265C6"/>
    <w:rsid w:val="00D2662D"/>
    <w:rsid w:val="00D268BE"/>
    <w:rsid w:val="00D2691A"/>
    <w:rsid w:val="00D26A66"/>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151"/>
    <w:rsid w:val="00D324FC"/>
    <w:rsid w:val="00D32558"/>
    <w:rsid w:val="00D327A1"/>
    <w:rsid w:val="00D32912"/>
    <w:rsid w:val="00D32A27"/>
    <w:rsid w:val="00D32F54"/>
    <w:rsid w:val="00D3307A"/>
    <w:rsid w:val="00D3320F"/>
    <w:rsid w:val="00D3343E"/>
    <w:rsid w:val="00D334D5"/>
    <w:rsid w:val="00D33919"/>
    <w:rsid w:val="00D33A4A"/>
    <w:rsid w:val="00D33AAD"/>
    <w:rsid w:val="00D33B8B"/>
    <w:rsid w:val="00D34189"/>
    <w:rsid w:val="00D3423E"/>
    <w:rsid w:val="00D343D7"/>
    <w:rsid w:val="00D34589"/>
    <w:rsid w:val="00D34757"/>
    <w:rsid w:val="00D349D7"/>
    <w:rsid w:val="00D34CAB"/>
    <w:rsid w:val="00D34FE4"/>
    <w:rsid w:val="00D35223"/>
    <w:rsid w:val="00D3540D"/>
    <w:rsid w:val="00D3552E"/>
    <w:rsid w:val="00D3553D"/>
    <w:rsid w:val="00D3576B"/>
    <w:rsid w:val="00D358EF"/>
    <w:rsid w:val="00D35B03"/>
    <w:rsid w:val="00D35C4C"/>
    <w:rsid w:val="00D35FD5"/>
    <w:rsid w:val="00D3612A"/>
    <w:rsid w:val="00D361A7"/>
    <w:rsid w:val="00D3694D"/>
    <w:rsid w:val="00D36A01"/>
    <w:rsid w:val="00D36A0C"/>
    <w:rsid w:val="00D36ADA"/>
    <w:rsid w:val="00D36D5B"/>
    <w:rsid w:val="00D36E44"/>
    <w:rsid w:val="00D36F14"/>
    <w:rsid w:val="00D3736D"/>
    <w:rsid w:val="00D37550"/>
    <w:rsid w:val="00D376ED"/>
    <w:rsid w:val="00D37715"/>
    <w:rsid w:val="00D37B46"/>
    <w:rsid w:val="00D400B0"/>
    <w:rsid w:val="00D4030A"/>
    <w:rsid w:val="00D403C0"/>
    <w:rsid w:val="00D4075C"/>
    <w:rsid w:val="00D40BF8"/>
    <w:rsid w:val="00D40CD6"/>
    <w:rsid w:val="00D40CE6"/>
    <w:rsid w:val="00D40E31"/>
    <w:rsid w:val="00D40F7B"/>
    <w:rsid w:val="00D412B0"/>
    <w:rsid w:val="00D4152D"/>
    <w:rsid w:val="00D417F7"/>
    <w:rsid w:val="00D41A0D"/>
    <w:rsid w:val="00D41BC7"/>
    <w:rsid w:val="00D41BE4"/>
    <w:rsid w:val="00D41C06"/>
    <w:rsid w:val="00D41C33"/>
    <w:rsid w:val="00D41CFB"/>
    <w:rsid w:val="00D41D0D"/>
    <w:rsid w:val="00D41FA5"/>
    <w:rsid w:val="00D41FF4"/>
    <w:rsid w:val="00D42013"/>
    <w:rsid w:val="00D42531"/>
    <w:rsid w:val="00D42928"/>
    <w:rsid w:val="00D42A21"/>
    <w:rsid w:val="00D42AB7"/>
    <w:rsid w:val="00D42D74"/>
    <w:rsid w:val="00D42FF7"/>
    <w:rsid w:val="00D43376"/>
    <w:rsid w:val="00D43385"/>
    <w:rsid w:val="00D4340D"/>
    <w:rsid w:val="00D435F9"/>
    <w:rsid w:val="00D43693"/>
    <w:rsid w:val="00D43856"/>
    <w:rsid w:val="00D438FB"/>
    <w:rsid w:val="00D43EFA"/>
    <w:rsid w:val="00D44103"/>
    <w:rsid w:val="00D44230"/>
    <w:rsid w:val="00D442C7"/>
    <w:rsid w:val="00D446BC"/>
    <w:rsid w:val="00D44B15"/>
    <w:rsid w:val="00D44B2B"/>
    <w:rsid w:val="00D44B5D"/>
    <w:rsid w:val="00D44EC2"/>
    <w:rsid w:val="00D4517E"/>
    <w:rsid w:val="00D4543F"/>
    <w:rsid w:val="00D45502"/>
    <w:rsid w:val="00D45508"/>
    <w:rsid w:val="00D457C5"/>
    <w:rsid w:val="00D4589B"/>
    <w:rsid w:val="00D45EFB"/>
    <w:rsid w:val="00D460EB"/>
    <w:rsid w:val="00D463E2"/>
    <w:rsid w:val="00D4659C"/>
    <w:rsid w:val="00D465DE"/>
    <w:rsid w:val="00D46635"/>
    <w:rsid w:val="00D468D0"/>
    <w:rsid w:val="00D46AE2"/>
    <w:rsid w:val="00D46C8F"/>
    <w:rsid w:val="00D46E4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6B5"/>
    <w:rsid w:val="00D518D4"/>
    <w:rsid w:val="00D51AB2"/>
    <w:rsid w:val="00D51D3E"/>
    <w:rsid w:val="00D51D9F"/>
    <w:rsid w:val="00D51ED2"/>
    <w:rsid w:val="00D51F0A"/>
    <w:rsid w:val="00D5200B"/>
    <w:rsid w:val="00D52478"/>
    <w:rsid w:val="00D524BE"/>
    <w:rsid w:val="00D52956"/>
    <w:rsid w:val="00D52A9A"/>
    <w:rsid w:val="00D52BBC"/>
    <w:rsid w:val="00D52C38"/>
    <w:rsid w:val="00D52CE1"/>
    <w:rsid w:val="00D52CE3"/>
    <w:rsid w:val="00D53235"/>
    <w:rsid w:val="00D536A4"/>
    <w:rsid w:val="00D5392B"/>
    <w:rsid w:val="00D53980"/>
    <w:rsid w:val="00D53989"/>
    <w:rsid w:val="00D5399E"/>
    <w:rsid w:val="00D539DD"/>
    <w:rsid w:val="00D53E5D"/>
    <w:rsid w:val="00D53FF4"/>
    <w:rsid w:val="00D541E0"/>
    <w:rsid w:val="00D5468E"/>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1B1"/>
    <w:rsid w:val="00D57446"/>
    <w:rsid w:val="00D576BC"/>
    <w:rsid w:val="00D579A6"/>
    <w:rsid w:val="00D579CC"/>
    <w:rsid w:val="00D579EC"/>
    <w:rsid w:val="00D57A73"/>
    <w:rsid w:val="00D57D22"/>
    <w:rsid w:val="00D6022A"/>
    <w:rsid w:val="00D60235"/>
    <w:rsid w:val="00D60339"/>
    <w:rsid w:val="00D6035A"/>
    <w:rsid w:val="00D6053E"/>
    <w:rsid w:val="00D60564"/>
    <w:rsid w:val="00D6083C"/>
    <w:rsid w:val="00D6088B"/>
    <w:rsid w:val="00D6097F"/>
    <w:rsid w:val="00D60C5B"/>
    <w:rsid w:val="00D60EED"/>
    <w:rsid w:val="00D60F21"/>
    <w:rsid w:val="00D615AD"/>
    <w:rsid w:val="00D617CC"/>
    <w:rsid w:val="00D61820"/>
    <w:rsid w:val="00D6183D"/>
    <w:rsid w:val="00D61A02"/>
    <w:rsid w:val="00D61A64"/>
    <w:rsid w:val="00D62208"/>
    <w:rsid w:val="00D625F2"/>
    <w:rsid w:val="00D62868"/>
    <w:rsid w:val="00D62AAF"/>
    <w:rsid w:val="00D62B8A"/>
    <w:rsid w:val="00D634A7"/>
    <w:rsid w:val="00D634E9"/>
    <w:rsid w:val="00D636AA"/>
    <w:rsid w:val="00D63AF6"/>
    <w:rsid w:val="00D63CDA"/>
    <w:rsid w:val="00D643C5"/>
    <w:rsid w:val="00D64791"/>
    <w:rsid w:val="00D647D7"/>
    <w:rsid w:val="00D6480C"/>
    <w:rsid w:val="00D64965"/>
    <w:rsid w:val="00D64A46"/>
    <w:rsid w:val="00D64B5A"/>
    <w:rsid w:val="00D64CE8"/>
    <w:rsid w:val="00D64F53"/>
    <w:rsid w:val="00D65064"/>
    <w:rsid w:val="00D6563A"/>
    <w:rsid w:val="00D656B9"/>
    <w:rsid w:val="00D65A8B"/>
    <w:rsid w:val="00D65BA6"/>
    <w:rsid w:val="00D65E4D"/>
    <w:rsid w:val="00D66132"/>
    <w:rsid w:val="00D66287"/>
    <w:rsid w:val="00D662C9"/>
    <w:rsid w:val="00D665A3"/>
    <w:rsid w:val="00D66B5C"/>
    <w:rsid w:val="00D66CB3"/>
    <w:rsid w:val="00D66CDA"/>
    <w:rsid w:val="00D66CDB"/>
    <w:rsid w:val="00D66EFF"/>
    <w:rsid w:val="00D66F39"/>
    <w:rsid w:val="00D67710"/>
    <w:rsid w:val="00D677CA"/>
    <w:rsid w:val="00D67C18"/>
    <w:rsid w:val="00D70039"/>
    <w:rsid w:val="00D70318"/>
    <w:rsid w:val="00D70604"/>
    <w:rsid w:val="00D70631"/>
    <w:rsid w:val="00D70686"/>
    <w:rsid w:val="00D708BC"/>
    <w:rsid w:val="00D709D6"/>
    <w:rsid w:val="00D70B9C"/>
    <w:rsid w:val="00D70C68"/>
    <w:rsid w:val="00D70C6E"/>
    <w:rsid w:val="00D70E1F"/>
    <w:rsid w:val="00D70EFA"/>
    <w:rsid w:val="00D70F11"/>
    <w:rsid w:val="00D711FF"/>
    <w:rsid w:val="00D714AE"/>
    <w:rsid w:val="00D7165F"/>
    <w:rsid w:val="00D717C5"/>
    <w:rsid w:val="00D71A02"/>
    <w:rsid w:val="00D720F7"/>
    <w:rsid w:val="00D724E2"/>
    <w:rsid w:val="00D72500"/>
    <w:rsid w:val="00D72826"/>
    <w:rsid w:val="00D728E2"/>
    <w:rsid w:val="00D729DC"/>
    <w:rsid w:val="00D72A84"/>
    <w:rsid w:val="00D72B1F"/>
    <w:rsid w:val="00D72D1D"/>
    <w:rsid w:val="00D730FD"/>
    <w:rsid w:val="00D73108"/>
    <w:rsid w:val="00D731EB"/>
    <w:rsid w:val="00D7358E"/>
    <w:rsid w:val="00D7392E"/>
    <w:rsid w:val="00D740D6"/>
    <w:rsid w:val="00D740DB"/>
    <w:rsid w:val="00D7476D"/>
    <w:rsid w:val="00D74933"/>
    <w:rsid w:val="00D749DD"/>
    <w:rsid w:val="00D74A63"/>
    <w:rsid w:val="00D74AF0"/>
    <w:rsid w:val="00D74BDE"/>
    <w:rsid w:val="00D74BFD"/>
    <w:rsid w:val="00D74D0C"/>
    <w:rsid w:val="00D750BA"/>
    <w:rsid w:val="00D750EC"/>
    <w:rsid w:val="00D75160"/>
    <w:rsid w:val="00D7517F"/>
    <w:rsid w:val="00D751B6"/>
    <w:rsid w:val="00D755E7"/>
    <w:rsid w:val="00D756AA"/>
    <w:rsid w:val="00D757BD"/>
    <w:rsid w:val="00D75843"/>
    <w:rsid w:val="00D75DE5"/>
    <w:rsid w:val="00D75FA2"/>
    <w:rsid w:val="00D76097"/>
    <w:rsid w:val="00D765A0"/>
    <w:rsid w:val="00D765D0"/>
    <w:rsid w:val="00D76709"/>
    <w:rsid w:val="00D767A0"/>
    <w:rsid w:val="00D767DB"/>
    <w:rsid w:val="00D7682A"/>
    <w:rsid w:val="00D76E51"/>
    <w:rsid w:val="00D7703D"/>
    <w:rsid w:val="00D776D4"/>
    <w:rsid w:val="00D77800"/>
    <w:rsid w:val="00D779F9"/>
    <w:rsid w:val="00D77BBF"/>
    <w:rsid w:val="00D8040B"/>
    <w:rsid w:val="00D80512"/>
    <w:rsid w:val="00D80567"/>
    <w:rsid w:val="00D80889"/>
    <w:rsid w:val="00D80912"/>
    <w:rsid w:val="00D809AE"/>
    <w:rsid w:val="00D80AF6"/>
    <w:rsid w:val="00D80C3D"/>
    <w:rsid w:val="00D80FB0"/>
    <w:rsid w:val="00D812B7"/>
    <w:rsid w:val="00D81550"/>
    <w:rsid w:val="00D818DD"/>
    <w:rsid w:val="00D81DF1"/>
    <w:rsid w:val="00D81FDE"/>
    <w:rsid w:val="00D820EF"/>
    <w:rsid w:val="00D8231D"/>
    <w:rsid w:val="00D82569"/>
    <w:rsid w:val="00D825DD"/>
    <w:rsid w:val="00D82658"/>
    <w:rsid w:val="00D8297C"/>
    <w:rsid w:val="00D82A80"/>
    <w:rsid w:val="00D82D2A"/>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14D"/>
    <w:rsid w:val="00D85500"/>
    <w:rsid w:val="00D8562E"/>
    <w:rsid w:val="00D85B61"/>
    <w:rsid w:val="00D85C68"/>
    <w:rsid w:val="00D85E34"/>
    <w:rsid w:val="00D85FDD"/>
    <w:rsid w:val="00D862D7"/>
    <w:rsid w:val="00D866CC"/>
    <w:rsid w:val="00D86929"/>
    <w:rsid w:val="00D869CB"/>
    <w:rsid w:val="00D86AF6"/>
    <w:rsid w:val="00D86BC4"/>
    <w:rsid w:val="00D86CDC"/>
    <w:rsid w:val="00D86D0A"/>
    <w:rsid w:val="00D870FF"/>
    <w:rsid w:val="00D874B9"/>
    <w:rsid w:val="00D879F1"/>
    <w:rsid w:val="00D87A10"/>
    <w:rsid w:val="00D87A6E"/>
    <w:rsid w:val="00D87EAA"/>
    <w:rsid w:val="00D900EF"/>
    <w:rsid w:val="00D9026F"/>
    <w:rsid w:val="00D90555"/>
    <w:rsid w:val="00D90689"/>
    <w:rsid w:val="00D907B3"/>
    <w:rsid w:val="00D9089A"/>
    <w:rsid w:val="00D90932"/>
    <w:rsid w:val="00D90C91"/>
    <w:rsid w:val="00D90CD2"/>
    <w:rsid w:val="00D91148"/>
    <w:rsid w:val="00D912E6"/>
    <w:rsid w:val="00D913F5"/>
    <w:rsid w:val="00D9151E"/>
    <w:rsid w:val="00D91D74"/>
    <w:rsid w:val="00D91E52"/>
    <w:rsid w:val="00D91E68"/>
    <w:rsid w:val="00D9201D"/>
    <w:rsid w:val="00D925AB"/>
    <w:rsid w:val="00D927FF"/>
    <w:rsid w:val="00D92877"/>
    <w:rsid w:val="00D9294C"/>
    <w:rsid w:val="00D92A24"/>
    <w:rsid w:val="00D92BFF"/>
    <w:rsid w:val="00D92DA4"/>
    <w:rsid w:val="00D92DE5"/>
    <w:rsid w:val="00D92F09"/>
    <w:rsid w:val="00D930B9"/>
    <w:rsid w:val="00D9341E"/>
    <w:rsid w:val="00D93624"/>
    <w:rsid w:val="00D93725"/>
    <w:rsid w:val="00D937F1"/>
    <w:rsid w:val="00D93FD0"/>
    <w:rsid w:val="00D940D6"/>
    <w:rsid w:val="00D941A4"/>
    <w:rsid w:val="00D944F1"/>
    <w:rsid w:val="00D94521"/>
    <w:rsid w:val="00D9471D"/>
    <w:rsid w:val="00D94A2A"/>
    <w:rsid w:val="00D94A4A"/>
    <w:rsid w:val="00D94A8C"/>
    <w:rsid w:val="00D94BA6"/>
    <w:rsid w:val="00D94C8A"/>
    <w:rsid w:val="00D94E8F"/>
    <w:rsid w:val="00D94F9F"/>
    <w:rsid w:val="00D95051"/>
    <w:rsid w:val="00D9508E"/>
    <w:rsid w:val="00D95460"/>
    <w:rsid w:val="00D95638"/>
    <w:rsid w:val="00D95963"/>
    <w:rsid w:val="00D95B84"/>
    <w:rsid w:val="00D95CB4"/>
    <w:rsid w:val="00D95E94"/>
    <w:rsid w:val="00D95F9E"/>
    <w:rsid w:val="00D96231"/>
    <w:rsid w:val="00D9665C"/>
    <w:rsid w:val="00D96714"/>
    <w:rsid w:val="00D9682F"/>
    <w:rsid w:val="00D969F4"/>
    <w:rsid w:val="00D96AFE"/>
    <w:rsid w:val="00D96EA9"/>
    <w:rsid w:val="00D97320"/>
    <w:rsid w:val="00D97358"/>
    <w:rsid w:val="00D9784A"/>
    <w:rsid w:val="00D978E5"/>
    <w:rsid w:val="00D97D00"/>
    <w:rsid w:val="00D97EFE"/>
    <w:rsid w:val="00DA008F"/>
    <w:rsid w:val="00DA01BF"/>
    <w:rsid w:val="00DA051C"/>
    <w:rsid w:val="00DA08BB"/>
    <w:rsid w:val="00DA09AF"/>
    <w:rsid w:val="00DA09D2"/>
    <w:rsid w:val="00DA0B44"/>
    <w:rsid w:val="00DA14F6"/>
    <w:rsid w:val="00DA1801"/>
    <w:rsid w:val="00DA1803"/>
    <w:rsid w:val="00DA1923"/>
    <w:rsid w:val="00DA1EB1"/>
    <w:rsid w:val="00DA1F2D"/>
    <w:rsid w:val="00DA1F83"/>
    <w:rsid w:val="00DA2176"/>
    <w:rsid w:val="00DA2223"/>
    <w:rsid w:val="00DA2238"/>
    <w:rsid w:val="00DA22ED"/>
    <w:rsid w:val="00DA24E6"/>
    <w:rsid w:val="00DA26FA"/>
    <w:rsid w:val="00DA2720"/>
    <w:rsid w:val="00DA2838"/>
    <w:rsid w:val="00DA2885"/>
    <w:rsid w:val="00DA2890"/>
    <w:rsid w:val="00DA291F"/>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4BE7"/>
    <w:rsid w:val="00DA5281"/>
    <w:rsid w:val="00DA5446"/>
    <w:rsid w:val="00DA5E4B"/>
    <w:rsid w:val="00DA6189"/>
    <w:rsid w:val="00DA64D7"/>
    <w:rsid w:val="00DA6A3D"/>
    <w:rsid w:val="00DA7613"/>
    <w:rsid w:val="00DA7622"/>
    <w:rsid w:val="00DA7637"/>
    <w:rsid w:val="00DA77EB"/>
    <w:rsid w:val="00DA7BE9"/>
    <w:rsid w:val="00DA7C43"/>
    <w:rsid w:val="00DA7D70"/>
    <w:rsid w:val="00DA7E37"/>
    <w:rsid w:val="00DA7FD7"/>
    <w:rsid w:val="00DB0259"/>
    <w:rsid w:val="00DB072F"/>
    <w:rsid w:val="00DB0B56"/>
    <w:rsid w:val="00DB0B99"/>
    <w:rsid w:val="00DB0CC9"/>
    <w:rsid w:val="00DB0D3F"/>
    <w:rsid w:val="00DB0DAC"/>
    <w:rsid w:val="00DB124D"/>
    <w:rsid w:val="00DB17CA"/>
    <w:rsid w:val="00DB18D5"/>
    <w:rsid w:val="00DB18EE"/>
    <w:rsid w:val="00DB1A21"/>
    <w:rsid w:val="00DB1A4C"/>
    <w:rsid w:val="00DB1C33"/>
    <w:rsid w:val="00DB1D3E"/>
    <w:rsid w:val="00DB1EF5"/>
    <w:rsid w:val="00DB1F51"/>
    <w:rsid w:val="00DB1FE2"/>
    <w:rsid w:val="00DB2327"/>
    <w:rsid w:val="00DB24BC"/>
    <w:rsid w:val="00DB256C"/>
    <w:rsid w:val="00DB27C6"/>
    <w:rsid w:val="00DB28E3"/>
    <w:rsid w:val="00DB2AEC"/>
    <w:rsid w:val="00DB3507"/>
    <w:rsid w:val="00DB37CD"/>
    <w:rsid w:val="00DB39D1"/>
    <w:rsid w:val="00DB3F0A"/>
    <w:rsid w:val="00DB40AC"/>
    <w:rsid w:val="00DB41CC"/>
    <w:rsid w:val="00DB4665"/>
    <w:rsid w:val="00DB46B9"/>
    <w:rsid w:val="00DB4937"/>
    <w:rsid w:val="00DB49E5"/>
    <w:rsid w:val="00DB4AFF"/>
    <w:rsid w:val="00DB4B12"/>
    <w:rsid w:val="00DB4B7C"/>
    <w:rsid w:val="00DB4C97"/>
    <w:rsid w:val="00DB52BA"/>
    <w:rsid w:val="00DB53FD"/>
    <w:rsid w:val="00DB5400"/>
    <w:rsid w:val="00DB54EB"/>
    <w:rsid w:val="00DB5A4C"/>
    <w:rsid w:val="00DB5AA2"/>
    <w:rsid w:val="00DB5B85"/>
    <w:rsid w:val="00DB5E56"/>
    <w:rsid w:val="00DB6066"/>
    <w:rsid w:val="00DB6115"/>
    <w:rsid w:val="00DB61CF"/>
    <w:rsid w:val="00DB61F1"/>
    <w:rsid w:val="00DB68DD"/>
    <w:rsid w:val="00DB6958"/>
    <w:rsid w:val="00DB6A30"/>
    <w:rsid w:val="00DB6B9B"/>
    <w:rsid w:val="00DB6BDA"/>
    <w:rsid w:val="00DB6E0A"/>
    <w:rsid w:val="00DB6F45"/>
    <w:rsid w:val="00DB7168"/>
    <w:rsid w:val="00DB7670"/>
    <w:rsid w:val="00DB76E4"/>
    <w:rsid w:val="00DB7A6D"/>
    <w:rsid w:val="00DB7BE0"/>
    <w:rsid w:val="00DB7C25"/>
    <w:rsid w:val="00DB7FA0"/>
    <w:rsid w:val="00DB7FF4"/>
    <w:rsid w:val="00DC00FF"/>
    <w:rsid w:val="00DC0129"/>
    <w:rsid w:val="00DC0191"/>
    <w:rsid w:val="00DC0211"/>
    <w:rsid w:val="00DC022C"/>
    <w:rsid w:val="00DC02B3"/>
    <w:rsid w:val="00DC0646"/>
    <w:rsid w:val="00DC07AC"/>
    <w:rsid w:val="00DC07F1"/>
    <w:rsid w:val="00DC09CD"/>
    <w:rsid w:val="00DC0A11"/>
    <w:rsid w:val="00DC0AA5"/>
    <w:rsid w:val="00DC0F1F"/>
    <w:rsid w:val="00DC1121"/>
    <w:rsid w:val="00DC12EB"/>
    <w:rsid w:val="00DC135F"/>
    <w:rsid w:val="00DC16EC"/>
    <w:rsid w:val="00DC1B38"/>
    <w:rsid w:val="00DC1BA2"/>
    <w:rsid w:val="00DC1BD3"/>
    <w:rsid w:val="00DC1C8D"/>
    <w:rsid w:val="00DC22CF"/>
    <w:rsid w:val="00DC23C5"/>
    <w:rsid w:val="00DC2492"/>
    <w:rsid w:val="00DC252C"/>
    <w:rsid w:val="00DC25B5"/>
    <w:rsid w:val="00DC26F6"/>
    <w:rsid w:val="00DC27BC"/>
    <w:rsid w:val="00DC2904"/>
    <w:rsid w:val="00DC2926"/>
    <w:rsid w:val="00DC29B5"/>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502"/>
    <w:rsid w:val="00DC479B"/>
    <w:rsid w:val="00DC4BFC"/>
    <w:rsid w:val="00DC4C60"/>
    <w:rsid w:val="00DC4FCC"/>
    <w:rsid w:val="00DC511F"/>
    <w:rsid w:val="00DC551C"/>
    <w:rsid w:val="00DC58BD"/>
    <w:rsid w:val="00DC5931"/>
    <w:rsid w:val="00DC5A0D"/>
    <w:rsid w:val="00DC5C6C"/>
    <w:rsid w:val="00DC5E12"/>
    <w:rsid w:val="00DC5F93"/>
    <w:rsid w:val="00DC6203"/>
    <w:rsid w:val="00DC62FB"/>
    <w:rsid w:val="00DC6387"/>
    <w:rsid w:val="00DC6685"/>
    <w:rsid w:val="00DC6868"/>
    <w:rsid w:val="00DC6B52"/>
    <w:rsid w:val="00DC6BD3"/>
    <w:rsid w:val="00DC6DCC"/>
    <w:rsid w:val="00DC6F0E"/>
    <w:rsid w:val="00DC7000"/>
    <w:rsid w:val="00DC742E"/>
    <w:rsid w:val="00DC78B7"/>
    <w:rsid w:val="00DC7CB1"/>
    <w:rsid w:val="00DC7F46"/>
    <w:rsid w:val="00DC7FD6"/>
    <w:rsid w:val="00DD0135"/>
    <w:rsid w:val="00DD0249"/>
    <w:rsid w:val="00DD042F"/>
    <w:rsid w:val="00DD05DC"/>
    <w:rsid w:val="00DD061A"/>
    <w:rsid w:val="00DD0948"/>
    <w:rsid w:val="00DD0A75"/>
    <w:rsid w:val="00DD0A7A"/>
    <w:rsid w:val="00DD0B37"/>
    <w:rsid w:val="00DD0D06"/>
    <w:rsid w:val="00DD1017"/>
    <w:rsid w:val="00DD1042"/>
    <w:rsid w:val="00DD1105"/>
    <w:rsid w:val="00DD1213"/>
    <w:rsid w:val="00DD12B1"/>
    <w:rsid w:val="00DD14EB"/>
    <w:rsid w:val="00DD1511"/>
    <w:rsid w:val="00DD168F"/>
    <w:rsid w:val="00DD16DB"/>
    <w:rsid w:val="00DD17AC"/>
    <w:rsid w:val="00DD19B2"/>
    <w:rsid w:val="00DD1B07"/>
    <w:rsid w:val="00DD1CDB"/>
    <w:rsid w:val="00DD20D2"/>
    <w:rsid w:val="00DD247B"/>
    <w:rsid w:val="00DD255F"/>
    <w:rsid w:val="00DD270C"/>
    <w:rsid w:val="00DD274B"/>
    <w:rsid w:val="00DD277A"/>
    <w:rsid w:val="00DD2A72"/>
    <w:rsid w:val="00DD2A99"/>
    <w:rsid w:val="00DD2AAB"/>
    <w:rsid w:val="00DD2F61"/>
    <w:rsid w:val="00DD30B6"/>
    <w:rsid w:val="00DD3386"/>
    <w:rsid w:val="00DD3534"/>
    <w:rsid w:val="00DD37B6"/>
    <w:rsid w:val="00DD38C7"/>
    <w:rsid w:val="00DD3949"/>
    <w:rsid w:val="00DD3AB4"/>
    <w:rsid w:val="00DD3AEB"/>
    <w:rsid w:val="00DD3BAA"/>
    <w:rsid w:val="00DD3C15"/>
    <w:rsid w:val="00DD4022"/>
    <w:rsid w:val="00DD419B"/>
    <w:rsid w:val="00DD4212"/>
    <w:rsid w:val="00DD42BA"/>
    <w:rsid w:val="00DD450E"/>
    <w:rsid w:val="00DD453D"/>
    <w:rsid w:val="00DD4556"/>
    <w:rsid w:val="00DD473F"/>
    <w:rsid w:val="00DD478F"/>
    <w:rsid w:val="00DD4901"/>
    <w:rsid w:val="00DD49C0"/>
    <w:rsid w:val="00DD49E2"/>
    <w:rsid w:val="00DD4BE6"/>
    <w:rsid w:val="00DD513E"/>
    <w:rsid w:val="00DD55DE"/>
    <w:rsid w:val="00DD577E"/>
    <w:rsid w:val="00DD5812"/>
    <w:rsid w:val="00DD58DE"/>
    <w:rsid w:val="00DD59C0"/>
    <w:rsid w:val="00DD5ABC"/>
    <w:rsid w:val="00DD5F03"/>
    <w:rsid w:val="00DD60CD"/>
    <w:rsid w:val="00DD6C24"/>
    <w:rsid w:val="00DD70F4"/>
    <w:rsid w:val="00DD786C"/>
    <w:rsid w:val="00DD7A73"/>
    <w:rsid w:val="00DE0181"/>
    <w:rsid w:val="00DE0556"/>
    <w:rsid w:val="00DE074F"/>
    <w:rsid w:val="00DE0B91"/>
    <w:rsid w:val="00DE0CD8"/>
    <w:rsid w:val="00DE0EA8"/>
    <w:rsid w:val="00DE110E"/>
    <w:rsid w:val="00DE12F3"/>
    <w:rsid w:val="00DE14EF"/>
    <w:rsid w:val="00DE1911"/>
    <w:rsid w:val="00DE1B4F"/>
    <w:rsid w:val="00DE1D2D"/>
    <w:rsid w:val="00DE1D7C"/>
    <w:rsid w:val="00DE2066"/>
    <w:rsid w:val="00DE26F6"/>
    <w:rsid w:val="00DE28F2"/>
    <w:rsid w:val="00DE291A"/>
    <w:rsid w:val="00DE2C38"/>
    <w:rsid w:val="00DE2D63"/>
    <w:rsid w:val="00DE2DB0"/>
    <w:rsid w:val="00DE305A"/>
    <w:rsid w:val="00DE30C2"/>
    <w:rsid w:val="00DE33E1"/>
    <w:rsid w:val="00DE352E"/>
    <w:rsid w:val="00DE354E"/>
    <w:rsid w:val="00DE35B6"/>
    <w:rsid w:val="00DE3600"/>
    <w:rsid w:val="00DE3658"/>
    <w:rsid w:val="00DE3660"/>
    <w:rsid w:val="00DE3678"/>
    <w:rsid w:val="00DE3740"/>
    <w:rsid w:val="00DE3825"/>
    <w:rsid w:val="00DE3DFE"/>
    <w:rsid w:val="00DE3F79"/>
    <w:rsid w:val="00DE4462"/>
    <w:rsid w:val="00DE4561"/>
    <w:rsid w:val="00DE4976"/>
    <w:rsid w:val="00DE4C64"/>
    <w:rsid w:val="00DE4ED8"/>
    <w:rsid w:val="00DE5059"/>
    <w:rsid w:val="00DE525F"/>
    <w:rsid w:val="00DE5337"/>
    <w:rsid w:val="00DE534B"/>
    <w:rsid w:val="00DE5CD3"/>
    <w:rsid w:val="00DE5DAE"/>
    <w:rsid w:val="00DE5E17"/>
    <w:rsid w:val="00DE5F9A"/>
    <w:rsid w:val="00DE6233"/>
    <w:rsid w:val="00DE6364"/>
    <w:rsid w:val="00DE63B4"/>
    <w:rsid w:val="00DE6412"/>
    <w:rsid w:val="00DE6922"/>
    <w:rsid w:val="00DE6CE1"/>
    <w:rsid w:val="00DE72D8"/>
    <w:rsid w:val="00DE72E1"/>
    <w:rsid w:val="00DE740C"/>
    <w:rsid w:val="00DE7586"/>
    <w:rsid w:val="00DE75B9"/>
    <w:rsid w:val="00DE76BC"/>
    <w:rsid w:val="00DE7729"/>
    <w:rsid w:val="00DE7F68"/>
    <w:rsid w:val="00DF0007"/>
    <w:rsid w:val="00DF0008"/>
    <w:rsid w:val="00DF00A2"/>
    <w:rsid w:val="00DF0387"/>
    <w:rsid w:val="00DF05DA"/>
    <w:rsid w:val="00DF06D1"/>
    <w:rsid w:val="00DF08F5"/>
    <w:rsid w:val="00DF0AC7"/>
    <w:rsid w:val="00DF0BC6"/>
    <w:rsid w:val="00DF0D75"/>
    <w:rsid w:val="00DF0EE1"/>
    <w:rsid w:val="00DF1197"/>
    <w:rsid w:val="00DF1548"/>
    <w:rsid w:val="00DF16FA"/>
    <w:rsid w:val="00DF17C5"/>
    <w:rsid w:val="00DF1827"/>
    <w:rsid w:val="00DF1B32"/>
    <w:rsid w:val="00DF1D3D"/>
    <w:rsid w:val="00DF1F3B"/>
    <w:rsid w:val="00DF2199"/>
    <w:rsid w:val="00DF227B"/>
    <w:rsid w:val="00DF22D3"/>
    <w:rsid w:val="00DF24C3"/>
    <w:rsid w:val="00DF24D4"/>
    <w:rsid w:val="00DF24D5"/>
    <w:rsid w:val="00DF2741"/>
    <w:rsid w:val="00DF28C3"/>
    <w:rsid w:val="00DF28CB"/>
    <w:rsid w:val="00DF2983"/>
    <w:rsid w:val="00DF2E58"/>
    <w:rsid w:val="00DF2E73"/>
    <w:rsid w:val="00DF3087"/>
    <w:rsid w:val="00DF32A0"/>
    <w:rsid w:val="00DF35EF"/>
    <w:rsid w:val="00DF3705"/>
    <w:rsid w:val="00DF3848"/>
    <w:rsid w:val="00DF3A86"/>
    <w:rsid w:val="00DF3CC2"/>
    <w:rsid w:val="00DF3D7C"/>
    <w:rsid w:val="00DF3FB0"/>
    <w:rsid w:val="00DF40BD"/>
    <w:rsid w:val="00DF418E"/>
    <w:rsid w:val="00DF4758"/>
    <w:rsid w:val="00DF48F5"/>
    <w:rsid w:val="00DF4927"/>
    <w:rsid w:val="00DF4F79"/>
    <w:rsid w:val="00DF507F"/>
    <w:rsid w:val="00DF554D"/>
    <w:rsid w:val="00DF576F"/>
    <w:rsid w:val="00DF58BC"/>
    <w:rsid w:val="00DF5BE3"/>
    <w:rsid w:val="00DF5D06"/>
    <w:rsid w:val="00DF5F70"/>
    <w:rsid w:val="00DF6122"/>
    <w:rsid w:val="00DF6148"/>
    <w:rsid w:val="00DF62DB"/>
    <w:rsid w:val="00DF6353"/>
    <w:rsid w:val="00DF6667"/>
    <w:rsid w:val="00DF66B7"/>
    <w:rsid w:val="00DF68C4"/>
    <w:rsid w:val="00DF6C35"/>
    <w:rsid w:val="00DF6DD9"/>
    <w:rsid w:val="00DF7124"/>
    <w:rsid w:val="00DF7233"/>
    <w:rsid w:val="00DF7320"/>
    <w:rsid w:val="00DF7433"/>
    <w:rsid w:val="00DF7465"/>
    <w:rsid w:val="00DF7560"/>
    <w:rsid w:val="00DF7682"/>
    <w:rsid w:val="00DF78DE"/>
    <w:rsid w:val="00DF7CA6"/>
    <w:rsid w:val="00DF7CA7"/>
    <w:rsid w:val="00DF7D59"/>
    <w:rsid w:val="00DF7F6D"/>
    <w:rsid w:val="00DF7F9B"/>
    <w:rsid w:val="00E003DE"/>
    <w:rsid w:val="00E005AA"/>
    <w:rsid w:val="00E005D4"/>
    <w:rsid w:val="00E0095A"/>
    <w:rsid w:val="00E00A7F"/>
    <w:rsid w:val="00E00B7F"/>
    <w:rsid w:val="00E00BAB"/>
    <w:rsid w:val="00E00CA8"/>
    <w:rsid w:val="00E00E2E"/>
    <w:rsid w:val="00E010F1"/>
    <w:rsid w:val="00E01174"/>
    <w:rsid w:val="00E01404"/>
    <w:rsid w:val="00E017F5"/>
    <w:rsid w:val="00E019FC"/>
    <w:rsid w:val="00E01A90"/>
    <w:rsid w:val="00E01EF8"/>
    <w:rsid w:val="00E0209A"/>
    <w:rsid w:val="00E02147"/>
    <w:rsid w:val="00E02795"/>
    <w:rsid w:val="00E02815"/>
    <w:rsid w:val="00E0316F"/>
    <w:rsid w:val="00E0353D"/>
    <w:rsid w:val="00E03549"/>
    <w:rsid w:val="00E03709"/>
    <w:rsid w:val="00E0370A"/>
    <w:rsid w:val="00E03898"/>
    <w:rsid w:val="00E03AC2"/>
    <w:rsid w:val="00E03C94"/>
    <w:rsid w:val="00E04144"/>
    <w:rsid w:val="00E04386"/>
    <w:rsid w:val="00E044A6"/>
    <w:rsid w:val="00E0470E"/>
    <w:rsid w:val="00E04B1D"/>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A3D"/>
    <w:rsid w:val="00E05B55"/>
    <w:rsid w:val="00E05B8F"/>
    <w:rsid w:val="00E05F66"/>
    <w:rsid w:val="00E063E2"/>
    <w:rsid w:val="00E06454"/>
    <w:rsid w:val="00E06E26"/>
    <w:rsid w:val="00E0712A"/>
    <w:rsid w:val="00E07179"/>
    <w:rsid w:val="00E074A7"/>
    <w:rsid w:val="00E07511"/>
    <w:rsid w:val="00E0760B"/>
    <w:rsid w:val="00E07955"/>
    <w:rsid w:val="00E07B62"/>
    <w:rsid w:val="00E07DD8"/>
    <w:rsid w:val="00E07E21"/>
    <w:rsid w:val="00E07E9C"/>
    <w:rsid w:val="00E07EB8"/>
    <w:rsid w:val="00E07F78"/>
    <w:rsid w:val="00E1015B"/>
    <w:rsid w:val="00E10385"/>
    <w:rsid w:val="00E103F8"/>
    <w:rsid w:val="00E105EA"/>
    <w:rsid w:val="00E114E8"/>
    <w:rsid w:val="00E11A5E"/>
    <w:rsid w:val="00E11A99"/>
    <w:rsid w:val="00E11B19"/>
    <w:rsid w:val="00E11BAF"/>
    <w:rsid w:val="00E11BE3"/>
    <w:rsid w:val="00E11E72"/>
    <w:rsid w:val="00E11E7E"/>
    <w:rsid w:val="00E12054"/>
    <w:rsid w:val="00E12088"/>
    <w:rsid w:val="00E120CF"/>
    <w:rsid w:val="00E121DE"/>
    <w:rsid w:val="00E122A5"/>
    <w:rsid w:val="00E1247E"/>
    <w:rsid w:val="00E125FB"/>
    <w:rsid w:val="00E129D0"/>
    <w:rsid w:val="00E12A19"/>
    <w:rsid w:val="00E12B44"/>
    <w:rsid w:val="00E12D6F"/>
    <w:rsid w:val="00E12FDB"/>
    <w:rsid w:val="00E12FE6"/>
    <w:rsid w:val="00E13074"/>
    <w:rsid w:val="00E13076"/>
    <w:rsid w:val="00E130F9"/>
    <w:rsid w:val="00E13188"/>
    <w:rsid w:val="00E131C3"/>
    <w:rsid w:val="00E1320F"/>
    <w:rsid w:val="00E13319"/>
    <w:rsid w:val="00E133C5"/>
    <w:rsid w:val="00E13455"/>
    <w:rsid w:val="00E1360C"/>
    <w:rsid w:val="00E136BE"/>
    <w:rsid w:val="00E139C9"/>
    <w:rsid w:val="00E13D6C"/>
    <w:rsid w:val="00E13E35"/>
    <w:rsid w:val="00E13EF6"/>
    <w:rsid w:val="00E143C6"/>
    <w:rsid w:val="00E145FF"/>
    <w:rsid w:val="00E14731"/>
    <w:rsid w:val="00E14759"/>
    <w:rsid w:val="00E148D1"/>
    <w:rsid w:val="00E149FB"/>
    <w:rsid w:val="00E14A23"/>
    <w:rsid w:val="00E14A5F"/>
    <w:rsid w:val="00E14E2B"/>
    <w:rsid w:val="00E1521C"/>
    <w:rsid w:val="00E1524E"/>
    <w:rsid w:val="00E152EE"/>
    <w:rsid w:val="00E15474"/>
    <w:rsid w:val="00E15572"/>
    <w:rsid w:val="00E159CE"/>
    <w:rsid w:val="00E15A95"/>
    <w:rsid w:val="00E15B88"/>
    <w:rsid w:val="00E15E01"/>
    <w:rsid w:val="00E15FE0"/>
    <w:rsid w:val="00E15FEE"/>
    <w:rsid w:val="00E1628B"/>
    <w:rsid w:val="00E163A6"/>
    <w:rsid w:val="00E16D4A"/>
    <w:rsid w:val="00E16E02"/>
    <w:rsid w:val="00E16E17"/>
    <w:rsid w:val="00E16E1B"/>
    <w:rsid w:val="00E16F85"/>
    <w:rsid w:val="00E172CA"/>
    <w:rsid w:val="00E1738E"/>
    <w:rsid w:val="00E173E4"/>
    <w:rsid w:val="00E174D6"/>
    <w:rsid w:val="00E17545"/>
    <w:rsid w:val="00E17A6E"/>
    <w:rsid w:val="00E20190"/>
    <w:rsid w:val="00E2034C"/>
    <w:rsid w:val="00E20392"/>
    <w:rsid w:val="00E204DE"/>
    <w:rsid w:val="00E204FE"/>
    <w:rsid w:val="00E206C3"/>
    <w:rsid w:val="00E20AA7"/>
    <w:rsid w:val="00E20AD5"/>
    <w:rsid w:val="00E20B39"/>
    <w:rsid w:val="00E20DF1"/>
    <w:rsid w:val="00E20E9D"/>
    <w:rsid w:val="00E20F3E"/>
    <w:rsid w:val="00E20FCC"/>
    <w:rsid w:val="00E21139"/>
    <w:rsid w:val="00E211C5"/>
    <w:rsid w:val="00E21364"/>
    <w:rsid w:val="00E21697"/>
    <w:rsid w:val="00E21823"/>
    <w:rsid w:val="00E21A01"/>
    <w:rsid w:val="00E21BC5"/>
    <w:rsid w:val="00E21E37"/>
    <w:rsid w:val="00E21E47"/>
    <w:rsid w:val="00E21E5E"/>
    <w:rsid w:val="00E21F7B"/>
    <w:rsid w:val="00E22096"/>
    <w:rsid w:val="00E221B9"/>
    <w:rsid w:val="00E22335"/>
    <w:rsid w:val="00E2251F"/>
    <w:rsid w:val="00E228E5"/>
    <w:rsid w:val="00E22B6E"/>
    <w:rsid w:val="00E22C48"/>
    <w:rsid w:val="00E22C52"/>
    <w:rsid w:val="00E22D99"/>
    <w:rsid w:val="00E230E5"/>
    <w:rsid w:val="00E23159"/>
    <w:rsid w:val="00E23263"/>
    <w:rsid w:val="00E23366"/>
    <w:rsid w:val="00E233D1"/>
    <w:rsid w:val="00E2347F"/>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DE0"/>
    <w:rsid w:val="00E24E83"/>
    <w:rsid w:val="00E24ED2"/>
    <w:rsid w:val="00E25213"/>
    <w:rsid w:val="00E25A72"/>
    <w:rsid w:val="00E25B4C"/>
    <w:rsid w:val="00E25CCF"/>
    <w:rsid w:val="00E25D73"/>
    <w:rsid w:val="00E25F74"/>
    <w:rsid w:val="00E25FD4"/>
    <w:rsid w:val="00E26300"/>
    <w:rsid w:val="00E263D8"/>
    <w:rsid w:val="00E269D7"/>
    <w:rsid w:val="00E26D53"/>
    <w:rsid w:val="00E26E81"/>
    <w:rsid w:val="00E26F32"/>
    <w:rsid w:val="00E270B1"/>
    <w:rsid w:val="00E2716E"/>
    <w:rsid w:val="00E27435"/>
    <w:rsid w:val="00E27527"/>
    <w:rsid w:val="00E2767F"/>
    <w:rsid w:val="00E276DE"/>
    <w:rsid w:val="00E278F2"/>
    <w:rsid w:val="00E27A53"/>
    <w:rsid w:val="00E27C79"/>
    <w:rsid w:val="00E27D41"/>
    <w:rsid w:val="00E300BD"/>
    <w:rsid w:val="00E3083D"/>
    <w:rsid w:val="00E30897"/>
    <w:rsid w:val="00E309D2"/>
    <w:rsid w:val="00E30ACA"/>
    <w:rsid w:val="00E30AFB"/>
    <w:rsid w:val="00E30E94"/>
    <w:rsid w:val="00E30FC5"/>
    <w:rsid w:val="00E31057"/>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308"/>
    <w:rsid w:val="00E33491"/>
    <w:rsid w:val="00E335D5"/>
    <w:rsid w:val="00E3365E"/>
    <w:rsid w:val="00E33A4C"/>
    <w:rsid w:val="00E33A50"/>
    <w:rsid w:val="00E33BD0"/>
    <w:rsid w:val="00E33C5E"/>
    <w:rsid w:val="00E33CEC"/>
    <w:rsid w:val="00E33DE9"/>
    <w:rsid w:val="00E33E62"/>
    <w:rsid w:val="00E33F59"/>
    <w:rsid w:val="00E33F98"/>
    <w:rsid w:val="00E34156"/>
    <w:rsid w:val="00E3507E"/>
    <w:rsid w:val="00E350FC"/>
    <w:rsid w:val="00E3513F"/>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259"/>
    <w:rsid w:val="00E375BA"/>
    <w:rsid w:val="00E3763A"/>
    <w:rsid w:val="00E3769A"/>
    <w:rsid w:val="00E378C4"/>
    <w:rsid w:val="00E378EC"/>
    <w:rsid w:val="00E379F2"/>
    <w:rsid w:val="00E37AA0"/>
    <w:rsid w:val="00E37B9B"/>
    <w:rsid w:val="00E37BA8"/>
    <w:rsid w:val="00E37CD4"/>
    <w:rsid w:val="00E37E8E"/>
    <w:rsid w:val="00E37F75"/>
    <w:rsid w:val="00E37FD7"/>
    <w:rsid w:val="00E4019B"/>
    <w:rsid w:val="00E4081E"/>
    <w:rsid w:val="00E40AEB"/>
    <w:rsid w:val="00E40F6D"/>
    <w:rsid w:val="00E410A5"/>
    <w:rsid w:val="00E413E9"/>
    <w:rsid w:val="00E41465"/>
    <w:rsid w:val="00E41728"/>
    <w:rsid w:val="00E418F5"/>
    <w:rsid w:val="00E4198A"/>
    <w:rsid w:val="00E42218"/>
    <w:rsid w:val="00E422FC"/>
    <w:rsid w:val="00E42357"/>
    <w:rsid w:val="00E424A4"/>
    <w:rsid w:val="00E42525"/>
    <w:rsid w:val="00E4269E"/>
    <w:rsid w:val="00E426F9"/>
    <w:rsid w:val="00E427CE"/>
    <w:rsid w:val="00E429DB"/>
    <w:rsid w:val="00E42CF7"/>
    <w:rsid w:val="00E42D92"/>
    <w:rsid w:val="00E42D96"/>
    <w:rsid w:val="00E4313D"/>
    <w:rsid w:val="00E431E9"/>
    <w:rsid w:val="00E43322"/>
    <w:rsid w:val="00E4340D"/>
    <w:rsid w:val="00E43453"/>
    <w:rsid w:val="00E4361F"/>
    <w:rsid w:val="00E438F9"/>
    <w:rsid w:val="00E439B7"/>
    <w:rsid w:val="00E4420B"/>
    <w:rsid w:val="00E44235"/>
    <w:rsid w:val="00E44521"/>
    <w:rsid w:val="00E445A4"/>
    <w:rsid w:val="00E44813"/>
    <w:rsid w:val="00E44907"/>
    <w:rsid w:val="00E44E88"/>
    <w:rsid w:val="00E45159"/>
    <w:rsid w:val="00E4522F"/>
    <w:rsid w:val="00E4524E"/>
    <w:rsid w:val="00E4531F"/>
    <w:rsid w:val="00E455C8"/>
    <w:rsid w:val="00E456B8"/>
    <w:rsid w:val="00E456D5"/>
    <w:rsid w:val="00E45D0B"/>
    <w:rsid w:val="00E45DD3"/>
    <w:rsid w:val="00E45E50"/>
    <w:rsid w:val="00E460D5"/>
    <w:rsid w:val="00E46116"/>
    <w:rsid w:val="00E46235"/>
    <w:rsid w:val="00E46249"/>
    <w:rsid w:val="00E4656D"/>
    <w:rsid w:val="00E46676"/>
    <w:rsid w:val="00E46989"/>
    <w:rsid w:val="00E46CB0"/>
    <w:rsid w:val="00E46D65"/>
    <w:rsid w:val="00E4702F"/>
    <w:rsid w:val="00E47530"/>
    <w:rsid w:val="00E47550"/>
    <w:rsid w:val="00E477B9"/>
    <w:rsid w:val="00E47A00"/>
    <w:rsid w:val="00E47A5E"/>
    <w:rsid w:val="00E47B48"/>
    <w:rsid w:val="00E47F05"/>
    <w:rsid w:val="00E500A1"/>
    <w:rsid w:val="00E5019D"/>
    <w:rsid w:val="00E501CA"/>
    <w:rsid w:val="00E502F0"/>
    <w:rsid w:val="00E50475"/>
    <w:rsid w:val="00E508AD"/>
    <w:rsid w:val="00E509AB"/>
    <w:rsid w:val="00E509DF"/>
    <w:rsid w:val="00E50CEC"/>
    <w:rsid w:val="00E50EF3"/>
    <w:rsid w:val="00E50F46"/>
    <w:rsid w:val="00E519BB"/>
    <w:rsid w:val="00E51B67"/>
    <w:rsid w:val="00E51E55"/>
    <w:rsid w:val="00E52544"/>
    <w:rsid w:val="00E52569"/>
    <w:rsid w:val="00E53101"/>
    <w:rsid w:val="00E53182"/>
    <w:rsid w:val="00E533B0"/>
    <w:rsid w:val="00E53404"/>
    <w:rsid w:val="00E53541"/>
    <w:rsid w:val="00E536F4"/>
    <w:rsid w:val="00E53810"/>
    <w:rsid w:val="00E539B9"/>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4D66"/>
    <w:rsid w:val="00E550BE"/>
    <w:rsid w:val="00E55275"/>
    <w:rsid w:val="00E552C2"/>
    <w:rsid w:val="00E553FE"/>
    <w:rsid w:val="00E55531"/>
    <w:rsid w:val="00E5556D"/>
    <w:rsid w:val="00E55679"/>
    <w:rsid w:val="00E55F2E"/>
    <w:rsid w:val="00E561B5"/>
    <w:rsid w:val="00E5640A"/>
    <w:rsid w:val="00E56599"/>
    <w:rsid w:val="00E568A7"/>
    <w:rsid w:val="00E56C87"/>
    <w:rsid w:val="00E56F06"/>
    <w:rsid w:val="00E57630"/>
    <w:rsid w:val="00E57AE6"/>
    <w:rsid w:val="00E57B97"/>
    <w:rsid w:val="00E57CA4"/>
    <w:rsid w:val="00E57CB5"/>
    <w:rsid w:val="00E57DE8"/>
    <w:rsid w:val="00E57EEF"/>
    <w:rsid w:val="00E600E4"/>
    <w:rsid w:val="00E60523"/>
    <w:rsid w:val="00E60648"/>
    <w:rsid w:val="00E608B4"/>
    <w:rsid w:val="00E608D3"/>
    <w:rsid w:val="00E608FC"/>
    <w:rsid w:val="00E60C56"/>
    <w:rsid w:val="00E60FA3"/>
    <w:rsid w:val="00E6110C"/>
    <w:rsid w:val="00E613AB"/>
    <w:rsid w:val="00E6148E"/>
    <w:rsid w:val="00E6178E"/>
    <w:rsid w:val="00E61919"/>
    <w:rsid w:val="00E61B0B"/>
    <w:rsid w:val="00E61C4A"/>
    <w:rsid w:val="00E61D79"/>
    <w:rsid w:val="00E61F89"/>
    <w:rsid w:val="00E61FA1"/>
    <w:rsid w:val="00E61FC7"/>
    <w:rsid w:val="00E61FE8"/>
    <w:rsid w:val="00E624A7"/>
    <w:rsid w:val="00E627F5"/>
    <w:rsid w:val="00E62827"/>
    <w:rsid w:val="00E628DA"/>
    <w:rsid w:val="00E62A3B"/>
    <w:rsid w:val="00E62F23"/>
    <w:rsid w:val="00E63037"/>
    <w:rsid w:val="00E630DE"/>
    <w:rsid w:val="00E635A3"/>
    <w:rsid w:val="00E6372E"/>
    <w:rsid w:val="00E637E2"/>
    <w:rsid w:val="00E63BB1"/>
    <w:rsid w:val="00E63FEC"/>
    <w:rsid w:val="00E64107"/>
    <w:rsid w:val="00E6462F"/>
    <w:rsid w:val="00E64C05"/>
    <w:rsid w:val="00E64EF3"/>
    <w:rsid w:val="00E64F2A"/>
    <w:rsid w:val="00E65083"/>
    <w:rsid w:val="00E65200"/>
    <w:rsid w:val="00E653A1"/>
    <w:rsid w:val="00E6599E"/>
    <w:rsid w:val="00E65A14"/>
    <w:rsid w:val="00E65A52"/>
    <w:rsid w:val="00E65A67"/>
    <w:rsid w:val="00E65B5E"/>
    <w:rsid w:val="00E65B73"/>
    <w:rsid w:val="00E65D02"/>
    <w:rsid w:val="00E65E44"/>
    <w:rsid w:val="00E65EE9"/>
    <w:rsid w:val="00E65F8A"/>
    <w:rsid w:val="00E65FFC"/>
    <w:rsid w:val="00E6608E"/>
    <w:rsid w:val="00E6609F"/>
    <w:rsid w:val="00E661E3"/>
    <w:rsid w:val="00E6657D"/>
    <w:rsid w:val="00E665A5"/>
    <w:rsid w:val="00E665F0"/>
    <w:rsid w:val="00E66621"/>
    <w:rsid w:val="00E666EC"/>
    <w:rsid w:val="00E66729"/>
    <w:rsid w:val="00E667C1"/>
    <w:rsid w:val="00E66824"/>
    <w:rsid w:val="00E66858"/>
    <w:rsid w:val="00E668BA"/>
    <w:rsid w:val="00E66F28"/>
    <w:rsid w:val="00E6731C"/>
    <w:rsid w:val="00E67357"/>
    <w:rsid w:val="00E674BF"/>
    <w:rsid w:val="00E676B8"/>
    <w:rsid w:val="00E67998"/>
    <w:rsid w:val="00E67BA0"/>
    <w:rsid w:val="00E67E01"/>
    <w:rsid w:val="00E70014"/>
    <w:rsid w:val="00E701E5"/>
    <w:rsid w:val="00E701EB"/>
    <w:rsid w:val="00E7034D"/>
    <w:rsid w:val="00E703D6"/>
    <w:rsid w:val="00E705A6"/>
    <w:rsid w:val="00E7065B"/>
    <w:rsid w:val="00E70682"/>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7F"/>
    <w:rsid w:val="00E71CB7"/>
    <w:rsid w:val="00E71DA5"/>
    <w:rsid w:val="00E7206D"/>
    <w:rsid w:val="00E720FB"/>
    <w:rsid w:val="00E7219D"/>
    <w:rsid w:val="00E72697"/>
    <w:rsid w:val="00E72926"/>
    <w:rsid w:val="00E72C50"/>
    <w:rsid w:val="00E72ECE"/>
    <w:rsid w:val="00E72F7C"/>
    <w:rsid w:val="00E72FD4"/>
    <w:rsid w:val="00E7337C"/>
    <w:rsid w:val="00E73745"/>
    <w:rsid w:val="00E73865"/>
    <w:rsid w:val="00E73A7D"/>
    <w:rsid w:val="00E73BF9"/>
    <w:rsid w:val="00E74064"/>
    <w:rsid w:val="00E740BA"/>
    <w:rsid w:val="00E74148"/>
    <w:rsid w:val="00E74228"/>
    <w:rsid w:val="00E74BA6"/>
    <w:rsid w:val="00E74EA0"/>
    <w:rsid w:val="00E74ED0"/>
    <w:rsid w:val="00E750C5"/>
    <w:rsid w:val="00E75156"/>
    <w:rsid w:val="00E75422"/>
    <w:rsid w:val="00E75467"/>
    <w:rsid w:val="00E75947"/>
    <w:rsid w:val="00E7596A"/>
    <w:rsid w:val="00E759B2"/>
    <w:rsid w:val="00E75B45"/>
    <w:rsid w:val="00E75FC2"/>
    <w:rsid w:val="00E76045"/>
    <w:rsid w:val="00E7623A"/>
    <w:rsid w:val="00E762C5"/>
    <w:rsid w:val="00E763A2"/>
    <w:rsid w:val="00E7641C"/>
    <w:rsid w:val="00E7642C"/>
    <w:rsid w:val="00E764AC"/>
    <w:rsid w:val="00E765E8"/>
    <w:rsid w:val="00E766E3"/>
    <w:rsid w:val="00E77057"/>
    <w:rsid w:val="00E77111"/>
    <w:rsid w:val="00E771EC"/>
    <w:rsid w:val="00E772AD"/>
    <w:rsid w:val="00E7732E"/>
    <w:rsid w:val="00E7737B"/>
    <w:rsid w:val="00E773E4"/>
    <w:rsid w:val="00E7740C"/>
    <w:rsid w:val="00E77432"/>
    <w:rsid w:val="00E776BB"/>
    <w:rsid w:val="00E777E4"/>
    <w:rsid w:val="00E77A5F"/>
    <w:rsid w:val="00E77B4C"/>
    <w:rsid w:val="00E77CAD"/>
    <w:rsid w:val="00E77FA8"/>
    <w:rsid w:val="00E80015"/>
    <w:rsid w:val="00E8026D"/>
    <w:rsid w:val="00E8030A"/>
    <w:rsid w:val="00E8033A"/>
    <w:rsid w:val="00E80500"/>
    <w:rsid w:val="00E8094F"/>
    <w:rsid w:val="00E80A2B"/>
    <w:rsid w:val="00E80C42"/>
    <w:rsid w:val="00E813C0"/>
    <w:rsid w:val="00E81459"/>
    <w:rsid w:val="00E81557"/>
    <w:rsid w:val="00E81D3F"/>
    <w:rsid w:val="00E81F9B"/>
    <w:rsid w:val="00E82093"/>
    <w:rsid w:val="00E821F0"/>
    <w:rsid w:val="00E82324"/>
    <w:rsid w:val="00E82471"/>
    <w:rsid w:val="00E8265B"/>
    <w:rsid w:val="00E826FB"/>
    <w:rsid w:val="00E8271A"/>
    <w:rsid w:val="00E8286F"/>
    <w:rsid w:val="00E8293D"/>
    <w:rsid w:val="00E82AE3"/>
    <w:rsid w:val="00E82B66"/>
    <w:rsid w:val="00E82FD4"/>
    <w:rsid w:val="00E8303D"/>
    <w:rsid w:val="00E8324C"/>
    <w:rsid w:val="00E835C1"/>
    <w:rsid w:val="00E83F5F"/>
    <w:rsid w:val="00E83F95"/>
    <w:rsid w:val="00E840FB"/>
    <w:rsid w:val="00E84114"/>
    <w:rsid w:val="00E84258"/>
    <w:rsid w:val="00E84526"/>
    <w:rsid w:val="00E846A9"/>
    <w:rsid w:val="00E84719"/>
    <w:rsid w:val="00E848C4"/>
    <w:rsid w:val="00E84A60"/>
    <w:rsid w:val="00E84F79"/>
    <w:rsid w:val="00E8511A"/>
    <w:rsid w:val="00E853C8"/>
    <w:rsid w:val="00E853F5"/>
    <w:rsid w:val="00E85449"/>
    <w:rsid w:val="00E854D5"/>
    <w:rsid w:val="00E8596B"/>
    <w:rsid w:val="00E859F1"/>
    <w:rsid w:val="00E85A91"/>
    <w:rsid w:val="00E85B5F"/>
    <w:rsid w:val="00E85BE3"/>
    <w:rsid w:val="00E85C82"/>
    <w:rsid w:val="00E85F3D"/>
    <w:rsid w:val="00E85F49"/>
    <w:rsid w:val="00E8639A"/>
    <w:rsid w:val="00E86577"/>
    <w:rsid w:val="00E86799"/>
    <w:rsid w:val="00E86D56"/>
    <w:rsid w:val="00E86D66"/>
    <w:rsid w:val="00E87307"/>
    <w:rsid w:val="00E87313"/>
    <w:rsid w:val="00E87333"/>
    <w:rsid w:val="00E87362"/>
    <w:rsid w:val="00E8748C"/>
    <w:rsid w:val="00E87722"/>
    <w:rsid w:val="00E87744"/>
    <w:rsid w:val="00E87A47"/>
    <w:rsid w:val="00E87D94"/>
    <w:rsid w:val="00E87F55"/>
    <w:rsid w:val="00E87FC4"/>
    <w:rsid w:val="00E90120"/>
    <w:rsid w:val="00E909B3"/>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2CAE"/>
    <w:rsid w:val="00E93126"/>
    <w:rsid w:val="00E93279"/>
    <w:rsid w:val="00E93799"/>
    <w:rsid w:val="00E93D4E"/>
    <w:rsid w:val="00E93FE0"/>
    <w:rsid w:val="00E946BB"/>
    <w:rsid w:val="00E9543D"/>
    <w:rsid w:val="00E955DB"/>
    <w:rsid w:val="00E95626"/>
    <w:rsid w:val="00E95723"/>
    <w:rsid w:val="00E95859"/>
    <w:rsid w:val="00E95AE1"/>
    <w:rsid w:val="00E95B16"/>
    <w:rsid w:val="00E95C9A"/>
    <w:rsid w:val="00E95CBA"/>
    <w:rsid w:val="00E95D68"/>
    <w:rsid w:val="00E95E51"/>
    <w:rsid w:val="00E95E95"/>
    <w:rsid w:val="00E95EC2"/>
    <w:rsid w:val="00E95F2C"/>
    <w:rsid w:val="00E95FB8"/>
    <w:rsid w:val="00E96035"/>
    <w:rsid w:val="00E961B1"/>
    <w:rsid w:val="00E9629C"/>
    <w:rsid w:val="00E962BC"/>
    <w:rsid w:val="00E96972"/>
    <w:rsid w:val="00E96DD1"/>
    <w:rsid w:val="00E96E58"/>
    <w:rsid w:val="00E96E77"/>
    <w:rsid w:val="00E96F2D"/>
    <w:rsid w:val="00E97485"/>
    <w:rsid w:val="00E97584"/>
    <w:rsid w:val="00E9772C"/>
    <w:rsid w:val="00E97795"/>
    <w:rsid w:val="00E977AA"/>
    <w:rsid w:val="00E977DB"/>
    <w:rsid w:val="00E97864"/>
    <w:rsid w:val="00E97B39"/>
    <w:rsid w:val="00E97D5E"/>
    <w:rsid w:val="00E97E68"/>
    <w:rsid w:val="00E97F83"/>
    <w:rsid w:val="00EA0241"/>
    <w:rsid w:val="00EA045F"/>
    <w:rsid w:val="00EA04DA"/>
    <w:rsid w:val="00EA05F6"/>
    <w:rsid w:val="00EA0667"/>
    <w:rsid w:val="00EA0B1E"/>
    <w:rsid w:val="00EA0B68"/>
    <w:rsid w:val="00EA0D59"/>
    <w:rsid w:val="00EA0E05"/>
    <w:rsid w:val="00EA0E76"/>
    <w:rsid w:val="00EA0EBE"/>
    <w:rsid w:val="00EA12F1"/>
    <w:rsid w:val="00EA135B"/>
    <w:rsid w:val="00EA1460"/>
    <w:rsid w:val="00EA16CF"/>
    <w:rsid w:val="00EA196E"/>
    <w:rsid w:val="00EA1A07"/>
    <w:rsid w:val="00EA1A27"/>
    <w:rsid w:val="00EA1B8C"/>
    <w:rsid w:val="00EA2194"/>
    <w:rsid w:val="00EA2267"/>
    <w:rsid w:val="00EA23E6"/>
    <w:rsid w:val="00EA2441"/>
    <w:rsid w:val="00EA2741"/>
    <w:rsid w:val="00EA2903"/>
    <w:rsid w:val="00EA298F"/>
    <w:rsid w:val="00EA2B7A"/>
    <w:rsid w:val="00EA2F75"/>
    <w:rsid w:val="00EA3018"/>
    <w:rsid w:val="00EA3324"/>
    <w:rsid w:val="00EA33A6"/>
    <w:rsid w:val="00EA3CB6"/>
    <w:rsid w:val="00EA3D57"/>
    <w:rsid w:val="00EA3E2B"/>
    <w:rsid w:val="00EA4240"/>
    <w:rsid w:val="00EA42F1"/>
    <w:rsid w:val="00EA4682"/>
    <w:rsid w:val="00EA4794"/>
    <w:rsid w:val="00EA487F"/>
    <w:rsid w:val="00EA493D"/>
    <w:rsid w:val="00EA49CD"/>
    <w:rsid w:val="00EA4A6D"/>
    <w:rsid w:val="00EA4AAC"/>
    <w:rsid w:val="00EA4EA4"/>
    <w:rsid w:val="00EA4EA8"/>
    <w:rsid w:val="00EA50D8"/>
    <w:rsid w:val="00EA522B"/>
    <w:rsid w:val="00EA5733"/>
    <w:rsid w:val="00EA5A22"/>
    <w:rsid w:val="00EA5A4F"/>
    <w:rsid w:val="00EA5AFA"/>
    <w:rsid w:val="00EA5B6F"/>
    <w:rsid w:val="00EA5B73"/>
    <w:rsid w:val="00EA60F5"/>
    <w:rsid w:val="00EA615B"/>
    <w:rsid w:val="00EA61C0"/>
    <w:rsid w:val="00EA6602"/>
    <w:rsid w:val="00EA6ECA"/>
    <w:rsid w:val="00EA7007"/>
    <w:rsid w:val="00EA70D8"/>
    <w:rsid w:val="00EA73A2"/>
    <w:rsid w:val="00EA75DC"/>
    <w:rsid w:val="00EA7828"/>
    <w:rsid w:val="00EA7A72"/>
    <w:rsid w:val="00EA7C4C"/>
    <w:rsid w:val="00EB0340"/>
    <w:rsid w:val="00EB0556"/>
    <w:rsid w:val="00EB077B"/>
    <w:rsid w:val="00EB0B6C"/>
    <w:rsid w:val="00EB0EB9"/>
    <w:rsid w:val="00EB0EEC"/>
    <w:rsid w:val="00EB1654"/>
    <w:rsid w:val="00EB190B"/>
    <w:rsid w:val="00EB1CD5"/>
    <w:rsid w:val="00EB1CE6"/>
    <w:rsid w:val="00EB1DAC"/>
    <w:rsid w:val="00EB1E29"/>
    <w:rsid w:val="00EB21C8"/>
    <w:rsid w:val="00EB2769"/>
    <w:rsid w:val="00EB2874"/>
    <w:rsid w:val="00EB28DB"/>
    <w:rsid w:val="00EB29DD"/>
    <w:rsid w:val="00EB2E3C"/>
    <w:rsid w:val="00EB2F87"/>
    <w:rsid w:val="00EB2FD2"/>
    <w:rsid w:val="00EB2FDD"/>
    <w:rsid w:val="00EB3011"/>
    <w:rsid w:val="00EB303B"/>
    <w:rsid w:val="00EB3664"/>
    <w:rsid w:val="00EB3DA5"/>
    <w:rsid w:val="00EB3F1C"/>
    <w:rsid w:val="00EB416E"/>
    <w:rsid w:val="00EB4A71"/>
    <w:rsid w:val="00EB4D0F"/>
    <w:rsid w:val="00EB534E"/>
    <w:rsid w:val="00EB5353"/>
    <w:rsid w:val="00EB53A9"/>
    <w:rsid w:val="00EB59CA"/>
    <w:rsid w:val="00EB5AF8"/>
    <w:rsid w:val="00EB5B9D"/>
    <w:rsid w:val="00EB5F5F"/>
    <w:rsid w:val="00EB6333"/>
    <w:rsid w:val="00EB66A7"/>
    <w:rsid w:val="00EB68EF"/>
    <w:rsid w:val="00EB6A76"/>
    <w:rsid w:val="00EB6B54"/>
    <w:rsid w:val="00EB6BF9"/>
    <w:rsid w:val="00EB7333"/>
    <w:rsid w:val="00EB749E"/>
    <w:rsid w:val="00EB74A6"/>
    <w:rsid w:val="00EB76E7"/>
    <w:rsid w:val="00EB7788"/>
    <w:rsid w:val="00EB7AE0"/>
    <w:rsid w:val="00EB7EDD"/>
    <w:rsid w:val="00EB7EF5"/>
    <w:rsid w:val="00EB7F52"/>
    <w:rsid w:val="00EB7FF5"/>
    <w:rsid w:val="00EC01B0"/>
    <w:rsid w:val="00EC02E9"/>
    <w:rsid w:val="00EC0667"/>
    <w:rsid w:val="00EC0743"/>
    <w:rsid w:val="00EC0947"/>
    <w:rsid w:val="00EC094E"/>
    <w:rsid w:val="00EC096A"/>
    <w:rsid w:val="00EC0B35"/>
    <w:rsid w:val="00EC0ED6"/>
    <w:rsid w:val="00EC0F76"/>
    <w:rsid w:val="00EC13C2"/>
    <w:rsid w:val="00EC16BB"/>
    <w:rsid w:val="00EC1834"/>
    <w:rsid w:val="00EC1861"/>
    <w:rsid w:val="00EC19EA"/>
    <w:rsid w:val="00EC19F4"/>
    <w:rsid w:val="00EC1A25"/>
    <w:rsid w:val="00EC1A4F"/>
    <w:rsid w:val="00EC1B80"/>
    <w:rsid w:val="00EC1DEF"/>
    <w:rsid w:val="00EC215D"/>
    <w:rsid w:val="00EC245B"/>
    <w:rsid w:val="00EC269B"/>
    <w:rsid w:val="00EC26D3"/>
    <w:rsid w:val="00EC2C0C"/>
    <w:rsid w:val="00EC2CA9"/>
    <w:rsid w:val="00EC30F2"/>
    <w:rsid w:val="00EC3261"/>
    <w:rsid w:val="00EC32C8"/>
    <w:rsid w:val="00EC3557"/>
    <w:rsid w:val="00EC37A8"/>
    <w:rsid w:val="00EC38B5"/>
    <w:rsid w:val="00EC39C6"/>
    <w:rsid w:val="00EC3A6B"/>
    <w:rsid w:val="00EC3A75"/>
    <w:rsid w:val="00EC3D09"/>
    <w:rsid w:val="00EC3F3C"/>
    <w:rsid w:val="00EC4B5E"/>
    <w:rsid w:val="00EC4F5E"/>
    <w:rsid w:val="00EC4F76"/>
    <w:rsid w:val="00EC4F80"/>
    <w:rsid w:val="00EC4FF8"/>
    <w:rsid w:val="00EC52EE"/>
    <w:rsid w:val="00EC58D5"/>
    <w:rsid w:val="00EC58D8"/>
    <w:rsid w:val="00EC6183"/>
    <w:rsid w:val="00EC65D4"/>
    <w:rsid w:val="00EC67F6"/>
    <w:rsid w:val="00EC682B"/>
    <w:rsid w:val="00EC6A03"/>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55B"/>
    <w:rsid w:val="00ED067C"/>
    <w:rsid w:val="00ED0CB4"/>
    <w:rsid w:val="00ED1353"/>
    <w:rsid w:val="00ED15F0"/>
    <w:rsid w:val="00ED1664"/>
    <w:rsid w:val="00ED1686"/>
    <w:rsid w:val="00ED1CD0"/>
    <w:rsid w:val="00ED20C8"/>
    <w:rsid w:val="00ED21AB"/>
    <w:rsid w:val="00ED2824"/>
    <w:rsid w:val="00ED2C72"/>
    <w:rsid w:val="00ED316D"/>
    <w:rsid w:val="00ED3181"/>
    <w:rsid w:val="00ED3995"/>
    <w:rsid w:val="00ED3B96"/>
    <w:rsid w:val="00ED4495"/>
    <w:rsid w:val="00ED44C0"/>
    <w:rsid w:val="00ED44D6"/>
    <w:rsid w:val="00ED465C"/>
    <w:rsid w:val="00ED4867"/>
    <w:rsid w:val="00ED4C9F"/>
    <w:rsid w:val="00ED4E07"/>
    <w:rsid w:val="00ED5047"/>
    <w:rsid w:val="00ED542F"/>
    <w:rsid w:val="00ED5905"/>
    <w:rsid w:val="00ED59D0"/>
    <w:rsid w:val="00ED5C0F"/>
    <w:rsid w:val="00ED5E9F"/>
    <w:rsid w:val="00ED602B"/>
    <w:rsid w:val="00ED6042"/>
    <w:rsid w:val="00ED61AC"/>
    <w:rsid w:val="00ED63A3"/>
    <w:rsid w:val="00ED64BA"/>
    <w:rsid w:val="00ED6AD4"/>
    <w:rsid w:val="00ED6B96"/>
    <w:rsid w:val="00ED6D5D"/>
    <w:rsid w:val="00ED71E1"/>
    <w:rsid w:val="00ED71EE"/>
    <w:rsid w:val="00ED7309"/>
    <w:rsid w:val="00ED78C3"/>
    <w:rsid w:val="00ED7A53"/>
    <w:rsid w:val="00ED7AE2"/>
    <w:rsid w:val="00ED7B5E"/>
    <w:rsid w:val="00ED7DBE"/>
    <w:rsid w:val="00ED7F43"/>
    <w:rsid w:val="00EE035C"/>
    <w:rsid w:val="00EE05F4"/>
    <w:rsid w:val="00EE079F"/>
    <w:rsid w:val="00EE0926"/>
    <w:rsid w:val="00EE0932"/>
    <w:rsid w:val="00EE0A27"/>
    <w:rsid w:val="00EE0A6D"/>
    <w:rsid w:val="00EE0B43"/>
    <w:rsid w:val="00EE0D82"/>
    <w:rsid w:val="00EE0DA7"/>
    <w:rsid w:val="00EE0ED5"/>
    <w:rsid w:val="00EE1019"/>
    <w:rsid w:val="00EE10D5"/>
    <w:rsid w:val="00EE161B"/>
    <w:rsid w:val="00EE1622"/>
    <w:rsid w:val="00EE1951"/>
    <w:rsid w:val="00EE1B3E"/>
    <w:rsid w:val="00EE1B8D"/>
    <w:rsid w:val="00EE1BB6"/>
    <w:rsid w:val="00EE1E5C"/>
    <w:rsid w:val="00EE204E"/>
    <w:rsid w:val="00EE21AE"/>
    <w:rsid w:val="00EE272B"/>
    <w:rsid w:val="00EE27E9"/>
    <w:rsid w:val="00EE281B"/>
    <w:rsid w:val="00EE28ED"/>
    <w:rsid w:val="00EE29B5"/>
    <w:rsid w:val="00EE2AAE"/>
    <w:rsid w:val="00EE2D67"/>
    <w:rsid w:val="00EE2DB3"/>
    <w:rsid w:val="00EE2ED0"/>
    <w:rsid w:val="00EE3010"/>
    <w:rsid w:val="00EE3073"/>
    <w:rsid w:val="00EE3153"/>
    <w:rsid w:val="00EE3257"/>
    <w:rsid w:val="00EE3916"/>
    <w:rsid w:val="00EE3964"/>
    <w:rsid w:val="00EE3B00"/>
    <w:rsid w:val="00EE442F"/>
    <w:rsid w:val="00EE4465"/>
    <w:rsid w:val="00EE45B8"/>
    <w:rsid w:val="00EE4A2C"/>
    <w:rsid w:val="00EE4AA2"/>
    <w:rsid w:val="00EE4BBF"/>
    <w:rsid w:val="00EE4CC5"/>
    <w:rsid w:val="00EE4EC1"/>
    <w:rsid w:val="00EE5154"/>
    <w:rsid w:val="00EE56C9"/>
    <w:rsid w:val="00EE5AAD"/>
    <w:rsid w:val="00EE5ADD"/>
    <w:rsid w:val="00EE5B54"/>
    <w:rsid w:val="00EE5D24"/>
    <w:rsid w:val="00EE5F0D"/>
    <w:rsid w:val="00EE623A"/>
    <w:rsid w:val="00EE650E"/>
    <w:rsid w:val="00EE664D"/>
    <w:rsid w:val="00EE67DD"/>
    <w:rsid w:val="00EE69ED"/>
    <w:rsid w:val="00EE6C68"/>
    <w:rsid w:val="00EE6F30"/>
    <w:rsid w:val="00EE6F77"/>
    <w:rsid w:val="00EE71FA"/>
    <w:rsid w:val="00EE72E4"/>
    <w:rsid w:val="00EE7551"/>
    <w:rsid w:val="00EE7572"/>
    <w:rsid w:val="00EE75D7"/>
    <w:rsid w:val="00EE77A2"/>
    <w:rsid w:val="00EE793E"/>
    <w:rsid w:val="00EE7C63"/>
    <w:rsid w:val="00EF004A"/>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8C"/>
    <w:rsid w:val="00EF3BA0"/>
    <w:rsid w:val="00EF3D13"/>
    <w:rsid w:val="00EF3D6D"/>
    <w:rsid w:val="00EF3DFF"/>
    <w:rsid w:val="00EF3FCC"/>
    <w:rsid w:val="00EF42D1"/>
    <w:rsid w:val="00EF4699"/>
    <w:rsid w:val="00EF46A9"/>
    <w:rsid w:val="00EF46CC"/>
    <w:rsid w:val="00EF49F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EF7EA7"/>
    <w:rsid w:val="00F009AF"/>
    <w:rsid w:val="00F00ABB"/>
    <w:rsid w:val="00F00AD5"/>
    <w:rsid w:val="00F00B17"/>
    <w:rsid w:val="00F00D8E"/>
    <w:rsid w:val="00F0135A"/>
    <w:rsid w:val="00F01A65"/>
    <w:rsid w:val="00F01C12"/>
    <w:rsid w:val="00F02197"/>
    <w:rsid w:val="00F0219B"/>
    <w:rsid w:val="00F023D8"/>
    <w:rsid w:val="00F02440"/>
    <w:rsid w:val="00F02465"/>
    <w:rsid w:val="00F02500"/>
    <w:rsid w:val="00F02637"/>
    <w:rsid w:val="00F02759"/>
    <w:rsid w:val="00F027C0"/>
    <w:rsid w:val="00F02862"/>
    <w:rsid w:val="00F02901"/>
    <w:rsid w:val="00F02B21"/>
    <w:rsid w:val="00F02F8B"/>
    <w:rsid w:val="00F037F9"/>
    <w:rsid w:val="00F03801"/>
    <w:rsid w:val="00F03837"/>
    <w:rsid w:val="00F03934"/>
    <w:rsid w:val="00F03A8E"/>
    <w:rsid w:val="00F03A90"/>
    <w:rsid w:val="00F03B2B"/>
    <w:rsid w:val="00F03B5F"/>
    <w:rsid w:val="00F03D6F"/>
    <w:rsid w:val="00F03DB0"/>
    <w:rsid w:val="00F045F1"/>
    <w:rsid w:val="00F0480B"/>
    <w:rsid w:val="00F0481A"/>
    <w:rsid w:val="00F049E6"/>
    <w:rsid w:val="00F049E8"/>
    <w:rsid w:val="00F04B91"/>
    <w:rsid w:val="00F04F72"/>
    <w:rsid w:val="00F050D8"/>
    <w:rsid w:val="00F0544C"/>
    <w:rsid w:val="00F054F5"/>
    <w:rsid w:val="00F05602"/>
    <w:rsid w:val="00F05A7F"/>
    <w:rsid w:val="00F05A8D"/>
    <w:rsid w:val="00F05AC7"/>
    <w:rsid w:val="00F05C9A"/>
    <w:rsid w:val="00F05D80"/>
    <w:rsid w:val="00F06148"/>
    <w:rsid w:val="00F0673A"/>
    <w:rsid w:val="00F06830"/>
    <w:rsid w:val="00F06A6B"/>
    <w:rsid w:val="00F06D2A"/>
    <w:rsid w:val="00F06E36"/>
    <w:rsid w:val="00F074CA"/>
    <w:rsid w:val="00F07501"/>
    <w:rsid w:val="00F07789"/>
    <w:rsid w:val="00F07875"/>
    <w:rsid w:val="00F078E3"/>
    <w:rsid w:val="00F102C5"/>
    <w:rsid w:val="00F104E1"/>
    <w:rsid w:val="00F10541"/>
    <w:rsid w:val="00F10586"/>
    <w:rsid w:val="00F109AA"/>
    <w:rsid w:val="00F110EE"/>
    <w:rsid w:val="00F11159"/>
    <w:rsid w:val="00F11193"/>
    <w:rsid w:val="00F11195"/>
    <w:rsid w:val="00F11230"/>
    <w:rsid w:val="00F1133A"/>
    <w:rsid w:val="00F1160A"/>
    <w:rsid w:val="00F11A18"/>
    <w:rsid w:val="00F11C38"/>
    <w:rsid w:val="00F11F62"/>
    <w:rsid w:val="00F12941"/>
    <w:rsid w:val="00F12BFC"/>
    <w:rsid w:val="00F12E19"/>
    <w:rsid w:val="00F12F69"/>
    <w:rsid w:val="00F13051"/>
    <w:rsid w:val="00F13119"/>
    <w:rsid w:val="00F133E3"/>
    <w:rsid w:val="00F133E9"/>
    <w:rsid w:val="00F133F2"/>
    <w:rsid w:val="00F13433"/>
    <w:rsid w:val="00F1362E"/>
    <w:rsid w:val="00F13AF6"/>
    <w:rsid w:val="00F13B38"/>
    <w:rsid w:val="00F13EA3"/>
    <w:rsid w:val="00F13ECB"/>
    <w:rsid w:val="00F13F15"/>
    <w:rsid w:val="00F142C4"/>
    <w:rsid w:val="00F142CF"/>
    <w:rsid w:val="00F145D6"/>
    <w:rsid w:val="00F14823"/>
    <w:rsid w:val="00F14A4D"/>
    <w:rsid w:val="00F14DAA"/>
    <w:rsid w:val="00F14E67"/>
    <w:rsid w:val="00F14FC2"/>
    <w:rsid w:val="00F150F8"/>
    <w:rsid w:val="00F152BC"/>
    <w:rsid w:val="00F15614"/>
    <w:rsid w:val="00F157D4"/>
    <w:rsid w:val="00F15A67"/>
    <w:rsid w:val="00F15A89"/>
    <w:rsid w:val="00F15BAF"/>
    <w:rsid w:val="00F15D1D"/>
    <w:rsid w:val="00F15ED3"/>
    <w:rsid w:val="00F16074"/>
    <w:rsid w:val="00F1677A"/>
    <w:rsid w:val="00F1680A"/>
    <w:rsid w:val="00F16886"/>
    <w:rsid w:val="00F16C62"/>
    <w:rsid w:val="00F173E4"/>
    <w:rsid w:val="00F17590"/>
    <w:rsid w:val="00F17716"/>
    <w:rsid w:val="00F177F5"/>
    <w:rsid w:val="00F17953"/>
    <w:rsid w:val="00F17C03"/>
    <w:rsid w:val="00F17D11"/>
    <w:rsid w:val="00F17F15"/>
    <w:rsid w:val="00F17F43"/>
    <w:rsid w:val="00F17FB2"/>
    <w:rsid w:val="00F2014C"/>
    <w:rsid w:val="00F203AB"/>
    <w:rsid w:val="00F2063F"/>
    <w:rsid w:val="00F20857"/>
    <w:rsid w:val="00F208E2"/>
    <w:rsid w:val="00F20A76"/>
    <w:rsid w:val="00F20C58"/>
    <w:rsid w:val="00F20F07"/>
    <w:rsid w:val="00F20F16"/>
    <w:rsid w:val="00F20F96"/>
    <w:rsid w:val="00F21120"/>
    <w:rsid w:val="00F2127C"/>
    <w:rsid w:val="00F213C7"/>
    <w:rsid w:val="00F213C8"/>
    <w:rsid w:val="00F21550"/>
    <w:rsid w:val="00F21D0B"/>
    <w:rsid w:val="00F21DA8"/>
    <w:rsid w:val="00F221E1"/>
    <w:rsid w:val="00F229BD"/>
    <w:rsid w:val="00F22B34"/>
    <w:rsid w:val="00F22B5D"/>
    <w:rsid w:val="00F22B63"/>
    <w:rsid w:val="00F22C32"/>
    <w:rsid w:val="00F22C8C"/>
    <w:rsid w:val="00F22D71"/>
    <w:rsid w:val="00F22D81"/>
    <w:rsid w:val="00F2357D"/>
    <w:rsid w:val="00F23605"/>
    <w:rsid w:val="00F23C41"/>
    <w:rsid w:val="00F23DB4"/>
    <w:rsid w:val="00F23DC8"/>
    <w:rsid w:val="00F23F9F"/>
    <w:rsid w:val="00F2424F"/>
    <w:rsid w:val="00F2443F"/>
    <w:rsid w:val="00F24580"/>
    <w:rsid w:val="00F24607"/>
    <w:rsid w:val="00F247D1"/>
    <w:rsid w:val="00F247D4"/>
    <w:rsid w:val="00F24A48"/>
    <w:rsid w:val="00F24A59"/>
    <w:rsid w:val="00F25012"/>
    <w:rsid w:val="00F25045"/>
    <w:rsid w:val="00F25485"/>
    <w:rsid w:val="00F25E1A"/>
    <w:rsid w:val="00F26131"/>
    <w:rsid w:val="00F26220"/>
    <w:rsid w:val="00F262FC"/>
    <w:rsid w:val="00F26331"/>
    <w:rsid w:val="00F2658D"/>
    <w:rsid w:val="00F26666"/>
    <w:rsid w:val="00F26E9E"/>
    <w:rsid w:val="00F26EEF"/>
    <w:rsid w:val="00F26F51"/>
    <w:rsid w:val="00F26F8E"/>
    <w:rsid w:val="00F2708E"/>
    <w:rsid w:val="00F270A8"/>
    <w:rsid w:val="00F271CD"/>
    <w:rsid w:val="00F276C5"/>
    <w:rsid w:val="00F277CB"/>
    <w:rsid w:val="00F278CF"/>
    <w:rsid w:val="00F279D3"/>
    <w:rsid w:val="00F27AAF"/>
    <w:rsid w:val="00F27AC7"/>
    <w:rsid w:val="00F27AF0"/>
    <w:rsid w:val="00F27B03"/>
    <w:rsid w:val="00F27F48"/>
    <w:rsid w:val="00F27F89"/>
    <w:rsid w:val="00F30122"/>
    <w:rsid w:val="00F30153"/>
    <w:rsid w:val="00F305C3"/>
    <w:rsid w:val="00F30976"/>
    <w:rsid w:val="00F30A24"/>
    <w:rsid w:val="00F30A9C"/>
    <w:rsid w:val="00F30EF5"/>
    <w:rsid w:val="00F31569"/>
    <w:rsid w:val="00F3162D"/>
    <w:rsid w:val="00F31911"/>
    <w:rsid w:val="00F31B14"/>
    <w:rsid w:val="00F31EF1"/>
    <w:rsid w:val="00F320E2"/>
    <w:rsid w:val="00F322A0"/>
    <w:rsid w:val="00F32681"/>
    <w:rsid w:val="00F3269A"/>
    <w:rsid w:val="00F3281E"/>
    <w:rsid w:val="00F3296B"/>
    <w:rsid w:val="00F32E03"/>
    <w:rsid w:val="00F32E28"/>
    <w:rsid w:val="00F32F0D"/>
    <w:rsid w:val="00F32FA0"/>
    <w:rsid w:val="00F32FBD"/>
    <w:rsid w:val="00F32FED"/>
    <w:rsid w:val="00F33122"/>
    <w:rsid w:val="00F331EE"/>
    <w:rsid w:val="00F3329B"/>
    <w:rsid w:val="00F3336A"/>
    <w:rsid w:val="00F3348C"/>
    <w:rsid w:val="00F33789"/>
    <w:rsid w:val="00F338BB"/>
    <w:rsid w:val="00F33B2C"/>
    <w:rsid w:val="00F33B7B"/>
    <w:rsid w:val="00F33BD4"/>
    <w:rsid w:val="00F3437D"/>
    <w:rsid w:val="00F34561"/>
    <w:rsid w:val="00F34622"/>
    <w:rsid w:val="00F34AA8"/>
    <w:rsid w:val="00F34ADB"/>
    <w:rsid w:val="00F34D94"/>
    <w:rsid w:val="00F35014"/>
    <w:rsid w:val="00F35160"/>
    <w:rsid w:val="00F351CA"/>
    <w:rsid w:val="00F35587"/>
    <w:rsid w:val="00F35870"/>
    <w:rsid w:val="00F35A7F"/>
    <w:rsid w:val="00F35FE0"/>
    <w:rsid w:val="00F36149"/>
    <w:rsid w:val="00F3623A"/>
    <w:rsid w:val="00F36674"/>
    <w:rsid w:val="00F36729"/>
    <w:rsid w:val="00F369AB"/>
    <w:rsid w:val="00F36F60"/>
    <w:rsid w:val="00F3716D"/>
    <w:rsid w:val="00F37280"/>
    <w:rsid w:val="00F37762"/>
    <w:rsid w:val="00F377AF"/>
    <w:rsid w:val="00F37864"/>
    <w:rsid w:val="00F37875"/>
    <w:rsid w:val="00F3793F"/>
    <w:rsid w:val="00F37E31"/>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770"/>
    <w:rsid w:val="00F41895"/>
    <w:rsid w:val="00F418EC"/>
    <w:rsid w:val="00F41971"/>
    <w:rsid w:val="00F419A1"/>
    <w:rsid w:val="00F419BB"/>
    <w:rsid w:val="00F41A96"/>
    <w:rsid w:val="00F41C8E"/>
    <w:rsid w:val="00F42490"/>
    <w:rsid w:val="00F42694"/>
    <w:rsid w:val="00F42752"/>
    <w:rsid w:val="00F42C82"/>
    <w:rsid w:val="00F42E32"/>
    <w:rsid w:val="00F43066"/>
    <w:rsid w:val="00F4309B"/>
    <w:rsid w:val="00F430BF"/>
    <w:rsid w:val="00F431DB"/>
    <w:rsid w:val="00F43328"/>
    <w:rsid w:val="00F4339C"/>
    <w:rsid w:val="00F436A4"/>
    <w:rsid w:val="00F43ABF"/>
    <w:rsid w:val="00F43C91"/>
    <w:rsid w:val="00F43D0D"/>
    <w:rsid w:val="00F43E2F"/>
    <w:rsid w:val="00F43EB1"/>
    <w:rsid w:val="00F44238"/>
    <w:rsid w:val="00F44506"/>
    <w:rsid w:val="00F445B7"/>
    <w:rsid w:val="00F44ABA"/>
    <w:rsid w:val="00F45578"/>
    <w:rsid w:val="00F4557D"/>
    <w:rsid w:val="00F45818"/>
    <w:rsid w:val="00F45842"/>
    <w:rsid w:val="00F4587C"/>
    <w:rsid w:val="00F45B75"/>
    <w:rsid w:val="00F45C13"/>
    <w:rsid w:val="00F45DE6"/>
    <w:rsid w:val="00F45EAC"/>
    <w:rsid w:val="00F4621E"/>
    <w:rsid w:val="00F46254"/>
    <w:rsid w:val="00F4657D"/>
    <w:rsid w:val="00F465AF"/>
    <w:rsid w:val="00F46677"/>
    <w:rsid w:val="00F466C8"/>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9DE"/>
    <w:rsid w:val="00F47A07"/>
    <w:rsid w:val="00F47B73"/>
    <w:rsid w:val="00F47DD1"/>
    <w:rsid w:val="00F47DF7"/>
    <w:rsid w:val="00F47F9F"/>
    <w:rsid w:val="00F50051"/>
    <w:rsid w:val="00F506CE"/>
    <w:rsid w:val="00F50DDB"/>
    <w:rsid w:val="00F50E6C"/>
    <w:rsid w:val="00F512B8"/>
    <w:rsid w:val="00F51513"/>
    <w:rsid w:val="00F516B8"/>
    <w:rsid w:val="00F517FF"/>
    <w:rsid w:val="00F51838"/>
    <w:rsid w:val="00F51AA0"/>
    <w:rsid w:val="00F51AC4"/>
    <w:rsid w:val="00F51B82"/>
    <w:rsid w:val="00F51D19"/>
    <w:rsid w:val="00F51F71"/>
    <w:rsid w:val="00F520FD"/>
    <w:rsid w:val="00F52141"/>
    <w:rsid w:val="00F52641"/>
    <w:rsid w:val="00F526B3"/>
    <w:rsid w:val="00F526F2"/>
    <w:rsid w:val="00F52808"/>
    <w:rsid w:val="00F5297C"/>
    <w:rsid w:val="00F52AFE"/>
    <w:rsid w:val="00F52CBD"/>
    <w:rsid w:val="00F52D02"/>
    <w:rsid w:val="00F52D1C"/>
    <w:rsid w:val="00F52D5B"/>
    <w:rsid w:val="00F53379"/>
    <w:rsid w:val="00F534AA"/>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453"/>
    <w:rsid w:val="00F5467C"/>
    <w:rsid w:val="00F54A3F"/>
    <w:rsid w:val="00F54B3B"/>
    <w:rsid w:val="00F54DDD"/>
    <w:rsid w:val="00F54E47"/>
    <w:rsid w:val="00F5510A"/>
    <w:rsid w:val="00F551C8"/>
    <w:rsid w:val="00F551F5"/>
    <w:rsid w:val="00F5538A"/>
    <w:rsid w:val="00F55630"/>
    <w:rsid w:val="00F556A9"/>
    <w:rsid w:val="00F556DF"/>
    <w:rsid w:val="00F55773"/>
    <w:rsid w:val="00F55D7B"/>
    <w:rsid w:val="00F55E7D"/>
    <w:rsid w:val="00F55EBE"/>
    <w:rsid w:val="00F55FE5"/>
    <w:rsid w:val="00F560EB"/>
    <w:rsid w:val="00F562DA"/>
    <w:rsid w:val="00F564A3"/>
    <w:rsid w:val="00F564A4"/>
    <w:rsid w:val="00F56655"/>
    <w:rsid w:val="00F566D5"/>
    <w:rsid w:val="00F56940"/>
    <w:rsid w:val="00F56B2A"/>
    <w:rsid w:val="00F56CFC"/>
    <w:rsid w:val="00F56DE5"/>
    <w:rsid w:val="00F56E21"/>
    <w:rsid w:val="00F571FA"/>
    <w:rsid w:val="00F5741C"/>
    <w:rsid w:val="00F575D2"/>
    <w:rsid w:val="00F575E0"/>
    <w:rsid w:val="00F578FC"/>
    <w:rsid w:val="00F57AA8"/>
    <w:rsid w:val="00F57ADE"/>
    <w:rsid w:val="00F57BB8"/>
    <w:rsid w:val="00F57C34"/>
    <w:rsid w:val="00F57E78"/>
    <w:rsid w:val="00F57FB2"/>
    <w:rsid w:val="00F5CF51"/>
    <w:rsid w:val="00F60108"/>
    <w:rsid w:val="00F60127"/>
    <w:rsid w:val="00F601CB"/>
    <w:rsid w:val="00F603BA"/>
    <w:rsid w:val="00F61124"/>
    <w:rsid w:val="00F61178"/>
    <w:rsid w:val="00F614AF"/>
    <w:rsid w:val="00F61505"/>
    <w:rsid w:val="00F619A9"/>
    <w:rsid w:val="00F61CC0"/>
    <w:rsid w:val="00F61DDA"/>
    <w:rsid w:val="00F62114"/>
    <w:rsid w:val="00F623A6"/>
    <w:rsid w:val="00F623D5"/>
    <w:rsid w:val="00F624BA"/>
    <w:rsid w:val="00F62577"/>
    <w:rsid w:val="00F62583"/>
    <w:rsid w:val="00F62986"/>
    <w:rsid w:val="00F629CC"/>
    <w:rsid w:val="00F62A46"/>
    <w:rsid w:val="00F62C12"/>
    <w:rsid w:val="00F62CC8"/>
    <w:rsid w:val="00F63311"/>
    <w:rsid w:val="00F63851"/>
    <w:rsid w:val="00F63A58"/>
    <w:rsid w:val="00F63D94"/>
    <w:rsid w:val="00F63E86"/>
    <w:rsid w:val="00F64115"/>
    <w:rsid w:val="00F6434A"/>
    <w:rsid w:val="00F645F4"/>
    <w:rsid w:val="00F646F5"/>
    <w:rsid w:val="00F64751"/>
    <w:rsid w:val="00F64C53"/>
    <w:rsid w:val="00F64C6D"/>
    <w:rsid w:val="00F65515"/>
    <w:rsid w:val="00F6564C"/>
    <w:rsid w:val="00F65CC6"/>
    <w:rsid w:val="00F65D6B"/>
    <w:rsid w:val="00F65FCB"/>
    <w:rsid w:val="00F66039"/>
    <w:rsid w:val="00F66117"/>
    <w:rsid w:val="00F661DC"/>
    <w:rsid w:val="00F6629F"/>
    <w:rsid w:val="00F664DE"/>
    <w:rsid w:val="00F66AFB"/>
    <w:rsid w:val="00F670CE"/>
    <w:rsid w:val="00F673B6"/>
    <w:rsid w:val="00F67603"/>
    <w:rsid w:val="00F6765F"/>
    <w:rsid w:val="00F6796C"/>
    <w:rsid w:val="00F67AA3"/>
    <w:rsid w:val="00F67BC2"/>
    <w:rsid w:val="00F67E5B"/>
    <w:rsid w:val="00F67F9C"/>
    <w:rsid w:val="00F70381"/>
    <w:rsid w:val="00F709B2"/>
    <w:rsid w:val="00F70B5F"/>
    <w:rsid w:val="00F7118F"/>
    <w:rsid w:val="00F712A5"/>
    <w:rsid w:val="00F714F9"/>
    <w:rsid w:val="00F715FB"/>
    <w:rsid w:val="00F7161A"/>
    <w:rsid w:val="00F717EA"/>
    <w:rsid w:val="00F71882"/>
    <w:rsid w:val="00F71943"/>
    <w:rsid w:val="00F719C9"/>
    <w:rsid w:val="00F71ACF"/>
    <w:rsid w:val="00F71BB1"/>
    <w:rsid w:val="00F71C38"/>
    <w:rsid w:val="00F71D32"/>
    <w:rsid w:val="00F71E64"/>
    <w:rsid w:val="00F71E7E"/>
    <w:rsid w:val="00F71F2D"/>
    <w:rsid w:val="00F71FC2"/>
    <w:rsid w:val="00F721A3"/>
    <w:rsid w:val="00F726C0"/>
    <w:rsid w:val="00F72B89"/>
    <w:rsid w:val="00F72C22"/>
    <w:rsid w:val="00F72C5A"/>
    <w:rsid w:val="00F72DC8"/>
    <w:rsid w:val="00F72F1D"/>
    <w:rsid w:val="00F73277"/>
    <w:rsid w:val="00F73330"/>
    <w:rsid w:val="00F7381F"/>
    <w:rsid w:val="00F742FE"/>
    <w:rsid w:val="00F74427"/>
    <w:rsid w:val="00F747D4"/>
    <w:rsid w:val="00F7480D"/>
    <w:rsid w:val="00F7481E"/>
    <w:rsid w:val="00F74B21"/>
    <w:rsid w:val="00F74BC8"/>
    <w:rsid w:val="00F7520F"/>
    <w:rsid w:val="00F756D4"/>
    <w:rsid w:val="00F759AF"/>
    <w:rsid w:val="00F75BBD"/>
    <w:rsid w:val="00F75F2B"/>
    <w:rsid w:val="00F76562"/>
    <w:rsid w:val="00F765D2"/>
    <w:rsid w:val="00F76BDA"/>
    <w:rsid w:val="00F76D01"/>
    <w:rsid w:val="00F770BE"/>
    <w:rsid w:val="00F773E1"/>
    <w:rsid w:val="00F776DF"/>
    <w:rsid w:val="00F77EAA"/>
    <w:rsid w:val="00F8018C"/>
    <w:rsid w:val="00F80270"/>
    <w:rsid w:val="00F806AC"/>
    <w:rsid w:val="00F807CA"/>
    <w:rsid w:val="00F808E9"/>
    <w:rsid w:val="00F80CE2"/>
    <w:rsid w:val="00F80D68"/>
    <w:rsid w:val="00F80D79"/>
    <w:rsid w:val="00F80FBB"/>
    <w:rsid w:val="00F8102E"/>
    <w:rsid w:val="00F810C5"/>
    <w:rsid w:val="00F81434"/>
    <w:rsid w:val="00F81457"/>
    <w:rsid w:val="00F81509"/>
    <w:rsid w:val="00F815A4"/>
    <w:rsid w:val="00F81671"/>
    <w:rsid w:val="00F81765"/>
    <w:rsid w:val="00F817D8"/>
    <w:rsid w:val="00F81814"/>
    <w:rsid w:val="00F81832"/>
    <w:rsid w:val="00F81A9C"/>
    <w:rsid w:val="00F81B84"/>
    <w:rsid w:val="00F81CB7"/>
    <w:rsid w:val="00F81DCD"/>
    <w:rsid w:val="00F81E23"/>
    <w:rsid w:val="00F81F8D"/>
    <w:rsid w:val="00F81FBF"/>
    <w:rsid w:val="00F81FC0"/>
    <w:rsid w:val="00F82192"/>
    <w:rsid w:val="00F821AA"/>
    <w:rsid w:val="00F821B5"/>
    <w:rsid w:val="00F821B7"/>
    <w:rsid w:val="00F822A0"/>
    <w:rsid w:val="00F825BB"/>
    <w:rsid w:val="00F82643"/>
    <w:rsid w:val="00F8269D"/>
    <w:rsid w:val="00F826E7"/>
    <w:rsid w:val="00F82BA1"/>
    <w:rsid w:val="00F82F93"/>
    <w:rsid w:val="00F83289"/>
    <w:rsid w:val="00F834DC"/>
    <w:rsid w:val="00F835CA"/>
    <w:rsid w:val="00F83990"/>
    <w:rsid w:val="00F83BAB"/>
    <w:rsid w:val="00F83F41"/>
    <w:rsid w:val="00F840B5"/>
    <w:rsid w:val="00F8419D"/>
    <w:rsid w:val="00F84D8D"/>
    <w:rsid w:val="00F84E62"/>
    <w:rsid w:val="00F84EA8"/>
    <w:rsid w:val="00F84EF1"/>
    <w:rsid w:val="00F8553A"/>
    <w:rsid w:val="00F858A8"/>
    <w:rsid w:val="00F858E4"/>
    <w:rsid w:val="00F859E6"/>
    <w:rsid w:val="00F85D02"/>
    <w:rsid w:val="00F85D63"/>
    <w:rsid w:val="00F861B8"/>
    <w:rsid w:val="00F8625C"/>
    <w:rsid w:val="00F864F0"/>
    <w:rsid w:val="00F8664B"/>
    <w:rsid w:val="00F86B80"/>
    <w:rsid w:val="00F86EDE"/>
    <w:rsid w:val="00F86F57"/>
    <w:rsid w:val="00F86F7B"/>
    <w:rsid w:val="00F8723B"/>
    <w:rsid w:val="00F875D2"/>
    <w:rsid w:val="00F8769A"/>
    <w:rsid w:val="00F8769C"/>
    <w:rsid w:val="00F876CC"/>
    <w:rsid w:val="00F876E5"/>
    <w:rsid w:val="00F87AA6"/>
    <w:rsid w:val="00F87E55"/>
    <w:rsid w:val="00F87F8A"/>
    <w:rsid w:val="00F90229"/>
    <w:rsid w:val="00F90345"/>
    <w:rsid w:val="00F9051C"/>
    <w:rsid w:val="00F906EB"/>
    <w:rsid w:val="00F90788"/>
    <w:rsid w:val="00F909DD"/>
    <w:rsid w:val="00F90C44"/>
    <w:rsid w:val="00F90C5C"/>
    <w:rsid w:val="00F90D7F"/>
    <w:rsid w:val="00F90DA1"/>
    <w:rsid w:val="00F91322"/>
    <w:rsid w:val="00F9198D"/>
    <w:rsid w:val="00F91A11"/>
    <w:rsid w:val="00F91A18"/>
    <w:rsid w:val="00F91F66"/>
    <w:rsid w:val="00F92955"/>
    <w:rsid w:val="00F92987"/>
    <w:rsid w:val="00F92996"/>
    <w:rsid w:val="00F92BE5"/>
    <w:rsid w:val="00F92E01"/>
    <w:rsid w:val="00F93000"/>
    <w:rsid w:val="00F930CB"/>
    <w:rsid w:val="00F93288"/>
    <w:rsid w:val="00F93304"/>
    <w:rsid w:val="00F934D3"/>
    <w:rsid w:val="00F93733"/>
    <w:rsid w:val="00F937B7"/>
    <w:rsid w:val="00F939CB"/>
    <w:rsid w:val="00F93F83"/>
    <w:rsid w:val="00F94395"/>
    <w:rsid w:val="00F94462"/>
    <w:rsid w:val="00F945E0"/>
    <w:rsid w:val="00F94837"/>
    <w:rsid w:val="00F9484E"/>
    <w:rsid w:val="00F94BDC"/>
    <w:rsid w:val="00F94E4A"/>
    <w:rsid w:val="00F954AB"/>
    <w:rsid w:val="00F95666"/>
    <w:rsid w:val="00F95689"/>
    <w:rsid w:val="00F956F3"/>
    <w:rsid w:val="00F95A4D"/>
    <w:rsid w:val="00F95C96"/>
    <w:rsid w:val="00F95D78"/>
    <w:rsid w:val="00F96289"/>
    <w:rsid w:val="00F9651A"/>
    <w:rsid w:val="00F96752"/>
    <w:rsid w:val="00F968F9"/>
    <w:rsid w:val="00F96AD5"/>
    <w:rsid w:val="00F96C3F"/>
    <w:rsid w:val="00F96E2C"/>
    <w:rsid w:val="00F97088"/>
    <w:rsid w:val="00F9753E"/>
    <w:rsid w:val="00F976C0"/>
    <w:rsid w:val="00F97836"/>
    <w:rsid w:val="00F97DDA"/>
    <w:rsid w:val="00FA0156"/>
    <w:rsid w:val="00FA04D6"/>
    <w:rsid w:val="00FA04EF"/>
    <w:rsid w:val="00FA0795"/>
    <w:rsid w:val="00FA08C2"/>
    <w:rsid w:val="00FA091D"/>
    <w:rsid w:val="00FA0986"/>
    <w:rsid w:val="00FA09D7"/>
    <w:rsid w:val="00FA0DA2"/>
    <w:rsid w:val="00FA0E2B"/>
    <w:rsid w:val="00FA104D"/>
    <w:rsid w:val="00FA113C"/>
    <w:rsid w:val="00FA120B"/>
    <w:rsid w:val="00FA12DD"/>
    <w:rsid w:val="00FA145F"/>
    <w:rsid w:val="00FA162C"/>
    <w:rsid w:val="00FA17F0"/>
    <w:rsid w:val="00FA1933"/>
    <w:rsid w:val="00FA1B8D"/>
    <w:rsid w:val="00FA21AD"/>
    <w:rsid w:val="00FA2708"/>
    <w:rsid w:val="00FA2727"/>
    <w:rsid w:val="00FA2771"/>
    <w:rsid w:val="00FA2A3D"/>
    <w:rsid w:val="00FA2B96"/>
    <w:rsid w:val="00FA2E23"/>
    <w:rsid w:val="00FA31E3"/>
    <w:rsid w:val="00FA35E8"/>
    <w:rsid w:val="00FA3A0A"/>
    <w:rsid w:val="00FA3D26"/>
    <w:rsid w:val="00FA4141"/>
    <w:rsid w:val="00FA4329"/>
    <w:rsid w:val="00FA47DA"/>
    <w:rsid w:val="00FA4906"/>
    <w:rsid w:val="00FA4C39"/>
    <w:rsid w:val="00FA4F7A"/>
    <w:rsid w:val="00FA5078"/>
    <w:rsid w:val="00FA5244"/>
    <w:rsid w:val="00FA55DB"/>
    <w:rsid w:val="00FA583B"/>
    <w:rsid w:val="00FA58D6"/>
    <w:rsid w:val="00FA5CA8"/>
    <w:rsid w:val="00FA5E89"/>
    <w:rsid w:val="00FA624C"/>
    <w:rsid w:val="00FA6446"/>
    <w:rsid w:val="00FA6547"/>
    <w:rsid w:val="00FA657E"/>
    <w:rsid w:val="00FA67D1"/>
    <w:rsid w:val="00FA68C1"/>
    <w:rsid w:val="00FA68D3"/>
    <w:rsid w:val="00FA6D4F"/>
    <w:rsid w:val="00FA6DA4"/>
    <w:rsid w:val="00FA6E10"/>
    <w:rsid w:val="00FA6E35"/>
    <w:rsid w:val="00FA7474"/>
    <w:rsid w:val="00FA74C2"/>
    <w:rsid w:val="00FA78A6"/>
    <w:rsid w:val="00FA7C15"/>
    <w:rsid w:val="00FA7E24"/>
    <w:rsid w:val="00FA7E3D"/>
    <w:rsid w:val="00FA7E56"/>
    <w:rsid w:val="00FA7EDE"/>
    <w:rsid w:val="00FB0085"/>
    <w:rsid w:val="00FB0447"/>
    <w:rsid w:val="00FB052C"/>
    <w:rsid w:val="00FB06D8"/>
    <w:rsid w:val="00FB07E8"/>
    <w:rsid w:val="00FB0947"/>
    <w:rsid w:val="00FB0C9E"/>
    <w:rsid w:val="00FB0F08"/>
    <w:rsid w:val="00FB0F10"/>
    <w:rsid w:val="00FB11FE"/>
    <w:rsid w:val="00FB1393"/>
    <w:rsid w:val="00FB140B"/>
    <w:rsid w:val="00FB1859"/>
    <w:rsid w:val="00FB1935"/>
    <w:rsid w:val="00FB1A41"/>
    <w:rsid w:val="00FB1AE4"/>
    <w:rsid w:val="00FB1B1F"/>
    <w:rsid w:val="00FB1C06"/>
    <w:rsid w:val="00FB1C1E"/>
    <w:rsid w:val="00FB1D13"/>
    <w:rsid w:val="00FB22EF"/>
    <w:rsid w:val="00FB242F"/>
    <w:rsid w:val="00FB2508"/>
    <w:rsid w:val="00FB27B9"/>
    <w:rsid w:val="00FB27C1"/>
    <w:rsid w:val="00FB2BAD"/>
    <w:rsid w:val="00FB2D6D"/>
    <w:rsid w:val="00FB3151"/>
    <w:rsid w:val="00FB3ED3"/>
    <w:rsid w:val="00FB4279"/>
    <w:rsid w:val="00FB42AB"/>
    <w:rsid w:val="00FB45B7"/>
    <w:rsid w:val="00FB4942"/>
    <w:rsid w:val="00FB4967"/>
    <w:rsid w:val="00FB49AF"/>
    <w:rsid w:val="00FB4D53"/>
    <w:rsid w:val="00FB5182"/>
    <w:rsid w:val="00FB53E3"/>
    <w:rsid w:val="00FB566D"/>
    <w:rsid w:val="00FB5B40"/>
    <w:rsid w:val="00FB5D16"/>
    <w:rsid w:val="00FB5E9C"/>
    <w:rsid w:val="00FB5F51"/>
    <w:rsid w:val="00FB60DF"/>
    <w:rsid w:val="00FB6318"/>
    <w:rsid w:val="00FB6449"/>
    <w:rsid w:val="00FB6504"/>
    <w:rsid w:val="00FB6773"/>
    <w:rsid w:val="00FB67E7"/>
    <w:rsid w:val="00FB69CF"/>
    <w:rsid w:val="00FB6B07"/>
    <w:rsid w:val="00FB6BA1"/>
    <w:rsid w:val="00FB6C90"/>
    <w:rsid w:val="00FB6CB2"/>
    <w:rsid w:val="00FB6D4D"/>
    <w:rsid w:val="00FB6EDE"/>
    <w:rsid w:val="00FB7222"/>
    <w:rsid w:val="00FB7396"/>
    <w:rsid w:val="00FB76B8"/>
    <w:rsid w:val="00FB77C5"/>
    <w:rsid w:val="00FB7934"/>
    <w:rsid w:val="00FB7B97"/>
    <w:rsid w:val="00FB7EF3"/>
    <w:rsid w:val="00FB7F6F"/>
    <w:rsid w:val="00FC0004"/>
    <w:rsid w:val="00FC0013"/>
    <w:rsid w:val="00FC00FE"/>
    <w:rsid w:val="00FC0193"/>
    <w:rsid w:val="00FC036F"/>
    <w:rsid w:val="00FC0D0E"/>
    <w:rsid w:val="00FC0DD5"/>
    <w:rsid w:val="00FC0E23"/>
    <w:rsid w:val="00FC128B"/>
    <w:rsid w:val="00FC13FD"/>
    <w:rsid w:val="00FC143F"/>
    <w:rsid w:val="00FC162E"/>
    <w:rsid w:val="00FC1D1C"/>
    <w:rsid w:val="00FC1D70"/>
    <w:rsid w:val="00FC1E5C"/>
    <w:rsid w:val="00FC1E9F"/>
    <w:rsid w:val="00FC1EE3"/>
    <w:rsid w:val="00FC20E6"/>
    <w:rsid w:val="00FC23F1"/>
    <w:rsid w:val="00FC242A"/>
    <w:rsid w:val="00FC2434"/>
    <w:rsid w:val="00FC2537"/>
    <w:rsid w:val="00FC2867"/>
    <w:rsid w:val="00FC2886"/>
    <w:rsid w:val="00FC29ED"/>
    <w:rsid w:val="00FC2E4F"/>
    <w:rsid w:val="00FC301E"/>
    <w:rsid w:val="00FC32CE"/>
    <w:rsid w:val="00FC32D5"/>
    <w:rsid w:val="00FC33E2"/>
    <w:rsid w:val="00FC3413"/>
    <w:rsid w:val="00FC34E1"/>
    <w:rsid w:val="00FC380C"/>
    <w:rsid w:val="00FC3E5D"/>
    <w:rsid w:val="00FC4058"/>
    <w:rsid w:val="00FC4181"/>
    <w:rsid w:val="00FC42E9"/>
    <w:rsid w:val="00FC4528"/>
    <w:rsid w:val="00FC4725"/>
    <w:rsid w:val="00FC48FE"/>
    <w:rsid w:val="00FC4D41"/>
    <w:rsid w:val="00FC4FC3"/>
    <w:rsid w:val="00FC4FC9"/>
    <w:rsid w:val="00FC52FB"/>
    <w:rsid w:val="00FC592E"/>
    <w:rsid w:val="00FC5937"/>
    <w:rsid w:val="00FC5FD2"/>
    <w:rsid w:val="00FC608D"/>
    <w:rsid w:val="00FC60A5"/>
    <w:rsid w:val="00FC617F"/>
    <w:rsid w:val="00FC6372"/>
    <w:rsid w:val="00FC63C2"/>
    <w:rsid w:val="00FC64B0"/>
    <w:rsid w:val="00FC64F6"/>
    <w:rsid w:val="00FC656F"/>
    <w:rsid w:val="00FC672F"/>
    <w:rsid w:val="00FC67B9"/>
    <w:rsid w:val="00FC6C6D"/>
    <w:rsid w:val="00FC6C8E"/>
    <w:rsid w:val="00FC6CCF"/>
    <w:rsid w:val="00FC720C"/>
    <w:rsid w:val="00FC73EB"/>
    <w:rsid w:val="00FC7926"/>
    <w:rsid w:val="00FC7A43"/>
    <w:rsid w:val="00FD01AF"/>
    <w:rsid w:val="00FD01EB"/>
    <w:rsid w:val="00FD0BB7"/>
    <w:rsid w:val="00FD0CD2"/>
    <w:rsid w:val="00FD0E43"/>
    <w:rsid w:val="00FD0EEE"/>
    <w:rsid w:val="00FD0F39"/>
    <w:rsid w:val="00FD111E"/>
    <w:rsid w:val="00FD1555"/>
    <w:rsid w:val="00FD15B5"/>
    <w:rsid w:val="00FD1856"/>
    <w:rsid w:val="00FD1BD1"/>
    <w:rsid w:val="00FD1EA3"/>
    <w:rsid w:val="00FD1FBF"/>
    <w:rsid w:val="00FD2046"/>
    <w:rsid w:val="00FD2054"/>
    <w:rsid w:val="00FD20D6"/>
    <w:rsid w:val="00FD20F4"/>
    <w:rsid w:val="00FD21B0"/>
    <w:rsid w:val="00FD2236"/>
    <w:rsid w:val="00FD22F7"/>
    <w:rsid w:val="00FD243D"/>
    <w:rsid w:val="00FD24E4"/>
    <w:rsid w:val="00FD2504"/>
    <w:rsid w:val="00FD2617"/>
    <w:rsid w:val="00FD275C"/>
    <w:rsid w:val="00FD2778"/>
    <w:rsid w:val="00FD2B0D"/>
    <w:rsid w:val="00FD2DB6"/>
    <w:rsid w:val="00FD2ED7"/>
    <w:rsid w:val="00FD326C"/>
    <w:rsid w:val="00FD3303"/>
    <w:rsid w:val="00FD34F9"/>
    <w:rsid w:val="00FD35E7"/>
    <w:rsid w:val="00FD3605"/>
    <w:rsid w:val="00FD38DE"/>
    <w:rsid w:val="00FD38EA"/>
    <w:rsid w:val="00FD39D3"/>
    <w:rsid w:val="00FD39E2"/>
    <w:rsid w:val="00FD3B83"/>
    <w:rsid w:val="00FD3D49"/>
    <w:rsid w:val="00FD3ECC"/>
    <w:rsid w:val="00FD4063"/>
    <w:rsid w:val="00FD4291"/>
    <w:rsid w:val="00FD4954"/>
    <w:rsid w:val="00FD4E68"/>
    <w:rsid w:val="00FD4EB0"/>
    <w:rsid w:val="00FD4F58"/>
    <w:rsid w:val="00FD4FAA"/>
    <w:rsid w:val="00FD5054"/>
    <w:rsid w:val="00FD5093"/>
    <w:rsid w:val="00FD52C1"/>
    <w:rsid w:val="00FD5566"/>
    <w:rsid w:val="00FD55BE"/>
    <w:rsid w:val="00FD56F4"/>
    <w:rsid w:val="00FD5709"/>
    <w:rsid w:val="00FD5732"/>
    <w:rsid w:val="00FD591D"/>
    <w:rsid w:val="00FD5E6B"/>
    <w:rsid w:val="00FD5FB0"/>
    <w:rsid w:val="00FD602A"/>
    <w:rsid w:val="00FD604E"/>
    <w:rsid w:val="00FD60B3"/>
    <w:rsid w:val="00FD61DA"/>
    <w:rsid w:val="00FD6223"/>
    <w:rsid w:val="00FD6381"/>
    <w:rsid w:val="00FD643E"/>
    <w:rsid w:val="00FD6503"/>
    <w:rsid w:val="00FD6584"/>
    <w:rsid w:val="00FD65A8"/>
    <w:rsid w:val="00FD6833"/>
    <w:rsid w:val="00FD6CE6"/>
    <w:rsid w:val="00FD6EEB"/>
    <w:rsid w:val="00FD6F5F"/>
    <w:rsid w:val="00FD6F78"/>
    <w:rsid w:val="00FD7445"/>
    <w:rsid w:val="00FD7AF4"/>
    <w:rsid w:val="00FD7B19"/>
    <w:rsid w:val="00FD7FD1"/>
    <w:rsid w:val="00FE00A5"/>
    <w:rsid w:val="00FE00B6"/>
    <w:rsid w:val="00FE00BC"/>
    <w:rsid w:val="00FE03D6"/>
    <w:rsid w:val="00FE04B8"/>
    <w:rsid w:val="00FE0523"/>
    <w:rsid w:val="00FE05A8"/>
    <w:rsid w:val="00FE0B3C"/>
    <w:rsid w:val="00FE1077"/>
    <w:rsid w:val="00FE1136"/>
    <w:rsid w:val="00FE12BF"/>
    <w:rsid w:val="00FE1773"/>
    <w:rsid w:val="00FE1813"/>
    <w:rsid w:val="00FE1AEA"/>
    <w:rsid w:val="00FE1F1C"/>
    <w:rsid w:val="00FE1FFC"/>
    <w:rsid w:val="00FE21BD"/>
    <w:rsid w:val="00FE2839"/>
    <w:rsid w:val="00FE2AD3"/>
    <w:rsid w:val="00FE2BDA"/>
    <w:rsid w:val="00FE313D"/>
    <w:rsid w:val="00FE315A"/>
    <w:rsid w:val="00FE32E0"/>
    <w:rsid w:val="00FE35A4"/>
    <w:rsid w:val="00FE39B7"/>
    <w:rsid w:val="00FE3A18"/>
    <w:rsid w:val="00FE3E10"/>
    <w:rsid w:val="00FE4123"/>
    <w:rsid w:val="00FE413C"/>
    <w:rsid w:val="00FE4734"/>
    <w:rsid w:val="00FE486D"/>
    <w:rsid w:val="00FE4A75"/>
    <w:rsid w:val="00FE4CBC"/>
    <w:rsid w:val="00FE4DE0"/>
    <w:rsid w:val="00FE4DF5"/>
    <w:rsid w:val="00FE4E3A"/>
    <w:rsid w:val="00FE4EF4"/>
    <w:rsid w:val="00FE5281"/>
    <w:rsid w:val="00FE52E1"/>
    <w:rsid w:val="00FE549E"/>
    <w:rsid w:val="00FE55D6"/>
    <w:rsid w:val="00FE5668"/>
    <w:rsid w:val="00FE5A05"/>
    <w:rsid w:val="00FE5B78"/>
    <w:rsid w:val="00FE5D14"/>
    <w:rsid w:val="00FE5EDE"/>
    <w:rsid w:val="00FE5F4A"/>
    <w:rsid w:val="00FE6003"/>
    <w:rsid w:val="00FE6183"/>
    <w:rsid w:val="00FE619E"/>
    <w:rsid w:val="00FE6462"/>
    <w:rsid w:val="00FE6682"/>
    <w:rsid w:val="00FE6A92"/>
    <w:rsid w:val="00FE6B9A"/>
    <w:rsid w:val="00FE6CFE"/>
    <w:rsid w:val="00FE6FB2"/>
    <w:rsid w:val="00FE7026"/>
    <w:rsid w:val="00FE728A"/>
    <w:rsid w:val="00FE738E"/>
    <w:rsid w:val="00FE7399"/>
    <w:rsid w:val="00FE7614"/>
    <w:rsid w:val="00FE76B0"/>
    <w:rsid w:val="00FE7B92"/>
    <w:rsid w:val="00FF0004"/>
    <w:rsid w:val="00FF0264"/>
    <w:rsid w:val="00FF037E"/>
    <w:rsid w:val="00FF04A0"/>
    <w:rsid w:val="00FF0771"/>
    <w:rsid w:val="00FF082C"/>
    <w:rsid w:val="00FF0A08"/>
    <w:rsid w:val="00FF0BD3"/>
    <w:rsid w:val="00FF0FD8"/>
    <w:rsid w:val="00FF100D"/>
    <w:rsid w:val="00FF1015"/>
    <w:rsid w:val="00FF1171"/>
    <w:rsid w:val="00FF1278"/>
    <w:rsid w:val="00FF1807"/>
    <w:rsid w:val="00FF184D"/>
    <w:rsid w:val="00FF18F1"/>
    <w:rsid w:val="00FF1E31"/>
    <w:rsid w:val="00FF1E82"/>
    <w:rsid w:val="00FF1ECE"/>
    <w:rsid w:val="00FF1F20"/>
    <w:rsid w:val="00FF20A2"/>
    <w:rsid w:val="00FF20BC"/>
    <w:rsid w:val="00FF2247"/>
    <w:rsid w:val="00FF2284"/>
    <w:rsid w:val="00FF231A"/>
    <w:rsid w:val="00FF24A7"/>
    <w:rsid w:val="00FF26E3"/>
    <w:rsid w:val="00FF28C7"/>
    <w:rsid w:val="00FF2953"/>
    <w:rsid w:val="00FF30F1"/>
    <w:rsid w:val="00FF3130"/>
    <w:rsid w:val="00FF313B"/>
    <w:rsid w:val="00FF3150"/>
    <w:rsid w:val="00FF31F7"/>
    <w:rsid w:val="00FF359D"/>
    <w:rsid w:val="00FF3C3C"/>
    <w:rsid w:val="00FF3CE0"/>
    <w:rsid w:val="00FF3DF5"/>
    <w:rsid w:val="00FF3EA1"/>
    <w:rsid w:val="00FF3F26"/>
    <w:rsid w:val="00FF3F55"/>
    <w:rsid w:val="00FF4044"/>
    <w:rsid w:val="00FF43F0"/>
    <w:rsid w:val="00FF4B3F"/>
    <w:rsid w:val="00FF4D84"/>
    <w:rsid w:val="00FF4F55"/>
    <w:rsid w:val="00FF5073"/>
    <w:rsid w:val="00FF524E"/>
    <w:rsid w:val="00FF52B6"/>
    <w:rsid w:val="00FF562A"/>
    <w:rsid w:val="00FF57D9"/>
    <w:rsid w:val="00FF585E"/>
    <w:rsid w:val="00FF5975"/>
    <w:rsid w:val="00FF59F0"/>
    <w:rsid w:val="00FF5B6B"/>
    <w:rsid w:val="00FF5C2A"/>
    <w:rsid w:val="00FF5E4C"/>
    <w:rsid w:val="00FF5EEB"/>
    <w:rsid w:val="00FF6037"/>
    <w:rsid w:val="00FF6664"/>
    <w:rsid w:val="00FF6806"/>
    <w:rsid w:val="00FF6832"/>
    <w:rsid w:val="00FF6A9D"/>
    <w:rsid w:val="00FF6BB9"/>
    <w:rsid w:val="00FF6DE6"/>
    <w:rsid w:val="00FF6F78"/>
    <w:rsid w:val="00FF6FBA"/>
    <w:rsid w:val="00FF7211"/>
    <w:rsid w:val="00FF7617"/>
    <w:rsid w:val="01050619"/>
    <w:rsid w:val="0138FCED"/>
    <w:rsid w:val="013CEF83"/>
    <w:rsid w:val="0143CCC2"/>
    <w:rsid w:val="014FD2CF"/>
    <w:rsid w:val="0153CF30"/>
    <w:rsid w:val="016927E8"/>
    <w:rsid w:val="019964B9"/>
    <w:rsid w:val="01D461CB"/>
    <w:rsid w:val="01EFC0BC"/>
    <w:rsid w:val="020A3CAD"/>
    <w:rsid w:val="0218AD67"/>
    <w:rsid w:val="029C017F"/>
    <w:rsid w:val="029C80E2"/>
    <w:rsid w:val="0315794E"/>
    <w:rsid w:val="0342B9AC"/>
    <w:rsid w:val="0344018D"/>
    <w:rsid w:val="036706A8"/>
    <w:rsid w:val="03D22A8A"/>
    <w:rsid w:val="03F2F124"/>
    <w:rsid w:val="03FE0ECD"/>
    <w:rsid w:val="040D7C09"/>
    <w:rsid w:val="040ED9E8"/>
    <w:rsid w:val="040FC221"/>
    <w:rsid w:val="048EC9C6"/>
    <w:rsid w:val="04A20634"/>
    <w:rsid w:val="04B1FA0C"/>
    <w:rsid w:val="04B33679"/>
    <w:rsid w:val="04CD3C63"/>
    <w:rsid w:val="04CF1D64"/>
    <w:rsid w:val="0509A1AC"/>
    <w:rsid w:val="0527E402"/>
    <w:rsid w:val="05325EB8"/>
    <w:rsid w:val="05613C05"/>
    <w:rsid w:val="057C10DB"/>
    <w:rsid w:val="0586AB4D"/>
    <w:rsid w:val="05BA6B34"/>
    <w:rsid w:val="05EA0FF3"/>
    <w:rsid w:val="05FCB03F"/>
    <w:rsid w:val="0660022B"/>
    <w:rsid w:val="068750C7"/>
    <w:rsid w:val="06986DD9"/>
    <w:rsid w:val="06E2F7FB"/>
    <w:rsid w:val="06F26F47"/>
    <w:rsid w:val="0736C448"/>
    <w:rsid w:val="0768C860"/>
    <w:rsid w:val="0787D909"/>
    <w:rsid w:val="07E463CC"/>
    <w:rsid w:val="07EDF7CC"/>
    <w:rsid w:val="080CC414"/>
    <w:rsid w:val="0811BF5A"/>
    <w:rsid w:val="082E0985"/>
    <w:rsid w:val="08329EE5"/>
    <w:rsid w:val="08459874"/>
    <w:rsid w:val="086DBC80"/>
    <w:rsid w:val="08703429"/>
    <w:rsid w:val="088B8045"/>
    <w:rsid w:val="088F2123"/>
    <w:rsid w:val="08A6247E"/>
    <w:rsid w:val="08C3425D"/>
    <w:rsid w:val="08DDB7FD"/>
    <w:rsid w:val="08E47EA1"/>
    <w:rsid w:val="08FCFEA9"/>
    <w:rsid w:val="090CAF4B"/>
    <w:rsid w:val="092F79ED"/>
    <w:rsid w:val="094EA149"/>
    <w:rsid w:val="09536A78"/>
    <w:rsid w:val="09789EB7"/>
    <w:rsid w:val="099AE850"/>
    <w:rsid w:val="09CC44D2"/>
    <w:rsid w:val="09FEBA8C"/>
    <w:rsid w:val="0A15DDF9"/>
    <w:rsid w:val="0A37BCD0"/>
    <w:rsid w:val="0A8915A8"/>
    <w:rsid w:val="0A8C40F2"/>
    <w:rsid w:val="0A95CF57"/>
    <w:rsid w:val="0A97958B"/>
    <w:rsid w:val="0AF01F1C"/>
    <w:rsid w:val="0AFAAD30"/>
    <w:rsid w:val="0B2D2F10"/>
    <w:rsid w:val="0B96854C"/>
    <w:rsid w:val="0B9CAD8C"/>
    <w:rsid w:val="0BA70441"/>
    <w:rsid w:val="0C16CD48"/>
    <w:rsid w:val="0C259A80"/>
    <w:rsid w:val="0C843628"/>
    <w:rsid w:val="0C95FD91"/>
    <w:rsid w:val="0CC12847"/>
    <w:rsid w:val="0CEE3471"/>
    <w:rsid w:val="0D6FDBB9"/>
    <w:rsid w:val="0D91CDDB"/>
    <w:rsid w:val="0D9A310B"/>
    <w:rsid w:val="0DA8C840"/>
    <w:rsid w:val="0DEF712E"/>
    <w:rsid w:val="0E56F25F"/>
    <w:rsid w:val="0E5FBE18"/>
    <w:rsid w:val="0E88A880"/>
    <w:rsid w:val="0E89916E"/>
    <w:rsid w:val="0EF160C2"/>
    <w:rsid w:val="0F29A81D"/>
    <w:rsid w:val="0F2C1511"/>
    <w:rsid w:val="0F2E73F4"/>
    <w:rsid w:val="0F413CAD"/>
    <w:rsid w:val="0F6FEAA4"/>
    <w:rsid w:val="0F80174D"/>
    <w:rsid w:val="0F8C84AD"/>
    <w:rsid w:val="0F987D9C"/>
    <w:rsid w:val="0FB87645"/>
    <w:rsid w:val="0FDF2171"/>
    <w:rsid w:val="104DC8D7"/>
    <w:rsid w:val="106586D5"/>
    <w:rsid w:val="1094C547"/>
    <w:rsid w:val="10AE4593"/>
    <w:rsid w:val="10C1E18C"/>
    <w:rsid w:val="10E376DF"/>
    <w:rsid w:val="11021ED3"/>
    <w:rsid w:val="1103D3E1"/>
    <w:rsid w:val="111FEF0E"/>
    <w:rsid w:val="112B66FE"/>
    <w:rsid w:val="114F9259"/>
    <w:rsid w:val="11728D65"/>
    <w:rsid w:val="117DF8F2"/>
    <w:rsid w:val="11BEFC99"/>
    <w:rsid w:val="11C0CBBF"/>
    <w:rsid w:val="11CE214A"/>
    <w:rsid w:val="1200A049"/>
    <w:rsid w:val="120B4C57"/>
    <w:rsid w:val="124E7B7A"/>
    <w:rsid w:val="126955BC"/>
    <w:rsid w:val="127B5BB4"/>
    <w:rsid w:val="12915A83"/>
    <w:rsid w:val="129D7018"/>
    <w:rsid w:val="12AF1497"/>
    <w:rsid w:val="12E98EE5"/>
    <w:rsid w:val="12F39D02"/>
    <w:rsid w:val="12F702BE"/>
    <w:rsid w:val="13398B63"/>
    <w:rsid w:val="13410915"/>
    <w:rsid w:val="135BEF02"/>
    <w:rsid w:val="1367504D"/>
    <w:rsid w:val="13702C85"/>
    <w:rsid w:val="1382D8BE"/>
    <w:rsid w:val="13B2920D"/>
    <w:rsid w:val="13B845B5"/>
    <w:rsid w:val="13C3BDBD"/>
    <w:rsid w:val="13D77038"/>
    <w:rsid w:val="1418BB56"/>
    <w:rsid w:val="142B9A44"/>
    <w:rsid w:val="1459BE27"/>
    <w:rsid w:val="1463C221"/>
    <w:rsid w:val="14909C8E"/>
    <w:rsid w:val="14AADBD2"/>
    <w:rsid w:val="14CFCF56"/>
    <w:rsid w:val="14DE5C42"/>
    <w:rsid w:val="14F8E8E6"/>
    <w:rsid w:val="15213D39"/>
    <w:rsid w:val="153A45C0"/>
    <w:rsid w:val="15577225"/>
    <w:rsid w:val="1572BFC7"/>
    <w:rsid w:val="159B96FD"/>
    <w:rsid w:val="159EAF87"/>
    <w:rsid w:val="15A9D406"/>
    <w:rsid w:val="15E2ACCF"/>
    <w:rsid w:val="15F0CC3A"/>
    <w:rsid w:val="160291A2"/>
    <w:rsid w:val="1619AD1B"/>
    <w:rsid w:val="161D79AD"/>
    <w:rsid w:val="1629D096"/>
    <w:rsid w:val="16546652"/>
    <w:rsid w:val="16B39686"/>
    <w:rsid w:val="16B735A0"/>
    <w:rsid w:val="16CBB72C"/>
    <w:rsid w:val="16E94AD8"/>
    <w:rsid w:val="16EFFE05"/>
    <w:rsid w:val="16F62047"/>
    <w:rsid w:val="16F746E2"/>
    <w:rsid w:val="17157616"/>
    <w:rsid w:val="174292C9"/>
    <w:rsid w:val="17F17A94"/>
    <w:rsid w:val="17F85CCE"/>
    <w:rsid w:val="1822D645"/>
    <w:rsid w:val="18246A91"/>
    <w:rsid w:val="183D3CD8"/>
    <w:rsid w:val="186481B9"/>
    <w:rsid w:val="187BE8AB"/>
    <w:rsid w:val="1897014D"/>
    <w:rsid w:val="18C2642A"/>
    <w:rsid w:val="193AA2FA"/>
    <w:rsid w:val="194661B6"/>
    <w:rsid w:val="19635B8A"/>
    <w:rsid w:val="199C9BFF"/>
    <w:rsid w:val="199CED15"/>
    <w:rsid w:val="19C44B3E"/>
    <w:rsid w:val="19EC2EC9"/>
    <w:rsid w:val="1A08C77C"/>
    <w:rsid w:val="1A0A8534"/>
    <w:rsid w:val="1A0D113B"/>
    <w:rsid w:val="1A528209"/>
    <w:rsid w:val="1A57DF34"/>
    <w:rsid w:val="1A6D21A8"/>
    <w:rsid w:val="1A79655D"/>
    <w:rsid w:val="1A817156"/>
    <w:rsid w:val="1A8887D0"/>
    <w:rsid w:val="1A92F4D9"/>
    <w:rsid w:val="1AF0EA14"/>
    <w:rsid w:val="1AFCD682"/>
    <w:rsid w:val="1B063E23"/>
    <w:rsid w:val="1B2FD9E8"/>
    <w:rsid w:val="1B7983FC"/>
    <w:rsid w:val="1B89CA95"/>
    <w:rsid w:val="1B96B352"/>
    <w:rsid w:val="1BA69B8C"/>
    <w:rsid w:val="1BB2AC74"/>
    <w:rsid w:val="1BDAA6EB"/>
    <w:rsid w:val="1BF8CBA2"/>
    <w:rsid w:val="1C703591"/>
    <w:rsid w:val="1CB43B03"/>
    <w:rsid w:val="1CCA5C9B"/>
    <w:rsid w:val="1CCFBC21"/>
    <w:rsid w:val="1D1452D0"/>
    <w:rsid w:val="1DB5B8D5"/>
    <w:rsid w:val="1DCB1F00"/>
    <w:rsid w:val="1DCFD97C"/>
    <w:rsid w:val="1DD3EB10"/>
    <w:rsid w:val="1DE7774F"/>
    <w:rsid w:val="1DECF280"/>
    <w:rsid w:val="1DFA7142"/>
    <w:rsid w:val="1E0DDD91"/>
    <w:rsid w:val="1E424182"/>
    <w:rsid w:val="1E53F533"/>
    <w:rsid w:val="1E617E89"/>
    <w:rsid w:val="1EDA8348"/>
    <w:rsid w:val="1EE113BA"/>
    <w:rsid w:val="1EE20EF7"/>
    <w:rsid w:val="1F427FB2"/>
    <w:rsid w:val="1F435D64"/>
    <w:rsid w:val="1F7AE4EF"/>
    <w:rsid w:val="1F9F3C23"/>
    <w:rsid w:val="1F9F6D60"/>
    <w:rsid w:val="1FAA801C"/>
    <w:rsid w:val="1FB4A95F"/>
    <w:rsid w:val="1FC07123"/>
    <w:rsid w:val="1FD3ED3C"/>
    <w:rsid w:val="1FDE13D5"/>
    <w:rsid w:val="1FDE4C30"/>
    <w:rsid w:val="1FFA349E"/>
    <w:rsid w:val="2063F561"/>
    <w:rsid w:val="20AA5902"/>
    <w:rsid w:val="20AC2AC8"/>
    <w:rsid w:val="20C08A8A"/>
    <w:rsid w:val="20DB060A"/>
    <w:rsid w:val="20F1F734"/>
    <w:rsid w:val="20FC7C86"/>
    <w:rsid w:val="211DDE7C"/>
    <w:rsid w:val="21435B8B"/>
    <w:rsid w:val="21878A74"/>
    <w:rsid w:val="21C40E3C"/>
    <w:rsid w:val="224790E8"/>
    <w:rsid w:val="226417AE"/>
    <w:rsid w:val="22677E80"/>
    <w:rsid w:val="2269B439"/>
    <w:rsid w:val="227D9345"/>
    <w:rsid w:val="228C9E72"/>
    <w:rsid w:val="22A8D2C9"/>
    <w:rsid w:val="22B05379"/>
    <w:rsid w:val="22B5174B"/>
    <w:rsid w:val="22D0EC8A"/>
    <w:rsid w:val="22E71767"/>
    <w:rsid w:val="22F875BD"/>
    <w:rsid w:val="23182654"/>
    <w:rsid w:val="23273135"/>
    <w:rsid w:val="238382B4"/>
    <w:rsid w:val="2384CD77"/>
    <w:rsid w:val="23B1C4BD"/>
    <w:rsid w:val="2421DD51"/>
    <w:rsid w:val="243B3498"/>
    <w:rsid w:val="24752F76"/>
    <w:rsid w:val="247B2D74"/>
    <w:rsid w:val="2483D0A6"/>
    <w:rsid w:val="24DD93E3"/>
    <w:rsid w:val="2509F78D"/>
    <w:rsid w:val="250B26A7"/>
    <w:rsid w:val="254FCED2"/>
    <w:rsid w:val="255F6070"/>
    <w:rsid w:val="25A95DC2"/>
    <w:rsid w:val="25A993FF"/>
    <w:rsid w:val="25FD69B1"/>
    <w:rsid w:val="2635AF0C"/>
    <w:rsid w:val="265AE59B"/>
    <w:rsid w:val="26CADC6E"/>
    <w:rsid w:val="26E29682"/>
    <w:rsid w:val="2714C4DD"/>
    <w:rsid w:val="2730634E"/>
    <w:rsid w:val="27863661"/>
    <w:rsid w:val="279C2C8B"/>
    <w:rsid w:val="27BCFD34"/>
    <w:rsid w:val="27D3D98E"/>
    <w:rsid w:val="27D848FE"/>
    <w:rsid w:val="27E55665"/>
    <w:rsid w:val="27F2AE79"/>
    <w:rsid w:val="280126B3"/>
    <w:rsid w:val="280A1C1C"/>
    <w:rsid w:val="286DD8CE"/>
    <w:rsid w:val="288A55AB"/>
    <w:rsid w:val="289CD115"/>
    <w:rsid w:val="28CA464B"/>
    <w:rsid w:val="28CD4E55"/>
    <w:rsid w:val="28E38A08"/>
    <w:rsid w:val="28EC3BE9"/>
    <w:rsid w:val="28ECACB7"/>
    <w:rsid w:val="29106B8C"/>
    <w:rsid w:val="2911C09F"/>
    <w:rsid w:val="294FBFA5"/>
    <w:rsid w:val="295459A7"/>
    <w:rsid w:val="296010E7"/>
    <w:rsid w:val="2979483C"/>
    <w:rsid w:val="2982AD14"/>
    <w:rsid w:val="29AF6B65"/>
    <w:rsid w:val="29C8BF59"/>
    <w:rsid w:val="29D6AD5A"/>
    <w:rsid w:val="29ED6016"/>
    <w:rsid w:val="2A007BD0"/>
    <w:rsid w:val="2A381246"/>
    <w:rsid w:val="2A55EC11"/>
    <w:rsid w:val="2A8E6B93"/>
    <w:rsid w:val="2A9385FD"/>
    <w:rsid w:val="2ABC894A"/>
    <w:rsid w:val="2AD0A454"/>
    <w:rsid w:val="2AE0CD53"/>
    <w:rsid w:val="2B05E8C6"/>
    <w:rsid w:val="2B35D5E3"/>
    <w:rsid w:val="2BC10CAC"/>
    <w:rsid w:val="2BDD77FF"/>
    <w:rsid w:val="2BF6CFB5"/>
    <w:rsid w:val="2C1C01C6"/>
    <w:rsid w:val="2C8D865B"/>
    <w:rsid w:val="2CCE582D"/>
    <w:rsid w:val="2CDC6234"/>
    <w:rsid w:val="2CEA0D6A"/>
    <w:rsid w:val="2D008936"/>
    <w:rsid w:val="2D04C6AA"/>
    <w:rsid w:val="2D0B5B79"/>
    <w:rsid w:val="2D294145"/>
    <w:rsid w:val="2D29FE81"/>
    <w:rsid w:val="2D3CB575"/>
    <w:rsid w:val="2D5FAB08"/>
    <w:rsid w:val="2D6594CE"/>
    <w:rsid w:val="2D7FC594"/>
    <w:rsid w:val="2DA98E9C"/>
    <w:rsid w:val="2DB62BAE"/>
    <w:rsid w:val="2DD0A328"/>
    <w:rsid w:val="2DD26A58"/>
    <w:rsid w:val="2E39469E"/>
    <w:rsid w:val="2E4583F4"/>
    <w:rsid w:val="2E66150F"/>
    <w:rsid w:val="2E8413B5"/>
    <w:rsid w:val="2E98AF21"/>
    <w:rsid w:val="2E9C8D63"/>
    <w:rsid w:val="2EAEE716"/>
    <w:rsid w:val="2ECB3222"/>
    <w:rsid w:val="2EF9307F"/>
    <w:rsid w:val="2F0A101A"/>
    <w:rsid w:val="2F12C73A"/>
    <w:rsid w:val="2F58DE33"/>
    <w:rsid w:val="2F6CEB4D"/>
    <w:rsid w:val="2F83C90C"/>
    <w:rsid w:val="300FFD9A"/>
    <w:rsid w:val="304FC72C"/>
    <w:rsid w:val="30672101"/>
    <w:rsid w:val="30C163DC"/>
    <w:rsid w:val="30CB1C10"/>
    <w:rsid w:val="313C6383"/>
    <w:rsid w:val="313E3274"/>
    <w:rsid w:val="3158507C"/>
    <w:rsid w:val="31B47518"/>
    <w:rsid w:val="31C0A738"/>
    <w:rsid w:val="31C7ED89"/>
    <w:rsid w:val="31D00485"/>
    <w:rsid w:val="31DD6411"/>
    <w:rsid w:val="31F9BAAC"/>
    <w:rsid w:val="32115A15"/>
    <w:rsid w:val="32123F94"/>
    <w:rsid w:val="3239FAF3"/>
    <w:rsid w:val="323F8CB3"/>
    <w:rsid w:val="32562E40"/>
    <w:rsid w:val="328A857C"/>
    <w:rsid w:val="32D73D45"/>
    <w:rsid w:val="32F294CC"/>
    <w:rsid w:val="32F304DD"/>
    <w:rsid w:val="3308A14A"/>
    <w:rsid w:val="33754C7A"/>
    <w:rsid w:val="3376A03D"/>
    <w:rsid w:val="3397DFC5"/>
    <w:rsid w:val="33C11E13"/>
    <w:rsid w:val="33F3CE75"/>
    <w:rsid w:val="33FD79F5"/>
    <w:rsid w:val="34227BC8"/>
    <w:rsid w:val="34232D03"/>
    <w:rsid w:val="342C418A"/>
    <w:rsid w:val="343924B6"/>
    <w:rsid w:val="343E7D01"/>
    <w:rsid w:val="34AD89F8"/>
    <w:rsid w:val="34B86488"/>
    <w:rsid w:val="34B8D9B2"/>
    <w:rsid w:val="34BB8090"/>
    <w:rsid w:val="34BE7144"/>
    <w:rsid w:val="3509BDDF"/>
    <w:rsid w:val="350B5DEF"/>
    <w:rsid w:val="3514FD78"/>
    <w:rsid w:val="3533D4AA"/>
    <w:rsid w:val="35566973"/>
    <w:rsid w:val="356078A2"/>
    <w:rsid w:val="357F6439"/>
    <w:rsid w:val="359B3ED5"/>
    <w:rsid w:val="359FF88E"/>
    <w:rsid w:val="35B3599C"/>
    <w:rsid w:val="35B56BEA"/>
    <w:rsid w:val="35BC94A2"/>
    <w:rsid w:val="35D62D70"/>
    <w:rsid w:val="3615ECF4"/>
    <w:rsid w:val="36313B6A"/>
    <w:rsid w:val="36386020"/>
    <w:rsid w:val="366B6E36"/>
    <w:rsid w:val="36828514"/>
    <w:rsid w:val="3684EAF2"/>
    <w:rsid w:val="36A9F04C"/>
    <w:rsid w:val="36FFF356"/>
    <w:rsid w:val="3720CB84"/>
    <w:rsid w:val="37294A50"/>
    <w:rsid w:val="372BD7D4"/>
    <w:rsid w:val="37B14FE5"/>
    <w:rsid w:val="37BDD1B5"/>
    <w:rsid w:val="3834C3E4"/>
    <w:rsid w:val="384E5482"/>
    <w:rsid w:val="38560615"/>
    <w:rsid w:val="38601618"/>
    <w:rsid w:val="38A02734"/>
    <w:rsid w:val="39137C38"/>
    <w:rsid w:val="392ABF13"/>
    <w:rsid w:val="392BD66D"/>
    <w:rsid w:val="393A8319"/>
    <w:rsid w:val="39524A13"/>
    <w:rsid w:val="395F8563"/>
    <w:rsid w:val="3989FBEA"/>
    <w:rsid w:val="399B8AF4"/>
    <w:rsid w:val="39A09C17"/>
    <w:rsid w:val="39AEC4C6"/>
    <w:rsid w:val="39D4509C"/>
    <w:rsid w:val="39FA9030"/>
    <w:rsid w:val="3A2D8A52"/>
    <w:rsid w:val="3A3CF95C"/>
    <w:rsid w:val="3A413F80"/>
    <w:rsid w:val="3A90F261"/>
    <w:rsid w:val="3AD22FAC"/>
    <w:rsid w:val="3AE137B1"/>
    <w:rsid w:val="3AE95BA5"/>
    <w:rsid w:val="3AEAFDE7"/>
    <w:rsid w:val="3B1CB83B"/>
    <w:rsid w:val="3B2BD557"/>
    <w:rsid w:val="3B808BCC"/>
    <w:rsid w:val="3B952ACF"/>
    <w:rsid w:val="3C00E81D"/>
    <w:rsid w:val="3C07B03B"/>
    <w:rsid w:val="3C356ABB"/>
    <w:rsid w:val="3C396467"/>
    <w:rsid w:val="3C3F980A"/>
    <w:rsid w:val="3C570530"/>
    <w:rsid w:val="3C622CE7"/>
    <w:rsid w:val="3C74BD2B"/>
    <w:rsid w:val="3CD758B3"/>
    <w:rsid w:val="3CE23E6A"/>
    <w:rsid w:val="3D0D6732"/>
    <w:rsid w:val="3D0E8850"/>
    <w:rsid w:val="3D1C5173"/>
    <w:rsid w:val="3D4FB02D"/>
    <w:rsid w:val="3D684A12"/>
    <w:rsid w:val="3D705A4F"/>
    <w:rsid w:val="3DB31F0B"/>
    <w:rsid w:val="3DE27F08"/>
    <w:rsid w:val="3E0EC747"/>
    <w:rsid w:val="3E33A212"/>
    <w:rsid w:val="3E48C43C"/>
    <w:rsid w:val="3E5B7C50"/>
    <w:rsid w:val="3E654070"/>
    <w:rsid w:val="3E95EDF4"/>
    <w:rsid w:val="3F0CE03B"/>
    <w:rsid w:val="3F4E9341"/>
    <w:rsid w:val="3F5471F5"/>
    <w:rsid w:val="3F622B2A"/>
    <w:rsid w:val="3F70E838"/>
    <w:rsid w:val="3FB46FF6"/>
    <w:rsid w:val="3FED8B67"/>
    <w:rsid w:val="4014AEED"/>
    <w:rsid w:val="403994D3"/>
    <w:rsid w:val="40A62ED4"/>
    <w:rsid w:val="40B60079"/>
    <w:rsid w:val="40BA03C6"/>
    <w:rsid w:val="40C15BBA"/>
    <w:rsid w:val="40C1D919"/>
    <w:rsid w:val="411C5F5E"/>
    <w:rsid w:val="4153FB5D"/>
    <w:rsid w:val="415B4045"/>
    <w:rsid w:val="416BAE0D"/>
    <w:rsid w:val="41878A41"/>
    <w:rsid w:val="41B23417"/>
    <w:rsid w:val="41C34C39"/>
    <w:rsid w:val="4204A9C8"/>
    <w:rsid w:val="4210DFAD"/>
    <w:rsid w:val="4220BA00"/>
    <w:rsid w:val="424CB951"/>
    <w:rsid w:val="425A707B"/>
    <w:rsid w:val="4260F200"/>
    <w:rsid w:val="42D47E6F"/>
    <w:rsid w:val="42E659F4"/>
    <w:rsid w:val="43026F91"/>
    <w:rsid w:val="4339A1B1"/>
    <w:rsid w:val="43968624"/>
    <w:rsid w:val="439FB91F"/>
    <w:rsid w:val="43A224D9"/>
    <w:rsid w:val="43C00E5F"/>
    <w:rsid w:val="4416D62F"/>
    <w:rsid w:val="444D425A"/>
    <w:rsid w:val="4459DC1D"/>
    <w:rsid w:val="445BDCDE"/>
    <w:rsid w:val="446D8E05"/>
    <w:rsid w:val="4488F115"/>
    <w:rsid w:val="448C4106"/>
    <w:rsid w:val="44A3CD04"/>
    <w:rsid w:val="44BB6A65"/>
    <w:rsid w:val="45743110"/>
    <w:rsid w:val="457754E4"/>
    <w:rsid w:val="4585DCD0"/>
    <w:rsid w:val="45867E04"/>
    <w:rsid w:val="458B69DE"/>
    <w:rsid w:val="45E83890"/>
    <w:rsid w:val="4611377F"/>
    <w:rsid w:val="461E5325"/>
    <w:rsid w:val="466852D3"/>
    <w:rsid w:val="46C9F3B7"/>
    <w:rsid w:val="46CEAEF1"/>
    <w:rsid w:val="46E4FEE1"/>
    <w:rsid w:val="47541B6E"/>
    <w:rsid w:val="476F2AFD"/>
    <w:rsid w:val="47985416"/>
    <w:rsid w:val="47BE1E34"/>
    <w:rsid w:val="47CE500D"/>
    <w:rsid w:val="4800F80D"/>
    <w:rsid w:val="48201730"/>
    <w:rsid w:val="48411204"/>
    <w:rsid w:val="4886D93E"/>
    <w:rsid w:val="4894911B"/>
    <w:rsid w:val="48C52C23"/>
    <w:rsid w:val="48FD352A"/>
    <w:rsid w:val="491ECA25"/>
    <w:rsid w:val="4923332B"/>
    <w:rsid w:val="4959B55B"/>
    <w:rsid w:val="496487D0"/>
    <w:rsid w:val="49659A59"/>
    <w:rsid w:val="496CD864"/>
    <w:rsid w:val="496CF2E2"/>
    <w:rsid w:val="49A1CB84"/>
    <w:rsid w:val="49A9037A"/>
    <w:rsid w:val="49A91F45"/>
    <w:rsid w:val="49ADEDF9"/>
    <w:rsid w:val="49C59CBB"/>
    <w:rsid w:val="4A3ECC73"/>
    <w:rsid w:val="4A4CD6F8"/>
    <w:rsid w:val="4A52D00D"/>
    <w:rsid w:val="4A728AE1"/>
    <w:rsid w:val="4AE065B0"/>
    <w:rsid w:val="4AE253E2"/>
    <w:rsid w:val="4AF4AB61"/>
    <w:rsid w:val="4B1286F3"/>
    <w:rsid w:val="4B40E8E7"/>
    <w:rsid w:val="4B44C810"/>
    <w:rsid w:val="4BA9F7BF"/>
    <w:rsid w:val="4BADB936"/>
    <w:rsid w:val="4BCFF099"/>
    <w:rsid w:val="4BD3CBE8"/>
    <w:rsid w:val="4BEEB7D7"/>
    <w:rsid w:val="4C3E5C4A"/>
    <w:rsid w:val="4C5B8874"/>
    <w:rsid w:val="4C9D559C"/>
    <w:rsid w:val="4CA2C192"/>
    <w:rsid w:val="4CA9F264"/>
    <w:rsid w:val="4D0698B8"/>
    <w:rsid w:val="4D1621A7"/>
    <w:rsid w:val="4D7B25BB"/>
    <w:rsid w:val="4DAF359E"/>
    <w:rsid w:val="4DB1E06D"/>
    <w:rsid w:val="4DB72FD8"/>
    <w:rsid w:val="4DBBC46D"/>
    <w:rsid w:val="4DF957A4"/>
    <w:rsid w:val="4DFC869E"/>
    <w:rsid w:val="4E0A77AE"/>
    <w:rsid w:val="4E4EC1A0"/>
    <w:rsid w:val="4E64FAFA"/>
    <w:rsid w:val="4E743AD2"/>
    <w:rsid w:val="4EC325A2"/>
    <w:rsid w:val="4EDE0530"/>
    <w:rsid w:val="4F3CDE6E"/>
    <w:rsid w:val="4F749B66"/>
    <w:rsid w:val="4F9D7766"/>
    <w:rsid w:val="4FCC868C"/>
    <w:rsid w:val="50019BBA"/>
    <w:rsid w:val="5058C8A9"/>
    <w:rsid w:val="50D8B929"/>
    <w:rsid w:val="50F38D85"/>
    <w:rsid w:val="512BD842"/>
    <w:rsid w:val="5147ACC4"/>
    <w:rsid w:val="51AFC1A4"/>
    <w:rsid w:val="5239C5F3"/>
    <w:rsid w:val="5263A598"/>
    <w:rsid w:val="528B8AE4"/>
    <w:rsid w:val="5308EDCB"/>
    <w:rsid w:val="536784E4"/>
    <w:rsid w:val="537A22A0"/>
    <w:rsid w:val="53BBF581"/>
    <w:rsid w:val="53E1CE93"/>
    <w:rsid w:val="540E01C3"/>
    <w:rsid w:val="5440CC77"/>
    <w:rsid w:val="545C8EE7"/>
    <w:rsid w:val="548A066B"/>
    <w:rsid w:val="54BF6B1E"/>
    <w:rsid w:val="54DF4F9D"/>
    <w:rsid w:val="54E7D956"/>
    <w:rsid w:val="55062F23"/>
    <w:rsid w:val="55169B5F"/>
    <w:rsid w:val="5531D81F"/>
    <w:rsid w:val="554721CB"/>
    <w:rsid w:val="5570F5F1"/>
    <w:rsid w:val="55755DA5"/>
    <w:rsid w:val="55811214"/>
    <w:rsid w:val="559A69A2"/>
    <w:rsid w:val="55BD989D"/>
    <w:rsid w:val="55C15820"/>
    <w:rsid w:val="55FDB12B"/>
    <w:rsid w:val="56240096"/>
    <w:rsid w:val="562BB3DE"/>
    <w:rsid w:val="567E7B10"/>
    <w:rsid w:val="569BD67A"/>
    <w:rsid w:val="56EB4632"/>
    <w:rsid w:val="5713B110"/>
    <w:rsid w:val="577BFC8F"/>
    <w:rsid w:val="57A50AEA"/>
    <w:rsid w:val="57E21C5E"/>
    <w:rsid w:val="57E540F6"/>
    <w:rsid w:val="57E860AB"/>
    <w:rsid w:val="57EA7840"/>
    <w:rsid w:val="5831E2E2"/>
    <w:rsid w:val="586E7F31"/>
    <w:rsid w:val="58C0E5AE"/>
    <w:rsid w:val="58D3AA42"/>
    <w:rsid w:val="591E555C"/>
    <w:rsid w:val="5934215C"/>
    <w:rsid w:val="5934B565"/>
    <w:rsid w:val="593ED509"/>
    <w:rsid w:val="59600B2B"/>
    <w:rsid w:val="5967C970"/>
    <w:rsid w:val="598BC294"/>
    <w:rsid w:val="598DB1A5"/>
    <w:rsid w:val="598EFAEB"/>
    <w:rsid w:val="59AFFE51"/>
    <w:rsid w:val="59C1799A"/>
    <w:rsid w:val="59C1FF0B"/>
    <w:rsid w:val="59E514A6"/>
    <w:rsid w:val="59F314A1"/>
    <w:rsid w:val="59FAD73D"/>
    <w:rsid w:val="5A5A9428"/>
    <w:rsid w:val="5A9E5F29"/>
    <w:rsid w:val="5AD77A92"/>
    <w:rsid w:val="5B034899"/>
    <w:rsid w:val="5B1B973B"/>
    <w:rsid w:val="5B5D3A52"/>
    <w:rsid w:val="5BBAB4FC"/>
    <w:rsid w:val="5C213D81"/>
    <w:rsid w:val="5C2AFCA8"/>
    <w:rsid w:val="5C5657EC"/>
    <w:rsid w:val="5C572D01"/>
    <w:rsid w:val="5CDFE7A4"/>
    <w:rsid w:val="5D23E2C8"/>
    <w:rsid w:val="5D634DEB"/>
    <w:rsid w:val="5DA47B6A"/>
    <w:rsid w:val="5DDF654F"/>
    <w:rsid w:val="5DEEE238"/>
    <w:rsid w:val="5DF62E69"/>
    <w:rsid w:val="5E3452CD"/>
    <w:rsid w:val="5E435722"/>
    <w:rsid w:val="5E4D74EA"/>
    <w:rsid w:val="5E6B38A6"/>
    <w:rsid w:val="5E7BF00B"/>
    <w:rsid w:val="5ECED422"/>
    <w:rsid w:val="5F165B29"/>
    <w:rsid w:val="5F2A05D7"/>
    <w:rsid w:val="5F3BE60A"/>
    <w:rsid w:val="5F3C512F"/>
    <w:rsid w:val="5F3D8031"/>
    <w:rsid w:val="5F43C028"/>
    <w:rsid w:val="5F5BB7DE"/>
    <w:rsid w:val="5F6E169F"/>
    <w:rsid w:val="5FBCAF27"/>
    <w:rsid w:val="604FC085"/>
    <w:rsid w:val="6083F0AD"/>
    <w:rsid w:val="60B02366"/>
    <w:rsid w:val="60CDDE45"/>
    <w:rsid w:val="60FCA9F7"/>
    <w:rsid w:val="611EA9F6"/>
    <w:rsid w:val="612890F3"/>
    <w:rsid w:val="6162872D"/>
    <w:rsid w:val="616C942F"/>
    <w:rsid w:val="6181A0A0"/>
    <w:rsid w:val="61D9E6F1"/>
    <w:rsid w:val="623B8475"/>
    <w:rsid w:val="6255C677"/>
    <w:rsid w:val="62A3D71A"/>
    <w:rsid w:val="62F113FF"/>
    <w:rsid w:val="62F2D832"/>
    <w:rsid w:val="633E12CD"/>
    <w:rsid w:val="634A6D4A"/>
    <w:rsid w:val="6350BBBF"/>
    <w:rsid w:val="63C5A4D7"/>
    <w:rsid w:val="63CA90F4"/>
    <w:rsid w:val="63E45F0C"/>
    <w:rsid w:val="640D3BB6"/>
    <w:rsid w:val="64297F3B"/>
    <w:rsid w:val="6432003C"/>
    <w:rsid w:val="6449BE0D"/>
    <w:rsid w:val="64D9CE96"/>
    <w:rsid w:val="64EA0E5C"/>
    <w:rsid w:val="64EF3BC7"/>
    <w:rsid w:val="65032837"/>
    <w:rsid w:val="651201C1"/>
    <w:rsid w:val="65255F37"/>
    <w:rsid w:val="653A6AB0"/>
    <w:rsid w:val="657C6C38"/>
    <w:rsid w:val="6580D4B2"/>
    <w:rsid w:val="658CE558"/>
    <w:rsid w:val="65D0636E"/>
    <w:rsid w:val="65DBB387"/>
    <w:rsid w:val="66335B7C"/>
    <w:rsid w:val="6647164B"/>
    <w:rsid w:val="6661EDFE"/>
    <w:rsid w:val="66A2D24A"/>
    <w:rsid w:val="67167064"/>
    <w:rsid w:val="6747596A"/>
    <w:rsid w:val="67839862"/>
    <w:rsid w:val="67D7B2EE"/>
    <w:rsid w:val="67DB0F6F"/>
    <w:rsid w:val="6820465E"/>
    <w:rsid w:val="683BAE8D"/>
    <w:rsid w:val="68B098B7"/>
    <w:rsid w:val="68D5A953"/>
    <w:rsid w:val="68DAF05F"/>
    <w:rsid w:val="691D2EAF"/>
    <w:rsid w:val="69432D9F"/>
    <w:rsid w:val="694E8241"/>
    <w:rsid w:val="69541DC7"/>
    <w:rsid w:val="6958D837"/>
    <w:rsid w:val="6969F2C4"/>
    <w:rsid w:val="69865FBB"/>
    <w:rsid w:val="698D6FF9"/>
    <w:rsid w:val="69C5E085"/>
    <w:rsid w:val="69F17E9C"/>
    <w:rsid w:val="69FCCC64"/>
    <w:rsid w:val="6A226041"/>
    <w:rsid w:val="6A254C2E"/>
    <w:rsid w:val="6A88D592"/>
    <w:rsid w:val="6A94B899"/>
    <w:rsid w:val="6AB956FA"/>
    <w:rsid w:val="6AC28778"/>
    <w:rsid w:val="6AE1E764"/>
    <w:rsid w:val="6AEA3CE3"/>
    <w:rsid w:val="6AEBD0CC"/>
    <w:rsid w:val="6AF0E532"/>
    <w:rsid w:val="6B61FB31"/>
    <w:rsid w:val="6BA8B052"/>
    <w:rsid w:val="6BBD42EA"/>
    <w:rsid w:val="6BC89972"/>
    <w:rsid w:val="6C1C434C"/>
    <w:rsid w:val="6C509BBB"/>
    <w:rsid w:val="6C8A7871"/>
    <w:rsid w:val="6CC6F1E2"/>
    <w:rsid w:val="6CE0ED65"/>
    <w:rsid w:val="6D0D0616"/>
    <w:rsid w:val="6D33B049"/>
    <w:rsid w:val="6D440EE7"/>
    <w:rsid w:val="6D4737DB"/>
    <w:rsid w:val="6D4D6FFB"/>
    <w:rsid w:val="6D639C00"/>
    <w:rsid w:val="6D63E2F6"/>
    <w:rsid w:val="6D715A40"/>
    <w:rsid w:val="6DC56185"/>
    <w:rsid w:val="6DD57ADA"/>
    <w:rsid w:val="6DED868B"/>
    <w:rsid w:val="6DF5BE65"/>
    <w:rsid w:val="6E1D5431"/>
    <w:rsid w:val="6E45F778"/>
    <w:rsid w:val="6E477E88"/>
    <w:rsid w:val="6E4C0CBC"/>
    <w:rsid w:val="6E4C57F0"/>
    <w:rsid w:val="6E569D74"/>
    <w:rsid w:val="6E579F8E"/>
    <w:rsid w:val="6E8F71A4"/>
    <w:rsid w:val="6E96F6D0"/>
    <w:rsid w:val="6ECFD21C"/>
    <w:rsid w:val="6EFC4BBD"/>
    <w:rsid w:val="6F094395"/>
    <w:rsid w:val="6F2B8951"/>
    <w:rsid w:val="6F5E9742"/>
    <w:rsid w:val="6F8C35AC"/>
    <w:rsid w:val="6FA23454"/>
    <w:rsid w:val="6FA395B7"/>
    <w:rsid w:val="707CF233"/>
    <w:rsid w:val="70A8C10C"/>
    <w:rsid w:val="70C29912"/>
    <w:rsid w:val="70F068E6"/>
    <w:rsid w:val="71030729"/>
    <w:rsid w:val="7107A733"/>
    <w:rsid w:val="7140A73D"/>
    <w:rsid w:val="714AEDB7"/>
    <w:rsid w:val="71668678"/>
    <w:rsid w:val="716C4328"/>
    <w:rsid w:val="717F750C"/>
    <w:rsid w:val="719876BF"/>
    <w:rsid w:val="71B0F4E9"/>
    <w:rsid w:val="71B47747"/>
    <w:rsid w:val="71E31754"/>
    <w:rsid w:val="720A3E64"/>
    <w:rsid w:val="7241C28E"/>
    <w:rsid w:val="726F2350"/>
    <w:rsid w:val="7299247D"/>
    <w:rsid w:val="72D218CF"/>
    <w:rsid w:val="72D4183D"/>
    <w:rsid w:val="731210EB"/>
    <w:rsid w:val="73190BD5"/>
    <w:rsid w:val="737E74E6"/>
    <w:rsid w:val="73B4F775"/>
    <w:rsid w:val="74021E92"/>
    <w:rsid w:val="74107A31"/>
    <w:rsid w:val="74749B4F"/>
    <w:rsid w:val="7485E1EC"/>
    <w:rsid w:val="749DF16A"/>
    <w:rsid w:val="74A209F0"/>
    <w:rsid w:val="74D6A8B6"/>
    <w:rsid w:val="74F9A456"/>
    <w:rsid w:val="7518C478"/>
    <w:rsid w:val="7541077A"/>
    <w:rsid w:val="759C05C9"/>
    <w:rsid w:val="75BAAC64"/>
    <w:rsid w:val="75F4256E"/>
    <w:rsid w:val="76580892"/>
    <w:rsid w:val="7666A881"/>
    <w:rsid w:val="7673881F"/>
    <w:rsid w:val="76914A4D"/>
    <w:rsid w:val="76FE766E"/>
    <w:rsid w:val="772D03EC"/>
    <w:rsid w:val="7740B618"/>
    <w:rsid w:val="775F0E3A"/>
    <w:rsid w:val="77739F05"/>
    <w:rsid w:val="77749C13"/>
    <w:rsid w:val="779459DD"/>
    <w:rsid w:val="779D3E97"/>
    <w:rsid w:val="77AEB214"/>
    <w:rsid w:val="77D0BD56"/>
    <w:rsid w:val="77EDC9D3"/>
    <w:rsid w:val="780357F6"/>
    <w:rsid w:val="781B9ECB"/>
    <w:rsid w:val="784DD609"/>
    <w:rsid w:val="7850244E"/>
    <w:rsid w:val="78813C88"/>
    <w:rsid w:val="7884A269"/>
    <w:rsid w:val="78C8327A"/>
    <w:rsid w:val="7920796D"/>
    <w:rsid w:val="7932303D"/>
    <w:rsid w:val="793EF4DA"/>
    <w:rsid w:val="79484194"/>
    <w:rsid w:val="794B4345"/>
    <w:rsid w:val="7958D701"/>
    <w:rsid w:val="79687226"/>
    <w:rsid w:val="796B18BE"/>
    <w:rsid w:val="79798BED"/>
    <w:rsid w:val="798741FA"/>
    <w:rsid w:val="79DB52E4"/>
    <w:rsid w:val="79FDBFD3"/>
    <w:rsid w:val="7A34E707"/>
    <w:rsid w:val="7AA910E9"/>
    <w:rsid w:val="7AAB2466"/>
    <w:rsid w:val="7AC3C8D6"/>
    <w:rsid w:val="7ADCECC8"/>
    <w:rsid w:val="7AE44583"/>
    <w:rsid w:val="7B719E03"/>
    <w:rsid w:val="7BB0C79C"/>
    <w:rsid w:val="7BC6A11E"/>
    <w:rsid w:val="7BF0836E"/>
    <w:rsid w:val="7C778A1B"/>
    <w:rsid w:val="7C9EB11E"/>
    <w:rsid w:val="7CA2D870"/>
    <w:rsid w:val="7CA4F8AE"/>
    <w:rsid w:val="7CBE369D"/>
    <w:rsid w:val="7CC37E94"/>
    <w:rsid w:val="7CFABCC9"/>
    <w:rsid w:val="7CFB81E4"/>
    <w:rsid w:val="7D1A7CBB"/>
    <w:rsid w:val="7D1EF037"/>
    <w:rsid w:val="7D341348"/>
    <w:rsid w:val="7D8D0F38"/>
    <w:rsid w:val="7DBEFBEF"/>
    <w:rsid w:val="7DCDF763"/>
    <w:rsid w:val="7DE0BB57"/>
    <w:rsid w:val="7EA2346B"/>
    <w:rsid w:val="7EF1A7CF"/>
    <w:rsid w:val="7EF483A5"/>
    <w:rsid w:val="7F652859"/>
    <w:rsid w:val="7F6EBC2D"/>
    <w:rsid w:val="7F990DC2"/>
    <w:rsid w:val="7FB286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233143"/>
  <w15:docId w15:val="{D606E8FA-E5BB-45E6-9967-A6A795CDC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fr-FR"/>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fr-FR" w:eastAsia="en-GB" w:bidi="ar-SA"/>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fr-FR"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fr-FR"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fr-FR"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uiPriority w:val="99"/>
    <w:rsid w:val="0092510C"/>
    <w:pPr>
      <w:spacing w:after="160" w:line="240" w:lineRule="exact"/>
      <w:jc w:val="left"/>
    </w:pPr>
    <w:rPr>
      <w:rFonts w:ascii="Tahoma" w:hAnsi="Tahoma"/>
      <w:sz w:val="20"/>
    </w:rPr>
  </w:style>
  <w:style w:type="paragraph" w:customStyle="1" w:styleId="CharCharChar0">
    <w:name w:val="Char Char Char0"/>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fr-FR"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uiPriority w:val="99"/>
    <w:rsid w:val="00103DE9"/>
    <w:rPr>
      <w:rFonts w:ascii="Courier New" w:hAnsi="Courier New"/>
      <w:lang w:val="fr-FR"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fr-FR"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fr-FR"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fr-FR"/>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fr-FR"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fr-FR"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fr-FR"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fr-FR"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fr-FR" w:eastAsia="en-US" w:bidi="ar-SA"/>
    </w:rPr>
  </w:style>
  <w:style w:type="character" w:customStyle="1" w:styleId="Normal12HangingZnak">
    <w:name w:val="Normal12Hanging Znak"/>
    <w:rsid w:val="006474F2"/>
    <w:rPr>
      <w:sz w:val="24"/>
      <w:lang w:val="fr-FR" w:eastAsia="en-GB" w:bidi="ar-SA"/>
    </w:rPr>
  </w:style>
  <w:style w:type="character" w:customStyle="1" w:styleId="Text2Char1">
    <w:name w:val="Text 2 Char1"/>
    <w:link w:val="Text2"/>
    <w:rsid w:val="006474F2"/>
    <w:rPr>
      <w:rFonts w:ascii="Courier New" w:hAnsi="Courier New"/>
      <w:sz w:val="24"/>
      <w:lang w:val="fr-FR"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fr-FR"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fr-FR"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fr-FR"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fr-FR" w:eastAsia="en-GB" w:bidi="ar-SA"/>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fr-FR"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fr-FR"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fr-FR" w:eastAsia="en-GB" w:bidi="ar-SA"/>
    </w:rPr>
  </w:style>
  <w:style w:type="character" w:customStyle="1" w:styleId="InitialChar">
    <w:name w:val="Initial Char"/>
    <w:link w:val="Initial"/>
    <w:rsid w:val="00FD22F7"/>
    <w:rPr>
      <w:spacing w:val="-3"/>
      <w:sz w:val="24"/>
      <w:lang w:val="fr-FR"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fr-FR" w:eastAsia="en-GB" w:bidi="ar-SA"/>
    </w:rPr>
  </w:style>
  <w:style w:type="paragraph" w:customStyle="1" w:styleId="ZnakZnak">
    <w:name w:val="Znak Znak"/>
    <w:basedOn w:val="Normal"/>
    <w:link w:val="NoList"/>
    <w:rsid w:val="00E61FC7"/>
    <w:pPr>
      <w:spacing w:after="0" w:line="360" w:lineRule="auto"/>
    </w:pPr>
    <w:rPr>
      <w:rFonts w:ascii="Verdana" w:hAnsi="Verdana"/>
      <w:sz w:val="20"/>
      <w:lang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fr-FR"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fr-FR"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eastAsia="en-GB"/>
    </w:rPr>
  </w:style>
  <w:style w:type="paragraph" w:customStyle="1" w:styleId="CM3">
    <w:name w:val="CM3"/>
    <w:basedOn w:val="Default"/>
    <w:next w:val="Default"/>
    <w:uiPriority w:val="99"/>
    <w:rsid w:val="007C5D8A"/>
    <w:rPr>
      <w:rFonts w:ascii="EUAlbertina" w:hAnsi="EUAlbertina"/>
      <w:color w:val="auto"/>
      <w:lang w:eastAsia="en-GB"/>
    </w:rPr>
  </w:style>
  <w:style w:type="paragraph" w:customStyle="1" w:styleId="CM4">
    <w:name w:val="CM4"/>
    <w:basedOn w:val="Default"/>
    <w:next w:val="Default"/>
    <w:uiPriority w:val="99"/>
    <w:rsid w:val="007C5D8A"/>
    <w:rPr>
      <w:rFonts w:ascii="EUAlbertina" w:hAnsi="EUAlbertina"/>
      <w:color w:val="auto"/>
      <w:lang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fr-FR"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one" w:sz="96" w:space="31" w:color="FFFFFF" w:frame="1"/>
        <w:left w:val="none" w:sz="96" w:space="31" w:color="FFFFFF" w:frame="1"/>
        <w:bottom w:val="none" w:sz="96" w:space="31" w:color="FFFFFF" w:frame="1"/>
        <w:right w:val="none" w:sz="96" w:space="31" w:color="FFFFFF" w:frame="1"/>
      </w:pBdr>
      <w:spacing w:after="240"/>
      <w:jc w:val="both"/>
    </w:pPr>
    <w:rPr>
      <w:color w:val="000000"/>
      <w:sz w:val="24"/>
      <w:szCs w:val="24"/>
      <w:u w:color="000000"/>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rPr>
  </w:style>
  <w:style w:type="character" w:styleId="UnresolvedMention">
    <w:name w:val="Unresolved Mention"/>
    <w:uiPriority w:val="99"/>
    <w:semiHidden/>
    <w:unhideWhenUsed/>
    <w:rsid w:val="00835361"/>
    <w:rPr>
      <w:color w:val="605E5C"/>
      <w:shd w:val="clear" w:color="auto" w:fill="E1DFDD"/>
    </w:rPr>
  </w:style>
  <w:style w:type="character" w:styleId="Mention">
    <w:name w:val="Mention"/>
    <w:uiPriority w:val="99"/>
    <w:unhideWhenUsed/>
    <w:rsid w:val="006F268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258468">
      <w:bodyDiv w:val="1"/>
      <w:marLeft w:val="0"/>
      <w:marRight w:val="0"/>
      <w:marTop w:val="0"/>
      <w:marBottom w:val="0"/>
      <w:divBdr>
        <w:top w:val="none" w:sz="0" w:space="0" w:color="auto"/>
        <w:left w:val="none" w:sz="0" w:space="0" w:color="auto"/>
        <w:bottom w:val="none" w:sz="0" w:space="0" w:color="auto"/>
        <w:right w:val="none" w:sz="0" w:space="0" w:color="auto"/>
      </w:divBdr>
    </w:div>
    <w:div w:id="750928749">
      <w:bodyDiv w:val="1"/>
      <w:marLeft w:val="0"/>
      <w:marRight w:val="0"/>
      <w:marTop w:val="0"/>
      <w:marBottom w:val="0"/>
      <w:divBdr>
        <w:top w:val="none" w:sz="0" w:space="0" w:color="auto"/>
        <w:left w:val="none" w:sz="0" w:space="0" w:color="auto"/>
        <w:bottom w:val="none" w:sz="0" w:space="0" w:color="auto"/>
        <w:right w:val="none" w:sz="0" w:space="0" w:color="auto"/>
      </w:divBdr>
    </w:div>
    <w:div w:id="916479106">
      <w:bodyDiv w:val="1"/>
      <w:marLeft w:val="0"/>
      <w:marRight w:val="0"/>
      <w:marTop w:val="0"/>
      <w:marBottom w:val="0"/>
      <w:divBdr>
        <w:top w:val="none" w:sz="0" w:space="0" w:color="auto"/>
        <w:left w:val="none" w:sz="0" w:space="0" w:color="auto"/>
        <w:bottom w:val="none" w:sz="0" w:space="0" w:color="auto"/>
        <w:right w:val="none" w:sz="0" w:space="0" w:color="auto"/>
      </w:divBdr>
    </w:div>
    <w:div w:id="1536501351">
      <w:bodyDiv w:val="1"/>
      <w:marLeft w:val="0"/>
      <w:marRight w:val="0"/>
      <w:marTop w:val="0"/>
      <w:marBottom w:val="0"/>
      <w:divBdr>
        <w:top w:val="none" w:sz="0" w:space="0" w:color="auto"/>
        <w:left w:val="none" w:sz="0" w:space="0" w:color="auto"/>
        <w:bottom w:val="none" w:sz="0" w:space="0" w:color="auto"/>
        <w:right w:val="none" w:sz="0" w:space="0" w:color="auto"/>
      </w:divBdr>
    </w:div>
    <w:div w:id="1628782318">
      <w:bodyDiv w:val="1"/>
      <w:marLeft w:val="0"/>
      <w:marRight w:val="0"/>
      <w:marTop w:val="0"/>
      <w:marBottom w:val="0"/>
      <w:divBdr>
        <w:top w:val="none" w:sz="0" w:space="0" w:color="auto"/>
        <w:left w:val="none" w:sz="0" w:space="0" w:color="auto"/>
        <w:bottom w:val="none" w:sz="0" w:space="0" w:color="auto"/>
        <w:right w:val="none" w:sz="0" w:space="0" w:color="auto"/>
      </w:divBdr>
    </w:div>
    <w:div w:id="1650671435">
      <w:bodyDiv w:val="1"/>
      <w:marLeft w:val="0"/>
      <w:marRight w:val="0"/>
      <w:marTop w:val="0"/>
      <w:marBottom w:val="0"/>
      <w:divBdr>
        <w:top w:val="none" w:sz="0" w:space="0" w:color="auto"/>
        <w:left w:val="none" w:sz="0" w:space="0" w:color="auto"/>
        <w:bottom w:val="none" w:sz="0" w:space="0" w:color="auto"/>
        <w:right w:val="none" w:sz="0" w:space="0" w:color="auto"/>
      </w:divBdr>
    </w:div>
    <w:div w:id="1984046134">
      <w:bodyDiv w:val="1"/>
      <w:marLeft w:val="0"/>
      <w:marRight w:val="0"/>
      <w:marTop w:val="0"/>
      <w:marBottom w:val="0"/>
      <w:divBdr>
        <w:top w:val="none" w:sz="0" w:space="0" w:color="auto"/>
        <w:left w:val="none" w:sz="0" w:space="0" w:color="auto"/>
        <w:bottom w:val="none" w:sz="0" w:space="0" w:color="auto"/>
        <w:right w:val="none" w:sz="0" w:space="0" w:color="auto"/>
      </w:divBdr>
    </w:div>
    <w:div w:id="205515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900/oj" TargetMode="External"/><Relationship Id="rId2" Type="http://schemas.openxmlformats.org/officeDocument/2006/relationships/hyperlink" Target="https://eur-lex.europa.eu/legal-content/FR/TXT/HTML/?uri=CELEX:52024DC0269" TargetMode="External"/><Relationship Id="rId1" Type="http://schemas.openxmlformats.org/officeDocument/2006/relationships/hyperlink" Target="https://eur-lex.europa.eu/legal-content/FR/TXT/?uri=CELEX%3A52023JC0012" TargetMode="External"/><Relationship Id="rId4" Type="http://schemas.openxmlformats.org/officeDocument/2006/relationships/hyperlink" Target="https://commission.europa.eu/publications/annual-reports-monitoring-application-eu-law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1" ma:contentTypeDescription="Create a new document." ma:contentTypeScope="" ma:versionID="2f7a1b070784ad07a273cb79b2e0bffb">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efdbc7de6c019c70dd2b077576fdba83"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Props1.xml><?xml version="1.0" encoding="utf-8"?>
<ds:datastoreItem xmlns:ds="http://schemas.openxmlformats.org/officeDocument/2006/customXml" ds:itemID="{60E8DBBB-2182-4CF7-A85B-397FDB4C8A45}">
  <ds:schemaRefs>
    <ds:schemaRef ds:uri="http://schemas.microsoft.com/sharepoint/v3/contenttype/forms"/>
  </ds:schemaRefs>
</ds:datastoreItem>
</file>

<file path=customXml/itemProps2.xml><?xml version="1.0" encoding="utf-8"?>
<ds:datastoreItem xmlns:ds="http://schemas.openxmlformats.org/officeDocument/2006/customXml" ds:itemID="{8700459C-FDC6-4A45-B856-F1FCD291A0BE}">
  <ds:schemaRefs>
    <ds:schemaRef ds:uri="http://schemas.openxmlformats.org/officeDocument/2006/bibliography"/>
  </ds:schemaRefs>
</ds:datastoreItem>
</file>

<file path=customXml/itemProps3.xml><?xml version="1.0" encoding="utf-8"?>
<ds:datastoreItem xmlns:ds="http://schemas.openxmlformats.org/officeDocument/2006/customXml" ds:itemID="{BCA61E93-41DE-4560-9B89-98B9E2AA42F3}"/>
</file>

<file path=customXml/itemProps4.xml><?xml version="1.0" encoding="utf-8"?>
<ds:datastoreItem xmlns:ds="http://schemas.openxmlformats.org/officeDocument/2006/customXml" ds:itemID="{B6D305E2-704C-4453-9B92-D48EA98CEC34}">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6901</Words>
  <Characters>37095</Characters>
  <Application>Microsoft Office Word</Application>
  <DocSecurity>0</DocSecurity>
  <PresentationFormat>Microsoft Word 8.0b</PresentationFormat>
  <Lines>501</Lines>
  <Paragraphs>36</Paragraphs>
  <ScaleCrop>false</ScaleCrop>
  <Company/>
  <LinksUpToDate>false</LinksUpToDate>
  <CharactersWithSpaces>43960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BALLEGOOIJ Wouter (JUST)</dc:creator>
  <cp:keywords/>
  <cp:lastModifiedBy>DUPONT Dominique (DGT)</cp:lastModifiedBy>
  <cp:revision>14</cp:revision>
  <dcterms:created xsi:type="dcterms:W3CDTF">2025-09-25T13:22:00Z</dcterms:created>
  <dcterms:modified xsi:type="dcterms:W3CDTF">2025-10-31T14:57:00Z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2025-08-08T13:06:49Z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a8820206-fd52-4f6e-b1f1-5a588e98d429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0x010100271BB73A879EDE41AFDC9232B9EB1EA9</vt:lpwstr>
  </property>
  <property fmtid="{D5CDD505-2E9C-101B-9397-08002B2CF9AE}" pid="11" name="MediaServiceImageTags">
    <vt:lpwstr/>
  </property>
</Properties>
</file>