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7327" w14:textId="77777777" w:rsidR="0097657D" w:rsidRDefault="0097657D" w:rsidP="005D4B45">
      <w:pPr>
        <w:spacing w:line="240" w:lineRule="auto"/>
        <w:jc w:val="both"/>
        <w:rPr>
          <w:i/>
          <w:iCs/>
          <w:lang w:val="en-IE"/>
        </w:rPr>
      </w:pPr>
    </w:p>
    <w:p w14:paraId="54B81867" w14:textId="77777777" w:rsidR="0097657D" w:rsidRPr="0097657D" w:rsidRDefault="0097657D" w:rsidP="0097657D">
      <w:pPr>
        <w:spacing w:line="240" w:lineRule="auto"/>
        <w:ind w:left="720"/>
        <w:jc w:val="both"/>
        <w:rPr>
          <w:i/>
          <w:iCs/>
          <w:lang w:val="en-IE"/>
        </w:rPr>
      </w:pPr>
    </w:p>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185B6EC6" w:rsidR="00DC568A" w:rsidRPr="00B94214" w:rsidRDefault="009B1FF1" w:rsidP="00DC568A">
      <w:pPr>
        <w:spacing w:after="600" w:line="240" w:lineRule="auto"/>
        <w:jc w:val="center"/>
        <w:rPr>
          <w:b/>
          <w:bCs/>
          <w:szCs w:val="24"/>
        </w:rPr>
      </w:pPr>
      <w:r>
        <w:rPr>
          <w:b/>
        </w:rPr>
        <w:t>Suite donnée à la résolution législative du Parlement européen du 10 septembre 2025 sur la proposition de règlement du Parlement européen et du Conseil modifiant le règlement</w:t>
      </w:r>
      <w:r w:rsidR="00CB04E4">
        <w:rPr>
          <w:b/>
        </w:rPr>
        <w:t> </w:t>
      </w:r>
      <w:r>
        <w:rPr>
          <w:b/>
        </w:rPr>
        <w:t>(UE) 2018/1727 en ce qui concerne la prorogation du délai pour la mise en place du système de gestion des dossiers d’Eurojust</w:t>
      </w:r>
    </w:p>
    <w:p w14:paraId="5481E768" w14:textId="756F2A64" w:rsidR="002B7441" w:rsidRPr="00B94214" w:rsidRDefault="002B7441" w:rsidP="00D05171">
      <w:pPr>
        <w:spacing w:after="240"/>
        <w:ind w:left="567" w:hanging="567"/>
      </w:pPr>
      <w:r>
        <w:rPr>
          <w:b/>
        </w:rPr>
        <w:t>1.</w:t>
      </w:r>
      <w:r>
        <w:tab/>
      </w:r>
      <w:r>
        <w:rPr>
          <w:b/>
        </w:rPr>
        <w:t xml:space="preserve">Rapporteur: </w:t>
      </w:r>
      <w:r>
        <w:t>Javier ZARZALEJOS</w:t>
      </w:r>
      <w:r w:rsidR="00CB04E4">
        <w:t xml:space="preserve"> </w:t>
      </w:r>
      <w:r>
        <w:t>(PPE/ES)</w:t>
      </w:r>
    </w:p>
    <w:p w14:paraId="5E579AB4" w14:textId="5F81D3D4" w:rsidR="00605133" w:rsidRPr="00286E63" w:rsidRDefault="002B7441" w:rsidP="00286E63">
      <w:pPr>
        <w:ind w:left="567" w:hanging="567"/>
        <w:rPr>
          <w:bCs/>
          <w:i/>
          <w:iCs/>
        </w:rPr>
      </w:pPr>
      <w:r>
        <w:rPr>
          <w:b/>
        </w:rPr>
        <w:t>2.</w:t>
      </w:r>
      <w:r>
        <w:tab/>
      </w:r>
      <w:r>
        <w:rPr>
          <w:b/>
        </w:rPr>
        <w:t>Références:</w:t>
      </w:r>
      <w:r>
        <w:t xml:space="preserve"> </w:t>
      </w:r>
      <w:hyperlink r:id="rId11" w:history="1">
        <w:hyperlink r:id="rId12" w:history="1">
          <w:r>
            <w:t>2025/0074(COD</w:t>
          </w:r>
        </w:hyperlink>
      </w:hyperlink>
      <w:r>
        <w:t xml:space="preserve">) / </w:t>
      </w:r>
      <w:hyperlink r:id="rId13" w:tgtFrame="externalDocument" w:history="1">
        <w:r>
          <w:t>A10-0152/20</w:t>
        </w:r>
      </w:hyperlink>
      <w:r>
        <w:t xml:space="preserve">25 / P10_TA(2025)0181 </w:t>
      </w:r>
      <w:r>
        <w:br/>
      </w:r>
    </w:p>
    <w:p w14:paraId="474B79A2" w14:textId="3C0F756A" w:rsidR="002B7441" w:rsidRPr="0019232D" w:rsidRDefault="002B7441" w:rsidP="00D05171">
      <w:pPr>
        <w:spacing w:after="240"/>
        <w:ind w:left="567" w:hanging="567"/>
      </w:pPr>
      <w:r>
        <w:rPr>
          <w:b/>
        </w:rPr>
        <w:t>3.</w:t>
      </w:r>
      <w:r>
        <w:tab/>
      </w:r>
      <w:r>
        <w:rPr>
          <w:b/>
        </w:rPr>
        <w:t>Date d'adoption de la résolution:</w:t>
      </w:r>
      <w:r>
        <w:t xml:space="preserve"> 10 septembre 2025</w:t>
      </w:r>
    </w:p>
    <w:p w14:paraId="35860E93" w14:textId="7F3C8F51" w:rsidR="002B7441" w:rsidRPr="002B7441" w:rsidRDefault="002B7441" w:rsidP="004C6CE4">
      <w:pPr>
        <w:spacing w:after="240"/>
        <w:ind w:left="567" w:hanging="567"/>
        <w:jc w:val="both"/>
      </w:pPr>
      <w:r>
        <w:rPr>
          <w:b/>
        </w:rPr>
        <w:t>4.</w:t>
      </w:r>
      <w:r>
        <w:tab/>
      </w:r>
      <w:r>
        <w:rPr>
          <w:b/>
        </w:rPr>
        <w:t xml:space="preserve">Base juridique: </w:t>
      </w:r>
      <w:r>
        <w:t>article 85 du traité sur le fonctionnement de l’Union européenne (TFUE)</w:t>
      </w:r>
    </w:p>
    <w:p w14:paraId="5DE3F035" w14:textId="52B79F6F" w:rsidR="00DE04F8" w:rsidRPr="002338BE" w:rsidRDefault="002B7441" w:rsidP="00DE04F8">
      <w:pPr>
        <w:spacing w:after="240"/>
        <w:ind w:left="567" w:hanging="567"/>
        <w:jc w:val="both"/>
        <w:rPr>
          <w:iCs/>
          <w:szCs w:val="24"/>
        </w:rPr>
      </w:pPr>
      <w:r>
        <w:rPr>
          <w:b/>
        </w:rPr>
        <w:t>5.</w:t>
      </w:r>
      <w:r>
        <w:tab/>
      </w:r>
      <w:r>
        <w:rPr>
          <w:b/>
        </w:rPr>
        <w:t>Commission parlementaire compétente:</w:t>
      </w:r>
      <w:r>
        <w:t xml:space="preserve"> commission des libertés civiles, de la justice et des affaires intérieures (LIBE)</w:t>
      </w:r>
    </w:p>
    <w:p w14:paraId="219C8439" w14:textId="062851C1" w:rsidR="00862937" w:rsidRPr="00B94214" w:rsidRDefault="002B7441" w:rsidP="00CB04E4">
      <w:pPr>
        <w:tabs>
          <w:tab w:val="left" w:pos="567"/>
        </w:tabs>
        <w:spacing w:after="200" w:line="276" w:lineRule="auto"/>
        <w:ind w:left="567" w:hanging="567"/>
        <w:rPr>
          <w:color w:val="000000"/>
          <w:szCs w:val="24"/>
        </w:rPr>
      </w:pPr>
      <w:r>
        <w:rPr>
          <w:b/>
        </w:rPr>
        <w:t>6.</w:t>
      </w:r>
      <w:r>
        <w:tab/>
      </w:r>
      <w:r>
        <w:rPr>
          <w:b/>
        </w:rPr>
        <w:t>Position de la Commission:</w:t>
      </w:r>
      <w:r>
        <w:rPr>
          <w:color w:val="000000"/>
          <w:sz w:val="22"/>
        </w:rPr>
        <w:t xml:space="preserve"> </w:t>
      </w:r>
      <w:r>
        <w:rPr>
          <w:color w:val="000000"/>
        </w:rPr>
        <w:t>la Commission donne son accord étant donné qu’aucune modification n’a été apportée à sa proposition.</w:t>
      </w:r>
    </w:p>
    <w:p w14:paraId="4C86F67B" w14:textId="77777777" w:rsidR="00862937" w:rsidRPr="00CB04E4" w:rsidRDefault="00862937" w:rsidP="00D05171">
      <w:pPr>
        <w:tabs>
          <w:tab w:val="left" w:pos="567"/>
        </w:tabs>
        <w:spacing w:after="200" w:line="276" w:lineRule="auto"/>
        <w:rPr>
          <w:color w:val="000000"/>
          <w:szCs w:val="24"/>
          <w:lang w:val="fr-BE"/>
        </w:rPr>
      </w:pPr>
    </w:p>
    <w:sectPr w:rsidR="00862937" w:rsidRPr="00CB04E4" w:rsidSect="00C85D7E">
      <w:headerReference w:type="even" r:id="rId14"/>
      <w:headerReference w:type="default" r:id="rId15"/>
      <w:footerReference w:type="even" r:id="rId16"/>
      <w:footerReference w:type="default" r:id="rId17"/>
      <w:headerReference w:type="first" r:id="rId18"/>
      <w:footerReference w:type="first" r:id="rId19"/>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BF5" w14:textId="77777777" w:rsidR="006D211E" w:rsidRDefault="006D211E">
      <w:pPr>
        <w:spacing w:line="240" w:lineRule="auto"/>
      </w:pPr>
      <w:r>
        <w:separator/>
      </w:r>
    </w:p>
  </w:endnote>
  <w:endnote w:type="continuationSeparator" w:id="0">
    <w:p w14:paraId="736A7E00" w14:textId="77777777" w:rsidR="006D211E" w:rsidRDefault="006D211E">
      <w:pPr>
        <w:spacing w:line="240" w:lineRule="auto"/>
      </w:pPr>
      <w:r>
        <w:continuationSeparator/>
      </w:r>
    </w:p>
  </w:endnote>
  <w:endnote w:type="continuationNotice" w:id="1">
    <w:p w14:paraId="1C81C9DD" w14:textId="77777777" w:rsidR="006D211E" w:rsidRDefault="006D2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322" w14:textId="77777777" w:rsidR="006D211E" w:rsidRDefault="006D211E">
      <w:pPr>
        <w:spacing w:line="240" w:lineRule="auto"/>
      </w:pPr>
      <w:r>
        <w:separator/>
      </w:r>
    </w:p>
  </w:footnote>
  <w:footnote w:type="continuationSeparator" w:id="0">
    <w:p w14:paraId="02A56CB4" w14:textId="77777777" w:rsidR="006D211E" w:rsidRDefault="006D211E">
      <w:pPr>
        <w:spacing w:line="240" w:lineRule="auto"/>
      </w:pPr>
      <w:r>
        <w:continuationSeparator/>
      </w:r>
    </w:p>
  </w:footnote>
  <w:footnote w:type="continuationNotice" w:id="1">
    <w:p w14:paraId="239DEB42" w14:textId="77777777" w:rsidR="006D211E" w:rsidRDefault="006D2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3950"/>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3A2"/>
    <w:rsid w:val="002064BF"/>
    <w:rsid w:val="002078FA"/>
    <w:rsid w:val="0021178C"/>
    <w:rsid w:val="00216AEE"/>
    <w:rsid w:val="00220B4E"/>
    <w:rsid w:val="002219A6"/>
    <w:rsid w:val="00221C5C"/>
    <w:rsid w:val="00223D38"/>
    <w:rsid w:val="00225916"/>
    <w:rsid w:val="002318F2"/>
    <w:rsid w:val="002319B7"/>
    <w:rsid w:val="00232488"/>
    <w:rsid w:val="002338BE"/>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86E63"/>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301D"/>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AAE"/>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3855"/>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4DA1"/>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C6CE4"/>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4B45"/>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93F"/>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266"/>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100"/>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3BB8"/>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610"/>
    <w:rsid w:val="007F4F7D"/>
    <w:rsid w:val="007F58DC"/>
    <w:rsid w:val="007F60D7"/>
    <w:rsid w:val="007F61CD"/>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1CD"/>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36E"/>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5E10"/>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122E"/>
    <w:rsid w:val="00AC338E"/>
    <w:rsid w:val="00AC4DEB"/>
    <w:rsid w:val="00AC5B49"/>
    <w:rsid w:val="00AC67B4"/>
    <w:rsid w:val="00AC6F72"/>
    <w:rsid w:val="00AC7032"/>
    <w:rsid w:val="00AC76AF"/>
    <w:rsid w:val="00AD1298"/>
    <w:rsid w:val="00AD250A"/>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214"/>
    <w:rsid w:val="00B9440E"/>
    <w:rsid w:val="00B95826"/>
    <w:rsid w:val="00B958B4"/>
    <w:rsid w:val="00B95ABC"/>
    <w:rsid w:val="00B96997"/>
    <w:rsid w:val="00B96CA6"/>
    <w:rsid w:val="00B96DC1"/>
    <w:rsid w:val="00BA0905"/>
    <w:rsid w:val="00BA0CDB"/>
    <w:rsid w:val="00BA2834"/>
    <w:rsid w:val="00BA4AD8"/>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4E4"/>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1CE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07F4B"/>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1E64"/>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5B47"/>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parl.europa.eu/doceo/document/A-8-2016-0345_FR.html?redire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eil.secure.europarl.europa.eu/oeil/fr/procedure-file?reference=2016/2891(R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2f7a1b070784ad07a273cb79b2e0bff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efdbc7de6c019c70dd2b077576fdba83"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65897D45-08EC-4D72-B134-7420244B0683}"/>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 ds:uri="8433b63d-ebd4-4e36-9458-d631cf48e1f4"/>
    <ds:schemaRef ds:uri="de5c82c6-d94a-46b4-b86e-d76bd3e938bc"/>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997</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1156</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BUIRON Sophie (DGT)</cp:lastModifiedBy>
  <cp:revision>5</cp:revision>
  <cp:lastPrinted>2019-01-09T23:37:00Z</cp:lastPrinted>
  <dcterms:created xsi:type="dcterms:W3CDTF">2025-10-24T10:38:00Z</dcterms:created>
  <dcterms:modified xsi:type="dcterms:W3CDTF">2025-11-06T08:42:00Z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