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2F25E" w14:textId="63884F59" w:rsidR="00331DB9" w:rsidRPr="00A60D56" w:rsidRDefault="003D1822" w:rsidP="7E722E26">
      <w:pPr>
        <w:spacing w:after="720"/>
        <w:jc w:val="center"/>
        <w:rPr>
          <w:rFonts w:ascii="Times New Roman" w:hAnsi="Times New Roman"/>
          <w:b/>
          <w:bCs/>
        </w:rPr>
      </w:pPr>
      <w:r>
        <w:rPr>
          <w:rFonts w:ascii="Times New Roman" w:hAnsi="Times New Roman"/>
          <w:b/>
        </w:rPr>
        <w:t xml:space="preserve">Suite donnée à la résolution non législative du Parlement européen </w:t>
      </w:r>
      <w:r>
        <w:t xml:space="preserve"> </w:t>
      </w:r>
      <w:r>
        <w:br/>
      </w:r>
      <w:r>
        <w:rPr>
          <w:rFonts w:ascii="Times New Roman" w:hAnsi="Times New Roman"/>
          <w:b/>
        </w:rPr>
        <w:t>sur le pacte pour une industrie propre</w:t>
      </w:r>
    </w:p>
    <w:p w14:paraId="1F18CFE0" w14:textId="5579C16D" w:rsidR="004A6C66" w:rsidRPr="00A60D56" w:rsidRDefault="004A6C66" w:rsidP="7E722E26">
      <w:pPr>
        <w:numPr>
          <w:ilvl w:val="0"/>
          <w:numId w:val="27"/>
        </w:numPr>
        <w:ind w:left="567" w:hanging="567"/>
        <w:rPr>
          <w:rFonts w:ascii="Times New Roman" w:hAnsi="Times New Roman"/>
          <w:b/>
          <w:bCs/>
        </w:rPr>
      </w:pPr>
      <w:r>
        <w:rPr>
          <w:rFonts w:ascii="Times New Roman" w:hAnsi="Times New Roman"/>
          <w:b/>
        </w:rPr>
        <w:t xml:space="preserve">Résolution présentée, conformément à l’article 142, paragraphe 5, et à l’article 136, paragraphe 2, du règlement intérieur du Parlement européen </w:t>
      </w:r>
    </w:p>
    <w:p w14:paraId="15EB820B" w14:textId="23C8586A" w:rsidR="004A6C66" w:rsidRPr="00A60D56" w:rsidRDefault="00535D4D" w:rsidP="7E722E26">
      <w:pPr>
        <w:numPr>
          <w:ilvl w:val="0"/>
          <w:numId w:val="27"/>
        </w:numPr>
        <w:ind w:left="567" w:hanging="567"/>
        <w:rPr>
          <w:rFonts w:ascii="Times New Roman" w:hAnsi="Times New Roman"/>
        </w:rPr>
      </w:pPr>
      <w:proofErr w:type="gramStart"/>
      <w:r>
        <w:rPr>
          <w:rFonts w:ascii="Times New Roman" w:hAnsi="Times New Roman"/>
          <w:b/>
        </w:rPr>
        <w:t>Références:</w:t>
      </w:r>
      <w:proofErr w:type="gramEnd"/>
      <w:r>
        <w:rPr>
          <w:rFonts w:ascii="Times New Roman" w:hAnsi="Times New Roman"/>
          <w:b/>
        </w:rPr>
        <w:t xml:space="preserve"> </w:t>
      </w:r>
      <w:r>
        <w:rPr>
          <w:rFonts w:ascii="Times New Roman" w:hAnsi="Times New Roman"/>
        </w:rPr>
        <w:t>2025/2656(RSP) / B10-0277/2025 / P10_TA(2025)0137</w:t>
      </w:r>
    </w:p>
    <w:p w14:paraId="2A2BFB96" w14:textId="3B02542B" w:rsidR="00A8653F" w:rsidRPr="00A60D56" w:rsidRDefault="004A6C66" w:rsidP="7E722E26">
      <w:pPr>
        <w:numPr>
          <w:ilvl w:val="0"/>
          <w:numId w:val="27"/>
        </w:numPr>
        <w:ind w:left="567" w:hanging="567"/>
        <w:rPr>
          <w:rFonts w:ascii="Times New Roman" w:hAnsi="Times New Roman"/>
          <w:i/>
          <w:iCs/>
        </w:rPr>
      </w:pPr>
      <w:r>
        <w:rPr>
          <w:rFonts w:ascii="Times New Roman" w:hAnsi="Times New Roman"/>
          <w:b/>
        </w:rPr>
        <w:t xml:space="preserve">Date d’adoption de la </w:t>
      </w:r>
      <w:proofErr w:type="gramStart"/>
      <w:r>
        <w:rPr>
          <w:rFonts w:ascii="Times New Roman" w:hAnsi="Times New Roman"/>
          <w:b/>
        </w:rPr>
        <w:t>résolution:</w:t>
      </w:r>
      <w:proofErr w:type="gramEnd"/>
      <w:r>
        <w:rPr>
          <w:rFonts w:ascii="Times New Roman" w:hAnsi="Times New Roman"/>
          <w:b/>
        </w:rPr>
        <w:t xml:space="preserve"> </w:t>
      </w:r>
      <w:r>
        <w:rPr>
          <w:rFonts w:ascii="Times New Roman" w:hAnsi="Times New Roman"/>
        </w:rPr>
        <w:t>19 juin 2025</w:t>
      </w:r>
    </w:p>
    <w:p w14:paraId="13BDE223" w14:textId="0362053B" w:rsidR="00E66CCD" w:rsidRPr="00A60D56" w:rsidRDefault="006771FB" w:rsidP="7E722E26">
      <w:pPr>
        <w:numPr>
          <w:ilvl w:val="0"/>
          <w:numId w:val="27"/>
        </w:numPr>
        <w:ind w:left="567" w:hanging="567"/>
        <w:rPr>
          <w:rFonts w:ascii="Times New Roman" w:hAnsi="Times New Roman"/>
          <w:i/>
          <w:iCs/>
        </w:rPr>
      </w:pPr>
      <w:r>
        <w:rPr>
          <w:rFonts w:ascii="Times New Roman" w:hAnsi="Times New Roman"/>
          <w:b/>
        </w:rPr>
        <w:t>Rapporteur[e</w:t>
      </w:r>
      <w:proofErr w:type="gramStart"/>
      <w:r>
        <w:rPr>
          <w:rFonts w:ascii="Times New Roman" w:hAnsi="Times New Roman"/>
          <w:b/>
        </w:rPr>
        <w:t>]</w:t>
      </w:r>
      <w:r>
        <w:rPr>
          <w:rFonts w:ascii="Times New Roman" w:hAnsi="Times New Roman"/>
        </w:rPr>
        <w:t>:</w:t>
      </w:r>
      <w:proofErr w:type="gramEnd"/>
      <w:r>
        <w:rPr>
          <w:rFonts w:ascii="Times New Roman" w:hAnsi="Times New Roman"/>
        </w:rPr>
        <w:t xml:space="preserve"> Tom BERENDSEN (PPE/NL)</w:t>
      </w:r>
    </w:p>
    <w:p w14:paraId="263FDA2C" w14:textId="65CCBE9A" w:rsidR="00EC0A27" w:rsidRPr="00A60D56" w:rsidRDefault="00EC0A27" w:rsidP="00590591">
      <w:pPr>
        <w:numPr>
          <w:ilvl w:val="0"/>
          <w:numId w:val="27"/>
        </w:numPr>
        <w:ind w:left="567" w:hanging="567"/>
        <w:jc w:val="left"/>
        <w:rPr>
          <w:rFonts w:ascii="Times New Roman" w:hAnsi="Times New Roman"/>
        </w:rPr>
      </w:pPr>
      <w:r>
        <w:rPr>
          <w:rFonts w:ascii="Times New Roman" w:hAnsi="Times New Roman"/>
          <w:b/>
        </w:rPr>
        <w:t xml:space="preserve">Commission parlementaire </w:t>
      </w:r>
      <w:proofErr w:type="gramStart"/>
      <w:r>
        <w:rPr>
          <w:rFonts w:ascii="Times New Roman" w:hAnsi="Times New Roman"/>
          <w:b/>
        </w:rPr>
        <w:t>compétente</w:t>
      </w:r>
      <w:r>
        <w:rPr>
          <w:b/>
        </w:rPr>
        <w:t>:</w:t>
      </w:r>
      <w:proofErr w:type="gramEnd"/>
      <w:r>
        <w:t xml:space="preserve"> </w:t>
      </w:r>
      <w:r>
        <w:rPr>
          <w:rFonts w:ascii="Times New Roman" w:hAnsi="Times New Roman"/>
        </w:rPr>
        <w:t>commission de l’industrie, de la recherche et de l’énergie (ITRE)</w:t>
      </w:r>
    </w:p>
    <w:p w14:paraId="7AA17E6E" w14:textId="26F5EB8C" w:rsidR="004A6C66" w:rsidRPr="00A60D56" w:rsidRDefault="004A6C66" w:rsidP="7E722E26">
      <w:pPr>
        <w:widowControl w:val="0"/>
        <w:numPr>
          <w:ilvl w:val="0"/>
          <w:numId w:val="27"/>
        </w:numPr>
        <w:ind w:left="567" w:hanging="567"/>
        <w:rPr>
          <w:rFonts w:ascii="Times New Roman" w:hAnsi="Times New Roman"/>
        </w:rPr>
      </w:pPr>
      <w:r>
        <w:rPr>
          <w:rFonts w:ascii="Times New Roman" w:hAnsi="Times New Roman"/>
          <w:b/>
        </w:rPr>
        <w:t xml:space="preserve">Analyse/évaluation succincte de la résolution et des demandes qu’elle </w:t>
      </w:r>
      <w:proofErr w:type="gramStart"/>
      <w:r>
        <w:rPr>
          <w:rFonts w:ascii="Times New Roman" w:hAnsi="Times New Roman"/>
          <w:b/>
        </w:rPr>
        <w:t>contient:</w:t>
      </w:r>
      <w:proofErr w:type="gramEnd"/>
      <w:r>
        <w:rPr>
          <w:rFonts w:ascii="Times New Roman" w:hAnsi="Times New Roman"/>
        </w:rPr>
        <w:t xml:space="preserve"> </w:t>
      </w:r>
    </w:p>
    <w:p w14:paraId="585AB2FA" w14:textId="36AE00B0" w:rsidR="00C200A9" w:rsidRPr="00A60D56" w:rsidRDefault="008F4AEF" w:rsidP="7E722E26">
      <w:pPr>
        <w:widowControl w:val="0"/>
        <w:spacing w:after="0"/>
        <w:ind w:left="567"/>
        <w:rPr>
          <w:rFonts w:ascii="Calibri" w:eastAsia="Calibri" w:hAnsi="Calibri" w:cs="Calibri"/>
          <w:sz w:val="22"/>
          <w:szCs w:val="22"/>
        </w:rPr>
      </w:pPr>
      <w:r>
        <w:rPr>
          <w:rFonts w:ascii="Times New Roman" w:hAnsi="Times New Roman"/>
        </w:rPr>
        <w:t>Le Parlement européen se félicite du pacte pour une industrie propre, qui constitue une initiative essentielle et opportune soutenant la transformation de l’industrie européenne conformément aux objectifs de l’Union européenne en matière de climat, d’énergie et d’autonomie stratégique. Il souligne qu’il est urgent de passer de la vision à l’exécution, et invite instamment la Commission européenne à déployer rapidement les outils et les instruments financiers nécessaires à l’accélération de la transition industrielle, y compris le lancement d’une banque pour la décarbonation de l’industrie et le déploiement de contrats d’écart compensatoire appliqués au carbone. Il plaide en faveur de financements accrus et plus accessibles au titre du Fonds pour l’innovation, d’Horizon Europe et d’</w:t>
      </w:r>
      <w:proofErr w:type="spellStart"/>
      <w:r>
        <w:rPr>
          <w:rFonts w:ascii="Times New Roman" w:hAnsi="Times New Roman"/>
        </w:rPr>
        <w:t>InvestEU</w:t>
      </w:r>
      <w:proofErr w:type="spellEnd"/>
      <w:r>
        <w:rPr>
          <w:rFonts w:ascii="Times New Roman" w:hAnsi="Times New Roman"/>
        </w:rPr>
        <w:t xml:space="preserve"> afin de développer les technologies propres, de soutenir la modernisation industrielle et de renforcer la position de l’UE dans la course mondiale aux capacités manufacturières vertes. </w:t>
      </w:r>
    </w:p>
    <w:p w14:paraId="2E50868C" w14:textId="77777777" w:rsidR="008E5521" w:rsidRPr="00590591" w:rsidRDefault="008E5521" w:rsidP="008E5521">
      <w:pPr>
        <w:widowControl w:val="0"/>
        <w:spacing w:after="0"/>
        <w:rPr>
          <w:rFonts w:ascii="Calibri" w:eastAsia="Calibri" w:hAnsi="Calibri" w:cs="Calibri"/>
          <w:sz w:val="22"/>
          <w:szCs w:val="22"/>
          <w:lang w:val="fr-BE"/>
        </w:rPr>
      </w:pPr>
    </w:p>
    <w:p w14:paraId="1C4B8A72" w14:textId="153EF2C1" w:rsidR="00C200A9" w:rsidRPr="00A60D56" w:rsidRDefault="009E5B98" w:rsidP="7E722E26">
      <w:pPr>
        <w:widowControl w:val="0"/>
        <w:ind w:left="567"/>
        <w:rPr>
          <w:rFonts w:ascii="Times New Roman" w:hAnsi="Times New Roman"/>
        </w:rPr>
      </w:pPr>
      <w:r>
        <w:rPr>
          <w:rFonts w:ascii="Times New Roman" w:hAnsi="Times New Roman"/>
        </w:rPr>
        <w:t>Le Parlement approuve également le plan d’action pour une énergie abordable</w:t>
      </w:r>
      <w:r>
        <w:rPr>
          <w:rStyle w:val="FootnoteReference"/>
          <w:rFonts w:ascii="Times New Roman" w:hAnsi="Times New Roman"/>
          <w:lang w:val="en-GB"/>
        </w:rPr>
        <w:footnoteReference w:id="2"/>
      </w:r>
      <w:r>
        <w:rPr>
          <w:rFonts w:ascii="Times New Roman" w:hAnsi="Times New Roman"/>
        </w:rPr>
        <w:t xml:space="preserve">, accueillant favorablement les réformes des marchés de l’électricité et appelant à un recours accru aux instruments à long terme tels que les accords d’achat d’électricité (AAE), les contrats d’écart compensatoire bidirectionnels et l’amélioration des mécanismes de capacité, ainsi qu’une infrastructure énergétique transeuropéenne plus intégrée, résiliente et numérisée, y compris une stratégie en matière de réseaux et une planification transfrontière actualisées. Il insiste sur la nécessité d’un cadre réglementaire juste et prévisible, de procédures d’autorisation simplifiées et d’un </w:t>
      </w:r>
      <w:proofErr w:type="gramStart"/>
      <w:r>
        <w:rPr>
          <w:rFonts w:ascii="Times New Roman" w:hAnsi="Times New Roman"/>
        </w:rPr>
        <w:t>renforcement</w:t>
      </w:r>
      <w:proofErr w:type="gramEnd"/>
      <w:r>
        <w:rPr>
          <w:rFonts w:ascii="Times New Roman" w:hAnsi="Times New Roman"/>
        </w:rPr>
        <w:t xml:space="preserve"> des capacités administratives dans les États membres, en particulier pour les PME. La résolution appelle en outre à faire preuve de clarté et d’ambition en ce qui concerne la politique en faveur de l’hydrogène, notamment à définir de manière scientifiquement solide l’hydrogène bas carbone et son rôle dans le bouquet énergétique, aux côtés des énergies renouvelables et, le cas échéant, de l’énergie nucléaire. </w:t>
      </w:r>
    </w:p>
    <w:p w14:paraId="0D555967" w14:textId="61A1E256" w:rsidR="00A95BA5" w:rsidRPr="00A60D56" w:rsidRDefault="00C200A9" w:rsidP="7E722E26">
      <w:pPr>
        <w:widowControl w:val="0"/>
        <w:ind w:left="567"/>
        <w:rPr>
          <w:rFonts w:ascii="Times New Roman" w:hAnsi="Times New Roman"/>
        </w:rPr>
      </w:pPr>
      <w:r>
        <w:rPr>
          <w:rFonts w:ascii="Times New Roman" w:hAnsi="Times New Roman"/>
        </w:rPr>
        <w:t xml:space="preserve">La résolution souligne la nécessité de garantir un approvisionnement en gaz à un coût modéré aux secteurs qui ne peuvent pas compter de manière substantielle sur l’électrification, et d’engager des dialogues sectoriels avec les parties prenantes de l’industrie des technologies propres et des industries à forte intensité énergétique afin </w:t>
      </w:r>
      <w:r>
        <w:rPr>
          <w:rFonts w:ascii="Times New Roman" w:hAnsi="Times New Roman"/>
        </w:rPr>
        <w:lastRenderedPageBreak/>
        <w:t xml:space="preserve">de renforcer leur compétitivité, y compris un cadre de suivi transparent. Elle invite à élaborer une stratégie coordonnée en matière de compétences industrielles et à utiliser de manière ciblée les programmes de l’Union, tels que le FSE + (Fonds social européen), Erasmus + et le Fonds pour une transition juste, pour promouvoir la reconversion et le perfectionnement professionnels de la main-d’œuvre dans les régions industrielles en cours de transformation. </w:t>
      </w:r>
    </w:p>
    <w:p w14:paraId="7BD48EA3" w14:textId="0C740FD9" w:rsidR="007E1663" w:rsidRPr="00A60D56" w:rsidRDefault="008F4AEF" w:rsidP="7E722E26">
      <w:pPr>
        <w:widowControl w:val="0"/>
        <w:ind w:left="567"/>
        <w:rPr>
          <w:rFonts w:ascii="Times New Roman" w:hAnsi="Times New Roman"/>
        </w:rPr>
      </w:pPr>
      <w:r>
        <w:rPr>
          <w:rFonts w:ascii="Times New Roman" w:hAnsi="Times New Roman"/>
        </w:rPr>
        <w:t>Le Parlement est en outre favorable au développement de marchés pilotes pour les produits propres, circulaires et à faibles émissions de carbone fabriqués en Europe, à l’introduction d’un étiquetage facultatif indiquant l’intensité carbone ainsi que de critères et de normes en matière de durabilité et de résilience pour les marchés publics et privés, et à des mesures fortes pour garantir l’accès aux matières premières critiques et leur recyclage. Il demande instamment que le contrôle des exportations soit accru, que le règlement sur les subventions étrangères</w:t>
      </w:r>
      <w:r>
        <w:rPr>
          <w:rStyle w:val="FootnoteReference"/>
          <w:rFonts w:ascii="Times New Roman" w:hAnsi="Times New Roman"/>
          <w:lang w:val="en-GB"/>
        </w:rPr>
        <w:footnoteReference w:id="3"/>
      </w:r>
      <w:r>
        <w:rPr>
          <w:rFonts w:ascii="Times New Roman" w:hAnsi="Times New Roman"/>
        </w:rPr>
        <w:t xml:space="preserve"> soit appliqué plus strictement et que l’efficacité du mécanisme d’ajustement carbone aux frontières (MACF) soit encore renforcée, pour parer au risque de fuite de carbone et de concurrence déloyale. </w:t>
      </w:r>
    </w:p>
    <w:p w14:paraId="149675FB" w14:textId="5CD45BA1" w:rsidR="00082184" w:rsidRPr="00A60D56" w:rsidRDefault="5004A906" w:rsidP="7E722E26">
      <w:pPr>
        <w:widowControl w:val="0"/>
        <w:ind w:left="567"/>
        <w:rPr>
          <w:rFonts w:ascii="Times New Roman" w:hAnsi="Times New Roman"/>
        </w:rPr>
      </w:pPr>
      <w:r>
        <w:rPr>
          <w:rFonts w:ascii="Times New Roman" w:hAnsi="Times New Roman"/>
        </w:rPr>
        <w:t>Enfin, il appelle à élaborer une analyse de rentabilité et à proposer un cadre réglementaire à l’échelle de l’UE pour le transport et les infrastructures de CO₂, et plaide pour un accès simplifié des PME aux fonds de l’UE. Il exprime son soutien en faveur d’approches sectorielles et se félicite des plans d’action présentés et annoncés, notamment pour l’industrie automobile, l’acier et les métaux, l’industrie chimique, les transports durables et la bioéconomie. Il demande également l’inclusion d’autres secteurs, tels que le secteur aérospatial européen et les carburants de substitution, et réclame un plan d’action spécifique en matière de technologies propres. Le Parlement insiste sur le fait que la politique industrielle doit être solide et bien ciblée pour implanter une base industrielle solide et durable en Europe, ainsi que pour créer et préserver des emplois de qualité, tout en décarbonant notre économie.</w:t>
      </w:r>
    </w:p>
    <w:p w14:paraId="207C47DC" w14:textId="4E232B20" w:rsidR="004A6C66" w:rsidRPr="00A60D56" w:rsidRDefault="004A6C66" w:rsidP="7E722E26">
      <w:pPr>
        <w:widowControl w:val="0"/>
        <w:numPr>
          <w:ilvl w:val="0"/>
          <w:numId w:val="27"/>
        </w:numPr>
        <w:ind w:left="567" w:hanging="567"/>
        <w:rPr>
          <w:rFonts w:ascii="Times New Roman" w:hAnsi="Times New Roman"/>
          <w:b/>
          <w:bCs/>
          <w:i/>
          <w:iCs/>
        </w:rPr>
      </w:pPr>
      <w:r>
        <w:rPr>
          <w:rFonts w:ascii="Times New Roman" w:hAnsi="Times New Roman"/>
          <w:b/>
        </w:rPr>
        <w:t xml:space="preserve">Réponse à ces demandes et aperçu des mesures que la Commission a prises ou envisage de </w:t>
      </w:r>
      <w:proofErr w:type="gramStart"/>
      <w:r>
        <w:rPr>
          <w:rFonts w:ascii="Times New Roman" w:hAnsi="Times New Roman"/>
          <w:b/>
        </w:rPr>
        <w:t>prendre:</w:t>
      </w:r>
      <w:proofErr w:type="gramEnd"/>
      <w:r>
        <w:rPr>
          <w:rFonts w:ascii="Times New Roman" w:hAnsi="Times New Roman"/>
        </w:rPr>
        <w:t xml:space="preserve"> </w:t>
      </w:r>
    </w:p>
    <w:p w14:paraId="7749D967" w14:textId="2A92678E" w:rsidR="00A8653F" w:rsidRPr="00A60D56" w:rsidRDefault="004F43B8" w:rsidP="7E722E26">
      <w:pPr>
        <w:widowControl w:val="0"/>
        <w:ind w:left="567"/>
        <w:rPr>
          <w:rFonts w:ascii="Times New Roman" w:hAnsi="Times New Roman"/>
        </w:rPr>
      </w:pPr>
      <w:r>
        <w:rPr>
          <w:rFonts w:ascii="Times New Roman" w:hAnsi="Times New Roman"/>
        </w:rPr>
        <w:t>En ce qui concerne l’appel à passer rapidement de la stratégie du pacte pour une industrie propre à l’action et à la mise en œuvre (</w:t>
      </w:r>
      <w:r>
        <w:rPr>
          <w:rFonts w:ascii="Times New Roman" w:hAnsi="Times New Roman"/>
          <w:b/>
        </w:rPr>
        <w:t>paragraphes 1 et 5</w:t>
      </w:r>
      <w:r>
        <w:rPr>
          <w:rFonts w:ascii="Times New Roman" w:hAnsi="Times New Roman"/>
        </w:rPr>
        <w:t>), la Commission souligne la rapidité de la mise en œuvre des initiatives annoncées et renvoie à la communication de suivi du 2 juillet intitulée</w:t>
      </w:r>
      <w:proofErr w:type="gramStart"/>
      <w:r>
        <w:rPr>
          <w:rFonts w:ascii="Times New Roman" w:hAnsi="Times New Roman"/>
        </w:rPr>
        <w:t xml:space="preserve"> «Mettre</w:t>
      </w:r>
      <w:proofErr w:type="gramEnd"/>
      <w:r>
        <w:rPr>
          <w:rFonts w:ascii="Times New Roman" w:hAnsi="Times New Roman"/>
        </w:rPr>
        <w:t xml:space="preserve"> en œuvre le pacte pour une industrie propre I» [COM (2025) 378</w:t>
      </w:r>
      <w:r>
        <w:rPr>
          <w:rStyle w:val="FootnoteReference"/>
          <w:rFonts w:ascii="Times New Roman" w:hAnsi="Times New Roman"/>
          <w:lang w:val="en-GB"/>
        </w:rPr>
        <w:footnoteReference w:id="4"/>
      </w:r>
      <w:r>
        <w:rPr>
          <w:rFonts w:ascii="Times New Roman" w:hAnsi="Times New Roman"/>
        </w:rPr>
        <w:t xml:space="preserve">], qui donne un aperçu des principales mesures prises. En outre, la Commission souligne que les États membres et les autres parties prenantes ont également un rôle essentiel à jouer à cet égard, par exemple en ce qui concerne l’adoption de la directive sur la taxation de </w:t>
      </w:r>
      <w:proofErr w:type="gramStart"/>
      <w:r>
        <w:rPr>
          <w:rFonts w:ascii="Times New Roman" w:hAnsi="Times New Roman"/>
        </w:rPr>
        <w:t>l’énergie;</w:t>
      </w:r>
      <w:proofErr w:type="gramEnd"/>
      <w:r>
        <w:rPr>
          <w:rFonts w:ascii="Times New Roman" w:hAnsi="Times New Roman"/>
        </w:rPr>
        <w:t xml:space="preserve"> plus précisément, concernant l’abaissement des niveaux globaux de taxation de l’électricité, ainsi que l’optimisation de la conception des tarifs de réseau afin de réduire les coûts globaux du système. Enfin, la Commission souligne le rôle important qu’ont à jouer les colégislateurs, le Parlement européen et le Conseil, en faveur d’une mise en œuvre rapide et efficace du pacte pour une industrie propre.</w:t>
      </w:r>
    </w:p>
    <w:p w14:paraId="2A1B1A90" w14:textId="1BC01F53" w:rsidR="0003608E" w:rsidRPr="00A60D56" w:rsidRDefault="00D36AB7" w:rsidP="7E722E26">
      <w:pPr>
        <w:widowControl w:val="0"/>
        <w:ind w:left="567"/>
        <w:rPr>
          <w:rFonts w:ascii="Times New Roman" w:hAnsi="Times New Roman"/>
        </w:rPr>
      </w:pPr>
      <w:r>
        <w:rPr>
          <w:rFonts w:ascii="Times New Roman" w:hAnsi="Times New Roman"/>
        </w:rPr>
        <w:t xml:space="preserve">Le Parlement reconnaît que les mesures proposées doivent être complétées par </w:t>
      </w:r>
      <w:r>
        <w:rPr>
          <w:rFonts w:ascii="Times New Roman" w:hAnsi="Times New Roman"/>
        </w:rPr>
        <w:lastRenderedPageBreak/>
        <w:t>d’autres mesures et qu’une politique industrielle solide et bien ciblée est nécessaire pour implanter une base industrielle solide et durable en Europe (</w:t>
      </w:r>
      <w:r>
        <w:rPr>
          <w:rFonts w:ascii="Times New Roman" w:hAnsi="Times New Roman"/>
          <w:b/>
        </w:rPr>
        <w:t>paragraphe 1</w:t>
      </w:r>
      <w:proofErr w:type="gramStart"/>
      <w:r>
        <w:rPr>
          <w:rFonts w:ascii="Times New Roman" w:hAnsi="Times New Roman"/>
        </w:rPr>
        <w:t>);</w:t>
      </w:r>
      <w:proofErr w:type="gramEnd"/>
      <w:r>
        <w:rPr>
          <w:rFonts w:ascii="Times New Roman" w:hAnsi="Times New Roman"/>
        </w:rPr>
        <w:t xml:space="preserve"> la Commission continuera d’œuvrer de manière proactive à l’achèvement du marché unique. À cette fin, la Commission, comme annoncé dans le discours sur l’état de l’Union, adoptera une feuille de route pour le marché unique à l’horizon 2028 concernant les capitaux, les services, l’énergie, les télécommunications, le 28</w:t>
      </w:r>
      <w:r>
        <w:rPr>
          <w:rFonts w:ascii="Times New Roman" w:hAnsi="Times New Roman"/>
          <w:vertAlign w:val="superscript"/>
        </w:rPr>
        <w:t>e</w:t>
      </w:r>
      <w:r>
        <w:rPr>
          <w:rFonts w:ascii="Times New Roman" w:hAnsi="Times New Roman"/>
        </w:rPr>
        <w:t xml:space="preserve"> régime et la cinquième liberté en matière de connaissance et d’innovation.</w:t>
      </w:r>
    </w:p>
    <w:p w14:paraId="6583B8EC" w14:textId="58DA82E6" w:rsidR="00A8653F" w:rsidRPr="00A60D56" w:rsidRDefault="009E5B98" w:rsidP="7E722E26">
      <w:pPr>
        <w:widowControl w:val="0"/>
        <w:ind w:left="567"/>
        <w:rPr>
          <w:rFonts w:ascii="Times New Roman" w:hAnsi="Times New Roman"/>
        </w:rPr>
      </w:pPr>
      <w:r>
        <w:rPr>
          <w:rFonts w:ascii="Times New Roman" w:hAnsi="Times New Roman"/>
        </w:rPr>
        <w:t>La Commission lancera un appel phare au titre d’Horizon Europe, doté d’un montant d’environ 600 millions d’EUR, dans le cadre du programme de travail 2026-2027, afin de financer des projets prêts à être exécutés (</w:t>
      </w:r>
      <w:r>
        <w:rPr>
          <w:rFonts w:ascii="Times New Roman" w:hAnsi="Times New Roman"/>
          <w:b/>
        </w:rPr>
        <w:t>paragraphe 1</w:t>
      </w:r>
      <w:r>
        <w:rPr>
          <w:rFonts w:ascii="Times New Roman" w:hAnsi="Times New Roman"/>
        </w:rPr>
        <w:t>). L’objectif sera de favoriser des synergies entre le programme-cadre pour la R&amp;I et le Fonds pour l’innovation, en créant une réserve de projets allant du stade de la recherche à celui du déploiement. En outre, comme annoncé dans le plan d’action pour l’acier et les métaux</w:t>
      </w:r>
      <w:r>
        <w:rPr>
          <w:rStyle w:val="FootnoteReference"/>
          <w:rFonts w:ascii="Times New Roman" w:hAnsi="Times New Roman"/>
          <w:lang w:val="en-GB"/>
        </w:rPr>
        <w:footnoteReference w:id="5"/>
      </w:r>
      <w:r>
        <w:rPr>
          <w:rFonts w:ascii="Times New Roman" w:hAnsi="Times New Roman"/>
        </w:rPr>
        <w:t>, la Commission lancera, dans le cadre du Fonds de recherche du charbon et de l’acier (FRCA), des initiatives phares qui pourraient mobiliser 150 millions d’EUR en 2026 et 2027 et contribuer à renforcer l‘apport du secteur à la recherche en faveur de la défense européenne. La Commission proposera également une réforme globale du FRCA afin de simplifier et d’accélérer encore les investissements dans la recherche sur l’acier. La Commission rappelle le succès du déploiement des</w:t>
      </w:r>
      <w:proofErr w:type="gramStart"/>
      <w:r>
        <w:rPr>
          <w:rFonts w:ascii="Times New Roman" w:hAnsi="Times New Roman"/>
        </w:rPr>
        <w:t xml:space="preserve"> «enchères</w:t>
      </w:r>
      <w:proofErr w:type="gramEnd"/>
      <w:r>
        <w:rPr>
          <w:rFonts w:ascii="Times New Roman" w:hAnsi="Times New Roman"/>
        </w:rPr>
        <w:t xml:space="preserve"> en tant que service» dans le cadre des enchères de la Banque européenne de l’hydrogène (</w:t>
      </w:r>
      <w:r>
        <w:rPr>
          <w:rFonts w:ascii="Times New Roman" w:hAnsi="Times New Roman"/>
          <w:b/>
        </w:rPr>
        <w:t>paragraphe 2, partie 2</w:t>
      </w:r>
      <w:r>
        <w:rPr>
          <w:rFonts w:ascii="Times New Roman" w:hAnsi="Times New Roman"/>
        </w:rPr>
        <w:t>). Ce succès a conduit à appliquer ce concept également aux appels à propositions généraux lancés au titre du Fonds pour l’innovation, sous le nom de</w:t>
      </w:r>
      <w:proofErr w:type="gramStart"/>
      <w:r>
        <w:rPr>
          <w:rFonts w:ascii="Times New Roman" w:hAnsi="Times New Roman"/>
        </w:rPr>
        <w:t xml:space="preserve"> «subventions</w:t>
      </w:r>
      <w:proofErr w:type="gramEnd"/>
      <w:r>
        <w:rPr>
          <w:rFonts w:ascii="Times New Roman" w:hAnsi="Times New Roman"/>
        </w:rPr>
        <w:t xml:space="preserve"> en tant que service». Afin de faciliter l’utilisation de cette option par les États membres, l’encadrement des aides d’État dans le cadre du pacte pour une industrie propre (CISAF) récemment adopté accorde un traitement spécial aux régimes d’aides en faveur de projets ayant fait l’objet d’une évaluation positive au titre du Fonds pour l’innovation.</w:t>
      </w:r>
    </w:p>
    <w:p w14:paraId="3351205C" w14:textId="4ECFD840" w:rsidR="004D2FC5" w:rsidRPr="00A60D56" w:rsidRDefault="009E5B98" w:rsidP="7E722E26">
      <w:pPr>
        <w:widowControl w:val="0"/>
        <w:ind w:left="567"/>
        <w:rPr>
          <w:rFonts w:ascii="Times New Roman" w:hAnsi="Times New Roman"/>
        </w:rPr>
      </w:pPr>
      <w:r>
        <w:rPr>
          <w:rFonts w:ascii="Times New Roman" w:hAnsi="Times New Roman"/>
        </w:rPr>
        <w:t>La Commission souligne que la récente réforme de l’organisation du marché de l’électricité (adoptée en juillet 2024) contient des dispositions visant à supprimer les obstacles à la signature d’accords d’achat d’électricité (AAE) (</w:t>
      </w:r>
      <w:r>
        <w:rPr>
          <w:rFonts w:ascii="Times New Roman" w:hAnsi="Times New Roman"/>
          <w:b/>
        </w:rPr>
        <w:t>paragraphe 3</w:t>
      </w:r>
      <w:r>
        <w:rPr>
          <w:rFonts w:ascii="Times New Roman" w:hAnsi="Times New Roman"/>
        </w:rPr>
        <w:t xml:space="preserve">). Cette réforme définit également l’obligation pour les régimes de soutien direct relatifs aux prix de prendre la forme de contrats d’écart compensatoire bidirectionnels et définit des critères relatifs à la conception de ces contrats. Afin d’aider les États membres à mettre en œuvre ces dispositions, la Commission travaille actuellement à l’élaboration d’orientations sur la conception des contrats d’écart compensatoire bidirectionnels et leur combinaison avec des accords d’achat d’électricité, ainsi qu’à l’élaboration d’orientations sur la suppression des obstacles aux AAE. Par ailleurs, la Commission fournit déjà des outils de réduction des risques pour les investissements relevant de différentes grandes priorités d’action de l’UE, au moyen de la garantie budgétaire au titre du programme </w:t>
      </w:r>
      <w:proofErr w:type="spellStart"/>
      <w:r>
        <w:rPr>
          <w:rFonts w:ascii="Times New Roman" w:hAnsi="Times New Roman"/>
        </w:rPr>
        <w:t>InvestEU</w:t>
      </w:r>
      <w:proofErr w:type="spellEnd"/>
      <w:r>
        <w:rPr>
          <w:rFonts w:ascii="Times New Roman" w:hAnsi="Times New Roman"/>
        </w:rPr>
        <w:t xml:space="preserve">. À ce titre, le Fonds </w:t>
      </w:r>
      <w:proofErr w:type="spellStart"/>
      <w:r>
        <w:rPr>
          <w:rFonts w:ascii="Times New Roman" w:hAnsi="Times New Roman"/>
        </w:rPr>
        <w:t>InvestEU</w:t>
      </w:r>
      <w:proofErr w:type="spellEnd"/>
      <w:r>
        <w:rPr>
          <w:rFonts w:ascii="Times New Roman" w:hAnsi="Times New Roman"/>
        </w:rPr>
        <w:t xml:space="preserve"> apporte une protection contre les risques à la garantie paneuropéenne sur les accords d’achat d’électricité récemment annoncée par la Banque européenne d’investissement (BEI). Pour ce qui est de l’avenir, la Commission continuera de travailler en étroite collaboration avec le Groupe BEI en vue d’atteindre les objectifs concrets du plan d’action pour une énergie abordable, en particulier en ce qui concerne le bon déploiement du programme d’AAE et du train de mesures pour la fabrication de composants de réseau. Dans ce contexte, la Commission se félicite du soutien du Parlement européen en faveur des mesures liées au plan d’action pour une </w:t>
      </w:r>
      <w:r>
        <w:rPr>
          <w:rFonts w:ascii="Times New Roman" w:hAnsi="Times New Roman"/>
        </w:rPr>
        <w:lastRenderedPageBreak/>
        <w:t>énergie abordable.</w:t>
      </w:r>
    </w:p>
    <w:p w14:paraId="01892DB5" w14:textId="604AD442" w:rsidR="00586972" w:rsidRPr="00A60D56" w:rsidRDefault="009E5B98" w:rsidP="7E722E26">
      <w:pPr>
        <w:widowControl w:val="0"/>
        <w:ind w:left="567"/>
        <w:rPr>
          <w:rFonts w:ascii="Times New Roman" w:hAnsi="Times New Roman"/>
        </w:rPr>
      </w:pPr>
      <w:bookmarkStart w:id="0" w:name="_Hlk204778336"/>
      <w:r>
        <w:rPr>
          <w:rFonts w:ascii="Times New Roman" w:hAnsi="Times New Roman"/>
        </w:rPr>
        <w:t>La Commission souligne que les gestionnaires de réseau de transport (GRT) ont l’obligation de fournir au moins 70 % de la capacité transfrontalière disponible pour les échanges, conformément à l’article 16, paragraphe 3, du règlement (UE) 2019/943 sur l’électricité</w:t>
      </w:r>
      <w:r>
        <w:rPr>
          <w:rStyle w:val="FootnoteReference"/>
          <w:rFonts w:ascii="Times New Roman" w:hAnsi="Times New Roman"/>
          <w:lang w:val="en-GB"/>
        </w:rPr>
        <w:footnoteReference w:id="6"/>
      </w:r>
      <w:r>
        <w:rPr>
          <w:rFonts w:ascii="Times New Roman" w:hAnsi="Times New Roman"/>
        </w:rPr>
        <w:t xml:space="preserve"> (</w:t>
      </w:r>
      <w:r>
        <w:rPr>
          <w:rFonts w:ascii="Times New Roman" w:hAnsi="Times New Roman"/>
          <w:b/>
        </w:rPr>
        <w:t>paragraphe 4</w:t>
      </w:r>
      <w:r>
        <w:rPr>
          <w:rFonts w:ascii="Times New Roman" w:hAnsi="Times New Roman"/>
        </w:rPr>
        <w:t>). De nombreuses autorités de régulation nationales (ARN) ont accordé une dérogation à leurs GRT</w:t>
      </w:r>
      <w:proofErr w:type="gramStart"/>
      <w:r>
        <w:rPr>
          <w:rFonts w:ascii="Times New Roman" w:hAnsi="Times New Roman"/>
        </w:rPr>
        <w:t xml:space="preserve"> «pour</w:t>
      </w:r>
      <w:proofErr w:type="gramEnd"/>
      <w:r>
        <w:rPr>
          <w:rFonts w:ascii="Times New Roman" w:hAnsi="Times New Roman"/>
        </w:rPr>
        <w:t xml:space="preserve"> des motifs prévisibles lorsque cela s’avère nécessaire pour maintenir la sécurité d’exploitation», comme le prévoit l’article 16, paragraphe 9. Ces dérogations, conjuguées à l’absence de répartition des coûts entre les GRT, découragent le recours à des actions correctives coûteuses qui pourraient augmenter de manière significative la capacité transfrontalière. La Commission est d’avis que ces décisions de dérogation devraient faire l’objet d’un suivi rigoureux afin de s’assurer qu’elles sont pleinement justifiées par des raisons de sécurité d’exploitation, qu’elles sont conçues de manière à maximiser les capacités transfrontalières et qu’elles ne découragent pas le recours à des actions correctives.</w:t>
      </w:r>
    </w:p>
    <w:p w14:paraId="22FFBD97" w14:textId="24126402" w:rsidR="00B37ED8" w:rsidRPr="00A60D56" w:rsidRDefault="001D786F" w:rsidP="7E722E26">
      <w:pPr>
        <w:widowControl w:val="0"/>
        <w:ind w:left="567"/>
        <w:rPr>
          <w:rFonts w:ascii="Times New Roman" w:hAnsi="Times New Roman"/>
        </w:rPr>
      </w:pPr>
      <w:r>
        <w:rPr>
          <w:rFonts w:ascii="Times New Roman" w:hAnsi="Times New Roman"/>
        </w:rPr>
        <w:t>En ce qui concerne les mesures visant à réduire les coûts de l’énergie (</w:t>
      </w:r>
      <w:r>
        <w:rPr>
          <w:rFonts w:ascii="Times New Roman" w:hAnsi="Times New Roman"/>
          <w:b/>
        </w:rPr>
        <w:t>paragraphe 5</w:t>
      </w:r>
      <w:r>
        <w:rPr>
          <w:rFonts w:ascii="Times New Roman" w:hAnsi="Times New Roman"/>
        </w:rPr>
        <w:t>), la Commission souligne que, outre les travaux en cours en vue de la révision de la directive sur la taxation de l’énergie et les récentes lignes directrices visant à harmoniser les méthodes tarifaires pour les redevances de réseau (voir ci-dessus), l’encadrement des aides d’État dans le cadre du pacte pour une industrie propre (CISAF), adopté le 25 juin 2025, permet aux États membres d’accorder un allègement temporaire des prix de l’électricité aux gros consommateurs d’énergie dans les secteurs particulièrement exposés au commerce international et fortement dépendants de l’électricité pour leur production (gros consommateurs d’énergie). Cela permettra aux États membres de réduire les coûts de l’électricité pour les gros consommateurs d’énergie, qui font face à des coûts plus élevés que les concurrents qui se trouvent dans des régions où les politiques climatiques sont moins ambitieuses. En contrepartie du soutien reçu en matière de prix, les entreprises seront tenues d’investir dans la décarbonation.</w:t>
      </w:r>
    </w:p>
    <w:bookmarkEnd w:id="0"/>
    <w:p w14:paraId="7B669BE1" w14:textId="352C9197" w:rsidR="00586972" w:rsidRPr="00A60D56" w:rsidRDefault="002B2531" w:rsidP="7E722E26">
      <w:pPr>
        <w:widowControl w:val="0"/>
        <w:ind w:left="567"/>
        <w:rPr>
          <w:rFonts w:ascii="Times New Roman" w:hAnsi="Times New Roman"/>
        </w:rPr>
      </w:pPr>
      <w:r>
        <w:rPr>
          <w:rFonts w:ascii="Times New Roman" w:hAnsi="Times New Roman"/>
        </w:rPr>
        <w:t>Le CISAF récemment adopté permet aux États membres de soutenir le développement des énergies propres, la décarbonation de l’industrie et les technologies propres (</w:t>
      </w:r>
      <w:r>
        <w:rPr>
          <w:rFonts w:ascii="Times New Roman" w:hAnsi="Times New Roman"/>
          <w:b/>
        </w:rPr>
        <w:t>paragraphe 6</w:t>
      </w:r>
      <w:r>
        <w:rPr>
          <w:rFonts w:ascii="Times New Roman" w:hAnsi="Times New Roman"/>
        </w:rPr>
        <w:t>). En particulier, il simplifie les règles en matière d’aides d’État dans cinq domaines principaux: i) le déploiement des énergies renouvelables et des carburants bas carbone, ii) l’allègement temporaire des prix de l’électricité pour les gros consommateurs d’énergie afin de garantir la transition vers une électricité propre à bas coûts, iii) la décarbonation des installations de production industrielle existantes, iv) le développement de capacités de production de technologies propres dans l’UE et v) la réduction des risques liés aux investissements dans les projets d’énergie propre, de décarbonation, de technologies propres, d’infrastructures énergétiques et les projets soutenant l’économie circulaire. Comme annoncé dans le plan d’action pour l’acier et les métaux, la Commission publiera des orientations sur les contrats d’écart compensatoire appliqués au carbone qui expliqueront comment structurer au mieux ce type de régimes d’aide dans le respect des règles en matière d’aides d’État.</w:t>
      </w:r>
    </w:p>
    <w:p w14:paraId="629A74D9" w14:textId="25143568" w:rsidR="00586972" w:rsidRPr="00A60D56" w:rsidRDefault="002B2531" w:rsidP="7E722E26">
      <w:pPr>
        <w:widowControl w:val="0"/>
        <w:ind w:left="567"/>
        <w:rPr>
          <w:rFonts w:ascii="Times New Roman" w:hAnsi="Times New Roman"/>
        </w:rPr>
      </w:pPr>
      <w:r>
        <w:rPr>
          <w:rFonts w:ascii="Times New Roman" w:hAnsi="Times New Roman"/>
        </w:rPr>
        <w:t>La commission souligne qu’elle proposera, comme annoncé dans le pacte pour une industrie propre et en tant que partie intégrante de l’</w:t>
      </w:r>
      <w:bookmarkStart w:id="1" w:name="_Hlk211336557"/>
      <w:r>
        <w:rPr>
          <w:rFonts w:ascii="Times New Roman" w:hAnsi="Times New Roman"/>
        </w:rPr>
        <w:t xml:space="preserve">acte législatif visant à accélérer </w:t>
      </w:r>
      <w:r>
        <w:rPr>
          <w:rFonts w:ascii="Times New Roman" w:hAnsi="Times New Roman"/>
        </w:rPr>
        <w:lastRenderedPageBreak/>
        <w:t>la décarbonation de l’industrie</w:t>
      </w:r>
      <w:bookmarkEnd w:id="1"/>
      <w:r>
        <w:rPr>
          <w:rFonts w:ascii="Times New Roman" w:hAnsi="Times New Roman"/>
        </w:rPr>
        <w:t>, des mesures visant à éliminer les freins à l’octroi de permis qui ont trait à l’accès de l’industrie à l’énergie et à la décarbonation de l’industrie, lorsqu’elles ne sont pas déjà prévues par les dispositions du règlement pour une industrie «zéro net»</w:t>
      </w:r>
      <w:r>
        <w:rPr>
          <w:rStyle w:val="FootnoteReference"/>
          <w:rFonts w:ascii="Times New Roman" w:hAnsi="Times New Roman"/>
          <w:lang w:val="en-GB"/>
        </w:rPr>
        <w:footnoteReference w:id="7"/>
      </w:r>
      <w:r>
        <w:rPr>
          <w:rFonts w:ascii="Times New Roman" w:hAnsi="Times New Roman"/>
        </w:rPr>
        <w:t xml:space="preserve"> et d’autres actes législatifs européens (</w:t>
      </w:r>
      <w:r>
        <w:rPr>
          <w:rFonts w:ascii="Times New Roman" w:hAnsi="Times New Roman"/>
          <w:b/>
        </w:rPr>
        <w:t>paragraphe 7</w:t>
      </w:r>
      <w:r>
        <w:rPr>
          <w:rFonts w:ascii="Times New Roman" w:hAnsi="Times New Roman"/>
        </w:rPr>
        <w:t>). En outre, la Commission étudiera des mesures pour accélérer certaines décisions dans le cadre de la procédure d’octroi de permis et examinera l’aide que peut apporter le numérique à cet égard, notamment l’utilisation de l’intelligence artificielle.</w:t>
      </w:r>
    </w:p>
    <w:p w14:paraId="1CF42CF0" w14:textId="16CB3AB6" w:rsidR="00586972" w:rsidRPr="00A60D56" w:rsidRDefault="002B2531" w:rsidP="7E722E26">
      <w:pPr>
        <w:widowControl w:val="0"/>
        <w:ind w:left="567"/>
        <w:rPr>
          <w:rFonts w:ascii="Times New Roman" w:hAnsi="Times New Roman"/>
        </w:rPr>
      </w:pPr>
      <w:r>
        <w:rPr>
          <w:rFonts w:ascii="Times New Roman" w:hAnsi="Times New Roman"/>
        </w:rPr>
        <w:t>Comme indiqué dans le plan cible en matière de climat à l’horizon 2040</w:t>
      </w:r>
      <w:r>
        <w:rPr>
          <w:rStyle w:val="FootnoteReference"/>
          <w:rFonts w:ascii="Times New Roman" w:hAnsi="Times New Roman"/>
          <w:lang w:val="en-GB"/>
        </w:rPr>
        <w:footnoteReference w:id="8"/>
      </w:r>
      <w:r>
        <w:rPr>
          <w:rFonts w:ascii="Times New Roman" w:hAnsi="Times New Roman"/>
        </w:rPr>
        <w:t xml:space="preserve"> et le plan d’action pour une énergie abordable</w:t>
      </w:r>
      <w:r>
        <w:rPr>
          <w:rStyle w:val="FootnoteReference"/>
          <w:rFonts w:ascii="Times New Roman" w:hAnsi="Times New Roman"/>
          <w:lang w:val="en-GB"/>
        </w:rPr>
        <w:footnoteReference w:id="9"/>
      </w:r>
      <w:r>
        <w:rPr>
          <w:rFonts w:ascii="Times New Roman" w:hAnsi="Times New Roman"/>
        </w:rPr>
        <w:t>, la Commission reconnaît la contribution de toutes les solutions énergétiques propres à un bouquet énergétique sûr, durable et efficace au regard des coûts, et que les énergies renouvelables et l’efficacité énergétique sont appelées à constituer les piliers de notre futur système énergétique, parallèlement à l’énergie nucléaire dans les États membres qui ont choisi de l’utiliser (</w:t>
      </w:r>
      <w:r>
        <w:rPr>
          <w:rFonts w:ascii="Times New Roman" w:hAnsi="Times New Roman"/>
          <w:b/>
        </w:rPr>
        <w:t>paragraphe 8, partie 1</w:t>
      </w:r>
      <w:r>
        <w:rPr>
          <w:rFonts w:ascii="Times New Roman" w:hAnsi="Times New Roman"/>
        </w:rPr>
        <w:t xml:space="preserve">). La Commission rappelle que les énergies renouvelables tirent les prix de l’énergie vers le bas, améliorant ainsi la compétitivité et renforçant l’indépendance énergétique, tandis que l’efficacité énergétique contribue directement à faire baisser les factures énergétiques de l’industrie. </w:t>
      </w:r>
    </w:p>
    <w:p w14:paraId="3A0E09D2" w14:textId="6EF32197" w:rsidR="00586972" w:rsidRPr="00A60D56" w:rsidRDefault="00851A5E" w:rsidP="7E722E26">
      <w:pPr>
        <w:widowControl w:val="0"/>
        <w:ind w:left="567"/>
        <w:rPr>
          <w:rFonts w:ascii="Times New Roman" w:hAnsi="Times New Roman"/>
        </w:rPr>
      </w:pPr>
      <w:bookmarkStart w:id="2" w:name="_Hlk204184114"/>
      <w:r>
        <w:rPr>
          <w:rFonts w:ascii="Times New Roman" w:hAnsi="Times New Roman"/>
        </w:rPr>
        <w:t>La Commission souligne que, s’appuyant sur les travaux de l’alliance industrielle européenne pour les petits réacteurs modulaires, elle adoptera une communication visant à soutenir l’accélération du développement et du déploiement de ces réacteurs dans l’UE au début des années 2030, comme annoncé dans le plan d’action pour une énergie abordable (</w:t>
      </w:r>
      <w:r>
        <w:rPr>
          <w:rFonts w:ascii="Times New Roman" w:hAnsi="Times New Roman"/>
          <w:b/>
        </w:rPr>
        <w:t>paragraphe 8, partie 2</w:t>
      </w:r>
      <w:r>
        <w:rPr>
          <w:rFonts w:ascii="Times New Roman" w:hAnsi="Times New Roman"/>
        </w:rPr>
        <w:t>). La Commission adoptera également une stratégie de l’UE pour la fusion visant à lever les obstacles techniques, scientifiques et financiers actuels et elle examinera les besoins de prévisibilité réglementaire, sur la voie de la fusion à usage commercial. En outre, le forum européen conjoint pour les projets importants d’intérêt européen commun (PIIEC) a approuvé le lancement de la phase de conception d’un PIIEC candidat sur les technologies nucléaires innovantes. Les États membres intéressés définiront son champ et sa structure avec l’appui du nouveau pôle de soutien à la conception de PIIEC. Les PIIEC sont un instrument d’aide d’État, dirigé par les États membres. La concrétisation d’un PIIEC dépend en fin de compte des capacités budgétaires et des priorités de politique industrielle des États membres participants.</w:t>
      </w:r>
      <w:bookmarkStart w:id="3" w:name="_Hlk204779552"/>
      <w:bookmarkEnd w:id="2"/>
      <w:r>
        <w:rPr>
          <w:rFonts w:ascii="Times New Roman" w:hAnsi="Times New Roman"/>
        </w:rPr>
        <w:t xml:space="preserve"> La Commission souligne que l’Agence de coopération des régulateurs de l’énergie (ACER) a adopté en juillet 2025 une méthodologie d’évaluation des besoins nationaux en matière de flexibilité. Les États membres doivent à présent procéder à des évaluations nationales de la flexibilité et avoir accès à des régimes d’aide spécifiques pour soutenir les investissements dans la flexibilité non fossile, si des lacunes sont constatées (</w:t>
      </w:r>
      <w:r>
        <w:rPr>
          <w:rFonts w:ascii="Times New Roman" w:hAnsi="Times New Roman"/>
          <w:b/>
        </w:rPr>
        <w:t>paragraphe 9, partie 1</w:t>
      </w:r>
      <w:r>
        <w:rPr>
          <w:rFonts w:ascii="Times New Roman" w:hAnsi="Times New Roman"/>
        </w:rPr>
        <w:t>). La Commission est prête à soutenir les États membres dans ce processus et travaille en parallèle à l’élaboration de nouvelles règles visant à supprimer les derniers obstacles au développement de la participation active de la demande, dont l’adoption est prévue pour le premier trimestre de 2026.</w:t>
      </w:r>
    </w:p>
    <w:bookmarkEnd w:id="3"/>
    <w:p w14:paraId="30B55B6C" w14:textId="33535B9C" w:rsidR="00586972" w:rsidRPr="00A60D56" w:rsidRDefault="002B2531" w:rsidP="7E722E26">
      <w:pPr>
        <w:widowControl w:val="0"/>
        <w:ind w:left="567"/>
        <w:rPr>
          <w:rFonts w:ascii="Times New Roman" w:hAnsi="Times New Roman"/>
        </w:rPr>
      </w:pPr>
      <w:r>
        <w:rPr>
          <w:rFonts w:ascii="Times New Roman" w:hAnsi="Times New Roman"/>
        </w:rPr>
        <w:t xml:space="preserve">La Commission souligne que, comme indiqué dans la boussole pour la compétitivité, les technologies économes en énergie sont en grande partie fabriquées en Europe, ce </w:t>
      </w:r>
      <w:r>
        <w:rPr>
          <w:rFonts w:ascii="Times New Roman" w:hAnsi="Times New Roman"/>
        </w:rPr>
        <w:lastRenderedPageBreak/>
        <w:t>qui confère effectivement un avantage concurrentiel à l’économie de l’UE (</w:t>
      </w:r>
      <w:r>
        <w:rPr>
          <w:rFonts w:ascii="Times New Roman" w:hAnsi="Times New Roman"/>
          <w:b/>
        </w:rPr>
        <w:t>paragraphe 9, partie 2</w:t>
      </w:r>
      <w:r>
        <w:rPr>
          <w:rFonts w:ascii="Times New Roman" w:hAnsi="Times New Roman"/>
        </w:rPr>
        <w:t>). À la suite d’un dialogue de haut niveau avec les représentants du secteur qui s’est tenu le 20 mai 2025, la Commission continuera de dialoguer avec ce secteur industriel important en vue de renforcer sa contribution à la transition vers une énergie propre.</w:t>
      </w:r>
    </w:p>
    <w:p w14:paraId="63D4242D" w14:textId="3076ED30" w:rsidR="004D2FC5" w:rsidRPr="00A60D56" w:rsidRDefault="002B2531" w:rsidP="7E722E26">
      <w:pPr>
        <w:widowControl w:val="0"/>
        <w:ind w:left="567"/>
        <w:rPr>
          <w:rFonts w:ascii="Times New Roman" w:hAnsi="Times New Roman"/>
          <w:b/>
          <w:bCs/>
        </w:rPr>
      </w:pPr>
      <w:r>
        <w:rPr>
          <w:rFonts w:ascii="Times New Roman" w:hAnsi="Times New Roman"/>
        </w:rPr>
        <w:t>La Commission signale qu’elle a entre-temps adopté, le 8 juillet 2025, un acte délégué qui clarifie les règles essentielles pour produire de l’hydrogène bas carbone de manière pragmatique, offrant ainsi une sécurité aux investisseurs (</w:t>
      </w:r>
      <w:r>
        <w:rPr>
          <w:rFonts w:ascii="Times New Roman" w:hAnsi="Times New Roman"/>
          <w:b/>
        </w:rPr>
        <w:t>paragraphe 10, partie 1</w:t>
      </w:r>
      <w:r>
        <w:rPr>
          <w:rFonts w:ascii="Times New Roman" w:hAnsi="Times New Roman"/>
        </w:rPr>
        <w:t xml:space="preserve">). En outre, l’acte délégué définit une méthode complète pour déterminer la réduction des émissions de gaz à effet de serre que permettent les différents types de </w:t>
      </w:r>
      <w:proofErr w:type="gramStart"/>
      <w:r>
        <w:rPr>
          <w:rFonts w:ascii="Times New Roman" w:hAnsi="Times New Roman"/>
        </w:rPr>
        <w:t>carburants bas carbone</w:t>
      </w:r>
      <w:proofErr w:type="gramEnd"/>
      <w:r>
        <w:rPr>
          <w:rFonts w:ascii="Times New Roman" w:hAnsi="Times New Roman"/>
        </w:rPr>
        <w:t>, en couvrant toutes les filières de production pertinentes d’une manière technologiquement neutre.</w:t>
      </w:r>
    </w:p>
    <w:p w14:paraId="3948073E" w14:textId="64A9AE7E" w:rsidR="00D93B3A" w:rsidRPr="00A60D56" w:rsidRDefault="002B2531" w:rsidP="7E722E26">
      <w:pPr>
        <w:widowControl w:val="0"/>
        <w:ind w:left="567"/>
        <w:rPr>
          <w:rFonts w:ascii="Times New Roman" w:hAnsi="Times New Roman"/>
        </w:rPr>
      </w:pPr>
      <w:r>
        <w:rPr>
          <w:rFonts w:ascii="Times New Roman" w:hAnsi="Times New Roman"/>
        </w:rPr>
        <w:t>La Commission fait savoir que les règles applicables à la production de carburants renouvelables d’origine non biologique doivent être réexaminées d’ici juillet 2028 conformément à la directive sur les énergies renouvelables</w:t>
      </w:r>
      <w:r>
        <w:rPr>
          <w:rStyle w:val="FootnoteReference"/>
          <w:rFonts w:ascii="Times New Roman" w:hAnsi="Times New Roman"/>
          <w:lang w:val="en-GB"/>
        </w:rPr>
        <w:footnoteReference w:id="10"/>
      </w:r>
      <w:r>
        <w:rPr>
          <w:rFonts w:ascii="Times New Roman" w:hAnsi="Times New Roman"/>
        </w:rPr>
        <w:t xml:space="preserve"> (</w:t>
      </w:r>
      <w:r>
        <w:rPr>
          <w:rFonts w:ascii="Times New Roman" w:hAnsi="Times New Roman"/>
          <w:b/>
        </w:rPr>
        <w:t>paragraphe 10, partie 2</w:t>
      </w:r>
      <w:r>
        <w:rPr>
          <w:rFonts w:ascii="Times New Roman" w:hAnsi="Times New Roman"/>
        </w:rPr>
        <w:t xml:space="preserve">). La Commission a lancé une étude destinée à évaluer l’efficacité du cadre relatif à l’hydrogène et à repérer les éventuels obstacles au développement de l’hydrogène renouvelable. Un réexamen avant juillet 2028 est possible en cas de signes fiables indiquant que les critères énoncés dans les actes délégués </w:t>
      </w:r>
      <w:proofErr w:type="gramStart"/>
      <w:r>
        <w:rPr>
          <w:rFonts w:ascii="Times New Roman" w:hAnsi="Times New Roman"/>
        </w:rPr>
        <w:t>ont</w:t>
      </w:r>
      <w:proofErr w:type="gramEnd"/>
      <w:r>
        <w:rPr>
          <w:rFonts w:ascii="Times New Roman" w:hAnsi="Times New Roman"/>
        </w:rPr>
        <w:t xml:space="preserve"> des répercussions sur la montée en puissance de l’hydrogène. Cette étude sera essentielle pour obtenir la base factuelle nécessaire pour prendre une décision.</w:t>
      </w:r>
    </w:p>
    <w:p w14:paraId="2A230444" w14:textId="097B8455" w:rsidR="00DD766B" w:rsidRPr="00A60D56" w:rsidRDefault="003E6044" w:rsidP="7E722E26">
      <w:pPr>
        <w:widowControl w:val="0"/>
        <w:ind w:left="567"/>
        <w:rPr>
          <w:rFonts w:ascii="Times New Roman" w:hAnsi="Times New Roman"/>
        </w:rPr>
      </w:pPr>
      <w:r>
        <w:rPr>
          <w:rFonts w:ascii="Times New Roman" w:hAnsi="Times New Roman"/>
        </w:rPr>
        <w:t>La Commission souligne que la feuille de route visant à mettre un terme aux importations d’énergie russe</w:t>
      </w:r>
      <w:r>
        <w:rPr>
          <w:rStyle w:val="FootnoteReference"/>
          <w:rFonts w:ascii="Times New Roman" w:hAnsi="Times New Roman"/>
          <w:lang w:val="en-GB"/>
        </w:rPr>
        <w:footnoteReference w:id="11"/>
      </w:r>
      <w:r>
        <w:rPr>
          <w:rFonts w:ascii="Times New Roman" w:hAnsi="Times New Roman"/>
        </w:rPr>
        <w:t>, adoptée le 6 mai 2025, prévoit des mesures de suppression progressive des importations concernant le gaz, le pétrole et le nucléaire (</w:t>
      </w:r>
      <w:r>
        <w:rPr>
          <w:rFonts w:ascii="Times New Roman" w:hAnsi="Times New Roman"/>
          <w:b/>
        </w:rPr>
        <w:t>paragraphe 11</w:t>
      </w:r>
      <w:r>
        <w:rPr>
          <w:rFonts w:ascii="Times New Roman" w:hAnsi="Times New Roman"/>
        </w:rPr>
        <w:t>). Elles ont été conçues pour améliorer la sécurité de l’approvisionnement énergétique de l’UE tout en limitant toute incidence sur les prix et les marchés. Ces mesures renforcent également la transparence et le suivi des dépendances énergétiques potentielles. Le premier élément livrable a été présenté dans la proposition législative. Conformément aux objectifs de la proposition de règlement, la Commission collabore avec les États membres pour faire en sorte que l’abandon, à l’échelle de l’UE, des importations d’énergie en provenance de Russie soit progressif et bien coordonné dans l’ensemble de l’Union. Enfin, la Commission souligne que les mesures qu’elle a proposées dans le cadre de la feuille de route sont pleinement conformes au droit de l’Union et aux obligations découlant du droit international.</w:t>
      </w:r>
    </w:p>
    <w:p w14:paraId="174CA75D" w14:textId="0F5F5636" w:rsidR="003E6044" w:rsidRPr="00A60D56" w:rsidRDefault="006D2AB9" w:rsidP="7E722E26">
      <w:pPr>
        <w:widowControl w:val="0"/>
        <w:spacing w:after="0"/>
        <w:ind w:left="567"/>
        <w:rPr>
          <w:rFonts w:ascii="Times New Roman" w:hAnsi="Times New Roman"/>
        </w:rPr>
      </w:pPr>
      <w:r>
        <w:rPr>
          <w:rFonts w:ascii="Times New Roman" w:hAnsi="Times New Roman"/>
        </w:rPr>
        <w:t>Pour rappel, la Commission souligne que ses plans d’action sectoriels reposent sur des trajectoires de transition inclusives et des processus collaboratifs comprenant des consultations approfondies et un dialogue avec les parties prenantes (</w:t>
      </w:r>
      <w:r>
        <w:rPr>
          <w:rFonts w:ascii="Times New Roman" w:hAnsi="Times New Roman"/>
          <w:b/>
        </w:rPr>
        <w:t>paragraphe 12, partie 1</w:t>
      </w:r>
      <w:r>
        <w:rPr>
          <w:rFonts w:ascii="Times New Roman" w:hAnsi="Times New Roman"/>
        </w:rPr>
        <w:t xml:space="preserve">). La Commission souligne que les dialogues stratégiques, lancés par la présidente von der </w:t>
      </w:r>
      <w:proofErr w:type="spellStart"/>
      <w:r>
        <w:rPr>
          <w:rFonts w:ascii="Times New Roman" w:hAnsi="Times New Roman"/>
        </w:rPr>
        <w:t>Leyen</w:t>
      </w:r>
      <w:proofErr w:type="spellEnd"/>
      <w:r>
        <w:rPr>
          <w:rFonts w:ascii="Times New Roman" w:hAnsi="Times New Roman"/>
        </w:rPr>
        <w:t xml:space="preserve"> et les commissaires concernés, ont façonné et continuent de façonner les plans d’action sectoriels. On peut citer par exemple les dialogues stratégiques qui se sont tenus sur l’avenir de l’industrie automobile le 30 janvier 2025, sur l’acier le 4 mars 2025, sur l’avenir de l’industrie chimique le </w:t>
      </w:r>
      <w:r>
        <w:rPr>
          <w:rFonts w:ascii="Times New Roman" w:hAnsi="Times New Roman"/>
        </w:rPr>
        <w:lastRenderedPageBreak/>
        <w:t>12 mai 2025 et celui prévu le 1</w:t>
      </w:r>
      <w:r>
        <w:rPr>
          <w:rFonts w:ascii="Times New Roman" w:hAnsi="Times New Roman"/>
          <w:vertAlign w:val="superscript"/>
        </w:rPr>
        <w:t>er</w:t>
      </w:r>
      <w:r>
        <w:rPr>
          <w:rFonts w:ascii="Times New Roman" w:hAnsi="Times New Roman"/>
        </w:rPr>
        <w:t> juillet 2025 sur les stratégies industrielles portuaires et maritimes. Les contributions proviennent également de groupes d’experts sectoriels, tels que le groupe de haut niveau sur les industries à forte intensité énergétique ou le groupe de l’industrie</w:t>
      </w:r>
      <w:proofErr w:type="gramStart"/>
      <w:r>
        <w:rPr>
          <w:rFonts w:ascii="Times New Roman" w:hAnsi="Times New Roman"/>
        </w:rPr>
        <w:t xml:space="preserve"> «zéro</w:t>
      </w:r>
      <w:proofErr w:type="gramEnd"/>
      <w:r>
        <w:rPr>
          <w:rFonts w:ascii="Times New Roman" w:hAnsi="Times New Roman"/>
        </w:rPr>
        <w:t xml:space="preserve"> net». En outre, les</w:t>
      </w:r>
      <w:proofErr w:type="gramStart"/>
      <w:r>
        <w:rPr>
          <w:rFonts w:ascii="Times New Roman" w:hAnsi="Times New Roman"/>
        </w:rPr>
        <w:t xml:space="preserve"> «vérifications</w:t>
      </w:r>
      <w:proofErr w:type="gramEnd"/>
      <w:r>
        <w:rPr>
          <w:rFonts w:ascii="Times New Roman" w:hAnsi="Times New Roman"/>
        </w:rPr>
        <w:t xml:space="preserve"> sur le terrain» [concernant par exemple les possibilités de simplification du règlement relatif à la classification, à l’étiquetage et à l’emballage (CLP)</w:t>
      </w:r>
      <w:r>
        <w:rPr>
          <w:rStyle w:val="FootnoteReference"/>
          <w:rFonts w:ascii="Times New Roman" w:hAnsi="Times New Roman"/>
          <w:lang w:val="en-GB"/>
        </w:rPr>
        <w:footnoteReference w:id="12"/>
      </w:r>
      <w:r>
        <w:rPr>
          <w:rFonts w:ascii="Calibri" w:hAnsi="Calibri"/>
        </w:rPr>
        <w:t xml:space="preserve"> </w:t>
      </w:r>
      <w:r>
        <w:rPr>
          <w:rFonts w:ascii="Times New Roman" w:hAnsi="Times New Roman"/>
        </w:rPr>
        <w:t>le 16 mai 2025] et les consultations publiques ouvertes contribuent également à ce que l’élaboration des politiques soit ancrée dans la réalité. Ces efforts sont complétés par des feuilles de route pour la décarbonation à long terme, notamment pour les produits chimiques et les métaux, qui sont élaborées conjointement, en étroite coopération avec les États membres, l’industrie et les syndicats.</w:t>
      </w:r>
      <w:r>
        <w:rPr>
          <w:rFonts w:ascii="Aptos" w:hAnsi="Aptos"/>
          <w:i/>
          <w:color w:val="FF0000"/>
          <w:sz w:val="22"/>
        </w:rPr>
        <w:t xml:space="preserve"> </w:t>
      </w:r>
      <w:r>
        <w:rPr>
          <w:rFonts w:ascii="Times New Roman" w:hAnsi="Times New Roman"/>
        </w:rPr>
        <w:t>La Commission poursuivra le dialogue dans ce contexte.</w:t>
      </w:r>
    </w:p>
    <w:p w14:paraId="123F3619" w14:textId="77777777" w:rsidR="00E80BCD" w:rsidRPr="00590591" w:rsidRDefault="00E80BCD" w:rsidP="00E80BCD">
      <w:pPr>
        <w:widowControl w:val="0"/>
        <w:spacing w:after="0"/>
        <w:rPr>
          <w:rFonts w:ascii="Times New Roman" w:hAnsi="Times New Roman"/>
          <w:lang w:val="fr-BE"/>
        </w:rPr>
      </w:pPr>
    </w:p>
    <w:p w14:paraId="36C36961" w14:textId="6260239C" w:rsidR="00DC68D1" w:rsidRPr="00A60D56" w:rsidRDefault="003E6044" w:rsidP="7E722E26">
      <w:pPr>
        <w:widowControl w:val="0"/>
        <w:ind w:left="567"/>
        <w:rPr>
          <w:rFonts w:ascii="Times New Roman" w:hAnsi="Times New Roman"/>
        </w:rPr>
      </w:pPr>
      <w:r>
        <w:rPr>
          <w:rFonts w:ascii="Times New Roman" w:hAnsi="Times New Roman"/>
        </w:rPr>
        <w:t>La</w:t>
      </w:r>
      <w:r>
        <w:rPr>
          <w:rFonts w:ascii="Times New Roman" w:hAnsi="Times New Roman"/>
          <w:b/>
        </w:rPr>
        <w:t xml:space="preserve"> </w:t>
      </w:r>
      <w:r>
        <w:rPr>
          <w:rFonts w:ascii="Times New Roman" w:hAnsi="Times New Roman"/>
        </w:rPr>
        <w:t>Commission rappelle qu’une plateforme de soutien aux parties prenantes pour les trajectoires de transition est en cours d’élaboration dans le but de soutenir les différents écosystèmes industriels et parties prenantes sectorielles de l’UE dans leurs processus de décarbonation et de numérisation, et de les aider à devenir plus compétitifs et plus résilients (</w:t>
      </w:r>
      <w:r>
        <w:rPr>
          <w:rFonts w:ascii="Times New Roman" w:hAnsi="Times New Roman"/>
          <w:b/>
        </w:rPr>
        <w:t>paragraphe 12, partie 2</w:t>
      </w:r>
      <w:r>
        <w:rPr>
          <w:rFonts w:ascii="Times New Roman" w:hAnsi="Times New Roman"/>
        </w:rPr>
        <w:t xml:space="preserve">).  Cette plateforme fournira des informations pertinentes et actualisées concernant les différents écosystèmes/secteurs et portant sur les bonnes pratiques, les trajectoires de transition et leurs engagements, ainsi que sur leurs rapports d’avancement. Par exemple, chaque année est </w:t>
      </w:r>
      <w:proofErr w:type="gramStart"/>
      <w:r>
        <w:rPr>
          <w:rFonts w:ascii="Times New Roman" w:hAnsi="Times New Roman"/>
        </w:rPr>
        <w:t>publié</w:t>
      </w:r>
      <w:proofErr w:type="gramEnd"/>
      <w:r>
        <w:rPr>
          <w:rFonts w:ascii="Times New Roman" w:hAnsi="Times New Roman"/>
        </w:rPr>
        <w:t xml:space="preserve"> un rapport d’avancement sur la trajectoire de transition pour l’industrie chimique de l’UE</w:t>
      </w:r>
      <w:r>
        <w:rPr>
          <w:rStyle w:val="FootnoteReference"/>
          <w:rFonts w:ascii="Times New Roman" w:hAnsi="Times New Roman"/>
          <w:lang w:val="en-GB"/>
        </w:rPr>
        <w:footnoteReference w:id="13"/>
      </w:r>
      <w:r>
        <w:rPr>
          <w:rFonts w:ascii="Times New Roman" w:hAnsi="Times New Roman"/>
        </w:rPr>
        <w:t xml:space="preserve"> qui présente des données et des informations qualitatives sur la mise en œuvre conjointe par la Commission et les parties prenantes des mesures relatives à la trajectoire de transition.</w:t>
      </w:r>
    </w:p>
    <w:p w14:paraId="34EEE63E" w14:textId="5437D7A8" w:rsidR="00DC68D1" w:rsidRPr="00A60D56" w:rsidRDefault="003E6044" w:rsidP="7E722E26">
      <w:pPr>
        <w:widowControl w:val="0"/>
        <w:ind w:left="567"/>
        <w:rPr>
          <w:rFonts w:ascii="Times New Roman" w:hAnsi="Times New Roman"/>
        </w:rPr>
      </w:pPr>
      <w:r>
        <w:rPr>
          <w:rFonts w:ascii="Times New Roman" w:hAnsi="Times New Roman"/>
        </w:rPr>
        <w:t>La Commission souligne que l’enseignement et la formation professionnels (EFP) et l’apprentissage contribuent au pacte pour une industrie propre, grâce à la future stratégie en matière d’EFP et à l’alliance européenne pour l’apprentissage (</w:t>
      </w:r>
      <w:r>
        <w:rPr>
          <w:rFonts w:ascii="Times New Roman" w:hAnsi="Times New Roman"/>
          <w:b/>
        </w:rPr>
        <w:t>paragraphe 13</w:t>
      </w:r>
      <w:r>
        <w:rPr>
          <w:rFonts w:ascii="Times New Roman" w:hAnsi="Times New Roman"/>
        </w:rPr>
        <w:t>). Le groupe de travail de l’espace européen de l’éducation sur l’EFP et la transition écologique a réuni des représentants des États membres de l’UE et des pays candidats ainsi que des partenaires sociaux afin de permettre des échanges sur les moyens d’intégrer la transition écologique dans l’EFP dans différents secteurs et industries. La Commission travaille actuellement à une publication qui présentera les principaux enseignements tirés des activités de ce groupe de travail. En ce qui concerne le manque criant de femmes dans les industries</w:t>
      </w:r>
      <w:proofErr w:type="gramStart"/>
      <w:r>
        <w:rPr>
          <w:rFonts w:ascii="Times New Roman" w:hAnsi="Times New Roman"/>
        </w:rPr>
        <w:t xml:space="preserve"> «zéro</w:t>
      </w:r>
      <w:proofErr w:type="gramEnd"/>
      <w:r>
        <w:rPr>
          <w:rFonts w:ascii="Times New Roman" w:hAnsi="Times New Roman"/>
        </w:rPr>
        <w:t xml:space="preserve"> net», les projets sélectionnés dans le cadre d’un appel à propositions Erasmus + pour l’expérimentation de politiques européennes dans le domaine de l’EFP en 2024 élaborent des solutions pour surmonter les obstacles empêchant les filles et les femmes de poursuivre une carrière dans le domaine de l’EFP dans le secteur des technologies vertes/«zéro net» et pour accroître la participation des femmes dans ce secteur. La future stratégie en matière d’EFP s’attaquera également aux stéréotypes de genre, et autres stéréotypes, lors des choix d’études et s’appuiera sur les atouts de l’EFP et ses résultats sur le marché du travail pour en faire un parcours d’apprentissage tout aussi prisé que l’enseignement supérieur, notamment pour les </w:t>
      </w:r>
      <w:r>
        <w:rPr>
          <w:rFonts w:ascii="Times New Roman" w:hAnsi="Times New Roman"/>
        </w:rPr>
        <w:lastRenderedPageBreak/>
        <w:t>femmes.</w:t>
      </w:r>
    </w:p>
    <w:p w14:paraId="050D950B" w14:textId="14135ABE" w:rsidR="00A048C7" w:rsidRPr="00A60D56" w:rsidRDefault="003E6044" w:rsidP="7E722E26">
      <w:pPr>
        <w:widowControl w:val="0"/>
        <w:ind w:left="567"/>
        <w:rPr>
          <w:rFonts w:ascii="Times New Roman" w:hAnsi="Times New Roman"/>
        </w:rPr>
      </w:pPr>
      <w:r>
        <w:rPr>
          <w:rFonts w:ascii="Times New Roman" w:hAnsi="Times New Roman"/>
        </w:rPr>
        <w:t>La Commission attire l’attention sur la stratégie pour le marché unique récemment adoptée, qui confirme que la révision du cadre juridique des marchés publics, prévue pour 2026, intégrera l’utilisation de critères de durabilité et de résilience dans certains secteurs technologiques et stratégiques et établira une préférence européenne dans les marchés publics européens dans certains secteurs, dans le respect de nos engagements internationaux, tout en garantissant la concurrence. Par ailleurs, l’acte législatif en faveur d’une décarbonation de l’industrie qui a été annoncé visera à créer des marchés pilotes pour le développement de technologies et de produits industriels européens propres et résilients et à soutenir la production de produits propres fabriqués dans l’UE. La Commission souligne que la mise en place d’un tel cadre réglementaire constitue précisément l’objectif principal de la future proposition d’acte législatif sur l’économie circulaire, dont l’adoption est prévue en 2026 (</w:t>
      </w:r>
      <w:r>
        <w:rPr>
          <w:rFonts w:ascii="Times New Roman" w:hAnsi="Times New Roman"/>
          <w:b/>
        </w:rPr>
        <w:t>paragraphe 15</w:t>
      </w:r>
      <w:r>
        <w:rPr>
          <w:rFonts w:ascii="Times New Roman" w:hAnsi="Times New Roman"/>
        </w:rPr>
        <w:t>). À cet égard, la Commission souligne en outre la récente proposition relative à de nouvelles ressources propres reposant sur les déchets électroniques non collectés, qui soutiendraient l’autonomie stratégique de l’Union en ce qui concerne les matières premières critiques.</w:t>
      </w:r>
    </w:p>
    <w:p w14:paraId="1DAB37BD" w14:textId="36C9066F" w:rsidR="00BB7E4C" w:rsidRPr="00A60D56" w:rsidRDefault="003E6044" w:rsidP="7E722E26">
      <w:pPr>
        <w:widowControl w:val="0"/>
        <w:ind w:left="567"/>
        <w:rPr>
          <w:rFonts w:ascii="Times New Roman" w:hAnsi="Times New Roman"/>
        </w:rPr>
      </w:pPr>
      <w:r>
        <w:rPr>
          <w:rFonts w:ascii="Times New Roman" w:hAnsi="Times New Roman"/>
        </w:rPr>
        <w:t>La Commission reste déterminée à prendre rapidement des mesures contre les pratiques commerciales déloyales qui portent atteinte à la production européenne, lorsque les conditions juridiques sont remplies (</w:t>
      </w:r>
      <w:r>
        <w:rPr>
          <w:rFonts w:ascii="Times New Roman" w:hAnsi="Times New Roman"/>
          <w:b/>
        </w:rPr>
        <w:t>paragraphe 16, partie 1</w:t>
      </w:r>
      <w:r>
        <w:rPr>
          <w:rFonts w:ascii="Times New Roman" w:hAnsi="Times New Roman"/>
        </w:rPr>
        <w:t>). Dans ce contexte, la Commission rappelle qu’elle a ouvert un nombre record de 33 nouvelles enquêtes en 2024 dans de nombreux secteurs différents. En 2025, la Commission a déjà ouvert à ce jour (3 juillet 2025) 13 nouvelles enquêtes dans divers secteurs tels que la chimie, l’acier, le plastique ou le bois.</w:t>
      </w:r>
    </w:p>
    <w:p w14:paraId="3C23CD6C" w14:textId="77777777" w:rsidR="00AC38ED" w:rsidRPr="00A60D56" w:rsidRDefault="003E6044" w:rsidP="7E722E26">
      <w:pPr>
        <w:spacing w:before="60"/>
        <w:ind w:left="567"/>
        <w:rPr>
          <w:rFonts w:ascii="Times New Roman" w:eastAsia="Calibri" w:hAnsi="Times New Roman"/>
        </w:rPr>
      </w:pPr>
      <w:r>
        <w:rPr>
          <w:rFonts w:ascii="Times New Roman" w:hAnsi="Times New Roman"/>
        </w:rPr>
        <w:t>La Commission se félicite de la demande du Parlement et souligne son engagement à l’égard du renforcement de la capacité d’exécution du règlement sur les subventions étrangères. La Commission souligne que le règlement sur les subventions étrangères constitue un outil essentiel pour lutter contre les distorsions liées aux subventions étrangères, afin de garantir des conditions de concurrence équitables à toutes les entreprises opérant dans le marché unique, tout en contribuant à la sécurité économique et en renforçant la résilience dans les secteurs stratégiques (</w:t>
      </w:r>
      <w:r>
        <w:rPr>
          <w:rFonts w:ascii="Times New Roman" w:hAnsi="Times New Roman"/>
          <w:b/>
        </w:rPr>
        <w:t>paragraphe 16, partie 3</w:t>
      </w:r>
      <w:r>
        <w:rPr>
          <w:rFonts w:ascii="Times New Roman" w:hAnsi="Times New Roman"/>
        </w:rPr>
        <w:t>). En outre, la Commission rappelle que ce règlement est un élément important de la panoplie d’outils dont dispose l’UE pour promouvoir des conditions de concurrence équitables dans l’UE, au même titre que d’autres outils tels que les instruments de défense commerciale.</w:t>
      </w:r>
    </w:p>
    <w:p w14:paraId="688F7A9F" w14:textId="448C855F" w:rsidR="00BB7E4C" w:rsidRPr="00A60D56" w:rsidRDefault="39A0527A" w:rsidP="7E722E26">
      <w:pPr>
        <w:spacing w:before="60"/>
        <w:ind w:left="567"/>
        <w:rPr>
          <w:rFonts w:ascii="Times New Roman" w:eastAsia="Calibri" w:hAnsi="Times New Roman"/>
        </w:rPr>
      </w:pPr>
      <w:r>
        <w:rPr>
          <w:rFonts w:ascii="Times New Roman" w:hAnsi="Times New Roman"/>
        </w:rPr>
        <w:t>Depuis l’entrée en application du règlement sur les subventions étrangères, des travaux sont en cours pour garantir son application systématique et proportionnée (</w:t>
      </w:r>
      <w:r>
        <w:rPr>
          <w:rFonts w:ascii="Times New Roman" w:hAnsi="Times New Roman"/>
          <w:b/>
        </w:rPr>
        <w:t>paragraphe 16, partie 2</w:t>
      </w:r>
      <w:r>
        <w:rPr>
          <w:rFonts w:ascii="Times New Roman" w:hAnsi="Times New Roman"/>
        </w:rPr>
        <w:t>). La Commission a enquêté sur de nombreuses subventions étrangères en faveur d’entreprises actives dans l’UE, y compris dans des secteurs clés où les subventions étrangères sont susceptibles de fausser le marché unique. La Commission a enquêté aussi bien au sujet d’opérations notifiées que dans le cadre d’enquêtes ouvertes de sa propre initiative. La Commission continuera de faire respecter rigoureusement le règlement sur les subventions étrangères et d’utiliser pleinement les pouvoirs de ce nouvel outil, le cas échéant.</w:t>
      </w:r>
    </w:p>
    <w:p w14:paraId="7D4B6A6F" w14:textId="04F34400" w:rsidR="002A7200" w:rsidRPr="00A60D56" w:rsidRDefault="003E6044" w:rsidP="7E722E26">
      <w:pPr>
        <w:spacing w:before="60"/>
        <w:ind w:left="567"/>
        <w:rPr>
          <w:rFonts w:ascii="Times New Roman" w:hAnsi="Times New Roman"/>
        </w:rPr>
      </w:pPr>
      <w:r>
        <w:rPr>
          <w:rFonts w:ascii="Times New Roman" w:hAnsi="Times New Roman"/>
        </w:rPr>
        <w:t>La Commission souligne que les certificats MACF seront vendus par l’intermédiaire d’une plateforme spécifique (</w:t>
      </w:r>
      <w:r>
        <w:rPr>
          <w:rFonts w:ascii="Times New Roman" w:hAnsi="Times New Roman"/>
          <w:b/>
        </w:rPr>
        <w:t>paragraphe 17</w:t>
      </w:r>
      <w:r>
        <w:rPr>
          <w:rFonts w:ascii="Times New Roman" w:hAnsi="Times New Roman"/>
        </w:rPr>
        <w:t xml:space="preserve">). Seuls ces certificats peuvent être utilisés pour remplir les obligations annuelles de restitution. De plus, la Commission rappelle que, dans le plan d’action pour l’acier et les métaux de mars 2025, elle a annoncé l’adoption d’une proposition législative d’ici au quatrième trimestre de 2025 </w:t>
      </w:r>
      <w:r>
        <w:rPr>
          <w:rFonts w:ascii="Times New Roman" w:hAnsi="Times New Roman"/>
        </w:rPr>
        <w:lastRenderedPageBreak/>
        <w:t xml:space="preserve">visant à étendre le MACF à certains produits aval à forte intensité d’acier et d’aluminium et à inclure des mesures </w:t>
      </w:r>
      <w:proofErr w:type="spellStart"/>
      <w:r>
        <w:rPr>
          <w:rFonts w:ascii="Times New Roman" w:hAnsi="Times New Roman"/>
        </w:rPr>
        <w:t>anticontournement</w:t>
      </w:r>
      <w:proofErr w:type="spellEnd"/>
      <w:r>
        <w:rPr>
          <w:rFonts w:ascii="Times New Roman" w:hAnsi="Times New Roman"/>
        </w:rPr>
        <w:t xml:space="preserve"> supplémentaires, assorties d’une stratégie </w:t>
      </w:r>
      <w:proofErr w:type="spellStart"/>
      <w:r>
        <w:rPr>
          <w:rFonts w:ascii="Times New Roman" w:hAnsi="Times New Roman"/>
        </w:rPr>
        <w:t>anticontournement</w:t>
      </w:r>
      <w:proofErr w:type="spellEnd"/>
      <w:r>
        <w:rPr>
          <w:rFonts w:ascii="Times New Roman" w:hAnsi="Times New Roman"/>
        </w:rPr>
        <w:t>. En outre, comme annoncé dans la communication intitulée</w:t>
      </w:r>
      <w:proofErr w:type="gramStart"/>
      <w:r>
        <w:rPr>
          <w:rFonts w:ascii="Times New Roman" w:hAnsi="Times New Roman"/>
        </w:rPr>
        <w:t xml:space="preserve"> «Mettre</w:t>
      </w:r>
      <w:proofErr w:type="gramEnd"/>
      <w:r>
        <w:rPr>
          <w:rFonts w:ascii="Times New Roman" w:hAnsi="Times New Roman"/>
        </w:rPr>
        <w:t xml:space="preserve"> en œuvre le pacte pour une industrie propre I» du 2 juillet 2025, la Commission présentera d’ici à la fin de 2025 une proposition visant à remédier aux fuites de carbone à l’exportation. L’article 30, paragraphe 2, du règlement MACF exige par ailleurs de la Commission qu’elle établisse avant la fin de 2025 un rapport de réexamen du MACF, dans lequel doit notamment être évaluée la possibilité d’étendre le champ d’application du MACF à d’autres secteurs couverts par le système d’échange de quotas d’émission (SEQE) de l’Union et exposés à un risque de fuite de carbone. </w:t>
      </w:r>
    </w:p>
    <w:p w14:paraId="136CBD56" w14:textId="5EE217A8" w:rsidR="009A4D5B" w:rsidRPr="00A60D56" w:rsidRDefault="009A4D5B" w:rsidP="7E722E26">
      <w:pPr>
        <w:spacing w:before="60"/>
        <w:ind w:left="567"/>
        <w:rPr>
          <w:rFonts w:ascii="Times New Roman" w:hAnsi="Times New Roman"/>
        </w:rPr>
      </w:pPr>
      <w:r>
        <w:rPr>
          <w:rFonts w:ascii="Times New Roman" w:hAnsi="Times New Roman"/>
        </w:rPr>
        <w:t xml:space="preserve">D’autre part, dans le plan d’action pour l’acier et les métaux, la Commission a annoncé qu’il était nécessaire d’instaurer des mesures de protection appropriées et efficaces qui contribueront à préserver la compétitivité et la durabilité de l’industrie de l’acier de l’UE après le 30 juin 2026. À cette fin, la Commission a proposé un plan limitant les volumes d’importation en franchise de droits à 18,3 millions de tonnes par an et doublant le niveau des droits hors contingent en le portant à 50 %. Cette proposition remplacera la mesure de sauvegarde sur l’acier qui arrivera à expiration en juin 2026. </w:t>
      </w:r>
    </w:p>
    <w:p w14:paraId="32307484" w14:textId="792FFAB4" w:rsidR="002A7200" w:rsidRPr="00A60D56" w:rsidRDefault="00B37ED8" w:rsidP="7E722E26">
      <w:pPr>
        <w:spacing w:before="60"/>
        <w:ind w:left="567"/>
        <w:rPr>
          <w:rFonts w:ascii="Times New Roman" w:eastAsia="Aptos" w:hAnsi="Times New Roman"/>
        </w:rPr>
      </w:pPr>
      <w:r>
        <w:rPr>
          <w:rFonts w:ascii="Times New Roman" w:hAnsi="Times New Roman"/>
        </w:rPr>
        <w:t>La Commission se félicite de l’intérêt du Parlement pour la poursuite du développement du programme en faveur de la gestion industrielle du carbone et convient que pour les secteurs qui sont difficiles à décarboner, la gestion du carbone sera nécessaire, conformément à la communication sur l’objectif climatique de l’UE à l’horizon 2040, parallèlement à d’autres mesures de décarbonation (</w:t>
      </w:r>
      <w:r>
        <w:rPr>
          <w:rFonts w:ascii="Times New Roman" w:hAnsi="Times New Roman"/>
          <w:b/>
        </w:rPr>
        <w:t>paragraphe 18</w:t>
      </w:r>
      <w:r>
        <w:rPr>
          <w:rFonts w:ascii="Times New Roman" w:hAnsi="Times New Roman"/>
        </w:rPr>
        <w:t>). En 2026, la Commission entend proposer une nouvelle initiative législative pour établir des règles pour un marché européen du CO2 et des infrastructures européennes de CO2, dans le but de développer une chaîne de valeur pour le CO2 qui soit performante et axée sur le marché. L’appel à contributions correspondant a été publié par la Commission le 31 juillet 2025.  La Commission rappelle que la politique de cohésion apporte aux PME — notamment dans le cadre du soutien à la plateforme «Technologies stratégiques pour l’Europe» (STEP) et aux PIIEC — un soutien adapté à leurs besoins spécifiques et à la situation locale, qui prend la forme de subventions et d’instruments financiers et se monte à plus de 43 milliards d’EUR pour la période 2021-2027, l’accent étant mis sur les investissements productifs, la numérisation, l’efficacité énergétique, l’économie circulaire, le développement des entreprises ainsi que la recherche et l’innovation (</w:t>
      </w:r>
      <w:r>
        <w:rPr>
          <w:rFonts w:ascii="Times New Roman" w:hAnsi="Times New Roman"/>
          <w:b/>
        </w:rPr>
        <w:t>paragraphe 19</w:t>
      </w:r>
      <w:r>
        <w:rPr>
          <w:rFonts w:ascii="Times New Roman" w:hAnsi="Times New Roman"/>
        </w:rPr>
        <w:t xml:space="preserve">). Par ailleurs, la Commission est heureuse de pouvoir annoncer qu’une nette tendance à la hausse a été observée depuis que le Fonds pour l’innovation a été mis en place, 28 % des candidats aux appels lancés en 2024 dans le cadre dudit fonds ayant indiqué être des PME. Des discussions sont en cours avec les points de contact nationaux sur la manière d’accroître encore la participation des PME aux appels pertinents. De plus, la BEI fournit une assistance pour le développement de projets, qui devrait être bénéfique aux PME, et de nouveaux changements favorables aux PME sont actuellement à l’étude pour les appels à venir. </w:t>
      </w:r>
      <w:bookmarkStart w:id="4" w:name="_Hlk204177900"/>
      <w:r>
        <w:rPr>
          <w:rFonts w:ascii="Times New Roman" w:hAnsi="Times New Roman"/>
        </w:rPr>
        <w:t xml:space="preserve">En ce qui concerne les PIIEC, la Commission souligne que les PME y ont participé de manière continue et croissante. Leur participation a augmenté fortement et régulièrement, passant de 7 % lors du premier PIIEC dans le domaine de la microélectronique intégrée en 2018 à 60 % lors du PIIEC Tech4Cure en juillet 2025. En outre, la part des aides d’État en faveur de PME qui ont été autorisées dans le cadre de PIIEC a augmenté de manière significative pour atteindre en moyenne environ 50 % d’aides d’État autorisées, comme l’a également confirmé le PIIEC </w:t>
      </w:r>
      <w:r>
        <w:rPr>
          <w:rFonts w:ascii="Times New Roman" w:hAnsi="Times New Roman"/>
        </w:rPr>
        <w:lastRenderedPageBreak/>
        <w:t>Tech4Cure approuvé le 22 juillet 2025. Dès 2023, la Commission a introduit dans le règlement général d’exemption par catégorie une disposition spécifique qui autorise les États membres à accorder jusqu’à 50 millions d’EUR d’aides en faveur de projets innovants liés aux PIIEC sans qu’une autorisation préalable de la Commission soit requise. Ces projets peuvent faire partie de l’écosystème des PIIEC en tant que partenaires associés ou partenaires indirects et peuvent donc bénéficier des avantages du PIIEC, tels que les collaborations transfrontières. Cela facilitera la participation de petits projets émanant généralement de PME dans le cadre des PIIEC. Renforcer la participation des PME au processus des PIIEC faisait également partie des motivations citées par plusieurs États membres en faveur de la mise en place du forum européen conjoint pour les PIIEC (JEF-PIIEC) et de la création d’un groupe de travail chargé de se pencher précisément sur les moyens de favoriser la participation des PME aux PIIEC. Les recommandations de ce groupe de travail sont attendues et elles seront publiées sur le site web consacré aux PIIEC. Par ailleurs, un dialogue sur la mise en œuvre s’est tenu le 30 juin 2025 à Madrid avec des parties prenantes du secteur, y compris des PME, ayant une expérience directe dans le domaine des PIIEC. Une discussion ouverte sur les expériences vécues par les entreprises (en particulier les PME) dans le cadre des procédures PIIEC a été menée, en vue d’améliorer encore les processus, en particulier en ce qui concerne les PME</w:t>
      </w:r>
      <w:r>
        <w:rPr>
          <w:rStyle w:val="FootnoteReference"/>
          <w:rFonts w:ascii="Times New Roman" w:hAnsi="Times New Roman"/>
          <w:lang w:val="en-GB"/>
        </w:rPr>
        <w:footnoteReference w:id="14"/>
      </w:r>
      <w:r>
        <w:rPr>
          <w:rFonts w:ascii="Times New Roman" w:hAnsi="Times New Roman"/>
        </w:rPr>
        <w:t>.</w:t>
      </w:r>
    </w:p>
    <w:p w14:paraId="58F43E26" w14:textId="73369D90" w:rsidR="002A7200" w:rsidRPr="00A60D56" w:rsidRDefault="001C4285" w:rsidP="7E722E26">
      <w:pPr>
        <w:spacing w:before="60"/>
        <w:ind w:left="567"/>
        <w:rPr>
          <w:rFonts w:ascii="Times New Roman" w:eastAsia="Aptos" w:hAnsi="Times New Roman"/>
        </w:rPr>
      </w:pPr>
      <w:r>
        <w:rPr>
          <w:rFonts w:ascii="Times New Roman" w:hAnsi="Times New Roman"/>
        </w:rPr>
        <w:t>Dans une perspective plus large, la récente stratégie pour le marché unique</w:t>
      </w:r>
      <w:r>
        <w:rPr>
          <w:rStyle w:val="FootnoteReference"/>
          <w:rFonts w:ascii="Times New Roman" w:eastAsia="Aptos" w:hAnsi="Times New Roman"/>
          <w:lang w:val="en-GB"/>
        </w:rPr>
        <w:footnoteReference w:id="15"/>
      </w:r>
      <w:r>
        <w:rPr>
          <w:rFonts w:ascii="Times New Roman" w:hAnsi="Times New Roman"/>
        </w:rPr>
        <w:t xml:space="preserve"> souligne la nécessité d’examiner avec soin si, en sus de l’identifiant de PME, il convient de demander aux PME des preuves supplémentaires de leur statut dans des circonstances justifiées (par exemple, lors d’une demande de financement réservé aux PME)</w:t>
      </w:r>
      <w:r>
        <w:rPr>
          <w:rFonts w:ascii="Times New Roman" w:eastAsia="Aptos" w:hAnsi="Times New Roman"/>
          <w:vertAlign w:val="superscript"/>
          <w:lang w:val="en-GB"/>
        </w:rPr>
        <w:footnoteReference w:id="16"/>
      </w:r>
      <w:r>
        <w:rPr>
          <w:rFonts w:ascii="Times New Roman" w:hAnsi="Times New Roman"/>
        </w:rPr>
        <w:t>.</w:t>
      </w:r>
    </w:p>
    <w:bookmarkEnd w:id="4"/>
    <w:p w14:paraId="7AA9AD94" w14:textId="2BA85A8D" w:rsidR="002A7200" w:rsidRPr="00A60D56" w:rsidRDefault="001C4285" w:rsidP="7E722E26">
      <w:pPr>
        <w:ind w:left="567"/>
        <w:rPr>
          <w:rFonts w:ascii="Times New Roman" w:eastAsia="Aptos" w:hAnsi="Times New Roman"/>
        </w:rPr>
      </w:pPr>
      <w:r>
        <w:rPr>
          <w:rFonts w:ascii="Times New Roman" w:hAnsi="Times New Roman"/>
        </w:rPr>
        <w:t>La Commission souligne qu’elle adoptera dans le courant de l’année le plan d’investissement dans les transports durables (STIP), qui établira une approche stratégique visant à accroître les investissements dans les solutions de décarbonation de tous les modes de transport, et à les prioriser (</w:t>
      </w:r>
      <w:r>
        <w:rPr>
          <w:rFonts w:ascii="Times New Roman" w:hAnsi="Times New Roman"/>
          <w:b/>
        </w:rPr>
        <w:t>paragraphe 20, partie 1</w:t>
      </w:r>
      <w:r>
        <w:rPr>
          <w:rFonts w:ascii="Times New Roman" w:hAnsi="Times New Roman"/>
        </w:rPr>
        <w:t xml:space="preserve">). Le STIP évaluera les besoins d’investissement et les feuilles de route pour la transition énergétique dans tous les modes de transport, conformément aux objectifs de l’UE fixés dans le cadre réglementaire de l’UE. </w:t>
      </w:r>
    </w:p>
    <w:p w14:paraId="1C879B56" w14:textId="363EE601" w:rsidR="00D4353F" w:rsidRPr="00A60D56" w:rsidRDefault="001C4285" w:rsidP="7E722E26">
      <w:pPr>
        <w:widowControl w:val="0"/>
        <w:ind w:left="567"/>
        <w:rPr>
          <w:rFonts w:ascii="Times New Roman" w:eastAsia="Aptos" w:hAnsi="Times New Roman"/>
        </w:rPr>
      </w:pPr>
      <w:r>
        <w:rPr>
          <w:rFonts w:ascii="Times New Roman" w:hAnsi="Times New Roman"/>
        </w:rPr>
        <w:t>La Commission souligne que le STIP visera à réduire les risques liés aux investissements privés dans les carburants de substitution durables dans les secteurs de l’aviation et du transport par voie d’eau, où la décarbonation est difficile (</w:t>
      </w:r>
      <w:r>
        <w:rPr>
          <w:rFonts w:ascii="Times New Roman" w:hAnsi="Times New Roman"/>
          <w:b/>
        </w:rPr>
        <w:t>paragraphe 20, partie 2</w:t>
      </w:r>
      <w:r>
        <w:rPr>
          <w:rFonts w:ascii="Times New Roman" w:hAnsi="Times New Roman"/>
        </w:rPr>
        <w:t xml:space="preserve">). Cela devrait renforcer l’autonomie stratégique de l’UE, réduire sa dépendance à l’égard du pétrole et accroître son leadership technologique, conformément aux objectifs du pacte pour une industrie propre. Le STIP visera également à obtenir des effets positifs dans d’autres secteurs qui dépendent fortement de carburants de transport pour lesquels il n’y a pas de solutions de substitution, comme la pêche et les industries spatiale et militaire. Dans le cadre de la mise en œuvre du pacte pour une industrie propre, le STIP définira les mesures à prendre dans le domaine prioritaire des carburants renouvelables et bas carbone, qui fourniront des éléments utiles pour le développement futur du Fonds pour la </w:t>
      </w:r>
      <w:r>
        <w:rPr>
          <w:rFonts w:ascii="Times New Roman" w:hAnsi="Times New Roman"/>
        </w:rPr>
        <w:lastRenderedPageBreak/>
        <w:t xml:space="preserve">compétitivité et seront liées à la future banque pour la décarbonation de l’industrie. Cette approche globale apportera un soutien pour faciliter la décarbonation de la mobilité, y compris la production, la distribution et l’utilisation des carburants renouvelables et bas carbone. Ces carburants bénéficieront des dispositions destinées à accélérer l’octroi de permis et la transition propre des industries à forte intensité énergétique au titre du futur acte législatif visant à accélérer la décarbonation de l’industrie. Le pacte pour une industrie propre a spécifiquement précisé que l’accent était mis sur deux secteurs étroitement </w:t>
      </w:r>
      <w:proofErr w:type="gramStart"/>
      <w:r>
        <w:rPr>
          <w:rFonts w:ascii="Times New Roman" w:hAnsi="Times New Roman"/>
        </w:rPr>
        <w:t>liés:</w:t>
      </w:r>
      <w:proofErr w:type="gramEnd"/>
      <w:r>
        <w:rPr>
          <w:rFonts w:ascii="Times New Roman" w:hAnsi="Times New Roman"/>
        </w:rPr>
        <w:t xml:space="preserve"> les industries à forte intensité énergétique et le secteur des technologies propres, qui est au cœur de la compétitivité future et qui est nécessaire à la transformation, à la circularité et à la décarbonation de l’industrie, tout en soulignant la nécessité d’adapter les actions aux besoins spécifiques d’autres secteurs particuliers. </w:t>
      </w:r>
    </w:p>
    <w:p w14:paraId="5AAEE5DD" w14:textId="187FDCEF" w:rsidR="00D4353F" w:rsidRPr="00A60D56" w:rsidRDefault="00D4353F" w:rsidP="7E722E26">
      <w:pPr>
        <w:widowControl w:val="0"/>
        <w:ind w:left="567"/>
        <w:rPr>
          <w:rFonts w:ascii="Times New Roman" w:hAnsi="Times New Roman"/>
        </w:rPr>
      </w:pPr>
      <w:r>
        <w:rPr>
          <w:rFonts w:ascii="Times New Roman" w:hAnsi="Times New Roman"/>
        </w:rPr>
        <w:t>En outre, le règlement pour une industrie</w:t>
      </w:r>
      <w:proofErr w:type="gramStart"/>
      <w:r>
        <w:rPr>
          <w:rFonts w:ascii="Times New Roman" w:hAnsi="Times New Roman"/>
        </w:rPr>
        <w:t xml:space="preserve"> «zéro</w:t>
      </w:r>
      <w:proofErr w:type="gramEnd"/>
      <w:r>
        <w:rPr>
          <w:rFonts w:ascii="Times New Roman" w:hAnsi="Times New Roman"/>
        </w:rPr>
        <w:t xml:space="preserve"> net» est déjà entré en vigueur. L’objectif de la Commission est de faire en sorte qu’il soit mis en œuvre en temps utile et qu’il y ait une coordination efficace avec d’autres mesures existantes (telles que le CISAF) et avec le Fonds européen pour la compétitivité (FEC). L’objectif premier du FEC est de faire en sorte que les financements existants en faveur de la compétitivité soient consolidés au sein d’un unique fonds puissant qui apporte un soutien à toutes les étapes du processus d’investissement, depuis la recherche et développement jusqu’à la fabrication et au déploiement, afin de transformer des idées en start-up puis de permettre à ces dernières de se développer. Le fonds est conçu pour promouvoir une forte</w:t>
      </w:r>
      <w:proofErr w:type="gramStart"/>
      <w:r>
        <w:rPr>
          <w:rFonts w:ascii="Times New Roman" w:hAnsi="Times New Roman"/>
        </w:rPr>
        <w:t xml:space="preserve"> «culture</w:t>
      </w:r>
      <w:proofErr w:type="gramEnd"/>
      <w:r>
        <w:rPr>
          <w:rFonts w:ascii="Times New Roman" w:hAnsi="Times New Roman"/>
        </w:rPr>
        <w:t xml:space="preserve"> de l’investissement», attirant à la fois des investissements privés et publics. L’Europe pourra ainsi réagir plus rapidement aux défis géopolitiques, prendre des décisions d’investissement plus intelligentes et renforcer sa position concurrentielle sur la scène mondiale. En outre, le cas échéant, la Commission pourrait présenter des initiatives ciblant une technologie donnée, comme cela a été le cas pour les batteries dans le plan d’action pour l’automobile.</w:t>
      </w:r>
    </w:p>
    <w:p w14:paraId="1594D4E9" w14:textId="77777777" w:rsidR="00D4353F" w:rsidRPr="00590591" w:rsidRDefault="00D4353F" w:rsidP="6FCD0958">
      <w:pPr>
        <w:widowControl w:val="0"/>
        <w:rPr>
          <w:rFonts w:ascii="Times New Roman" w:hAnsi="Times New Roman"/>
          <w:lang w:val="fr-BE"/>
        </w:rPr>
      </w:pPr>
    </w:p>
    <w:sectPr w:rsidR="00D4353F" w:rsidRPr="00590591" w:rsidSect="000A07D2">
      <w:footerReference w:type="even" r:id="rId11"/>
      <w:footerReference w:type="default" r:id="rId12"/>
      <w:footerReference w:type="first" r:id="rId13"/>
      <w:footnotePr>
        <w:numRestart w:val="eachSect"/>
      </w:footnotePr>
      <w:pgSz w:w="11906" w:h="16838" w:code="9"/>
      <w:pgMar w:top="1021" w:right="1701" w:bottom="1021" w:left="1588" w:header="601"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D35DC" w14:textId="77777777" w:rsidR="00D53715" w:rsidRDefault="00D53715">
      <w:r>
        <w:separator/>
      </w:r>
    </w:p>
  </w:endnote>
  <w:endnote w:type="continuationSeparator" w:id="0">
    <w:p w14:paraId="79B47DCE" w14:textId="77777777" w:rsidR="00D53715" w:rsidRDefault="00D53715">
      <w:r>
        <w:continuationSeparator/>
      </w:r>
    </w:p>
  </w:endnote>
  <w:endnote w:type="continuationNotice" w:id="1">
    <w:p w14:paraId="0C7F772F" w14:textId="77777777" w:rsidR="00D53715" w:rsidRDefault="00D5371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EUAlbertina">
    <w:altName w:val="Calibri"/>
    <w:panose1 w:val="00000000000000000000"/>
    <w:charset w:val="00"/>
    <w:family w:val="swiss"/>
    <w:notTrueType/>
    <w:pitch w:val="default"/>
    <w:sig w:usb0="00000003" w:usb1="00000000" w:usb2="00000000" w:usb3="00000000" w:csb0="00000001" w:csb1="00000000"/>
  </w:font>
  <w:font w:name="EC Square Sans Cond Pro">
    <w:panose1 w:val="020B0506040000020004"/>
    <w:charset w:val="00"/>
    <w:family w:val="swiss"/>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D2E7D" w14:textId="77777777" w:rsidR="005E6EC2" w:rsidRDefault="005E6EC2"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35</w:t>
    </w:r>
    <w:r>
      <w:rPr>
        <w:rStyle w:val="PageNumber"/>
      </w:rPr>
      <w:fldChar w:fldCharType="end"/>
    </w:r>
  </w:p>
  <w:p w14:paraId="2A2D4688" w14:textId="77777777" w:rsidR="005E6EC2" w:rsidRDefault="005E6E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ED304" w14:textId="77777777" w:rsidR="005E6EC2" w:rsidRDefault="005E6EC2"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14:paraId="41D1F713" w14:textId="77777777" w:rsidR="005E6EC2" w:rsidRPr="008A6623" w:rsidRDefault="005E6EC2" w:rsidP="008A6623">
    <w:pPr>
      <w:pStyle w:val="Foo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32826" w14:textId="77777777" w:rsidR="005E6EC2" w:rsidRDefault="005E6EC2" w:rsidP="00442B2E">
    <w:pPr>
      <w:pStyle w:val="Footer"/>
    </w:pPr>
    <w:r>
      <w:t>Commission européenne, 1049 Bruxelles – BELGIQUE Téléphone : (32-2) 299 11 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CD85F" w14:textId="77777777" w:rsidR="00D53715" w:rsidRDefault="00D53715">
      <w:r>
        <w:separator/>
      </w:r>
    </w:p>
  </w:footnote>
  <w:footnote w:type="continuationSeparator" w:id="0">
    <w:p w14:paraId="6FFAE67E" w14:textId="77777777" w:rsidR="00D53715" w:rsidRDefault="00D53715">
      <w:r>
        <w:continuationSeparator/>
      </w:r>
    </w:p>
  </w:footnote>
  <w:footnote w:type="continuationNotice" w:id="1">
    <w:p w14:paraId="6E39B232" w14:textId="77777777" w:rsidR="00D53715" w:rsidRDefault="00D53715">
      <w:pPr>
        <w:spacing w:after="0"/>
      </w:pPr>
    </w:p>
  </w:footnote>
  <w:footnote w:id="2">
    <w:p w14:paraId="2AF397FA" w14:textId="4DA1C107" w:rsidR="00592845" w:rsidRPr="00592845" w:rsidRDefault="00592845">
      <w:pPr>
        <w:pStyle w:val="FootnoteText"/>
        <w:rPr>
          <w:rFonts w:ascii="Times New Roman" w:hAnsi="Times New Roman"/>
        </w:rPr>
      </w:pPr>
      <w:r>
        <w:rPr>
          <w:rStyle w:val="FootnoteReference"/>
          <w:rFonts w:ascii="Times New Roman" w:hAnsi="Times New Roman"/>
        </w:rPr>
        <w:footnoteRef/>
      </w:r>
      <w:r>
        <w:rPr>
          <w:rFonts w:ascii="Times New Roman" w:hAnsi="Times New Roman"/>
        </w:rPr>
        <w:t>https://eur-lex.europa.eu/legal-content/FR/TXT/?uri=CELEX%3A52025DC0079&amp;qid=1741780110418</w:t>
      </w:r>
    </w:p>
  </w:footnote>
  <w:footnote w:id="3">
    <w:p w14:paraId="5B90A2B1" w14:textId="157C33C3" w:rsidR="00592845" w:rsidRPr="00592845" w:rsidRDefault="00592845">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https://eur-lex.europa.eu/eli/reg/2022/2560/oj/fra</w:t>
      </w:r>
    </w:p>
  </w:footnote>
  <w:footnote w:id="4">
    <w:p w14:paraId="382DD8AD" w14:textId="5038E328" w:rsidR="00851A5E" w:rsidRPr="00851A5E" w:rsidRDefault="00851A5E">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https://commission.europa.eu/document/download/ae2ea9ea-d037-4920-bbf6-a4183b747e34_fr</w:t>
      </w:r>
    </w:p>
  </w:footnote>
  <w:footnote w:id="5">
    <w:p w14:paraId="51DCA132" w14:textId="6789CEF0" w:rsidR="00592845" w:rsidRPr="00592845" w:rsidRDefault="00592845">
      <w:pPr>
        <w:pStyle w:val="FootnoteText"/>
        <w:rPr>
          <w:rFonts w:ascii="Times New Roman" w:hAnsi="Times New Roman"/>
        </w:rPr>
      </w:pPr>
      <w:r>
        <w:rPr>
          <w:rStyle w:val="FootnoteReference"/>
          <w:rFonts w:ascii="Times New Roman" w:hAnsi="Times New Roman"/>
        </w:rPr>
        <w:footnoteRef/>
      </w:r>
      <w:r>
        <w:rPr>
          <w:rFonts w:ascii="Times New Roman" w:hAnsi="Times New Roman"/>
        </w:rPr>
        <w:t>https://eur-lex.europa.eu/legal-content/FR/TXT/?uri=celex:52025DC0125</w:t>
      </w:r>
      <w:r>
        <w:t>.</w:t>
      </w:r>
    </w:p>
  </w:footnote>
  <w:footnote w:id="6">
    <w:p w14:paraId="65F8E617" w14:textId="613774C5" w:rsidR="00592845" w:rsidRPr="00592845" w:rsidRDefault="00592845">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https://eur-lex.europa.eu/eli/reg/2019/943/oj/fra</w:t>
      </w:r>
    </w:p>
  </w:footnote>
  <w:footnote w:id="7">
    <w:p w14:paraId="6D3D13FC" w14:textId="0F6F268B" w:rsidR="00592845" w:rsidRPr="00592845" w:rsidRDefault="00592845">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https://eur-lex.europa.eu/eli/reg/2024/1735/oj/fra</w:t>
      </w:r>
    </w:p>
  </w:footnote>
  <w:footnote w:id="8">
    <w:p w14:paraId="279056EB" w14:textId="2B9A1540" w:rsidR="00592845" w:rsidRDefault="00592845">
      <w:pPr>
        <w:pStyle w:val="FootnoteText"/>
      </w:pPr>
      <w:r>
        <w:rPr>
          <w:rStyle w:val="FootnoteReference"/>
        </w:rPr>
        <w:footnoteRef/>
      </w:r>
      <w:r>
        <w:rPr>
          <w:rFonts w:ascii="Times New Roman" w:hAnsi="Times New Roman"/>
        </w:rPr>
        <w:t>https://eur-lex.europa.eu/legal-content/FR/TXT/?uri=celex:52021DC0550</w:t>
      </w:r>
      <w:r>
        <w:t>.</w:t>
      </w:r>
    </w:p>
  </w:footnote>
  <w:footnote w:id="9">
    <w:p w14:paraId="76C86B0C" w14:textId="581A671B" w:rsidR="00592845" w:rsidRPr="00592845" w:rsidRDefault="00592845">
      <w:pPr>
        <w:pStyle w:val="FootnoteText"/>
        <w:rPr>
          <w:rFonts w:ascii="Times New Roman" w:hAnsi="Times New Roman"/>
        </w:rPr>
      </w:pPr>
      <w:r>
        <w:rPr>
          <w:rStyle w:val="FootnoteReference"/>
          <w:rFonts w:ascii="Times New Roman" w:hAnsi="Times New Roman"/>
        </w:rPr>
        <w:footnoteRef/>
      </w:r>
      <w:r>
        <w:rPr>
          <w:rFonts w:ascii="Times New Roman" w:hAnsi="Times New Roman"/>
        </w:rPr>
        <w:t>https://eur-lex.europa.eu/legal-content/FR/TXT/?uri=celex:52025DC0079</w:t>
      </w:r>
      <w:r>
        <w:t>.</w:t>
      </w:r>
    </w:p>
  </w:footnote>
  <w:footnote w:id="10">
    <w:p w14:paraId="5C97F6C8" w14:textId="41741123" w:rsidR="00592845" w:rsidRPr="00592845" w:rsidRDefault="00592845">
      <w:pPr>
        <w:pStyle w:val="FootnoteText"/>
        <w:rPr>
          <w:rFonts w:ascii="Times New Roman" w:hAnsi="Times New Roman"/>
        </w:rPr>
      </w:pPr>
      <w:r>
        <w:rPr>
          <w:rStyle w:val="FootnoteReference"/>
          <w:rFonts w:ascii="Times New Roman" w:hAnsi="Times New Roman"/>
        </w:rPr>
        <w:footnoteRef/>
      </w:r>
      <w:r>
        <w:t xml:space="preserve"> </w:t>
      </w:r>
      <w:r>
        <w:rPr>
          <w:rFonts w:ascii="Times New Roman" w:hAnsi="Times New Roman"/>
        </w:rPr>
        <w:t>https://eur-lex.europa.eu/eli/dir/2018/2001/oj/fra</w:t>
      </w:r>
    </w:p>
  </w:footnote>
  <w:footnote w:id="11">
    <w:p w14:paraId="10A31E0D" w14:textId="4E3F8D9A" w:rsidR="00592845" w:rsidRDefault="00592845" w:rsidP="00592845">
      <w:pPr>
        <w:pStyle w:val="FootnoteText"/>
        <w:jc w:val="left"/>
      </w:pPr>
      <w:r>
        <w:rPr>
          <w:rStyle w:val="FootnoteReference"/>
        </w:rPr>
        <w:footnoteRef/>
      </w:r>
      <w:r>
        <w:rPr>
          <w:rFonts w:ascii="Times New Roman" w:hAnsi="Times New Roman"/>
        </w:rPr>
        <w:t xml:space="preserve"> https://eur-lex.europa.eu/legal-content/EN/TXT/HTML/?uri=CELEX:52025SC0830#:~:text=The%20%E2%80%9CRoadmap%20towards%20ending%20Russian,away%20from%20Russian%20energy%20by</w:t>
      </w:r>
    </w:p>
  </w:footnote>
  <w:footnote w:id="12">
    <w:p w14:paraId="4529370D" w14:textId="6056ACA3" w:rsidR="00314D07" w:rsidRDefault="00314D07">
      <w:pPr>
        <w:pStyle w:val="FootnoteText"/>
      </w:pPr>
      <w:r>
        <w:rPr>
          <w:rStyle w:val="FootnoteReference"/>
        </w:rPr>
        <w:footnoteRef/>
      </w:r>
      <w:r>
        <w:rPr>
          <w:rFonts w:ascii="Times New Roman" w:hAnsi="Times New Roman"/>
        </w:rPr>
        <w:t xml:space="preserve"> https://eur-lex.europa.eu/eli/reg/2008/1272/oj/fra</w:t>
      </w:r>
    </w:p>
  </w:footnote>
  <w:footnote w:id="13">
    <w:p w14:paraId="181ED0E4" w14:textId="3BE724D2" w:rsidR="00D63C54" w:rsidRPr="0046671F" w:rsidRDefault="00D63C54">
      <w:pPr>
        <w:pStyle w:val="FootnoteText"/>
      </w:pPr>
      <w:r>
        <w:rPr>
          <w:rStyle w:val="FootnoteReference"/>
        </w:rPr>
        <w:footnoteRef/>
      </w:r>
      <w:r>
        <w:t xml:space="preserve"> </w:t>
      </w:r>
      <w:r>
        <w:rPr>
          <w:rFonts w:ascii="Times New Roman" w:hAnsi="Times New Roman"/>
        </w:rPr>
        <w:t xml:space="preserve">Le rapport d’avancement 2023 peut être consulté à l’adresse </w:t>
      </w:r>
      <w:proofErr w:type="gramStart"/>
      <w:r>
        <w:rPr>
          <w:rFonts w:ascii="Times New Roman" w:hAnsi="Times New Roman"/>
        </w:rPr>
        <w:t>suivante:</w:t>
      </w:r>
      <w:proofErr w:type="gramEnd"/>
      <w:hyperlink r:id="rId1" w:history="1">
        <w:r>
          <w:rPr>
            <w:rFonts w:ascii="Times New Roman" w:hAnsi="Times New Roman"/>
          </w:rPr>
          <w:t>https://single-market-economy.ec.europa.eu/system/files/2024-05/CHEMTP%20Annual%20Progress%20Report%202023.pdf</w:t>
        </w:r>
      </w:hyperlink>
      <w:r>
        <w:rPr>
          <w:rFonts w:ascii="Times New Roman" w:hAnsi="Times New Roman"/>
        </w:rPr>
        <w:t>, tandis que le rapport 2024 est en cours de préparation.</w:t>
      </w:r>
    </w:p>
  </w:footnote>
  <w:footnote w:id="14">
    <w:p w14:paraId="4E2D6FB5" w14:textId="2DC93C3E" w:rsidR="002A7200" w:rsidRPr="00B75E7F" w:rsidRDefault="002A7200" w:rsidP="00B75E7F">
      <w:pPr>
        <w:pStyle w:val="FootnoteText"/>
        <w:jc w:val="lef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2" w:history="1">
        <w:r>
          <w:rPr>
            <w:rFonts w:ascii="Times New Roman" w:hAnsi="Times New Roman"/>
          </w:rPr>
          <w:t>https://competition-policy.ec.europa.eu/about/reaching-out/implementation-dialogue-ipceis_en</w:t>
        </w:r>
      </w:hyperlink>
      <w:r>
        <w:t>.</w:t>
      </w:r>
      <w:r>
        <w:rPr>
          <w:rFonts w:ascii="Times New Roman" w:hAnsi="Times New Roman"/>
        </w:rPr>
        <w:t xml:space="preserve"> </w:t>
      </w:r>
    </w:p>
  </w:footnote>
  <w:footnote w:id="15">
    <w:p w14:paraId="11479640" w14:textId="15B42510" w:rsidR="00314D07" w:rsidRPr="00314D07" w:rsidRDefault="00314D07">
      <w:pPr>
        <w:pStyle w:val="FootnoteText"/>
        <w:rPr>
          <w:rFonts w:ascii="Times New Roman" w:hAnsi="Times New Roman"/>
        </w:rPr>
      </w:pPr>
      <w:r>
        <w:rPr>
          <w:rStyle w:val="FootnoteReference"/>
          <w:rFonts w:ascii="Times New Roman" w:hAnsi="Times New Roman"/>
        </w:rPr>
        <w:footnoteRef/>
      </w:r>
      <w:r>
        <w:rPr>
          <w:rFonts w:ascii="Times New Roman" w:hAnsi="Times New Roman"/>
        </w:rPr>
        <w:t>https://eur-lex.europa.eu/legal-content/FR/TXT/?uri=celex:52025DC0500</w:t>
      </w:r>
      <w:r>
        <w:t>.</w:t>
      </w:r>
    </w:p>
  </w:footnote>
  <w:footnote w:id="16">
    <w:p w14:paraId="3334EDEE" w14:textId="713ED5DF" w:rsidR="002A7200" w:rsidRDefault="002A7200" w:rsidP="00B75E7F">
      <w:pPr>
        <w:jc w:val="left"/>
        <w:rPr>
          <w:rFonts w:ascii="Calibri" w:eastAsia="Calibri" w:hAnsi="Calibri" w:cs="Calibri"/>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2" w15:restartNumberingAfterBreak="0">
    <w:nsid w:val="03C8321C"/>
    <w:multiLevelType w:val="hybridMultilevel"/>
    <w:tmpl w:val="E75EBFFA"/>
    <w:lvl w:ilvl="0" w:tplc="FD6CBBE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0EBD20DB"/>
    <w:multiLevelType w:val="hybridMultilevel"/>
    <w:tmpl w:val="3BC09D28"/>
    <w:name w:val="WW8Num8"/>
    <w:lvl w:ilvl="0" w:tplc="1ED89A4C">
      <w:start w:val="1"/>
      <w:numFmt w:val="bullet"/>
      <w:pStyle w:val="Briefingspdef"/>
      <w:lvlText w:val=""/>
      <w:lvlJc w:val="left"/>
      <w:pPr>
        <w:tabs>
          <w:tab w:val="num" w:pos="360"/>
        </w:tabs>
        <w:ind w:left="360" w:hanging="360"/>
      </w:pPr>
      <w:rPr>
        <w:rFonts w:ascii="Symbol" w:hAnsi="Symbol" w:hint="default"/>
        <w:sz w:val="20"/>
      </w:rPr>
    </w:lvl>
    <w:lvl w:ilvl="1" w:tplc="E9786584">
      <w:start w:val="1"/>
      <w:numFmt w:val="bullet"/>
      <w:lvlText w:val=""/>
      <w:lvlJc w:val="left"/>
      <w:pPr>
        <w:tabs>
          <w:tab w:val="num" w:pos="1440"/>
        </w:tabs>
        <w:ind w:left="1440" w:hanging="360"/>
      </w:pPr>
      <w:rPr>
        <w:rFonts w:ascii="Symbol" w:hAnsi="Symbol" w:hint="default"/>
        <w:sz w:val="20"/>
      </w:rPr>
    </w:lvl>
    <w:lvl w:ilvl="2" w:tplc="D3E466F6" w:tentative="1">
      <w:start w:val="1"/>
      <w:numFmt w:val="bullet"/>
      <w:lvlText w:val=""/>
      <w:lvlJc w:val="left"/>
      <w:pPr>
        <w:tabs>
          <w:tab w:val="num" w:pos="2160"/>
        </w:tabs>
        <w:ind w:left="2160" w:hanging="360"/>
      </w:pPr>
      <w:rPr>
        <w:rFonts w:ascii="Wingdings" w:hAnsi="Wingdings" w:hint="default"/>
      </w:rPr>
    </w:lvl>
    <w:lvl w:ilvl="3" w:tplc="670E1398" w:tentative="1">
      <w:start w:val="1"/>
      <w:numFmt w:val="bullet"/>
      <w:lvlText w:val=""/>
      <w:lvlJc w:val="left"/>
      <w:pPr>
        <w:tabs>
          <w:tab w:val="num" w:pos="2880"/>
        </w:tabs>
        <w:ind w:left="2880" w:hanging="360"/>
      </w:pPr>
      <w:rPr>
        <w:rFonts w:ascii="Symbol" w:hAnsi="Symbol" w:hint="default"/>
      </w:rPr>
    </w:lvl>
    <w:lvl w:ilvl="4" w:tplc="03E003E2" w:tentative="1">
      <w:start w:val="1"/>
      <w:numFmt w:val="bullet"/>
      <w:lvlText w:val="o"/>
      <w:lvlJc w:val="left"/>
      <w:pPr>
        <w:tabs>
          <w:tab w:val="num" w:pos="3600"/>
        </w:tabs>
        <w:ind w:left="3600" w:hanging="360"/>
      </w:pPr>
      <w:rPr>
        <w:rFonts w:ascii="Courier New" w:hAnsi="Courier New" w:cs="Courier New" w:hint="default"/>
      </w:rPr>
    </w:lvl>
    <w:lvl w:ilvl="5" w:tplc="4FBE7CFE" w:tentative="1">
      <w:start w:val="1"/>
      <w:numFmt w:val="bullet"/>
      <w:lvlText w:val=""/>
      <w:lvlJc w:val="left"/>
      <w:pPr>
        <w:tabs>
          <w:tab w:val="num" w:pos="4320"/>
        </w:tabs>
        <w:ind w:left="4320" w:hanging="360"/>
      </w:pPr>
      <w:rPr>
        <w:rFonts w:ascii="Wingdings" w:hAnsi="Wingdings" w:hint="default"/>
      </w:rPr>
    </w:lvl>
    <w:lvl w:ilvl="6" w:tplc="BB54250A" w:tentative="1">
      <w:start w:val="1"/>
      <w:numFmt w:val="bullet"/>
      <w:lvlText w:val=""/>
      <w:lvlJc w:val="left"/>
      <w:pPr>
        <w:tabs>
          <w:tab w:val="num" w:pos="5040"/>
        </w:tabs>
        <w:ind w:left="5040" w:hanging="360"/>
      </w:pPr>
      <w:rPr>
        <w:rFonts w:ascii="Symbol" w:hAnsi="Symbol" w:hint="default"/>
      </w:rPr>
    </w:lvl>
    <w:lvl w:ilvl="7" w:tplc="546629E2" w:tentative="1">
      <w:start w:val="1"/>
      <w:numFmt w:val="bullet"/>
      <w:lvlText w:val="o"/>
      <w:lvlJc w:val="left"/>
      <w:pPr>
        <w:tabs>
          <w:tab w:val="num" w:pos="5760"/>
        </w:tabs>
        <w:ind w:left="5760" w:hanging="360"/>
      </w:pPr>
      <w:rPr>
        <w:rFonts w:ascii="Courier New" w:hAnsi="Courier New" w:cs="Courier New" w:hint="default"/>
      </w:rPr>
    </w:lvl>
    <w:lvl w:ilvl="8" w:tplc="19BC93F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6" w15:restartNumberingAfterBreak="0">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7" w15:restartNumberingAfterBreak="0">
    <w:nsid w:val="17610807"/>
    <w:multiLevelType w:val="hybridMultilevel"/>
    <w:tmpl w:val="DA3CD6C8"/>
    <w:name w:val="List Bullet"/>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2973D2"/>
    <w:multiLevelType w:val="hybridMultilevel"/>
    <w:tmpl w:val="419A2060"/>
    <w:lvl w:ilvl="0" w:tplc="492C7160">
      <w:start w:val="1"/>
      <w:numFmt w:val="decimal"/>
      <w:lvlText w:val="%1."/>
      <w:lvlJc w:val="left"/>
      <w:pPr>
        <w:ind w:left="720" w:hanging="720"/>
      </w:pPr>
      <w:rPr>
        <w:rFonts w:hint="default"/>
        <w:b/>
        <w:i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9" w15:restartNumberingAfterBreak="0">
    <w:nsid w:val="19D23947"/>
    <w:multiLevelType w:val="hybridMultilevel"/>
    <w:tmpl w:val="A4003DA6"/>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10" w15:restartNumberingAfterBreak="0">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1" w15:restartNumberingAfterBreak="0">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13" w15:restartNumberingAfterBreak="0">
    <w:nsid w:val="2BBE5D05"/>
    <w:multiLevelType w:val="hybridMultilevel"/>
    <w:tmpl w:val="F7FE6A86"/>
    <w:lvl w:ilvl="0" w:tplc="FD6CBBE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16" w15:restartNumberingAfterBreak="0">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393755"/>
    <w:multiLevelType w:val="hybridMultilevel"/>
    <w:tmpl w:val="2046894C"/>
    <w:lvl w:ilvl="0" w:tplc="08090001">
      <w:start w:val="1"/>
      <w:numFmt w:val="bullet"/>
      <w:lvlText w:val=""/>
      <w:lvlJc w:val="left"/>
      <w:pPr>
        <w:ind w:left="4680" w:hanging="360"/>
      </w:pPr>
      <w:rPr>
        <w:rFonts w:ascii="Symbol" w:hAnsi="Symbol" w:hint="default"/>
      </w:rPr>
    </w:lvl>
    <w:lvl w:ilvl="1" w:tplc="08090003" w:tentative="1">
      <w:start w:val="1"/>
      <w:numFmt w:val="bullet"/>
      <w:lvlText w:val="o"/>
      <w:lvlJc w:val="left"/>
      <w:pPr>
        <w:ind w:left="5400" w:hanging="360"/>
      </w:pPr>
      <w:rPr>
        <w:rFonts w:ascii="Courier New" w:hAnsi="Courier New" w:cs="Courier New" w:hint="default"/>
      </w:rPr>
    </w:lvl>
    <w:lvl w:ilvl="2" w:tplc="08090005" w:tentative="1">
      <w:start w:val="1"/>
      <w:numFmt w:val="bullet"/>
      <w:lvlText w:val=""/>
      <w:lvlJc w:val="left"/>
      <w:pPr>
        <w:ind w:left="6120" w:hanging="360"/>
      </w:pPr>
      <w:rPr>
        <w:rFonts w:ascii="Wingdings" w:hAnsi="Wingdings" w:hint="default"/>
      </w:rPr>
    </w:lvl>
    <w:lvl w:ilvl="3" w:tplc="08090001" w:tentative="1">
      <w:start w:val="1"/>
      <w:numFmt w:val="bullet"/>
      <w:lvlText w:val=""/>
      <w:lvlJc w:val="left"/>
      <w:pPr>
        <w:ind w:left="684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8280" w:hanging="360"/>
      </w:pPr>
      <w:rPr>
        <w:rFonts w:ascii="Wingdings" w:hAnsi="Wingdings" w:hint="default"/>
      </w:rPr>
    </w:lvl>
    <w:lvl w:ilvl="6" w:tplc="08090001" w:tentative="1">
      <w:start w:val="1"/>
      <w:numFmt w:val="bullet"/>
      <w:lvlText w:val=""/>
      <w:lvlJc w:val="left"/>
      <w:pPr>
        <w:ind w:left="9000" w:hanging="360"/>
      </w:pPr>
      <w:rPr>
        <w:rFonts w:ascii="Symbol" w:hAnsi="Symbol" w:hint="default"/>
      </w:rPr>
    </w:lvl>
    <w:lvl w:ilvl="7" w:tplc="08090003" w:tentative="1">
      <w:start w:val="1"/>
      <w:numFmt w:val="bullet"/>
      <w:lvlText w:val="o"/>
      <w:lvlJc w:val="left"/>
      <w:pPr>
        <w:ind w:left="9720" w:hanging="360"/>
      </w:pPr>
      <w:rPr>
        <w:rFonts w:ascii="Courier New" w:hAnsi="Courier New" w:cs="Courier New" w:hint="default"/>
      </w:rPr>
    </w:lvl>
    <w:lvl w:ilvl="8" w:tplc="08090005" w:tentative="1">
      <w:start w:val="1"/>
      <w:numFmt w:val="bullet"/>
      <w:lvlText w:val=""/>
      <w:lvlJc w:val="left"/>
      <w:pPr>
        <w:ind w:left="10440" w:hanging="360"/>
      </w:pPr>
      <w:rPr>
        <w:rFonts w:ascii="Wingdings" w:hAnsi="Wingdings" w:hint="default"/>
      </w:rPr>
    </w:lvl>
  </w:abstractNum>
  <w:abstractNum w:abstractNumId="18" w15:restartNumberingAfterBreak="0">
    <w:nsid w:val="514632EE"/>
    <w:multiLevelType w:val="hybridMultilevel"/>
    <w:tmpl w:val="6012F114"/>
    <w:lvl w:ilvl="0" w:tplc="08090001">
      <w:start w:val="1"/>
      <w:numFmt w:val="bullet"/>
      <w:pStyle w:val="ListDash"/>
      <w:lvlText w:val="–"/>
      <w:lvlJc w:val="left"/>
      <w:pPr>
        <w:tabs>
          <w:tab w:val="num" w:pos="567"/>
        </w:tabs>
        <w:ind w:left="567" w:hanging="283"/>
      </w:pPr>
      <w:rPr>
        <w:rFonts w:ascii="Times New Roman" w:hAnsi="Times New Roman"/>
      </w:rPr>
    </w:lvl>
    <w:lvl w:ilvl="1" w:tplc="08090003">
      <w:numFmt w:val="bullet"/>
      <w:lvlText w:val="-"/>
      <w:lvlJc w:val="left"/>
      <w:pPr>
        <w:tabs>
          <w:tab w:val="num" w:pos="1724"/>
        </w:tabs>
        <w:ind w:left="1724" w:hanging="360"/>
      </w:pPr>
      <w:rPr>
        <w:rFonts w:ascii="Times New Roman" w:eastAsia="Times New Roman" w:hAnsi="Times New Roman" w:cs="Times New Roman"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576A32C9"/>
    <w:multiLevelType w:val="multilevel"/>
    <w:tmpl w:val="52224248"/>
    <w:lvl w:ilvl="0">
      <w:start w:val="1"/>
      <w:numFmt w:val="decimal"/>
      <w:lvlRestart w:val="0"/>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21" w15:restartNumberingAfterBreak="0">
    <w:nsid w:val="641002BF"/>
    <w:multiLevelType w:val="hybridMultilevel"/>
    <w:tmpl w:val="F1CEEE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6C136061"/>
    <w:multiLevelType w:val="hybridMultilevel"/>
    <w:tmpl w:val="7052666E"/>
    <w:lvl w:ilvl="0" w:tplc="40D2097A">
      <w:start w:val="1"/>
      <w:numFmt w:val="bullet"/>
      <w:pStyle w:val="Briefingspeakdef"/>
      <w:lvlText w:val=""/>
      <w:lvlJc w:val="left"/>
      <w:pPr>
        <w:tabs>
          <w:tab w:val="num" w:pos="765"/>
        </w:tabs>
        <w:ind w:left="765" w:hanging="283"/>
      </w:pPr>
      <w:rPr>
        <w:rFonts w:ascii="Symbol" w:hAnsi="Symbol" w:hint="default"/>
        <w:sz w:val="22"/>
      </w:rPr>
    </w:lvl>
    <w:lvl w:ilvl="1" w:tplc="08090003">
      <w:start w:val="1"/>
      <w:numFmt w:val="bullet"/>
      <w:lvlText w:val=""/>
      <w:lvlJc w:val="left"/>
      <w:pPr>
        <w:tabs>
          <w:tab w:val="num" w:pos="1287"/>
        </w:tabs>
        <w:ind w:left="1287" w:hanging="207"/>
      </w:pPr>
      <w:rPr>
        <w:rFonts w:ascii="Symbol" w:hAnsi="Symbol"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25" w15:restartNumberingAfterBreak="0">
    <w:nsid w:val="746C1691"/>
    <w:multiLevelType w:val="hybridMultilevel"/>
    <w:tmpl w:val="014C1D4E"/>
    <w:lvl w:ilvl="0" w:tplc="3228B35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755933D9"/>
    <w:multiLevelType w:val="hybridMultilevel"/>
    <w:tmpl w:val="B9D46C0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67545DE"/>
    <w:multiLevelType w:val="hybridMultilevel"/>
    <w:tmpl w:val="2E307808"/>
    <w:lvl w:ilvl="0" w:tplc="FD6CBBE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9864C1"/>
    <w:multiLevelType w:val="hybridMultilevel"/>
    <w:tmpl w:val="154C80D8"/>
    <w:lvl w:ilvl="0" w:tplc="843A22E8">
      <w:start w:val="1"/>
      <w:numFmt w:val="bullet"/>
      <w:pStyle w:val="NumPar1Char"/>
      <w:lvlText w:val="–"/>
      <w:lvlJc w:val="left"/>
      <w:pPr>
        <w:tabs>
          <w:tab w:val="num" w:pos="643"/>
        </w:tabs>
        <w:ind w:left="643" w:hanging="283"/>
      </w:pPr>
      <w:rPr>
        <w:rFonts w:ascii="Times New Roman" w:hAnsi="Times New Roman" w:hint="default"/>
      </w:rPr>
    </w:lvl>
    <w:lvl w:ilvl="1" w:tplc="60C2582C" w:tentative="1">
      <w:start w:val="1"/>
      <w:numFmt w:val="bullet"/>
      <w:lvlText w:val="o"/>
      <w:lvlJc w:val="left"/>
      <w:pPr>
        <w:tabs>
          <w:tab w:val="num" w:pos="1440"/>
        </w:tabs>
        <w:ind w:left="1440" w:hanging="360"/>
      </w:pPr>
      <w:rPr>
        <w:rFonts w:ascii="Courier New" w:hAnsi="Courier New" w:cs="Courier New" w:hint="default"/>
      </w:rPr>
    </w:lvl>
    <w:lvl w:ilvl="2" w:tplc="17D6AD3A" w:tentative="1">
      <w:start w:val="1"/>
      <w:numFmt w:val="bullet"/>
      <w:lvlText w:val=""/>
      <w:lvlJc w:val="left"/>
      <w:pPr>
        <w:tabs>
          <w:tab w:val="num" w:pos="2160"/>
        </w:tabs>
        <w:ind w:left="2160" w:hanging="360"/>
      </w:pPr>
      <w:rPr>
        <w:rFonts w:ascii="Wingdings" w:hAnsi="Wingdings" w:hint="default"/>
      </w:rPr>
    </w:lvl>
    <w:lvl w:ilvl="3" w:tplc="FEA221B2" w:tentative="1">
      <w:start w:val="1"/>
      <w:numFmt w:val="bullet"/>
      <w:lvlText w:val=""/>
      <w:lvlJc w:val="left"/>
      <w:pPr>
        <w:tabs>
          <w:tab w:val="num" w:pos="2880"/>
        </w:tabs>
        <w:ind w:left="2880" w:hanging="360"/>
      </w:pPr>
      <w:rPr>
        <w:rFonts w:ascii="Symbol" w:hAnsi="Symbol" w:hint="default"/>
      </w:rPr>
    </w:lvl>
    <w:lvl w:ilvl="4" w:tplc="EB305368" w:tentative="1">
      <w:start w:val="1"/>
      <w:numFmt w:val="bullet"/>
      <w:lvlText w:val="o"/>
      <w:lvlJc w:val="left"/>
      <w:pPr>
        <w:tabs>
          <w:tab w:val="num" w:pos="3600"/>
        </w:tabs>
        <w:ind w:left="3600" w:hanging="360"/>
      </w:pPr>
      <w:rPr>
        <w:rFonts w:ascii="Courier New" w:hAnsi="Courier New" w:cs="Courier New" w:hint="default"/>
      </w:rPr>
    </w:lvl>
    <w:lvl w:ilvl="5" w:tplc="1C38E420" w:tentative="1">
      <w:start w:val="1"/>
      <w:numFmt w:val="bullet"/>
      <w:lvlText w:val=""/>
      <w:lvlJc w:val="left"/>
      <w:pPr>
        <w:tabs>
          <w:tab w:val="num" w:pos="4320"/>
        </w:tabs>
        <w:ind w:left="4320" w:hanging="360"/>
      </w:pPr>
      <w:rPr>
        <w:rFonts w:ascii="Wingdings" w:hAnsi="Wingdings" w:hint="default"/>
      </w:rPr>
    </w:lvl>
    <w:lvl w:ilvl="6" w:tplc="58705602" w:tentative="1">
      <w:start w:val="1"/>
      <w:numFmt w:val="bullet"/>
      <w:lvlText w:val=""/>
      <w:lvlJc w:val="left"/>
      <w:pPr>
        <w:tabs>
          <w:tab w:val="num" w:pos="5040"/>
        </w:tabs>
        <w:ind w:left="5040" w:hanging="360"/>
      </w:pPr>
      <w:rPr>
        <w:rFonts w:ascii="Symbol" w:hAnsi="Symbol" w:hint="default"/>
      </w:rPr>
    </w:lvl>
    <w:lvl w:ilvl="7" w:tplc="EE5A94CC" w:tentative="1">
      <w:start w:val="1"/>
      <w:numFmt w:val="bullet"/>
      <w:lvlText w:val="o"/>
      <w:lvlJc w:val="left"/>
      <w:pPr>
        <w:tabs>
          <w:tab w:val="num" w:pos="5760"/>
        </w:tabs>
        <w:ind w:left="5760" w:hanging="360"/>
      </w:pPr>
      <w:rPr>
        <w:rFonts w:ascii="Courier New" w:hAnsi="Courier New" w:cs="Courier New" w:hint="default"/>
      </w:rPr>
    </w:lvl>
    <w:lvl w:ilvl="8" w:tplc="C0A6382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31" w15:restartNumberingAfterBreak="0">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32" w15:restartNumberingAfterBreak="0">
    <w:nsid w:val="7ECB7708"/>
    <w:multiLevelType w:val="singleLevel"/>
    <w:tmpl w:val="5EA8E34C"/>
    <w:lvl w:ilvl="0">
      <w:start w:val="1"/>
      <w:numFmt w:val="decimal"/>
      <w:pStyle w:val="ATHeading1"/>
      <w:lvlText w:val="%1."/>
      <w:lvlJc w:val="left"/>
      <w:pPr>
        <w:tabs>
          <w:tab w:val="num" w:pos="360"/>
        </w:tabs>
        <w:ind w:left="360" w:hanging="360"/>
      </w:pPr>
    </w:lvl>
  </w:abstractNum>
  <w:num w:numId="1" w16cid:durableId="1150832569">
    <w:abstractNumId w:val="6"/>
  </w:num>
  <w:num w:numId="2" w16cid:durableId="68701762">
    <w:abstractNumId w:val="1"/>
  </w:num>
  <w:num w:numId="3" w16cid:durableId="1754735802">
    <w:abstractNumId w:val="31"/>
  </w:num>
  <w:num w:numId="4" w16cid:durableId="1227957657">
    <w:abstractNumId w:val="12"/>
  </w:num>
  <w:num w:numId="5" w16cid:durableId="677387260">
    <w:abstractNumId w:val="24"/>
  </w:num>
  <w:num w:numId="6" w16cid:durableId="848327859">
    <w:abstractNumId w:val="10"/>
  </w:num>
  <w:num w:numId="7" w16cid:durableId="1325164916">
    <w:abstractNumId w:val="5"/>
  </w:num>
  <w:num w:numId="8" w16cid:durableId="267197560">
    <w:abstractNumId w:val="15"/>
  </w:num>
  <w:num w:numId="9" w16cid:durableId="1749880813">
    <w:abstractNumId w:val="30"/>
  </w:num>
  <w:num w:numId="10" w16cid:durableId="1718238643">
    <w:abstractNumId w:val="20"/>
  </w:num>
  <w:num w:numId="11" w16cid:durableId="137453565">
    <w:abstractNumId w:val="22"/>
  </w:num>
  <w:num w:numId="12" w16cid:durableId="680864050">
    <w:abstractNumId w:val="11"/>
  </w:num>
  <w:num w:numId="13" w16cid:durableId="1432625048">
    <w:abstractNumId w:val="16"/>
  </w:num>
  <w:num w:numId="14" w16cid:durableId="1260718353">
    <w:abstractNumId w:val="26"/>
  </w:num>
  <w:num w:numId="15" w16cid:durableId="844831690">
    <w:abstractNumId w:val="14"/>
  </w:num>
  <w:num w:numId="16" w16cid:durableId="585503704">
    <w:abstractNumId w:val="32"/>
  </w:num>
  <w:num w:numId="17" w16cid:durableId="1741517002">
    <w:abstractNumId w:val="29"/>
  </w:num>
  <w:num w:numId="18" w16cid:durableId="1428886111">
    <w:abstractNumId w:val="18"/>
  </w:num>
  <w:num w:numId="19" w16cid:durableId="2083868533">
    <w:abstractNumId w:val="19"/>
  </w:num>
  <w:num w:numId="20" w16cid:durableId="285083076">
    <w:abstractNumId w:val="23"/>
  </w:num>
  <w:num w:numId="21" w16cid:durableId="1785004308">
    <w:abstractNumId w:val="3"/>
  </w:num>
  <w:num w:numId="22" w16cid:durableId="1039545777">
    <w:abstractNumId w:val="4"/>
  </w:num>
  <w:num w:numId="23" w16cid:durableId="1627814512">
    <w:abstractNumId w:val="17"/>
  </w:num>
  <w:num w:numId="24" w16cid:durableId="1361659577">
    <w:abstractNumId w:val="27"/>
  </w:num>
  <w:num w:numId="25" w16cid:durableId="1575358753">
    <w:abstractNumId w:val="9"/>
  </w:num>
  <w:num w:numId="26" w16cid:durableId="1032455577">
    <w:abstractNumId w:val="28"/>
  </w:num>
  <w:num w:numId="27" w16cid:durableId="1707874358">
    <w:abstractNumId w:val="8"/>
  </w:num>
  <w:num w:numId="28" w16cid:durableId="1767075215">
    <w:abstractNumId w:val="2"/>
  </w:num>
  <w:num w:numId="29" w16cid:durableId="644895030">
    <w:abstractNumId w:val="13"/>
  </w:num>
  <w:num w:numId="30" w16cid:durableId="1536578247">
    <w:abstractNumId w:val="21"/>
  </w:num>
  <w:num w:numId="31" w16cid:durableId="1770658978">
    <w:abstractNumId w:val="31"/>
  </w:num>
  <w:num w:numId="32" w16cid:durableId="1160926980">
    <w:abstractNumId w:val="2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TEL"/>
  </w:docVars>
  <w:rsids>
    <w:rsidRoot w:val="009A3DA0"/>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0F7C"/>
    <w:rsid w:val="00001369"/>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C1"/>
    <w:rsid w:val="000048D8"/>
    <w:rsid w:val="00004B35"/>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40F"/>
    <w:rsid w:val="0001153B"/>
    <w:rsid w:val="00011589"/>
    <w:rsid w:val="00011615"/>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A71"/>
    <w:rsid w:val="00014CE1"/>
    <w:rsid w:val="00015264"/>
    <w:rsid w:val="000152CA"/>
    <w:rsid w:val="00015341"/>
    <w:rsid w:val="00015452"/>
    <w:rsid w:val="0001589A"/>
    <w:rsid w:val="00015A65"/>
    <w:rsid w:val="00015B9E"/>
    <w:rsid w:val="00015C38"/>
    <w:rsid w:val="00015D74"/>
    <w:rsid w:val="00015EB6"/>
    <w:rsid w:val="00015F13"/>
    <w:rsid w:val="0001612D"/>
    <w:rsid w:val="000162A0"/>
    <w:rsid w:val="000164BD"/>
    <w:rsid w:val="000166D5"/>
    <w:rsid w:val="00016A8D"/>
    <w:rsid w:val="00016C72"/>
    <w:rsid w:val="000170C1"/>
    <w:rsid w:val="00017265"/>
    <w:rsid w:val="0001730F"/>
    <w:rsid w:val="00017430"/>
    <w:rsid w:val="000174AF"/>
    <w:rsid w:val="0001776A"/>
    <w:rsid w:val="00017883"/>
    <w:rsid w:val="000179F3"/>
    <w:rsid w:val="00017A67"/>
    <w:rsid w:val="00017AA9"/>
    <w:rsid w:val="00017C25"/>
    <w:rsid w:val="00017F27"/>
    <w:rsid w:val="00017F3D"/>
    <w:rsid w:val="00020E26"/>
    <w:rsid w:val="000218F1"/>
    <w:rsid w:val="00021AEC"/>
    <w:rsid w:val="00021B43"/>
    <w:rsid w:val="00021BCD"/>
    <w:rsid w:val="00021EF0"/>
    <w:rsid w:val="00021FA4"/>
    <w:rsid w:val="0002203E"/>
    <w:rsid w:val="0002207D"/>
    <w:rsid w:val="0002216F"/>
    <w:rsid w:val="000221F2"/>
    <w:rsid w:val="00022538"/>
    <w:rsid w:val="00022669"/>
    <w:rsid w:val="00022775"/>
    <w:rsid w:val="00022776"/>
    <w:rsid w:val="00022903"/>
    <w:rsid w:val="00022B33"/>
    <w:rsid w:val="00022E91"/>
    <w:rsid w:val="00022FAA"/>
    <w:rsid w:val="00023162"/>
    <w:rsid w:val="000232A5"/>
    <w:rsid w:val="00023424"/>
    <w:rsid w:val="00023451"/>
    <w:rsid w:val="00023626"/>
    <w:rsid w:val="00023C78"/>
    <w:rsid w:val="00023E4D"/>
    <w:rsid w:val="000240AC"/>
    <w:rsid w:val="000241F9"/>
    <w:rsid w:val="00024204"/>
    <w:rsid w:val="000242C9"/>
    <w:rsid w:val="0002435B"/>
    <w:rsid w:val="0002435F"/>
    <w:rsid w:val="0002452D"/>
    <w:rsid w:val="00024671"/>
    <w:rsid w:val="00024685"/>
    <w:rsid w:val="000248D5"/>
    <w:rsid w:val="000249F6"/>
    <w:rsid w:val="00024BE2"/>
    <w:rsid w:val="00024C5F"/>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6D0"/>
    <w:rsid w:val="00030996"/>
    <w:rsid w:val="00030E3E"/>
    <w:rsid w:val="000310AA"/>
    <w:rsid w:val="000310E8"/>
    <w:rsid w:val="000315BD"/>
    <w:rsid w:val="00031793"/>
    <w:rsid w:val="00031A4C"/>
    <w:rsid w:val="00031BDA"/>
    <w:rsid w:val="00031CA2"/>
    <w:rsid w:val="00031D00"/>
    <w:rsid w:val="00031DA3"/>
    <w:rsid w:val="00031F4C"/>
    <w:rsid w:val="0003243D"/>
    <w:rsid w:val="0003266D"/>
    <w:rsid w:val="000326E6"/>
    <w:rsid w:val="00032766"/>
    <w:rsid w:val="000328B1"/>
    <w:rsid w:val="00032DC3"/>
    <w:rsid w:val="00032E4F"/>
    <w:rsid w:val="00032EDB"/>
    <w:rsid w:val="000332FE"/>
    <w:rsid w:val="000337C2"/>
    <w:rsid w:val="00033EA1"/>
    <w:rsid w:val="00033F57"/>
    <w:rsid w:val="00034032"/>
    <w:rsid w:val="000340CA"/>
    <w:rsid w:val="0003483E"/>
    <w:rsid w:val="000348CA"/>
    <w:rsid w:val="0003496F"/>
    <w:rsid w:val="00034992"/>
    <w:rsid w:val="00034B24"/>
    <w:rsid w:val="00034CA0"/>
    <w:rsid w:val="00034EB6"/>
    <w:rsid w:val="00034FFC"/>
    <w:rsid w:val="0003501A"/>
    <w:rsid w:val="0003509D"/>
    <w:rsid w:val="000350BB"/>
    <w:rsid w:val="000351DA"/>
    <w:rsid w:val="00035357"/>
    <w:rsid w:val="000355A7"/>
    <w:rsid w:val="000356EC"/>
    <w:rsid w:val="00035B81"/>
    <w:rsid w:val="00035CE3"/>
    <w:rsid w:val="00035FDE"/>
    <w:rsid w:val="00036009"/>
    <w:rsid w:val="0003608E"/>
    <w:rsid w:val="00036106"/>
    <w:rsid w:val="00036177"/>
    <w:rsid w:val="0003633B"/>
    <w:rsid w:val="00037004"/>
    <w:rsid w:val="00037224"/>
    <w:rsid w:val="000372EF"/>
    <w:rsid w:val="0003737B"/>
    <w:rsid w:val="0003745C"/>
    <w:rsid w:val="0003758E"/>
    <w:rsid w:val="000375BA"/>
    <w:rsid w:val="00037990"/>
    <w:rsid w:val="00040060"/>
    <w:rsid w:val="00040281"/>
    <w:rsid w:val="00040A13"/>
    <w:rsid w:val="00040C7A"/>
    <w:rsid w:val="00040E6E"/>
    <w:rsid w:val="0004105D"/>
    <w:rsid w:val="00041310"/>
    <w:rsid w:val="0004146E"/>
    <w:rsid w:val="000414BC"/>
    <w:rsid w:val="0004189C"/>
    <w:rsid w:val="0004193F"/>
    <w:rsid w:val="0004195A"/>
    <w:rsid w:val="00041A87"/>
    <w:rsid w:val="00041DA3"/>
    <w:rsid w:val="00041F1F"/>
    <w:rsid w:val="0004209B"/>
    <w:rsid w:val="000420DB"/>
    <w:rsid w:val="000421A1"/>
    <w:rsid w:val="00042508"/>
    <w:rsid w:val="00042A8B"/>
    <w:rsid w:val="00042F4E"/>
    <w:rsid w:val="000432DF"/>
    <w:rsid w:val="000434BD"/>
    <w:rsid w:val="000436A8"/>
    <w:rsid w:val="00043B05"/>
    <w:rsid w:val="00043B7B"/>
    <w:rsid w:val="00043E36"/>
    <w:rsid w:val="000443C3"/>
    <w:rsid w:val="0004455F"/>
    <w:rsid w:val="00044806"/>
    <w:rsid w:val="00044A42"/>
    <w:rsid w:val="00044AB8"/>
    <w:rsid w:val="000454B2"/>
    <w:rsid w:val="00045976"/>
    <w:rsid w:val="00045E41"/>
    <w:rsid w:val="00046550"/>
    <w:rsid w:val="000466E7"/>
    <w:rsid w:val="000468E2"/>
    <w:rsid w:val="00046A3E"/>
    <w:rsid w:val="00046C6A"/>
    <w:rsid w:val="00046D8E"/>
    <w:rsid w:val="0004701B"/>
    <w:rsid w:val="00047124"/>
    <w:rsid w:val="0004744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0AFA"/>
    <w:rsid w:val="00051333"/>
    <w:rsid w:val="00051E3C"/>
    <w:rsid w:val="000520B1"/>
    <w:rsid w:val="00052241"/>
    <w:rsid w:val="00052672"/>
    <w:rsid w:val="00052814"/>
    <w:rsid w:val="000529E9"/>
    <w:rsid w:val="00053766"/>
    <w:rsid w:val="00053BE0"/>
    <w:rsid w:val="00053CB9"/>
    <w:rsid w:val="00053FAD"/>
    <w:rsid w:val="000541A5"/>
    <w:rsid w:val="0005422C"/>
    <w:rsid w:val="000546E3"/>
    <w:rsid w:val="00054C6E"/>
    <w:rsid w:val="00054DF3"/>
    <w:rsid w:val="00055034"/>
    <w:rsid w:val="000550A9"/>
    <w:rsid w:val="000550B3"/>
    <w:rsid w:val="0005513C"/>
    <w:rsid w:val="00055234"/>
    <w:rsid w:val="00055406"/>
    <w:rsid w:val="00055569"/>
    <w:rsid w:val="00055DF6"/>
    <w:rsid w:val="00055ED8"/>
    <w:rsid w:val="000568D7"/>
    <w:rsid w:val="000568F4"/>
    <w:rsid w:val="00056C02"/>
    <w:rsid w:val="00057006"/>
    <w:rsid w:val="00057285"/>
    <w:rsid w:val="0005742E"/>
    <w:rsid w:val="00057439"/>
    <w:rsid w:val="000574AC"/>
    <w:rsid w:val="0005753C"/>
    <w:rsid w:val="00057902"/>
    <w:rsid w:val="00057E1C"/>
    <w:rsid w:val="00057EA9"/>
    <w:rsid w:val="00057F06"/>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4178"/>
    <w:rsid w:val="0006443B"/>
    <w:rsid w:val="000647C3"/>
    <w:rsid w:val="00064C35"/>
    <w:rsid w:val="00064D3D"/>
    <w:rsid w:val="00064F90"/>
    <w:rsid w:val="00064FE7"/>
    <w:rsid w:val="00065096"/>
    <w:rsid w:val="0006524C"/>
    <w:rsid w:val="00065371"/>
    <w:rsid w:val="00065445"/>
    <w:rsid w:val="00065A4F"/>
    <w:rsid w:val="00065ABF"/>
    <w:rsid w:val="00065BA5"/>
    <w:rsid w:val="00065D4F"/>
    <w:rsid w:val="00065D72"/>
    <w:rsid w:val="00065D7A"/>
    <w:rsid w:val="00065E7F"/>
    <w:rsid w:val="0006634A"/>
    <w:rsid w:val="000664BE"/>
    <w:rsid w:val="00066554"/>
    <w:rsid w:val="0006680F"/>
    <w:rsid w:val="00066D35"/>
    <w:rsid w:val="00067155"/>
    <w:rsid w:val="00067567"/>
    <w:rsid w:val="00067C33"/>
    <w:rsid w:val="00067FB5"/>
    <w:rsid w:val="000703CB"/>
    <w:rsid w:val="000703FE"/>
    <w:rsid w:val="000705DD"/>
    <w:rsid w:val="000706D4"/>
    <w:rsid w:val="00070B52"/>
    <w:rsid w:val="000713EE"/>
    <w:rsid w:val="00071470"/>
    <w:rsid w:val="00071695"/>
    <w:rsid w:val="000717D6"/>
    <w:rsid w:val="00071956"/>
    <w:rsid w:val="00071BD3"/>
    <w:rsid w:val="00071DDA"/>
    <w:rsid w:val="00071E87"/>
    <w:rsid w:val="00071FC6"/>
    <w:rsid w:val="00072134"/>
    <w:rsid w:val="00072D12"/>
    <w:rsid w:val="00072E6E"/>
    <w:rsid w:val="00072F6B"/>
    <w:rsid w:val="00073100"/>
    <w:rsid w:val="00073283"/>
    <w:rsid w:val="000732A8"/>
    <w:rsid w:val="00073445"/>
    <w:rsid w:val="0007349A"/>
    <w:rsid w:val="000735B6"/>
    <w:rsid w:val="000736A0"/>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6B1"/>
    <w:rsid w:val="000776D8"/>
    <w:rsid w:val="00077912"/>
    <w:rsid w:val="00077B88"/>
    <w:rsid w:val="00077BFB"/>
    <w:rsid w:val="00077D2F"/>
    <w:rsid w:val="000800AF"/>
    <w:rsid w:val="00080191"/>
    <w:rsid w:val="0008029D"/>
    <w:rsid w:val="000803B3"/>
    <w:rsid w:val="000804D5"/>
    <w:rsid w:val="000807AE"/>
    <w:rsid w:val="000807B5"/>
    <w:rsid w:val="00080AD9"/>
    <w:rsid w:val="00080B91"/>
    <w:rsid w:val="00080CE2"/>
    <w:rsid w:val="00080F35"/>
    <w:rsid w:val="000811A4"/>
    <w:rsid w:val="000811D4"/>
    <w:rsid w:val="00081259"/>
    <w:rsid w:val="00081792"/>
    <w:rsid w:val="0008187A"/>
    <w:rsid w:val="0008189D"/>
    <w:rsid w:val="0008216A"/>
    <w:rsid w:val="0008217D"/>
    <w:rsid w:val="00082184"/>
    <w:rsid w:val="000825F0"/>
    <w:rsid w:val="000827CD"/>
    <w:rsid w:val="00082B1C"/>
    <w:rsid w:val="00083121"/>
    <w:rsid w:val="00083469"/>
    <w:rsid w:val="000834CD"/>
    <w:rsid w:val="000835B0"/>
    <w:rsid w:val="000835F5"/>
    <w:rsid w:val="0008378A"/>
    <w:rsid w:val="00083B96"/>
    <w:rsid w:val="00083EAD"/>
    <w:rsid w:val="00084044"/>
    <w:rsid w:val="00084211"/>
    <w:rsid w:val="00084419"/>
    <w:rsid w:val="0008449C"/>
    <w:rsid w:val="000845D7"/>
    <w:rsid w:val="000846F8"/>
    <w:rsid w:val="00084B71"/>
    <w:rsid w:val="00084D1E"/>
    <w:rsid w:val="00084DFB"/>
    <w:rsid w:val="0008526A"/>
    <w:rsid w:val="000853EB"/>
    <w:rsid w:val="00085484"/>
    <w:rsid w:val="00085847"/>
    <w:rsid w:val="00085BE8"/>
    <w:rsid w:val="00085E04"/>
    <w:rsid w:val="0008608A"/>
    <w:rsid w:val="000863ED"/>
    <w:rsid w:val="000864B4"/>
    <w:rsid w:val="00086911"/>
    <w:rsid w:val="00086C30"/>
    <w:rsid w:val="00086D5D"/>
    <w:rsid w:val="00086DA6"/>
    <w:rsid w:val="000875DD"/>
    <w:rsid w:val="000878C4"/>
    <w:rsid w:val="00087C2A"/>
    <w:rsid w:val="00087E0A"/>
    <w:rsid w:val="00090055"/>
    <w:rsid w:val="000901F1"/>
    <w:rsid w:val="0009096A"/>
    <w:rsid w:val="00090B6B"/>
    <w:rsid w:val="00090D4B"/>
    <w:rsid w:val="00090EA4"/>
    <w:rsid w:val="000910D7"/>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600"/>
    <w:rsid w:val="00094AC0"/>
    <w:rsid w:val="00094B2F"/>
    <w:rsid w:val="0009571A"/>
    <w:rsid w:val="000957A2"/>
    <w:rsid w:val="00095892"/>
    <w:rsid w:val="00095A1A"/>
    <w:rsid w:val="00095A8C"/>
    <w:rsid w:val="00095C0B"/>
    <w:rsid w:val="00095C79"/>
    <w:rsid w:val="00096343"/>
    <w:rsid w:val="00096552"/>
    <w:rsid w:val="00096607"/>
    <w:rsid w:val="00096700"/>
    <w:rsid w:val="0009691F"/>
    <w:rsid w:val="00096925"/>
    <w:rsid w:val="0009694F"/>
    <w:rsid w:val="00096B06"/>
    <w:rsid w:val="00096E8F"/>
    <w:rsid w:val="0009706D"/>
    <w:rsid w:val="00097551"/>
    <w:rsid w:val="000975A5"/>
    <w:rsid w:val="00097833"/>
    <w:rsid w:val="000978DD"/>
    <w:rsid w:val="00097A89"/>
    <w:rsid w:val="00097E80"/>
    <w:rsid w:val="00097F2B"/>
    <w:rsid w:val="000A0424"/>
    <w:rsid w:val="000A05BC"/>
    <w:rsid w:val="000A06AB"/>
    <w:rsid w:val="000A07D2"/>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20E"/>
    <w:rsid w:val="000A3320"/>
    <w:rsid w:val="000A3563"/>
    <w:rsid w:val="000A3935"/>
    <w:rsid w:val="000A3E2D"/>
    <w:rsid w:val="000A44D4"/>
    <w:rsid w:val="000A4524"/>
    <w:rsid w:val="000A4554"/>
    <w:rsid w:val="000A4A38"/>
    <w:rsid w:val="000A4B74"/>
    <w:rsid w:val="000A508F"/>
    <w:rsid w:val="000A52E7"/>
    <w:rsid w:val="000A5446"/>
    <w:rsid w:val="000A544B"/>
    <w:rsid w:val="000A591E"/>
    <w:rsid w:val="000A5A20"/>
    <w:rsid w:val="000A5A43"/>
    <w:rsid w:val="000A5D40"/>
    <w:rsid w:val="000A5DAF"/>
    <w:rsid w:val="000A6107"/>
    <w:rsid w:val="000A6195"/>
    <w:rsid w:val="000A64E1"/>
    <w:rsid w:val="000A6500"/>
    <w:rsid w:val="000A65ED"/>
    <w:rsid w:val="000A6ADD"/>
    <w:rsid w:val="000A6ECC"/>
    <w:rsid w:val="000A716D"/>
    <w:rsid w:val="000A7347"/>
    <w:rsid w:val="000A77D0"/>
    <w:rsid w:val="000A7823"/>
    <w:rsid w:val="000A79F0"/>
    <w:rsid w:val="000A7A88"/>
    <w:rsid w:val="000A7A8B"/>
    <w:rsid w:val="000A7C1F"/>
    <w:rsid w:val="000A7F9D"/>
    <w:rsid w:val="000B01AF"/>
    <w:rsid w:val="000B0467"/>
    <w:rsid w:val="000B055C"/>
    <w:rsid w:val="000B09D0"/>
    <w:rsid w:val="000B0F74"/>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7E6"/>
    <w:rsid w:val="000B3BA4"/>
    <w:rsid w:val="000B3BDA"/>
    <w:rsid w:val="000B3E6B"/>
    <w:rsid w:val="000B3FC1"/>
    <w:rsid w:val="000B414C"/>
    <w:rsid w:val="000B41C6"/>
    <w:rsid w:val="000B43C6"/>
    <w:rsid w:val="000B47A7"/>
    <w:rsid w:val="000B48FF"/>
    <w:rsid w:val="000B4930"/>
    <w:rsid w:val="000B497E"/>
    <w:rsid w:val="000B4C66"/>
    <w:rsid w:val="000B4D57"/>
    <w:rsid w:val="000B4EBD"/>
    <w:rsid w:val="000B54AE"/>
    <w:rsid w:val="000B58B6"/>
    <w:rsid w:val="000B595A"/>
    <w:rsid w:val="000B5C5B"/>
    <w:rsid w:val="000B5FF0"/>
    <w:rsid w:val="000B607D"/>
    <w:rsid w:val="000B6139"/>
    <w:rsid w:val="000B61F1"/>
    <w:rsid w:val="000B641A"/>
    <w:rsid w:val="000B64EA"/>
    <w:rsid w:val="000B66DF"/>
    <w:rsid w:val="000B67EE"/>
    <w:rsid w:val="000B6A5E"/>
    <w:rsid w:val="000B70BC"/>
    <w:rsid w:val="000B739A"/>
    <w:rsid w:val="000B73B7"/>
    <w:rsid w:val="000B7631"/>
    <w:rsid w:val="000B776B"/>
    <w:rsid w:val="000B7A33"/>
    <w:rsid w:val="000B7AF5"/>
    <w:rsid w:val="000B7B36"/>
    <w:rsid w:val="000B7E37"/>
    <w:rsid w:val="000C0100"/>
    <w:rsid w:val="000C027E"/>
    <w:rsid w:val="000C0681"/>
    <w:rsid w:val="000C0999"/>
    <w:rsid w:val="000C0BE5"/>
    <w:rsid w:val="000C0E3A"/>
    <w:rsid w:val="000C0EAA"/>
    <w:rsid w:val="000C0FF7"/>
    <w:rsid w:val="000C109C"/>
    <w:rsid w:val="000C1470"/>
    <w:rsid w:val="000C1898"/>
    <w:rsid w:val="000C1978"/>
    <w:rsid w:val="000C19A9"/>
    <w:rsid w:val="000C1A64"/>
    <w:rsid w:val="000C1ADA"/>
    <w:rsid w:val="000C1B81"/>
    <w:rsid w:val="000C1E86"/>
    <w:rsid w:val="000C1EEB"/>
    <w:rsid w:val="000C1F70"/>
    <w:rsid w:val="000C2046"/>
    <w:rsid w:val="000C2A98"/>
    <w:rsid w:val="000C2CC9"/>
    <w:rsid w:val="000C2E50"/>
    <w:rsid w:val="000C3067"/>
    <w:rsid w:val="000C30DD"/>
    <w:rsid w:val="000C323C"/>
    <w:rsid w:val="000C34F0"/>
    <w:rsid w:val="000C3512"/>
    <w:rsid w:val="000C3534"/>
    <w:rsid w:val="000C3BFA"/>
    <w:rsid w:val="000C3D3E"/>
    <w:rsid w:val="000C3E3B"/>
    <w:rsid w:val="000C4015"/>
    <w:rsid w:val="000C405D"/>
    <w:rsid w:val="000C4440"/>
    <w:rsid w:val="000C45D5"/>
    <w:rsid w:val="000C4733"/>
    <w:rsid w:val="000C4791"/>
    <w:rsid w:val="000C4804"/>
    <w:rsid w:val="000C486E"/>
    <w:rsid w:val="000C4B14"/>
    <w:rsid w:val="000C4BEC"/>
    <w:rsid w:val="000C4CD3"/>
    <w:rsid w:val="000C52B2"/>
    <w:rsid w:val="000C53D3"/>
    <w:rsid w:val="000C53D4"/>
    <w:rsid w:val="000C5518"/>
    <w:rsid w:val="000C5720"/>
    <w:rsid w:val="000C5898"/>
    <w:rsid w:val="000C61AB"/>
    <w:rsid w:val="000C628E"/>
    <w:rsid w:val="000C6577"/>
    <w:rsid w:val="000C6610"/>
    <w:rsid w:val="000C6902"/>
    <w:rsid w:val="000C69CA"/>
    <w:rsid w:val="000C71A3"/>
    <w:rsid w:val="000C728E"/>
    <w:rsid w:val="000C755B"/>
    <w:rsid w:val="000C7646"/>
    <w:rsid w:val="000C7708"/>
    <w:rsid w:val="000C7914"/>
    <w:rsid w:val="000C7A75"/>
    <w:rsid w:val="000C7BE4"/>
    <w:rsid w:val="000C7E7C"/>
    <w:rsid w:val="000D02D7"/>
    <w:rsid w:val="000D0536"/>
    <w:rsid w:val="000D057B"/>
    <w:rsid w:val="000D0723"/>
    <w:rsid w:val="000D082B"/>
    <w:rsid w:val="000D0AEE"/>
    <w:rsid w:val="000D1461"/>
    <w:rsid w:val="000D19EF"/>
    <w:rsid w:val="000D1C63"/>
    <w:rsid w:val="000D20A1"/>
    <w:rsid w:val="000D23CE"/>
    <w:rsid w:val="000D25EF"/>
    <w:rsid w:val="000D2718"/>
    <w:rsid w:val="000D280C"/>
    <w:rsid w:val="000D333F"/>
    <w:rsid w:val="000D34BD"/>
    <w:rsid w:val="000D3537"/>
    <w:rsid w:val="000D37F7"/>
    <w:rsid w:val="000D38B0"/>
    <w:rsid w:val="000D390C"/>
    <w:rsid w:val="000D3A17"/>
    <w:rsid w:val="000D414D"/>
    <w:rsid w:val="000D416D"/>
    <w:rsid w:val="000D4395"/>
    <w:rsid w:val="000D4534"/>
    <w:rsid w:val="000D45F1"/>
    <w:rsid w:val="000D46FC"/>
    <w:rsid w:val="000D47E4"/>
    <w:rsid w:val="000D4894"/>
    <w:rsid w:val="000D4E86"/>
    <w:rsid w:val="000D4EB1"/>
    <w:rsid w:val="000D51B6"/>
    <w:rsid w:val="000D5487"/>
    <w:rsid w:val="000D5579"/>
    <w:rsid w:val="000D5939"/>
    <w:rsid w:val="000D5BB3"/>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06"/>
    <w:rsid w:val="000D7836"/>
    <w:rsid w:val="000D7B79"/>
    <w:rsid w:val="000D7E48"/>
    <w:rsid w:val="000D7F97"/>
    <w:rsid w:val="000E0200"/>
    <w:rsid w:val="000E0223"/>
    <w:rsid w:val="000E0335"/>
    <w:rsid w:val="000E03A7"/>
    <w:rsid w:val="000E07F5"/>
    <w:rsid w:val="000E082D"/>
    <w:rsid w:val="000E0C92"/>
    <w:rsid w:val="000E0E67"/>
    <w:rsid w:val="000E1071"/>
    <w:rsid w:val="000E14F3"/>
    <w:rsid w:val="000E18B0"/>
    <w:rsid w:val="000E197E"/>
    <w:rsid w:val="000E198B"/>
    <w:rsid w:val="000E1A41"/>
    <w:rsid w:val="000E1A9E"/>
    <w:rsid w:val="000E1BF8"/>
    <w:rsid w:val="000E1D21"/>
    <w:rsid w:val="000E1EE0"/>
    <w:rsid w:val="000E2609"/>
    <w:rsid w:val="000E26CD"/>
    <w:rsid w:val="000E27EA"/>
    <w:rsid w:val="000E2C4B"/>
    <w:rsid w:val="000E2D27"/>
    <w:rsid w:val="000E2F2B"/>
    <w:rsid w:val="000E2F5A"/>
    <w:rsid w:val="000E356E"/>
    <w:rsid w:val="000E35F1"/>
    <w:rsid w:val="000E3A04"/>
    <w:rsid w:val="000E3A37"/>
    <w:rsid w:val="000E3A7F"/>
    <w:rsid w:val="000E3B7F"/>
    <w:rsid w:val="000E3C1E"/>
    <w:rsid w:val="000E3EC4"/>
    <w:rsid w:val="000E3FBC"/>
    <w:rsid w:val="000E459D"/>
    <w:rsid w:val="000E4750"/>
    <w:rsid w:val="000E4788"/>
    <w:rsid w:val="000E4C9D"/>
    <w:rsid w:val="000E4E61"/>
    <w:rsid w:val="000E51A0"/>
    <w:rsid w:val="000E58E0"/>
    <w:rsid w:val="000E59FD"/>
    <w:rsid w:val="000E5C16"/>
    <w:rsid w:val="000E61AE"/>
    <w:rsid w:val="000E6201"/>
    <w:rsid w:val="000E68CA"/>
    <w:rsid w:val="000E690A"/>
    <w:rsid w:val="000E695D"/>
    <w:rsid w:val="000E699A"/>
    <w:rsid w:val="000E6FA8"/>
    <w:rsid w:val="000E702D"/>
    <w:rsid w:val="000E719A"/>
    <w:rsid w:val="000E72A8"/>
    <w:rsid w:val="000E7303"/>
    <w:rsid w:val="000E75D1"/>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9EA"/>
    <w:rsid w:val="000F4A60"/>
    <w:rsid w:val="000F4B0A"/>
    <w:rsid w:val="000F4D76"/>
    <w:rsid w:val="000F4E7E"/>
    <w:rsid w:val="000F514F"/>
    <w:rsid w:val="000F52C9"/>
    <w:rsid w:val="000F54AD"/>
    <w:rsid w:val="000F5A73"/>
    <w:rsid w:val="000F5F64"/>
    <w:rsid w:val="000F60A0"/>
    <w:rsid w:val="000F63D5"/>
    <w:rsid w:val="000F6650"/>
    <w:rsid w:val="000F6C35"/>
    <w:rsid w:val="000F6E53"/>
    <w:rsid w:val="000F7126"/>
    <w:rsid w:val="000F7275"/>
    <w:rsid w:val="000F77FE"/>
    <w:rsid w:val="000F7AFB"/>
    <w:rsid w:val="000F7BB0"/>
    <w:rsid w:val="000F7CDA"/>
    <w:rsid w:val="000F7D76"/>
    <w:rsid w:val="001002AB"/>
    <w:rsid w:val="00100669"/>
    <w:rsid w:val="0010068B"/>
    <w:rsid w:val="0010072D"/>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59"/>
    <w:rsid w:val="00103CCA"/>
    <w:rsid w:val="00103DE9"/>
    <w:rsid w:val="00103FA7"/>
    <w:rsid w:val="00104198"/>
    <w:rsid w:val="0010440E"/>
    <w:rsid w:val="00104824"/>
    <w:rsid w:val="001048AE"/>
    <w:rsid w:val="00104CC5"/>
    <w:rsid w:val="00104E16"/>
    <w:rsid w:val="0010517D"/>
    <w:rsid w:val="0010525A"/>
    <w:rsid w:val="001054F9"/>
    <w:rsid w:val="001055C5"/>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C86"/>
    <w:rsid w:val="00110DE1"/>
    <w:rsid w:val="00110F5F"/>
    <w:rsid w:val="001111A4"/>
    <w:rsid w:val="001111EF"/>
    <w:rsid w:val="00111223"/>
    <w:rsid w:val="00111350"/>
    <w:rsid w:val="0011142F"/>
    <w:rsid w:val="00111643"/>
    <w:rsid w:val="0011166B"/>
    <w:rsid w:val="001116FD"/>
    <w:rsid w:val="00111A81"/>
    <w:rsid w:val="00111D10"/>
    <w:rsid w:val="00112203"/>
    <w:rsid w:val="00112486"/>
    <w:rsid w:val="00112539"/>
    <w:rsid w:val="00112579"/>
    <w:rsid w:val="00112A1C"/>
    <w:rsid w:val="00112DE5"/>
    <w:rsid w:val="00112ED5"/>
    <w:rsid w:val="00113072"/>
    <w:rsid w:val="0011325C"/>
    <w:rsid w:val="0011381F"/>
    <w:rsid w:val="00113B42"/>
    <w:rsid w:val="00113E69"/>
    <w:rsid w:val="00113F1A"/>
    <w:rsid w:val="00114355"/>
    <w:rsid w:val="00114480"/>
    <w:rsid w:val="00114568"/>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E41"/>
    <w:rsid w:val="00117F86"/>
    <w:rsid w:val="00120043"/>
    <w:rsid w:val="00120230"/>
    <w:rsid w:val="001202C6"/>
    <w:rsid w:val="00120411"/>
    <w:rsid w:val="0012079D"/>
    <w:rsid w:val="00120E34"/>
    <w:rsid w:val="00120E8D"/>
    <w:rsid w:val="0012121E"/>
    <w:rsid w:val="00121335"/>
    <w:rsid w:val="00121382"/>
    <w:rsid w:val="00121541"/>
    <w:rsid w:val="00121B5E"/>
    <w:rsid w:val="00121CA1"/>
    <w:rsid w:val="00121E93"/>
    <w:rsid w:val="00121EDE"/>
    <w:rsid w:val="00121F5D"/>
    <w:rsid w:val="00122706"/>
    <w:rsid w:val="00122B44"/>
    <w:rsid w:val="001234B9"/>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1BA"/>
    <w:rsid w:val="00126295"/>
    <w:rsid w:val="00126493"/>
    <w:rsid w:val="0012657B"/>
    <w:rsid w:val="00126F64"/>
    <w:rsid w:val="00127008"/>
    <w:rsid w:val="0012713C"/>
    <w:rsid w:val="00127307"/>
    <w:rsid w:val="00127422"/>
    <w:rsid w:val="001275A6"/>
    <w:rsid w:val="00127654"/>
    <w:rsid w:val="00127678"/>
    <w:rsid w:val="00127CE6"/>
    <w:rsid w:val="00130280"/>
    <w:rsid w:val="001304C4"/>
    <w:rsid w:val="00130541"/>
    <w:rsid w:val="0013070D"/>
    <w:rsid w:val="00130719"/>
    <w:rsid w:val="00130B37"/>
    <w:rsid w:val="00130B64"/>
    <w:rsid w:val="00130E70"/>
    <w:rsid w:val="00130FF4"/>
    <w:rsid w:val="001312DE"/>
    <w:rsid w:val="001315A5"/>
    <w:rsid w:val="001315EB"/>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4D2"/>
    <w:rsid w:val="00135DC8"/>
    <w:rsid w:val="00135F3C"/>
    <w:rsid w:val="001361F1"/>
    <w:rsid w:val="001363F1"/>
    <w:rsid w:val="001364BC"/>
    <w:rsid w:val="00136660"/>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A02"/>
    <w:rsid w:val="00141C08"/>
    <w:rsid w:val="00141CA1"/>
    <w:rsid w:val="0014201B"/>
    <w:rsid w:val="00142062"/>
    <w:rsid w:val="0014210A"/>
    <w:rsid w:val="00142485"/>
    <w:rsid w:val="0014296A"/>
    <w:rsid w:val="00143061"/>
    <w:rsid w:val="00143335"/>
    <w:rsid w:val="00143391"/>
    <w:rsid w:val="001438FC"/>
    <w:rsid w:val="00143DDE"/>
    <w:rsid w:val="00143F3D"/>
    <w:rsid w:val="0014413D"/>
    <w:rsid w:val="00145AB8"/>
    <w:rsid w:val="00145BBD"/>
    <w:rsid w:val="00145D7D"/>
    <w:rsid w:val="001463CA"/>
    <w:rsid w:val="00146572"/>
    <w:rsid w:val="0014708A"/>
    <w:rsid w:val="00147197"/>
    <w:rsid w:val="001476D4"/>
    <w:rsid w:val="0014776E"/>
    <w:rsid w:val="00147784"/>
    <w:rsid w:val="00147791"/>
    <w:rsid w:val="001477F4"/>
    <w:rsid w:val="00147B3E"/>
    <w:rsid w:val="00147E99"/>
    <w:rsid w:val="00150056"/>
    <w:rsid w:val="0015007A"/>
    <w:rsid w:val="001501AF"/>
    <w:rsid w:val="001502F8"/>
    <w:rsid w:val="0015095B"/>
    <w:rsid w:val="00150A4F"/>
    <w:rsid w:val="00150F85"/>
    <w:rsid w:val="00151028"/>
    <w:rsid w:val="0015144C"/>
    <w:rsid w:val="00151521"/>
    <w:rsid w:val="00151572"/>
    <w:rsid w:val="00151969"/>
    <w:rsid w:val="00151B26"/>
    <w:rsid w:val="00151F5E"/>
    <w:rsid w:val="00151F7E"/>
    <w:rsid w:val="001520FA"/>
    <w:rsid w:val="001521B3"/>
    <w:rsid w:val="0015220F"/>
    <w:rsid w:val="00152B3C"/>
    <w:rsid w:val="00152D6E"/>
    <w:rsid w:val="00152E1C"/>
    <w:rsid w:val="00153005"/>
    <w:rsid w:val="001534F7"/>
    <w:rsid w:val="001538A6"/>
    <w:rsid w:val="00153952"/>
    <w:rsid w:val="00153AD9"/>
    <w:rsid w:val="00153C3E"/>
    <w:rsid w:val="00153F3C"/>
    <w:rsid w:val="001540D4"/>
    <w:rsid w:val="00154153"/>
    <w:rsid w:val="00154223"/>
    <w:rsid w:val="00154492"/>
    <w:rsid w:val="001545E0"/>
    <w:rsid w:val="00154908"/>
    <w:rsid w:val="00154E3C"/>
    <w:rsid w:val="00155050"/>
    <w:rsid w:val="00155265"/>
    <w:rsid w:val="001559B7"/>
    <w:rsid w:val="00155DAE"/>
    <w:rsid w:val="00155EB3"/>
    <w:rsid w:val="0015615D"/>
    <w:rsid w:val="001561D4"/>
    <w:rsid w:val="00156301"/>
    <w:rsid w:val="001565BD"/>
    <w:rsid w:val="00156775"/>
    <w:rsid w:val="00156BB9"/>
    <w:rsid w:val="00156FF8"/>
    <w:rsid w:val="00157383"/>
    <w:rsid w:val="0015754F"/>
    <w:rsid w:val="00157717"/>
    <w:rsid w:val="001577FE"/>
    <w:rsid w:val="00157826"/>
    <w:rsid w:val="001579E7"/>
    <w:rsid w:val="00157B10"/>
    <w:rsid w:val="00160197"/>
    <w:rsid w:val="00160355"/>
    <w:rsid w:val="0016053D"/>
    <w:rsid w:val="00160A74"/>
    <w:rsid w:val="00160B1A"/>
    <w:rsid w:val="00160EB3"/>
    <w:rsid w:val="001616F0"/>
    <w:rsid w:val="00161826"/>
    <w:rsid w:val="00161B04"/>
    <w:rsid w:val="00161DD3"/>
    <w:rsid w:val="00162094"/>
    <w:rsid w:val="001623A4"/>
    <w:rsid w:val="001625B7"/>
    <w:rsid w:val="0016261F"/>
    <w:rsid w:val="001630F8"/>
    <w:rsid w:val="0016323F"/>
    <w:rsid w:val="00163676"/>
    <w:rsid w:val="001636EE"/>
    <w:rsid w:val="001637E5"/>
    <w:rsid w:val="001638B6"/>
    <w:rsid w:val="00163961"/>
    <w:rsid w:val="00163A47"/>
    <w:rsid w:val="00163BF8"/>
    <w:rsid w:val="00163F68"/>
    <w:rsid w:val="00163F92"/>
    <w:rsid w:val="001642FB"/>
    <w:rsid w:val="00164681"/>
    <w:rsid w:val="00164721"/>
    <w:rsid w:val="00164785"/>
    <w:rsid w:val="00164CE6"/>
    <w:rsid w:val="00164DD5"/>
    <w:rsid w:val="00164F0B"/>
    <w:rsid w:val="001650A6"/>
    <w:rsid w:val="00165345"/>
    <w:rsid w:val="00165465"/>
    <w:rsid w:val="00165769"/>
    <w:rsid w:val="00165A0B"/>
    <w:rsid w:val="00165C19"/>
    <w:rsid w:val="00165D60"/>
    <w:rsid w:val="001661B4"/>
    <w:rsid w:val="001661D6"/>
    <w:rsid w:val="00166332"/>
    <w:rsid w:val="001663A4"/>
    <w:rsid w:val="001663DB"/>
    <w:rsid w:val="001664C3"/>
    <w:rsid w:val="001666E5"/>
    <w:rsid w:val="0016679D"/>
    <w:rsid w:val="00166919"/>
    <w:rsid w:val="00166C29"/>
    <w:rsid w:val="00166E70"/>
    <w:rsid w:val="001674CC"/>
    <w:rsid w:val="00167650"/>
    <w:rsid w:val="001676ED"/>
    <w:rsid w:val="00167E66"/>
    <w:rsid w:val="001700A5"/>
    <w:rsid w:val="001700B5"/>
    <w:rsid w:val="001702E0"/>
    <w:rsid w:val="001705FC"/>
    <w:rsid w:val="0017076B"/>
    <w:rsid w:val="00170888"/>
    <w:rsid w:val="00170AFC"/>
    <w:rsid w:val="00170BD3"/>
    <w:rsid w:val="00171357"/>
    <w:rsid w:val="0017147A"/>
    <w:rsid w:val="001716AB"/>
    <w:rsid w:val="00171872"/>
    <w:rsid w:val="001718D9"/>
    <w:rsid w:val="001719EA"/>
    <w:rsid w:val="0017264A"/>
    <w:rsid w:val="00172D10"/>
    <w:rsid w:val="00172D59"/>
    <w:rsid w:val="00172ED9"/>
    <w:rsid w:val="00172F37"/>
    <w:rsid w:val="00172F62"/>
    <w:rsid w:val="00173099"/>
    <w:rsid w:val="001730C2"/>
    <w:rsid w:val="001730D9"/>
    <w:rsid w:val="001738A9"/>
    <w:rsid w:val="00173BC9"/>
    <w:rsid w:val="00173BFF"/>
    <w:rsid w:val="00173E07"/>
    <w:rsid w:val="00174654"/>
    <w:rsid w:val="001747EB"/>
    <w:rsid w:val="00174CD1"/>
    <w:rsid w:val="001750CD"/>
    <w:rsid w:val="001752C8"/>
    <w:rsid w:val="001754EE"/>
    <w:rsid w:val="00175520"/>
    <w:rsid w:val="001755D6"/>
    <w:rsid w:val="001755FC"/>
    <w:rsid w:val="00175895"/>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4D3"/>
    <w:rsid w:val="00177510"/>
    <w:rsid w:val="001777B7"/>
    <w:rsid w:val="001777D3"/>
    <w:rsid w:val="00177816"/>
    <w:rsid w:val="00177996"/>
    <w:rsid w:val="00177AE0"/>
    <w:rsid w:val="00177AFD"/>
    <w:rsid w:val="00177B86"/>
    <w:rsid w:val="00177CE2"/>
    <w:rsid w:val="00177CF4"/>
    <w:rsid w:val="00177F1E"/>
    <w:rsid w:val="00180116"/>
    <w:rsid w:val="001807A9"/>
    <w:rsid w:val="00180812"/>
    <w:rsid w:val="0018082C"/>
    <w:rsid w:val="00180C02"/>
    <w:rsid w:val="00180C73"/>
    <w:rsid w:val="00180CA5"/>
    <w:rsid w:val="00180D24"/>
    <w:rsid w:val="00180DB8"/>
    <w:rsid w:val="00180DD5"/>
    <w:rsid w:val="001810AC"/>
    <w:rsid w:val="00181350"/>
    <w:rsid w:val="001815EA"/>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3EF3"/>
    <w:rsid w:val="001843EF"/>
    <w:rsid w:val="001844BB"/>
    <w:rsid w:val="001844C3"/>
    <w:rsid w:val="00184870"/>
    <w:rsid w:val="00184950"/>
    <w:rsid w:val="00184D84"/>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E74"/>
    <w:rsid w:val="00187F9D"/>
    <w:rsid w:val="00187FBE"/>
    <w:rsid w:val="00190163"/>
    <w:rsid w:val="001908F8"/>
    <w:rsid w:val="00190A1E"/>
    <w:rsid w:val="001912E2"/>
    <w:rsid w:val="00191A2A"/>
    <w:rsid w:val="00191BF5"/>
    <w:rsid w:val="00191C56"/>
    <w:rsid w:val="00191D8C"/>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E17"/>
    <w:rsid w:val="00193FA0"/>
    <w:rsid w:val="00194242"/>
    <w:rsid w:val="0019484D"/>
    <w:rsid w:val="00194A0F"/>
    <w:rsid w:val="00194B51"/>
    <w:rsid w:val="00195512"/>
    <w:rsid w:val="00196088"/>
    <w:rsid w:val="001962D1"/>
    <w:rsid w:val="00196902"/>
    <w:rsid w:val="00196BE4"/>
    <w:rsid w:val="00196CC1"/>
    <w:rsid w:val="00196CD9"/>
    <w:rsid w:val="001970C6"/>
    <w:rsid w:val="00197294"/>
    <w:rsid w:val="00197522"/>
    <w:rsid w:val="001976A1"/>
    <w:rsid w:val="0019786E"/>
    <w:rsid w:val="00197A47"/>
    <w:rsid w:val="001A01B9"/>
    <w:rsid w:val="001A02EB"/>
    <w:rsid w:val="001A0303"/>
    <w:rsid w:val="001A03B3"/>
    <w:rsid w:val="001A090B"/>
    <w:rsid w:val="001A0C22"/>
    <w:rsid w:val="001A0CB3"/>
    <w:rsid w:val="001A0D6D"/>
    <w:rsid w:val="001A102F"/>
    <w:rsid w:val="001A14A4"/>
    <w:rsid w:val="001A1572"/>
    <w:rsid w:val="001A183D"/>
    <w:rsid w:val="001A1CA7"/>
    <w:rsid w:val="001A1DC1"/>
    <w:rsid w:val="001A2019"/>
    <w:rsid w:val="001A2024"/>
    <w:rsid w:val="001A2787"/>
    <w:rsid w:val="001A2A80"/>
    <w:rsid w:val="001A2C40"/>
    <w:rsid w:val="001A2D05"/>
    <w:rsid w:val="001A2EA0"/>
    <w:rsid w:val="001A3205"/>
    <w:rsid w:val="001A332F"/>
    <w:rsid w:val="001A3653"/>
    <w:rsid w:val="001A3A1C"/>
    <w:rsid w:val="001A3A62"/>
    <w:rsid w:val="001A3C4B"/>
    <w:rsid w:val="001A4016"/>
    <w:rsid w:val="001A40E0"/>
    <w:rsid w:val="001A4259"/>
    <w:rsid w:val="001A446E"/>
    <w:rsid w:val="001A45AB"/>
    <w:rsid w:val="001A4C2D"/>
    <w:rsid w:val="001A4CE7"/>
    <w:rsid w:val="001A4CFE"/>
    <w:rsid w:val="001A4D24"/>
    <w:rsid w:val="001A4FE4"/>
    <w:rsid w:val="001A5720"/>
    <w:rsid w:val="001A58FB"/>
    <w:rsid w:val="001A59BE"/>
    <w:rsid w:val="001A5E37"/>
    <w:rsid w:val="001A5EB0"/>
    <w:rsid w:val="001A5EFC"/>
    <w:rsid w:val="001A5FC1"/>
    <w:rsid w:val="001A602A"/>
    <w:rsid w:val="001A61A3"/>
    <w:rsid w:val="001A63A1"/>
    <w:rsid w:val="001A63A2"/>
    <w:rsid w:val="001A65C7"/>
    <w:rsid w:val="001A6768"/>
    <w:rsid w:val="001A6852"/>
    <w:rsid w:val="001A68DD"/>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61B"/>
    <w:rsid w:val="001B079F"/>
    <w:rsid w:val="001B07D6"/>
    <w:rsid w:val="001B0814"/>
    <w:rsid w:val="001B0918"/>
    <w:rsid w:val="001B0ADD"/>
    <w:rsid w:val="001B0FAC"/>
    <w:rsid w:val="001B100D"/>
    <w:rsid w:val="001B1034"/>
    <w:rsid w:val="001B1499"/>
    <w:rsid w:val="001B15A6"/>
    <w:rsid w:val="001B17DA"/>
    <w:rsid w:val="001B1A64"/>
    <w:rsid w:val="001B1B45"/>
    <w:rsid w:val="001B1BC5"/>
    <w:rsid w:val="001B1C3B"/>
    <w:rsid w:val="001B1C41"/>
    <w:rsid w:val="001B1CD7"/>
    <w:rsid w:val="001B296B"/>
    <w:rsid w:val="001B2A14"/>
    <w:rsid w:val="001B31D0"/>
    <w:rsid w:val="001B31FB"/>
    <w:rsid w:val="001B35F9"/>
    <w:rsid w:val="001B3705"/>
    <w:rsid w:val="001B3734"/>
    <w:rsid w:val="001B3A7C"/>
    <w:rsid w:val="001B3EB5"/>
    <w:rsid w:val="001B400F"/>
    <w:rsid w:val="001B4075"/>
    <w:rsid w:val="001B40A8"/>
    <w:rsid w:val="001B42A3"/>
    <w:rsid w:val="001B43E8"/>
    <w:rsid w:val="001B4508"/>
    <w:rsid w:val="001B459A"/>
    <w:rsid w:val="001B45AA"/>
    <w:rsid w:val="001B4D25"/>
    <w:rsid w:val="001B4D98"/>
    <w:rsid w:val="001B5070"/>
    <w:rsid w:val="001B51CB"/>
    <w:rsid w:val="001B533B"/>
    <w:rsid w:val="001B54BE"/>
    <w:rsid w:val="001B572C"/>
    <w:rsid w:val="001B57D4"/>
    <w:rsid w:val="001B6068"/>
    <w:rsid w:val="001B627A"/>
    <w:rsid w:val="001B6448"/>
    <w:rsid w:val="001B6B7E"/>
    <w:rsid w:val="001B6BAD"/>
    <w:rsid w:val="001B6F81"/>
    <w:rsid w:val="001B70A1"/>
    <w:rsid w:val="001B76B5"/>
    <w:rsid w:val="001B7802"/>
    <w:rsid w:val="001B7D87"/>
    <w:rsid w:val="001B7E7B"/>
    <w:rsid w:val="001C0463"/>
    <w:rsid w:val="001C04FE"/>
    <w:rsid w:val="001C0985"/>
    <w:rsid w:val="001C10DE"/>
    <w:rsid w:val="001C11EB"/>
    <w:rsid w:val="001C13D8"/>
    <w:rsid w:val="001C15ED"/>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EC5"/>
    <w:rsid w:val="001C4285"/>
    <w:rsid w:val="001C4737"/>
    <w:rsid w:val="001C4833"/>
    <w:rsid w:val="001C48DA"/>
    <w:rsid w:val="001C49A1"/>
    <w:rsid w:val="001C4A99"/>
    <w:rsid w:val="001C580F"/>
    <w:rsid w:val="001C58C0"/>
    <w:rsid w:val="001C5C8A"/>
    <w:rsid w:val="001C6197"/>
    <w:rsid w:val="001C680C"/>
    <w:rsid w:val="001C68EB"/>
    <w:rsid w:val="001C6B35"/>
    <w:rsid w:val="001C6CF1"/>
    <w:rsid w:val="001C6E36"/>
    <w:rsid w:val="001C6ECF"/>
    <w:rsid w:val="001C7433"/>
    <w:rsid w:val="001C77DB"/>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5D5"/>
    <w:rsid w:val="001D3722"/>
    <w:rsid w:val="001D3813"/>
    <w:rsid w:val="001D39D7"/>
    <w:rsid w:val="001D3DAC"/>
    <w:rsid w:val="001D4080"/>
    <w:rsid w:val="001D4188"/>
    <w:rsid w:val="001D41D1"/>
    <w:rsid w:val="001D41E2"/>
    <w:rsid w:val="001D437D"/>
    <w:rsid w:val="001D45BA"/>
    <w:rsid w:val="001D4679"/>
    <w:rsid w:val="001D48E3"/>
    <w:rsid w:val="001D4B50"/>
    <w:rsid w:val="001D4D89"/>
    <w:rsid w:val="001D4F82"/>
    <w:rsid w:val="001D5301"/>
    <w:rsid w:val="001D5466"/>
    <w:rsid w:val="001D585C"/>
    <w:rsid w:val="001D5903"/>
    <w:rsid w:val="001D595B"/>
    <w:rsid w:val="001D59BC"/>
    <w:rsid w:val="001D5B41"/>
    <w:rsid w:val="001D5C65"/>
    <w:rsid w:val="001D5D1B"/>
    <w:rsid w:val="001D670F"/>
    <w:rsid w:val="001D68FE"/>
    <w:rsid w:val="001D6923"/>
    <w:rsid w:val="001D6A13"/>
    <w:rsid w:val="001D6C21"/>
    <w:rsid w:val="001D6DC1"/>
    <w:rsid w:val="001D72EF"/>
    <w:rsid w:val="001D7541"/>
    <w:rsid w:val="001D7715"/>
    <w:rsid w:val="001D786F"/>
    <w:rsid w:val="001E0259"/>
    <w:rsid w:val="001E035B"/>
    <w:rsid w:val="001E03CE"/>
    <w:rsid w:val="001E0A98"/>
    <w:rsid w:val="001E0B9A"/>
    <w:rsid w:val="001E0C41"/>
    <w:rsid w:val="001E0CEF"/>
    <w:rsid w:val="001E0F6D"/>
    <w:rsid w:val="001E15FE"/>
    <w:rsid w:val="001E161D"/>
    <w:rsid w:val="001E17B2"/>
    <w:rsid w:val="001E1BB8"/>
    <w:rsid w:val="001E2351"/>
    <w:rsid w:val="001E2525"/>
    <w:rsid w:val="001E2729"/>
    <w:rsid w:val="001E2862"/>
    <w:rsid w:val="001E295A"/>
    <w:rsid w:val="001E2A37"/>
    <w:rsid w:val="001E2C18"/>
    <w:rsid w:val="001E3584"/>
    <w:rsid w:val="001E3A51"/>
    <w:rsid w:val="001E3B09"/>
    <w:rsid w:val="001E3B15"/>
    <w:rsid w:val="001E3C0D"/>
    <w:rsid w:val="001E436A"/>
    <w:rsid w:val="001E44C6"/>
    <w:rsid w:val="001E45D5"/>
    <w:rsid w:val="001E462A"/>
    <w:rsid w:val="001E4662"/>
    <w:rsid w:val="001E4C0D"/>
    <w:rsid w:val="001E5045"/>
    <w:rsid w:val="001E506B"/>
    <w:rsid w:val="001E509F"/>
    <w:rsid w:val="001E519F"/>
    <w:rsid w:val="001E5308"/>
    <w:rsid w:val="001E5462"/>
    <w:rsid w:val="001E5475"/>
    <w:rsid w:val="001E549E"/>
    <w:rsid w:val="001E58C1"/>
    <w:rsid w:val="001E5CE5"/>
    <w:rsid w:val="001E5D29"/>
    <w:rsid w:val="001E5E9C"/>
    <w:rsid w:val="001E60BD"/>
    <w:rsid w:val="001E6125"/>
    <w:rsid w:val="001E63C7"/>
    <w:rsid w:val="001E6428"/>
    <w:rsid w:val="001E65C4"/>
    <w:rsid w:val="001E69E0"/>
    <w:rsid w:val="001E72F1"/>
    <w:rsid w:val="001E74CA"/>
    <w:rsid w:val="001E7518"/>
    <w:rsid w:val="001E758F"/>
    <w:rsid w:val="001E765C"/>
    <w:rsid w:val="001E7741"/>
    <w:rsid w:val="001E77A4"/>
    <w:rsid w:val="001E77D1"/>
    <w:rsid w:val="001E787B"/>
    <w:rsid w:val="001E79DD"/>
    <w:rsid w:val="001E79E2"/>
    <w:rsid w:val="001E7C26"/>
    <w:rsid w:val="001F0008"/>
    <w:rsid w:val="001F00BC"/>
    <w:rsid w:val="001F04D8"/>
    <w:rsid w:val="001F08E5"/>
    <w:rsid w:val="001F09AF"/>
    <w:rsid w:val="001F0A12"/>
    <w:rsid w:val="001F0C8D"/>
    <w:rsid w:val="001F1458"/>
    <w:rsid w:val="001F1A7E"/>
    <w:rsid w:val="001F1ACF"/>
    <w:rsid w:val="001F1F32"/>
    <w:rsid w:val="001F201C"/>
    <w:rsid w:val="001F219E"/>
    <w:rsid w:val="001F236E"/>
    <w:rsid w:val="001F2403"/>
    <w:rsid w:val="001F25EF"/>
    <w:rsid w:val="001F28BF"/>
    <w:rsid w:val="001F28DC"/>
    <w:rsid w:val="001F34E1"/>
    <w:rsid w:val="001F37CE"/>
    <w:rsid w:val="001F3B91"/>
    <w:rsid w:val="001F3B94"/>
    <w:rsid w:val="001F3D7C"/>
    <w:rsid w:val="001F4229"/>
    <w:rsid w:val="001F4355"/>
    <w:rsid w:val="001F452E"/>
    <w:rsid w:val="001F475C"/>
    <w:rsid w:val="001F4A26"/>
    <w:rsid w:val="001F4BD7"/>
    <w:rsid w:val="001F4C53"/>
    <w:rsid w:val="001F4D28"/>
    <w:rsid w:val="001F4E1E"/>
    <w:rsid w:val="001F4F9A"/>
    <w:rsid w:val="001F51CB"/>
    <w:rsid w:val="001F53C9"/>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1F7DD5"/>
    <w:rsid w:val="00200026"/>
    <w:rsid w:val="0020021A"/>
    <w:rsid w:val="00200333"/>
    <w:rsid w:val="002003F9"/>
    <w:rsid w:val="0020057E"/>
    <w:rsid w:val="00200D57"/>
    <w:rsid w:val="00200EC8"/>
    <w:rsid w:val="0020101D"/>
    <w:rsid w:val="00201183"/>
    <w:rsid w:val="00201DC2"/>
    <w:rsid w:val="0020232A"/>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4AA"/>
    <w:rsid w:val="00204709"/>
    <w:rsid w:val="00204843"/>
    <w:rsid w:val="00204904"/>
    <w:rsid w:val="00204B36"/>
    <w:rsid w:val="00204BAA"/>
    <w:rsid w:val="00204CEC"/>
    <w:rsid w:val="00204F23"/>
    <w:rsid w:val="00205236"/>
    <w:rsid w:val="0020534C"/>
    <w:rsid w:val="0020559E"/>
    <w:rsid w:val="00205B3A"/>
    <w:rsid w:val="0020610A"/>
    <w:rsid w:val="002064C9"/>
    <w:rsid w:val="00206676"/>
    <w:rsid w:val="0020687E"/>
    <w:rsid w:val="00206A85"/>
    <w:rsid w:val="00206CA4"/>
    <w:rsid w:val="002070EA"/>
    <w:rsid w:val="0020741C"/>
    <w:rsid w:val="00207700"/>
    <w:rsid w:val="00207853"/>
    <w:rsid w:val="002079D9"/>
    <w:rsid w:val="00207DDA"/>
    <w:rsid w:val="00210269"/>
    <w:rsid w:val="002105BF"/>
    <w:rsid w:val="00210C8D"/>
    <w:rsid w:val="00210F5F"/>
    <w:rsid w:val="00210FDF"/>
    <w:rsid w:val="00210FF4"/>
    <w:rsid w:val="002111C6"/>
    <w:rsid w:val="00211279"/>
    <w:rsid w:val="002118CB"/>
    <w:rsid w:val="0021193D"/>
    <w:rsid w:val="0021199C"/>
    <w:rsid w:val="002119E1"/>
    <w:rsid w:val="00211B2F"/>
    <w:rsid w:val="00211B32"/>
    <w:rsid w:val="00211D11"/>
    <w:rsid w:val="00211D71"/>
    <w:rsid w:val="00211FFF"/>
    <w:rsid w:val="00212222"/>
    <w:rsid w:val="00212706"/>
    <w:rsid w:val="002128AE"/>
    <w:rsid w:val="00212B11"/>
    <w:rsid w:val="00212FD8"/>
    <w:rsid w:val="0021304A"/>
    <w:rsid w:val="002130AE"/>
    <w:rsid w:val="002134DA"/>
    <w:rsid w:val="0021353E"/>
    <w:rsid w:val="002135B7"/>
    <w:rsid w:val="0021365E"/>
    <w:rsid w:val="002136AD"/>
    <w:rsid w:val="0021393D"/>
    <w:rsid w:val="00213A2B"/>
    <w:rsid w:val="00213AA0"/>
    <w:rsid w:val="00213D55"/>
    <w:rsid w:val="00213F32"/>
    <w:rsid w:val="002141CA"/>
    <w:rsid w:val="002142D3"/>
    <w:rsid w:val="0021443E"/>
    <w:rsid w:val="002144DE"/>
    <w:rsid w:val="002146CF"/>
    <w:rsid w:val="002147CD"/>
    <w:rsid w:val="002147D6"/>
    <w:rsid w:val="00214A3D"/>
    <w:rsid w:val="00214E34"/>
    <w:rsid w:val="00215065"/>
    <w:rsid w:val="002150B5"/>
    <w:rsid w:val="00215329"/>
    <w:rsid w:val="0021540F"/>
    <w:rsid w:val="00215619"/>
    <w:rsid w:val="00215821"/>
    <w:rsid w:val="00215A04"/>
    <w:rsid w:val="00215C09"/>
    <w:rsid w:val="00215CD9"/>
    <w:rsid w:val="00215D24"/>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DA5"/>
    <w:rsid w:val="00220EC6"/>
    <w:rsid w:val="002210AF"/>
    <w:rsid w:val="002212B8"/>
    <w:rsid w:val="002216B1"/>
    <w:rsid w:val="00221B95"/>
    <w:rsid w:val="00221CDB"/>
    <w:rsid w:val="00221CDE"/>
    <w:rsid w:val="00221D83"/>
    <w:rsid w:val="00221FFB"/>
    <w:rsid w:val="0022203A"/>
    <w:rsid w:val="00222570"/>
    <w:rsid w:val="00222764"/>
    <w:rsid w:val="00222E0F"/>
    <w:rsid w:val="0022357E"/>
    <w:rsid w:val="00223715"/>
    <w:rsid w:val="002238D6"/>
    <w:rsid w:val="00223C56"/>
    <w:rsid w:val="00223E4D"/>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50"/>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977"/>
    <w:rsid w:val="00232BAA"/>
    <w:rsid w:val="00232CB9"/>
    <w:rsid w:val="00232DF2"/>
    <w:rsid w:val="00232E14"/>
    <w:rsid w:val="00232E5E"/>
    <w:rsid w:val="0023356F"/>
    <w:rsid w:val="00233656"/>
    <w:rsid w:val="00233749"/>
    <w:rsid w:val="002338E8"/>
    <w:rsid w:val="00233B5C"/>
    <w:rsid w:val="00233E26"/>
    <w:rsid w:val="00233E5C"/>
    <w:rsid w:val="00233ED8"/>
    <w:rsid w:val="00233FD6"/>
    <w:rsid w:val="002346D9"/>
    <w:rsid w:val="00234E56"/>
    <w:rsid w:val="00234EB2"/>
    <w:rsid w:val="0023552E"/>
    <w:rsid w:val="00235709"/>
    <w:rsid w:val="00235968"/>
    <w:rsid w:val="00235B35"/>
    <w:rsid w:val="00235BFB"/>
    <w:rsid w:val="00235D31"/>
    <w:rsid w:val="00236008"/>
    <w:rsid w:val="00236124"/>
    <w:rsid w:val="00236259"/>
    <w:rsid w:val="00236570"/>
    <w:rsid w:val="00236722"/>
    <w:rsid w:val="002367F0"/>
    <w:rsid w:val="00236958"/>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3051"/>
    <w:rsid w:val="002431DD"/>
    <w:rsid w:val="002432D1"/>
    <w:rsid w:val="00243799"/>
    <w:rsid w:val="002437AD"/>
    <w:rsid w:val="002437F7"/>
    <w:rsid w:val="00243AFA"/>
    <w:rsid w:val="00243D04"/>
    <w:rsid w:val="00243E8B"/>
    <w:rsid w:val="00243F0D"/>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12AA"/>
    <w:rsid w:val="00251401"/>
    <w:rsid w:val="00251693"/>
    <w:rsid w:val="002516B7"/>
    <w:rsid w:val="002517BC"/>
    <w:rsid w:val="002519D3"/>
    <w:rsid w:val="00251E29"/>
    <w:rsid w:val="00252029"/>
    <w:rsid w:val="00252072"/>
    <w:rsid w:val="00252528"/>
    <w:rsid w:val="00252719"/>
    <w:rsid w:val="00252890"/>
    <w:rsid w:val="00252898"/>
    <w:rsid w:val="002528CF"/>
    <w:rsid w:val="00252CC6"/>
    <w:rsid w:val="00252F33"/>
    <w:rsid w:val="00252FE9"/>
    <w:rsid w:val="00253A58"/>
    <w:rsid w:val="00253F47"/>
    <w:rsid w:val="00253F7D"/>
    <w:rsid w:val="00253FB8"/>
    <w:rsid w:val="00254470"/>
    <w:rsid w:val="002544C2"/>
    <w:rsid w:val="0025459C"/>
    <w:rsid w:val="002546A9"/>
    <w:rsid w:val="00254775"/>
    <w:rsid w:val="00255137"/>
    <w:rsid w:val="0025526A"/>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4EC"/>
    <w:rsid w:val="002625B1"/>
    <w:rsid w:val="002625CD"/>
    <w:rsid w:val="0026269C"/>
    <w:rsid w:val="00262AC3"/>
    <w:rsid w:val="00262ACD"/>
    <w:rsid w:val="00262BA1"/>
    <w:rsid w:val="00262DD9"/>
    <w:rsid w:val="002630D2"/>
    <w:rsid w:val="002630EB"/>
    <w:rsid w:val="002631AE"/>
    <w:rsid w:val="002633CF"/>
    <w:rsid w:val="00263439"/>
    <w:rsid w:val="002637D2"/>
    <w:rsid w:val="00263CF9"/>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23C"/>
    <w:rsid w:val="002654AF"/>
    <w:rsid w:val="002656F4"/>
    <w:rsid w:val="002658EF"/>
    <w:rsid w:val="00265BA7"/>
    <w:rsid w:val="00265C76"/>
    <w:rsid w:val="00265CD1"/>
    <w:rsid w:val="00266140"/>
    <w:rsid w:val="0026615E"/>
    <w:rsid w:val="002664D5"/>
    <w:rsid w:val="00266567"/>
    <w:rsid w:val="00266588"/>
    <w:rsid w:val="002667CA"/>
    <w:rsid w:val="0026689A"/>
    <w:rsid w:val="002668EB"/>
    <w:rsid w:val="00266B0F"/>
    <w:rsid w:val="00266B65"/>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751"/>
    <w:rsid w:val="00272A3D"/>
    <w:rsid w:val="00272D3A"/>
    <w:rsid w:val="00272F67"/>
    <w:rsid w:val="0027312B"/>
    <w:rsid w:val="00273231"/>
    <w:rsid w:val="0027352C"/>
    <w:rsid w:val="00273A74"/>
    <w:rsid w:val="00273A98"/>
    <w:rsid w:val="00273C44"/>
    <w:rsid w:val="00273F7F"/>
    <w:rsid w:val="00274104"/>
    <w:rsid w:val="00274C62"/>
    <w:rsid w:val="00274E39"/>
    <w:rsid w:val="00274E49"/>
    <w:rsid w:val="00275026"/>
    <w:rsid w:val="0027504D"/>
    <w:rsid w:val="002750EB"/>
    <w:rsid w:val="0027528D"/>
    <w:rsid w:val="00275370"/>
    <w:rsid w:val="002756D4"/>
    <w:rsid w:val="00275BAA"/>
    <w:rsid w:val="00275E50"/>
    <w:rsid w:val="00276574"/>
    <w:rsid w:val="00276944"/>
    <w:rsid w:val="00276AF9"/>
    <w:rsid w:val="00276CAD"/>
    <w:rsid w:val="0027701F"/>
    <w:rsid w:val="00277198"/>
    <w:rsid w:val="002772F2"/>
    <w:rsid w:val="00277399"/>
    <w:rsid w:val="002773F7"/>
    <w:rsid w:val="002777D6"/>
    <w:rsid w:val="0027789B"/>
    <w:rsid w:val="00277C97"/>
    <w:rsid w:val="00277DBC"/>
    <w:rsid w:val="00277F8B"/>
    <w:rsid w:val="00280261"/>
    <w:rsid w:val="00280616"/>
    <w:rsid w:val="002806D9"/>
    <w:rsid w:val="0028080A"/>
    <w:rsid w:val="00280966"/>
    <w:rsid w:val="00281040"/>
    <w:rsid w:val="002811E7"/>
    <w:rsid w:val="002814AE"/>
    <w:rsid w:val="002816AF"/>
    <w:rsid w:val="00281957"/>
    <w:rsid w:val="00281A54"/>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850"/>
    <w:rsid w:val="00284886"/>
    <w:rsid w:val="00284928"/>
    <w:rsid w:val="00284C13"/>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9FA"/>
    <w:rsid w:val="00287A97"/>
    <w:rsid w:val="00287E0E"/>
    <w:rsid w:val="00290099"/>
    <w:rsid w:val="002902EA"/>
    <w:rsid w:val="0029039B"/>
    <w:rsid w:val="0029098C"/>
    <w:rsid w:val="00290AAD"/>
    <w:rsid w:val="00290B60"/>
    <w:rsid w:val="00290E98"/>
    <w:rsid w:val="002910BF"/>
    <w:rsid w:val="002910E0"/>
    <w:rsid w:val="002914DF"/>
    <w:rsid w:val="002914FC"/>
    <w:rsid w:val="00291DA7"/>
    <w:rsid w:val="002922CA"/>
    <w:rsid w:val="002924ED"/>
    <w:rsid w:val="0029256D"/>
    <w:rsid w:val="00292578"/>
    <w:rsid w:val="00292752"/>
    <w:rsid w:val="0029277C"/>
    <w:rsid w:val="002927D0"/>
    <w:rsid w:val="002928F4"/>
    <w:rsid w:val="002929EE"/>
    <w:rsid w:val="00292AE0"/>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3"/>
    <w:rsid w:val="002952D8"/>
    <w:rsid w:val="00295404"/>
    <w:rsid w:val="00295489"/>
    <w:rsid w:val="002954EC"/>
    <w:rsid w:val="002957C4"/>
    <w:rsid w:val="0029582E"/>
    <w:rsid w:val="00295995"/>
    <w:rsid w:val="00295A12"/>
    <w:rsid w:val="00295A33"/>
    <w:rsid w:val="00295B63"/>
    <w:rsid w:val="00295D26"/>
    <w:rsid w:val="00296014"/>
    <w:rsid w:val="002962E6"/>
    <w:rsid w:val="00296D2B"/>
    <w:rsid w:val="002972E1"/>
    <w:rsid w:val="00297A99"/>
    <w:rsid w:val="00297B82"/>
    <w:rsid w:val="00297E5E"/>
    <w:rsid w:val="002A0265"/>
    <w:rsid w:val="002A0317"/>
    <w:rsid w:val="002A03DE"/>
    <w:rsid w:val="002A07CD"/>
    <w:rsid w:val="002A0858"/>
    <w:rsid w:val="002A0A02"/>
    <w:rsid w:val="002A0A88"/>
    <w:rsid w:val="002A0CD2"/>
    <w:rsid w:val="002A1170"/>
    <w:rsid w:val="002A13D1"/>
    <w:rsid w:val="002A1456"/>
    <w:rsid w:val="002A1573"/>
    <w:rsid w:val="002A15D8"/>
    <w:rsid w:val="002A18D2"/>
    <w:rsid w:val="002A19A2"/>
    <w:rsid w:val="002A1B34"/>
    <w:rsid w:val="002A1C16"/>
    <w:rsid w:val="002A2787"/>
    <w:rsid w:val="002A298F"/>
    <w:rsid w:val="002A2B61"/>
    <w:rsid w:val="002A313A"/>
    <w:rsid w:val="002A3179"/>
    <w:rsid w:val="002A3257"/>
    <w:rsid w:val="002A3292"/>
    <w:rsid w:val="002A3A49"/>
    <w:rsid w:val="002A3CFD"/>
    <w:rsid w:val="002A3EA2"/>
    <w:rsid w:val="002A4132"/>
    <w:rsid w:val="002A4221"/>
    <w:rsid w:val="002A466C"/>
    <w:rsid w:val="002A46B9"/>
    <w:rsid w:val="002A4EA4"/>
    <w:rsid w:val="002A5068"/>
    <w:rsid w:val="002A52D1"/>
    <w:rsid w:val="002A5B34"/>
    <w:rsid w:val="002A5BCC"/>
    <w:rsid w:val="002A648C"/>
    <w:rsid w:val="002A6A37"/>
    <w:rsid w:val="002A7200"/>
    <w:rsid w:val="002A728E"/>
    <w:rsid w:val="002A7347"/>
    <w:rsid w:val="002A75AE"/>
    <w:rsid w:val="002A7744"/>
    <w:rsid w:val="002A7A3E"/>
    <w:rsid w:val="002A7B9D"/>
    <w:rsid w:val="002A7F12"/>
    <w:rsid w:val="002B038F"/>
    <w:rsid w:val="002B0486"/>
    <w:rsid w:val="002B0499"/>
    <w:rsid w:val="002B0BA4"/>
    <w:rsid w:val="002B0E1C"/>
    <w:rsid w:val="002B0FE7"/>
    <w:rsid w:val="002B165A"/>
    <w:rsid w:val="002B1709"/>
    <w:rsid w:val="002B1740"/>
    <w:rsid w:val="002B1820"/>
    <w:rsid w:val="002B19FE"/>
    <w:rsid w:val="002B1A67"/>
    <w:rsid w:val="002B1BA3"/>
    <w:rsid w:val="002B2485"/>
    <w:rsid w:val="002B2531"/>
    <w:rsid w:val="002B2627"/>
    <w:rsid w:val="002B26A2"/>
    <w:rsid w:val="002B2751"/>
    <w:rsid w:val="002B3151"/>
    <w:rsid w:val="002B33D7"/>
    <w:rsid w:val="002B366D"/>
    <w:rsid w:val="002B3BD7"/>
    <w:rsid w:val="002B3C56"/>
    <w:rsid w:val="002B3D3B"/>
    <w:rsid w:val="002B3E4F"/>
    <w:rsid w:val="002B3F77"/>
    <w:rsid w:val="002B4078"/>
    <w:rsid w:val="002B45F9"/>
    <w:rsid w:val="002B4722"/>
    <w:rsid w:val="002B47A1"/>
    <w:rsid w:val="002B5080"/>
    <w:rsid w:val="002B534A"/>
    <w:rsid w:val="002B558F"/>
    <w:rsid w:val="002B5875"/>
    <w:rsid w:val="002B5C23"/>
    <w:rsid w:val="002B606D"/>
    <w:rsid w:val="002B60CB"/>
    <w:rsid w:val="002B627D"/>
    <w:rsid w:val="002B649E"/>
    <w:rsid w:val="002B64A3"/>
    <w:rsid w:val="002B65C7"/>
    <w:rsid w:val="002B6759"/>
    <w:rsid w:val="002B6882"/>
    <w:rsid w:val="002B6B4F"/>
    <w:rsid w:val="002B6C64"/>
    <w:rsid w:val="002B6CFB"/>
    <w:rsid w:val="002B6D3A"/>
    <w:rsid w:val="002B6E97"/>
    <w:rsid w:val="002B7AD5"/>
    <w:rsid w:val="002B7BAF"/>
    <w:rsid w:val="002B7BEB"/>
    <w:rsid w:val="002B7CCD"/>
    <w:rsid w:val="002C0046"/>
    <w:rsid w:val="002C00E0"/>
    <w:rsid w:val="002C05F0"/>
    <w:rsid w:val="002C0661"/>
    <w:rsid w:val="002C085E"/>
    <w:rsid w:val="002C089B"/>
    <w:rsid w:val="002C093A"/>
    <w:rsid w:val="002C0C05"/>
    <w:rsid w:val="002C0FF0"/>
    <w:rsid w:val="002C137F"/>
    <w:rsid w:val="002C17DF"/>
    <w:rsid w:val="002C18B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BB7"/>
    <w:rsid w:val="002C4CF3"/>
    <w:rsid w:val="002C530A"/>
    <w:rsid w:val="002C5558"/>
    <w:rsid w:val="002C5771"/>
    <w:rsid w:val="002C57CD"/>
    <w:rsid w:val="002C5A58"/>
    <w:rsid w:val="002C5A7A"/>
    <w:rsid w:val="002C5B07"/>
    <w:rsid w:val="002C5B23"/>
    <w:rsid w:val="002C5CA4"/>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6D"/>
    <w:rsid w:val="002D0AE3"/>
    <w:rsid w:val="002D0C3B"/>
    <w:rsid w:val="002D0C57"/>
    <w:rsid w:val="002D0CEC"/>
    <w:rsid w:val="002D0DE3"/>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AD9"/>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36B"/>
    <w:rsid w:val="002D6CF0"/>
    <w:rsid w:val="002D6FFE"/>
    <w:rsid w:val="002D7047"/>
    <w:rsid w:val="002D70C1"/>
    <w:rsid w:val="002D784E"/>
    <w:rsid w:val="002D7930"/>
    <w:rsid w:val="002D7B18"/>
    <w:rsid w:val="002D7B49"/>
    <w:rsid w:val="002E090F"/>
    <w:rsid w:val="002E0967"/>
    <w:rsid w:val="002E0F16"/>
    <w:rsid w:val="002E0FA2"/>
    <w:rsid w:val="002E13A0"/>
    <w:rsid w:val="002E185A"/>
    <w:rsid w:val="002E1C42"/>
    <w:rsid w:val="002E1E26"/>
    <w:rsid w:val="002E2748"/>
    <w:rsid w:val="002E2A70"/>
    <w:rsid w:val="002E2B77"/>
    <w:rsid w:val="002E2B81"/>
    <w:rsid w:val="002E33BF"/>
    <w:rsid w:val="002E37B5"/>
    <w:rsid w:val="002E380E"/>
    <w:rsid w:val="002E3B41"/>
    <w:rsid w:val="002E3DF0"/>
    <w:rsid w:val="002E4608"/>
    <w:rsid w:val="002E4671"/>
    <w:rsid w:val="002E4E82"/>
    <w:rsid w:val="002E4EE2"/>
    <w:rsid w:val="002E5335"/>
    <w:rsid w:val="002E5638"/>
    <w:rsid w:val="002E5734"/>
    <w:rsid w:val="002E5811"/>
    <w:rsid w:val="002E5AF7"/>
    <w:rsid w:val="002E5CF2"/>
    <w:rsid w:val="002E5F3B"/>
    <w:rsid w:val="002E660A"/>
    <w:rsid w:val="002E6799"/>
    <w:rsid w:val="002E6C40"/>
    <w:rsid w:val="002E6CCF"/>
    <w:rsid w:val="002E6E72"/>
    <w:rsid w:val="002E706B"/>
    <w:rsid w:val="002E7523"/>
    <w:rsid w:val="002E790E"/>
    <w:rsid w:val="002E7AA9"/>
    <w:rsid w:val="002E7ABC"/>
    <w:rsid w:val="002E7BCD"/>
    <w:rsid w:val="002E7D0A"/>
    <w:rsid w:val="002F0567"/>
    <w:rsid w:val="002F077D"/>
    <w:rsid w:val="002F08DC"/>
    <w:rsid w:val="002F0A6D"/>
    <w:rsid w:val="002F1017"/>
    <w:rsid w:val="002F121B"/>
    <w:rsid w:val="002F1306"/>
    <w:rsid w:val="002F13EB"/>
    <w:rsid w:val="002F140F"/>
    <w:rsid w:val="002F182E"/>
    <w:rsid w:val="002F1A43"/>
    <w:rsid w:val="002F1B67"/>
    <w:rsid w:val="002F2568"/>
    <w:rsid w:val="002F2624"/>
    <w:rsid w:val="002F29CB"/>
    <w:rsid w:val="002F2B44"/>
    <w:rsid w:val="002F2B8F"/>
    <w:rsid w:val="002F2EEA"/>
    <w:rsid w:val="002F3437"/>
    <w:rsid w:val="002F3659"/>
    <w:rsid w:val="002F3BAD"/>
    <w:rsid w:val="002F3E3D"/>
    <w:rsid w:val="002F4122"/>
    <w:rsid w:val="002F41C9"/>
    <w:rsid w:val="002F476D"/>
    <w:rsid w:val="002F47C6"/>
    <w:rsid w:val="002F4893"/>
    <w:rsid w:val="002F4A47"/>
    <w:rsid w:val="002F4ABD"/>
    <w:rsid w:val="002F4BDF"/>
    <w:rsid w:val="002F4C97"/>
    <w:rsid w:val="002F4FC1"/>
    <w:rsid w:val="002F50A4"/>
    <w:rsid w:val="002F538A"/>
    <w:rsid w:val="002F6268"/>
    <w:rsid w:val="002F644B"/>
    <w:rsid w:val="002F688E"/>
    <w:rsid w:val="002F68A2"/>
    <w:rsid w:val="002F6B0D"/>
    <w:rsid w:val="002F6B84"/>
    <w:rsid w:val="002F6D2F"/>
    <w:rsid w:val="002F6D5F"/>
    <w:rsid w:val="002F76CC"/>
    <w:rsid w:val="002F77DD"/>
    <w:rsid w:val="002F78D9"/>
    <w:rsid w:val="002F793B"/>
    <w:rsid w:val="002F7AC3"/>
    <w:rsid w:val="003001EC"/>
    <w:rsid w:val="00300613"/>
    <w:rsid w:val="003008AD"/>
    <w:rsid w:val="003008E3"/>
    <w:rsid w:val="00300C7C"/>
    <w:rsid w:val="00300C85"/>
    <w:rsid w:val="00300EF7"/>
    <w:rsid w:val="0030122E"/>
    <w:rsid w:val="00301354"/>
    <w:rsid w:val="0030179B"/>
    <w:rsid w:val="00301BE1"/>
    <w:rsid w:val="0030243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7B0"/>
    <w:rsid w:val="003047CA"/>
    <w:rsid w:val="003048A6"/>
    <w:rsid w:val="003049D1"/>
    <w:rsid w:val="00304A1C"/>
    <w:rsid w:val="00304AA6"/>
    <w:rsid w:val="00304E0B"/>
    <w:rsid w:val="00304E21"/>
    <w:rsid w:val="00304E88"/>
    <w:rsid w:val="00305165"/>
    <w:rsid w:val="003051C3"/>
    <w:rsid w:val="00305253"/>
    <w:rsid w:val="003052FF"/>
    <w:rsid w:val="003053C2"/>
    <w:rsid w:val="003054C3"/>
    <w:rsid w:val="00305895"/>
    <w:rsid w:val="00305CA8"/>
    <w:rsid w:val="00305DBB"/>
    <w:rsid w:val="00305DE3"/>
    <w:rsid w:val="003061A9"/>
    <w:rsid w:val="00306342"/>
    <w:rsid w:val="003065FD"/>
    <w:rsid w:val="0030679B"/>
    <w:rsid w:val="003067B0"/>
    <w:rsid w:val="00306914"/>
    <w:rsid w:val="00306DA0"/>
    <w:rsid w:val="00306FED"/>
    <w:rsid w:val="003076A7"/>
    <w:rsid w:val="003078FC"/>
    <w:rsid w:val="00307C81"/>
    <w:rsid w:val="003100B4"/>
    <w:rsid w:val="00310475"/>
    <w:rsid w:val="003107E7"/>
    <w:rsid w:val="00310AF2"/>
    <w:rsid w:val="00310CE4"/>
    <w:rsid w:val="0031100E"/>
    <w:rsid w:val="00311194"/>
    <w:rsid w:val="0031125F"/>
    <w:rsid w:val="0031136C"/>
    <w:rsid w:val="0031177F"/>
    <w:rsid w:val="00311B7B"/>
    <w:rsid w:val="00311D66"/>
    <w:rsid w:val="00311F51"/>
    <w:rsid w:val="003122E8"/>
    <w:rsid w:val="00312635"/>
    <w:rsid w:val="00312851"/>
    <w:rsid w:val="00312B96"/>
    <w:rsid w:val="00312BA3"/>
    <w:rsid w:val="00313B7C"/>
    <w:rsid w:val="00313C32"/>
    <w:rsid w:val="00314017"/>
    <w:rsid w:val="00314034"/>
    <w:rsid w:val="00314397"/>
    <w:rsid w:val="003144BA"/>
    <w:rsid w:val="00314523"/>
    <w:rsid w:val="00314645"/>
    <w:rsid w:val="003149A3"/>
    <w:rsid w:val="00314B2A"/>
    <w:rsid w:val="00314D07"/>
    <w:rsid w:val="00315000"/>
    <w:rsid w:val="003153D9"/>
    <w:rsid w:val="0031550B"/>
    <w:rsid w:val="00315540"/>
    <w:rsid w:val="00315A9D"/>
    <w:rsid w:val="00315E08"/>
    <w:rsid w:val="00316755"/>
    <w:rsid w:val="003169B6"/>
    <w:rsid w:val="00316C69"/>
    <w:rsid w:val="003171CB"/>
    <w:rsid w:val="00317261"/>
    <w:rsid w:val="0031736F"/>
    <w:rsid w:val="00317766"/>
    <w:rsid w:val="003179CF"/>
    <w:rsid w:val="00317E3D"/>
    <w:rsid w:val="00320010"/>
    <w:rsid w:val="003201FF"/>
    <w:rsid w:val="00320610"/>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D0"/>
    <w:rsid w:val="00322ED9"/>
    <w:rsid w:val="00322FA3"/>
    <w:rsid w:val="00323450"/>
    <w:rsid w:val="0032350B"/>
    <w:rsid w:val="00323BC5"/>
    <w:rsid w:val="00323BEB"/>
    <w:rsid w:val="00324673"/>
    <w:rsid w:val="00324B9B"/>
    <w:rsid w:val="00324D46"/>
    <w:rsid w:val="00324DE1"/>
    <w:rsid w:val="003250DD"/>
    <w:rsid w:val="003257CD"/>
    <w:rsid w:val="00325B0D"/>
    <w:rsid w:val="00325B56"/>
    <w:rsid w:val="00325DF1"/>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F5F"/>
    <w:rsid w:val="003311B3"/>
    <w:rsid w:val="003313FF"/>
    <w:rsid w:val="00331867"/>
    <w:rsid w:val="00331871"/>
    <w:rsid w:val="003319F5"/>
    <w:rsid w:val="00331AB5"/>
    <w:rsid w:val="00331DB9"/>
    <w:rsid w:val="0033227C"/>
    <w:rsid w:val="003322F4"/>
    <w:rsid w:val="0033265D"/>
    <w:rsid w:val="0033272D"/>
    <w:rsid w:val="003328DC"/>
    <w:rsid w:val="00332BE1"/>
    <w:rsid w:val="00332D95"/>
    <w:rsid w:val="00333302"/>
    <w:rsid w:val="00333880"/>
    <w:rsid w:val="0033389B"/>
    <w:rsid w:val="003338D8"/>
    <w:rsid w:val="0033391C"/>
    <w:rsid w:val="00333CAD"/>
    <w:rsid w:val="00333F29"/>
    <w:rsid w:val="0033435C"/>
    <w:rsid w:val="00334AA7"/>
    <w:rsid w:val="0033504D"/>
    <w:rsid w:val="00335190"/>
    <w:rsid w:val="003351D9"/>
    <w:rsid w:val="0033532E"/>
    <w:rsid w:val="00335506"/>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748"/>
    <w:rsid w:val="00343F07"/>
    <w:rsid w:val="003443FB"/>
    <w:rsid w:val="00344488"/>
    <w:rsid w:val="003444CF"/>
    <w:rsid w:val="003445AC"/>
    <w:rsid w:val="00344760"/>
    <w:rsid w:val="00344B24"/>
    <w:rsid w:val="00344E5B"/>
    <w:rsid w:val="0034500C"/>
    <w:rsid w:val="003450B8"/>
    <w:rsid w:val="00345185"/>
    <w:rsid w:val="003458B8"/>
    <w:rsid w:val="00345B6E"/>
    <w:rsid w:val="00345E9E"/>
    <w:rsid w:val="003461F2"/>
    <w:rsid w:val="00346411"/>
    <w:rsid w:val="003466AD"/>
    <w:rsid w:val="003469AA"/>
    <w:rsid w:val="00346F1B"/>
    <w:rsid w:val="00347337"/>
    <w:rsid w:val="003473BB"/>
    <w:rsid w:val="003473FB"/>
    <w:rsid w:val="00347505"/>
    <w:rsid w:val="00347690"/>
    <w:rsid w:val="00347719"/>
    <w:rsid w:val="00347A1E"/>
    <w:rsid w:val="00347C45"/>
    <w:rsid w:val="00347D07"/>
    <w:rsid w:val="00347D45"/>
    <w:rsid w:val="00347DF7"/>
    <w:rsid w:val="00347F2F"/>
    <w:rsid w:val="00347FD5"/>
    <w:rsid w:val="003502F1"/>
    <w:rsid w:val="003503E7"/>
    <w:rsid w:val="00350557"/>
    <w:rsid w:val="00350967"/>
    <w:rsid w:val="00350A35"/>
    <w:rsid w:val="00350D13"/>
    <w:rsid w:val="00350EDC"/>
    <w:rsid w:val="003510D7"/>
    <w:rsid w:val="0035152F"/>
    <w:rsid w:val="00351630"/>
    <w:rsid w:val="00351C0B"/>
    <w:rsid w:val="00351FC7"/>
    <w:rsid w:val="003520DC"/>
    <w:rsid w:val="00352337"/>
    <w:rsid w:val="003524DB"/>
    <w:rsid w:val="00352522"/>
    <w:rsid w:val="003525B9"/>
    <w:rsid w:val="003528A2"/>
    <w:rsid w:val="0035296F"/>
    <w:rsid w:val="00352E69"/>
    <w:rsid w:val="00352EE8"/>
    <w:rsid w:val="00352EF6"/>
    <w:rsid w:val="003530CF"/>
    <w:rsid w:val="003530D4"/>
    <w:rsid w:val="00353333"/>
    <w:rsid w:val="00353907"/>
    <w:rsid w:val="00353C8B"/>
    <w:rsid w:val="00353DCC"/>
    <w:rsid w:val="00353E7D"/>
    <w:rsid w:val="003542D4"/>
    <w:rsid w:val="003543DA"/>
    <w:rsid w:val="00354514"/>
    <w:rsid w:val="0035483F"/>
    <w:rsid w:val="00354AD6"/>
    <w:rsid w:val="00354B65"/>
    <w:rsid w:val="00354B6B"/>
    <w:rsid w:val="00354B7A"/>
    <w:rsid w:val="00354F05"/>
    <w:rsid w:val="00355439"/>
    <w:rsid w:val="003555F5"/>
    <w:rsid w:val="00355B3F"/>
    <w:rsid w:val="0035616C"/>
    <w:rsid w:val="00356450"/>
    <w:rsid w:val="00356A2D"/>
    <w:rsid w:val="00356ADE"/>
    <w:rsid w:val="00356DB8"/>
    <w:rsid w:val="00356EF5"/>
    <w:rsid w:val="00357466"/>
    <w:rsid w:val="0035798B"/>
    <w:rsid w:val="00357999"/>
    <w:rsid w:val="00357A18"/>
    <w:rsid w:val="00357EF9"/>
    <w:rsid w:val="00357FCD"/>
    <w:rsid w:val="00360101"/>
    <w:rsid w:val="00360125"/>
    <w:rsid w:val="00360258"/>
    <w:rsid w:val="0036088E"/>
    <w:rsid w:val="003608DB"/>
    <w:rsid w:val="00360D85"/>
    <w:rsid w:val="00360F07"/>
    <w:rsid w:val="00361109"/>
    <w:rsid w:val="00361A6B"/>
    <w:rsid w:val="00361BA2"/>
    <w:rsid w:val="0036202E"/>
    <w:rsid w:val="00362166"/>
    <w:rsid w:val="003623F6"/>
    <w:rsid w:val="00362556"/>
    <w:rsid w:val="00362709"/>
    <w:rsid w:val="0036283F"/>
    <w:rsid w:val="003628BF"/>
    <w:rsid w:val="00362CBC"/>
    <w:rsid w:val="00362F6B"/>
    <w:rsid w:val="00362F78"/>
    <w:rsid w:val="00363328"/>
    <w:rsid w:val="0036335B"/>
    <w:rsid w:val="003636C9"/>
    <w:rsid w:val="00363D5D"/>
    <w:rsid w:val="00363F44"/>
    <w:rsid w:val="003641FE"/>
    <w:rsid w:val="003642E2"/>
    <w:rsid w:val="003644C1"/>
    <w:rsid w:val="0036461E"/>
    <w:rsid w:val="0036495E"/>
    <w:rsid w:val="00364A5F"/>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716"/>
    <w:rsid w:val="00367745"/>
    <w:rsid w:val="00367816"/>
    <w:rsid w:val="00367ACE"/>
    <w:rsid w:val="00367B01"/>
    <w:rsid w:val="00367B04"/>
    <w:rsid w:val="00367DCF"/>
    <w:rsid w:val="00367F9B"/>
    <w:rsid w:val="003700CC"/>
    <w:rsid w:val="00370536"/>
    <w:rsid w:val="00370E4B"/>
    <w:rsid w:val="00370F6E"/>
    <w:rsid w:val="00370F81"/>
    <w:rsid w:val="00371062"/>
    <w:rsid w:val="00371091"/>
    <w:rsid w:val="003714B2"/>
    <w:rsid w:val="00371518"/>
    <w:rsid w:val="0037158B"/>
    <w:rsid w:val="003717F1"/>
    <w:rsid w:val="00371BC0"/>
    <w:rsid w:val="00371ECA"/>
    <w:rsid w:val="0037209F"/>
    <w:rsid w:val="003726B7"/>
    <w:rsid w:val="00372984"/>
    <w:rsid w:val="00372AE1"/>
    <w:rsid w:val="00372B4A"/>
    <w:rsid w:val="0037310C"/>
    <w:rsid w:val="00373254"/>
    <w:rsid w:val="003733D9"/>
    <w:rsid w:val="003734B6"/>
    <w:rsid w:val="00373684"/>
    <w:rsid w:val="003738DA"/>
    <w:rsid w:val="00373990"/>
    <w:rsid w:val="00373AFB"/>
    <w:rsid w:val="00373CCC"/>
    <w:rsid w:val="00373F24"/>
    <w:rsid w:val="0037417E"/>
    <w:rsid w:val="00374622"/>
    <w:rsid w:val="0037480E"/>
    <w:rsid w:val="00374E3A"/>
    <w:rsid w:val="00374FE9"/>
    <w:rsid w:val="0037539C"/>
    <w:rsid w:val="00375424"/>
    <w:rsid w:val="003754E1"/>
    <w:rsid w:val="00375597"/>
    <w:rsid w:val="00375630"/>
    <w:rsid w:val="00375BF6"/>
    <w:rsid w:val="00375EE8"/>
    <w:rsid w:val="00375FDA"/>
    <w:rsid w:val="00376585"/>
    <w:rsid w:val="00376651"/>
    <w:rsid w:val="00376816"/>
    <w:rsid w:val="00376844"/>
    <w:rsid w:val="00376D11"/>
    <w:rsid w:val="00376DE8"/>
    <w:rsid w:val="00376F1D"/>
    <w:rsid w:val="00376F80"/>
    <w:rsid w:val="003770C0"/>
    <w:rsid w:val="00377319"/>
    <w:rsid w:val="0037731B"/>
    <w:rsid w:val="0037740F"/>
    <w:rsid w:val="003774D4"/>
    <w:rsid w:val="0037768C"/>
    <w:rsid w:val="0037799A"/>
    <w:rsid w:val="00377A24"/>
    <w:rsid w:val="00377E52"/>
    <w:rsid w:val="00377F6D"/>
    <w:rsid w:val="003800DD"/>
    <w:rsid w:val="0038026E"/>
    <w:rsid w:val="0038028B"/>
    <w:rsid w:val="003805CB"/>
    <w:rsid w:val="003805D6"/>
    <w:rsid w:val="003806E4"/>
    <w:rsid w:val="00380AC1"/>
    <w:rsid w:val="00380E9B"/>
    <w:rsid w:val="00381015"/>
    <w:rsid w:val="003814F7"/>
    <w:rsid w:val="00381E30"/>
    <w:rsid w:val="0038251C"/>
    <w:rsid w:val="0038264C"/>
    <w:rsid w:val="00382880"/>
    <w:rsid w:val="00382966"/>
    <w:rsid w:val="00382A18"/>
    <w:rsid w:val="00382AA2"/>
    <w:rsid w:val="00382ACB"/>
    <w:rsid w:val="00382B3E"/>
    <w:rsid w:val="00382DAE"/>
    <w:rsid w:val="00382E5F"/>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7DB"/>
    <w:rsid w:val="00385858"/>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3B1"/>
    <w:rsid w:val="003874E6"/>
    <w:rsid w:val="0038755D"/>
    <w:rsid w:val="003879BE"/>
    <w:rsid w:val="00387AA7"/>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AF0"/>
    <w:rsid w:val="00391CD1"/>
    <w:rsid w:val="003922BF"/>
    <w:rsid w:val="00392A69"/>
    <w:rsid w:val="00392E4E"/>
    <w:rsid w:val="003930EB"/>
    <w:rsid w:val="003931D8"/>
    <w:rsid w:val="00393229"/>
    <w:rsid w:val="00393509"/>
    <w:rsid w:val="00393569"/>
    <w:rsid w:val="00393C42"/>
    <w:rsid w:val="00393EFB"/>
    <w:rsid w:val="003942F1"/>
    <w:rsid w:val="00394705"/>
    <w:rsid w:val="0039480F"/>
    <w:rsid w:val="00394B28"/>
    <w:rsid w:val="00394B89"/>
    <w:rsid w:val="00395151"/>
    <w:rsid w:val="0039525E"/>
    <w:rsid w:val="00395514"/>
    <w:rsid w:val="0039554E"/>
    <w:rsid w:val="003957BB"/>
    <w:rsid w:val="00395C25"/>
    <w:rsid w:val="00395C2B"/>
    <w:rsid w:val="00395C4B"/>
    <w:rsid w:val="00395C7A"/>
    <w:rsid w:val="00395CC6"/>
    <w:rsid w:val="00395E22"/>
    <w:rsid w:val="00395FEF"/>
    <w:rsid w:val="003961B5"/>
    <w:rsid w:val="003962D6"/>
    <w:rsid w:val="0039638D"/>
    <w:rsid w:val="00396828"/>
    <w:rsid w:val="00396E02"/>
    <w:rsid w:val="00397119"/>
    <w:rsid w:val="0039723A"/>
    <w:rsid w:val="003975C0"/>
    <w:rsid w:val="00397D6F"/>
    <w:rsid w:val="003A0092"/>
    <w:rsid w:val="003A0146"/>
    <w:rsid w:val="003A03F0"/>
    <w:rsid w:val="003A0743"/>
    <w:rsid w:val="003A0C86"/>
    <w:rsid w:val="003A0EBC"/>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64"/>
    <w:rsid w:val="003A4296"/>
    <w:rsid w:val="003A42CC"/>
    <w:rsid w:val="003A4319"/>
    <w:rsid w:val="003A4523"/>
    <w:rsid w:val="003A4954"/>
    <w:rsid w:val="003A4AA7"/>
    <w:rsid w:val="003A4AD7"/>
    <w:rsid w:val="003A4D30"/>
    <w:rsid w:val="003A4E53"/>
    <w:rsid w:val="003A50F8"/>
    <w:rsid w:val="003A52C4"/>
    <w:rsid w:val="003A5735"/>
    <w:rsid w:val="003A58C7"/>
    <w:rsid w:val="003A5ACF"/>
    <w:rsid w:val="003A5BB4"/>
    <w:rsid w:val="003A618E"/>
    <w:rsid w:val="003A66D7"/>
    <w:rsid w:val="003A6CDC"/>
    <w:rsid w:val="003A7265"/>
    <w:rsid w:val="003A7367"/>
    <w:rsid w:val="003A797C"/>
    <w:rsid w:val="003A7A6F"/>
    <w:rsid w:val="003A7FF6"/>
    <w:rsid w:val="003B03F4"/>
    <w:rsid w:val="003B0413"/>
    <w:rsid w:val="003B0677"/>
    <w:rsid w:val="003B083A"/>
    <w:rsid w:val="003B0A0F"/>
    <w:rsid w:val="003B0B9C"/>
    <w:rsid w:val="003B0D40"/>
    <w:rsid w:val="003B0EC1"/>
    <w:rsid w:val="003B12DD"/>
    <w:rsid w:val="003B16D2"/>
    <w:rsid w:val="003B192B"/>
    <w:rsid w:val="003B1B21"/>
    <w:rsid w:val="003B1C17"/>
    <w:rsid w:val="003B1CB6"/>
    <w:rsid w:val="003B202F"/>
    <w:rsid w:val="003B206D"/>
    <w:rsid w:val="003B209A"/>
    <w:rsid w:val="003B20B8"/>
    <w:rsid w:val="003B2198"/>
    <w:rsid w:val="003B2498"/>
    <w:rsid w:val="003B28BC"/>
    <w:rsid w:val="003B29FE"/>
    <w:rsid w:val="003B2F17"/>
    <w:rsid w:val="003B32F5"/>
    <w:rsid w:val="003B38CD"/>
    <w:rsid w:val="003B3A56"/>
    <w:rsid w:val="003B3D10"/>
    <w:rsid w:val="003B3F0A"/>
    <w:rsid w:val="003B44FE"/>
    <w:rsid w:val="003B46B5"/>
    <w:rsid w:val="003B4849"/>
    <w:rsid w:val="003B4A40"/>
    <w:rsid w:val="003B4A70"/>
    <w:rsid w:val="003B4D62"/>
    <w:rsid w:val="003B4D70"/>
    <w:rsid w:val="003B4EDF"/>
    <w:rsid w:val="003B4F2E"/>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24"/>
    <w:rsid w:val="003B7BB9"/>
    <w:rsid w:val="003B7BEB"/>
    <w:rsid w:val="003B7ECE"/>
    <w:rsid w:val="003C00AB"/>
    <w:rsid w:val="003C041C"/>
    <w:rsid w:val="003C0F40"/>
    <w:rsid w:val="003C0F54"/>
    <w:rsid w:val="003C0FEF"/>
    <w:rsid w:val="003C121D"/>
    <w:rsid w:val="003C153D"/>
    <w:rsid w:val="003C1658"/>
    <w:rsid w:val="003C1867"/>
    <w:rsid w:val="003C188E"/>
    <w:rsid w:val="003C1937"/>
    <w:rsid w:val="003C260C"/>
    <w:rsid w:val="003C277F"/>
    <w:rsid w:val="003C281D"/>
    <w:rsid w:val="003C2897"/>
    <w:rsid w:val="003C29EE"/>
    <w:rsid w:val="003C2C8D"/>
    <w:rsid w:val="003C2E50"/>
    <w:rsid w:val="003C3016"/>
    <w:rsid w:val="003C319E"/>
    <w:rsid w:val="003C33A3"/>
    <w:rsid w:val="003C387E"/>
    <w:rsid w:val="003C39F8"/>
    <w:rsid w:val="003C3ACE"/>
    <w:rsid w:val="003C3CCD"/>
    <w:rsid w:val="003C3D25"/>
    <w:rsid w:val="003C3F26"/>
    <w:rsid w:val="003C40A4"/>
    <w:rsid w:val="003C44E3"/>
    <w:rsid w:val="003C45A6"/>
    <w:rsid w:val="003C4DC1"/>
    <w:rsid w:val="003C4ED1"/>
    <w:rsid w:val="003C4EEA"/>
    <w:rsid w:val="003C511B"/>
    <w:rsid w:val="003C53A9"/>
    <w:rsid w:val="003C53B5"/>
    <w:rsid w:val="003C587F"/>
    <w:rsid w:val="003C5A7A"/>
    <w:rsid w:val="003C6073"/>
    <w:rsid w:val="003C64B5"/>
    <w:rsid w:val="003C64F7"/>
    <w:rsid w:val="003C675B"/>
    <w:rsid w:val="003C690E"/>
    <w:rsid w:val="003C6C49"/>
    <w:rsid w:val="003C6D10"/>
    <w:rsid w:val="003C6D72"/>
    <w:rsid w:val="003C6FBE"/>
    <w:rsid w:val="003C6FFB"/>
    <w:rsid w:val="003C74C2"/>
    <w:rsid w:val="003C757F"/>
    <w:rsid w:val="003C75B1"/>
    <w:rsid w:val="003C75B4"/>
    <w:rsid w:val="003C7820"/>
    <w:rsid w:val="003C79A3"/>
    <w:rsid w:val="003D00D2"/>
    <w:rsid w:val="003D056E"/>
    <w:rsid w:val="003D0AFB"/>
    <w:rsid w:val="003D0BD2"/>
    <w:rsid w:val="003D0BE3"/>
    <w:rsid w:val="003D1331"/>
    <w:rsid w:val="003D1730"/>
    <w:rsid w:val="003D1822"/>
    <w:rsid w:val="003D184B"/>
    <w:rsid w:val="003D1C0A"/>
    <w:rsid w:val="003D1C91"/>
    <w:rsid w:val="003D1D13"/>
    <w:rsid w:val="003D21F7"/>
    <w:rsid w:val="003D228D"/>
    <w:rsid w:val="003D23EE"/>
    <w:rsid w:val="003D2589"/>
    <w:rsid w:val="003D25F4"/>
    <w:rsid w:val="003D26D5"/>
    <w:rsid w:val="003D26F7"/>
    <w:rsid w:val="003D2CD5"/>
    <w:rsid w:val="003D2CEE"/>
    <w:rsid w:val="003D2F99"/>
    <w:rsid w:val="003D30D6"/>
    <w:rsid w:val="003D34E8"/>
    <w:rsid w:val="003D37D4"/>
    <w:rsid w:val="003D3A0C"/>
    <w:rsid w:val="003D3D1C"/>
    <w:rsid w:val="003D3E70"/>
    <w:rsid w:val="003D41F2"/>
    <w:rsid w:val="003D4937"/>
    <w:rsid w:val="003D4B9D"/>
    <w:rsid w:val="003D4E2B"/>
    <w:rsid w:val="003D4F92"/>
    <w:rsid w:val="003D576D"/>
    <w:rsid w:val="003D5A00"/>
    <w:rsid w:val="003D5CD5"/>
    <w:rsid w:val="003D6151"/>
    <w:rsid w:val="003D61CE"/>
    <w:rsid w:val="003D6235"/>
    <w:rsid w:val="003D6672"/>
    <w:rsid w:val="003D670E"/>
    <w:rsid w:val="003D684E"/>
    <w:rsid w:val="003D690B"/>
    <w:rsid w:val="003D69FF"/>
    <w:rsid w:val="003D6CA1"/>
    <w:rsid w:val="003D6EE8"/>
    <w:rsid w:val="003D6F6F"/>
    <w:rsid w:val="003D70AA"/>
    <w:rsid w:val="003D728F"/>
    <w:rsid w:val="003D7461"/>
    <w:rsid w:val="003D746B"/>
    <w:rsid w:val="003D76CD"/>
    <w:rsid w:val="003D76F9"/>
    <w:rsid w:val="003D7B0C"/>
    <w:rsid w:val="003D7CF1"/>
    <w:rsid w:val="003E025F"/>
    <w:rsid w:val="003E0730"/>
    <w:rsid w:val="003E0A59"/>
    <w:rsid w:val="003E0E48"/>
    <w:rsid w:val="003E1178"/>
    <w:rsid w:val="003E1723"/>
    <w:rsid w:val="003E1769"/>
    <w:rsid w:val="003E1A3A"/>
    <w:rsid w:val="003E1A8D"/>
    <w:rsid w:val="003E1B7B"/>
    <w:rsid w:val="003E1BC0"/>
    <w:rsid w:val="003E1BC4"/>
    <w:rsid w:val="003E1D15"/>
    <w:rsid w:val="003E1D48"/>
    <w:rsid w:val="003E1D49"/>
    <w:rsid w:val="003E1EE5"/>
    <w:rsid w:val="003E1F00"/>
    <w:rsid w:val="003E2078"/>
    <w:rsid w:val="003E23F6"/>
    <w:rsid w:val="003E245F"/>
    <w:rsid w:val="003E2540"/>
    <w:rsid w:val="003E2AA8"/>
    <w:rsid w:val="003E2D9E"/>
    <w:rsid w:val="003E2ED0"/>
    <w:rsid w:val="003E3331"/>
    <w:rsid w:val="003E33DF"/>
    <w:rsid w:val="003E35BF"/>
    <w:rsid w:val="003E3637"/>
    <w:rsid w:val="003E3860"/>
    <w:rsid w:val="003E3A1D"/>
    <w:rsid w:val="003E3A8B"/>
    <w:rsid w:val="003E3B82"/>
    <w:rsid w:val="003E3CC2"/>
    <w:rsid w:val="003E3D1B"/>
    <w:rsid w:val="003E404F"/>
    <w:rsid w:val="003E4096"/>
    <w:rsid w:val="003E4527"/>
    <w:rsid w:val="003E4927"/>
    <w:rsid w:val="003E49A2"/>
    <w:rsid w:val="003E49B0"/>
    <w:rsid w:val="003E4CF4"/>
    <w:rsid w:val="003E4FA2"/>
    <w:rsid w:val="003E5103"/>
    <w:rsid w:val="003E5330"/>
    <w:rsid w:val="003E5B22"/>
    <w:rsid w:val="003E5D70"/>
    <w:rsid w:val="003E5FD6"/>
    <w:rsid w:val="003E603E"/>
    <w:rsid w:val="003E6044"/>
    <w:rsid w:val="003E61D8"/>
    <w:rsid w:val="003E629E"/>
    <w:rsid w:val="003E6517"/>
    <w:rsid w:val="003E6906"/>
    <w:rsid w:val="003E6985"/>
    <w:rsid w:val="003E6BF2"/>
    <w:rsid w:val="003E6D22"/>
    <w:rsid w:val="003E6D70"/>
    <w:rsid w:val="003E6FA0"/>
    <w:rsid w:val="003E7016"/>
    <w:rsid w:val="003E71CD"/>
    <w:rsid w:val="003E7E8B"/>
    <w:rsid w:val="003F006A"/>
    <w:rsid w:val="003F01F6"/>
    <w:rsid w:val="003F020C"/>
    <w:rsid w:val="003F033C"/>
    <w:rsid w:val="003F03C4"/>
    <w:rsid w:val="003F04C5"/>
    <w:rsid w:val="003F066F"/>
    <w:rsid w:val="003F07C3"/>
    <w:rsid w:val="003F0C9B"/>
    <w:rsid w:val="003F110B"/>
    <w:rsid w:val="003F1299"/>
    <w:rsid w:val="003F1C0F"/>
    <w:rsid w:val="003F1F1D"/>
    <w:rsid w:val="003F2A8C"/>
    <w:rsid w:val="003F2CEF"/>
    <w:rsid w:val="003F2DEE"/>
    <w:rsid w:val="003F307C"/>
    <w:rsid w:val="003F31AE"/>
    <w:rsid w:val="003F325F"/>
    <w:rsid w:val="003F3282"/>
    <w:rsid w:val="003F34C8"/>
    <w:rsid w:val="003F3650"/>
    <w:rsid w:val="003F3733"/>
    <w:rsid w:val="003F3919"/>
    <w:rsid w:val="003F3982"/>
    <w:rsid w:val="003F39F1"/>
    <w:rsid w:val="003F3B8F"/>
    <w:rsid w:val="003F3CE3"/>
    <w:rsid w:val="003F3FBC"/>
    <w:rsid w:val="003F416F"/>
    <w:rsid w:val="003F41F2"/>
    <w:rsid w:val="003F441C"/>
    <w:rsid w:val="003F443F"/>
    <w:rsid w:val="003F44C8"/>
    <w:rsid w:val="003F45EB"/>
    <w:rsid w:val="003F46B8"/>
    <w:rsid w:val="003F4D21"/>
    <w:rsid w:val="003F4DA7"/>
    <w:rsid w:val="003F5277"/>
    <w:rsid w:val="003F576C"/>
    <w:rsid w:val="003F57F4"/>
    <w:rsid w:val="003F5BB3"/>
    <w:rsid w:val="003F5C88"/>
    <w:rsid w:val="003F5D89"/>
    <w:rsid w:val="003F5E0E"/>
    <w:rsid w:val="003F5ED3"/>
    <w:rsid w:val="003F62DB"/>
    <w:rsid w:val="003F62DE"/>
    <w:rsid w:val="003F62ED"/>
    <w:rsid w:val="003F647C"/>
    <w:rsid w:val="003F6545"/>
    <w:rsid w:val="003F66F8"/>
    <w:rsid w:val="003F6ABD"/>
    <w:rsid w:val="003F6B6C"/>
    <w:rsid w:val="003F6F06"/>
    <w:rsid w:val="003F6F6C"/>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FCB"/>
    <w:rsid w:val="0040203A"/>
    <w:rsid w:val="00402B30"/>
    <w:rsid w:val="00402C69"/>
    <w:rsid w:val="004030CE"/>
    <w:rsid w:val="004034C1"/>
    <w:rsid w:val="004034E5"/>
    <w:rsid w:val="00403504"/>
    <w:rsid w:val="00403633"/>
    <w:rsid w:val="00403812"/>
    <w:rsid w:val="00403959"/>
    <w:rsid w:val="00403B3C"/>
    <w:rsid w:val="00403DE5"/>
    <w:rsid w:val="00404053"/>
    <w:rsid w:val="00404680"/>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E5B"/>
    <w:rsid w:val="00406F6F"/>
    <w:rsid w:val="004073A8"/>
    <w:rsid w:val="00407428"/>
    <w:rsid w:val="004074FF"/>
    <w:rsid w:val="004077F4"/>
    <w:rsid w:val="00407840"/>
    <w:rsid w:val="0040796E"/>
    <w:rsid w:val="004079E9"/>
    <w:rsid w:val="0041021F"/>
    <w:rsid w:val="004103F2"/>
    <w:rsid w:val="00410619"/>
    <w:rsid w:val="0041073C"/>
    <w:rsid w:val="004107D2"/>
    <w:rsid w:val="00410AB1"/>
    <w:rsid w:val="00410F60"/>
    <w:rsid w:val="004112AE"/>
    <w:rsid w:val="00411903"/>
    <w:rsid w:val="00411CCB"/>
    <w:rsid w:val="00411E7E"/>
    <w:rsid w:val="00411F4F"/>
    <w:rsid w:val="00412042"/>
    <w:rsid w:val="004124B3"/>
    <w:rsid w:val="00412535"/>
    <w:rsid w:val="00412A7B"/>
    <w:rsid w:val="00412B5E"/>
    <w:rsid w:val="00412C90"/>
    <w:rsid w:val="00412D0B"/>
    <w:rsid w:val="0041303A"/>
    <w:rsid w:val="00413097"/>
    <w:rsid w:val="004134C0"/>
    <w:rsid w:val="00413C08"/>
    <w:rsid w:val="00413F04"/>
    <w:rsid w:val="00413FFE"/>
    <w:rsid w:val="00414299"/>
    <w:rsid w:val="004145B4"/>
    <w:rsid w:val="00414967"/>
    <w:rsid w:val="00414B5B"/>
    <w:rsid w:val="00414C19"/>
    <w:rsid w:val="00414CAD"/>
    <w:rsid w:val="004150F4"/>
    <w:rsid w:val="00415BC5"/>
    <w:rsid w:val="00415DB8"/>
    <w:rsid w:val="00415EE3"/>
    <w:rsid w:val="00415F40"/>
    <w:rsid w:val="0041604E"/>
    <w:rsid w:val="004161DD"/>
    <w:rsid w:val="00416341"/>
    <w:rsid w:val="00416A8F"/>
    <w:rsid w:val="004173EB"/>
    <w:rsid w:val="00417B31"/>
    <w:rsid w:val="0042018B"/>
    <w:rsid w:val="004203E3"/>
    <w:rsid w:val="0042055A"/>
    <w:rsid w:val="00420BD0"/>
    <w:rsid w:val="00420CB0"/>
    <w:rsid w:val="00420F40"/>
    <w:rsid w:val="0042114F"/>
    <w:rsid w:val="00421840"/>
    <w:rsid w:val="00421975"/>
    <w:rsid w:val="00421BB3"/>
    <w:rsid w:val="00421F35"/>
    <w:rsid w:val="0042208B"/>
    <w:rsid w:val="00422404"/>
    <w:rsid w:val="004229AD"/>
    <w:rsid w:val="00422C05"/>
    <w:rsid w:val="00422DE8"/>
    <w:rsid w:val="0042304A"/>
    <w:rsid w:val="00423115"/>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6C65"/>
    <w:rsid w:val="00426DFC"/>
    <w:rsid w:val="00427696"/>
    <w:rsid w:val="00427865"/>
    <w:rsid w:val="00427876"/>
    <w:rsid w:val="004278E6"/>
    <w:rsid w:val="00430012"/>
    <w:rsid w:val="004302B7"/>
    <w:rsid w:val="0043054F"/>
    <w:rsid w:val="00430567"/>
    <w:rsid w:val="004308E5"/>
    <w:rsid w:val="004309E8"/>
    <w:rsid w:val="00430DFD"/>
    <w:rsid w:val="00431096"/>
    <w:rsid w:val="004322D4"/>
    <w:rsid w:val="00432570"/>
    <w:rsid w:val="0043269D"/>
    <w:rsid w:val="00432A76"/>
    <w:rsid w:val="00432F05"/>
    <w:rsid w:val="004330BC"/>
    <w:rsid w:val="00433783"/>
    <w:rsid w:val="0043396B"/>
    <w:rsid w:val="00433C0B"/>
    <w:rsid w:val="00434174"/>
    <w:rsid w:val="0043417D"/>
    <w:rsid w:val="00434627"/>
    <w:rsid w:val="0043479C"/>
    <w:rsid w:val="00434A59"/>
    <w:rsid w:val="00434D4B"/>
    <w:rsid w:val="00434E88"/>
    <w:rsid w:val="00435099"/>
    <w:rsid w:val="004350A2"/>
    <w:rsid w:val="00435101"/>
    <w:rsid w:val="00435175"/>
    <w:rsid w:val="004351AE"/>
    <w:rsid w:val="00435632"/>
    <w:rsid w:val="00435734"/>
    <w:rsid w:val="0043584E"/>
    <w:rsid w:val="004358C5"/>
    <w:rsid w:val="0043594B"/>
    <w:rsid w:val="00435A9B"/>
    <w:rsid w:val="00435D10"/>
    <w:rsid w:val="004362BB"/>
    <w:rsid w:val="004368AE"/>
    <w:rsid w:val="004369C6"/>
    <w:rsid w:val="00436CDF"/>
    <w:rsid w:val="00437330"/>
    <w:rsid w:val="004378EC"/>
    <w:rsid w:val="004379D0"/>
    <w:rsid w:val="00440018"/>
    <w:rsid w:val="0044008C"/>
    <w:rsid w:val="0044040B"/>
    <w:rsid w:val="00440604"/>
    <w:rsid w:val="00440DFC"/>
    <w:rsid w:val="00440E5B"/>
    <w:rsid w:val="00440FD7"/>
    <w:rsid w:val="0044129B"/>
    <w:rsid w:val="004412D1"/>
    <w:rsid w:val="0044130F"/>
    <w:rsid w:val="00441AFE"/>
    <w:rsid w:val="00441C3C"/>
    <w:rsid w:val="00442386"/>
    <w:rsid w:val="004428CB"/>
    <w:rsid w:val="00442B2E"/>
    <w:rsid w:val="00442BD9"/>
    <w:rsid w:val="00442D21"/>
    <w:rsid w:val="00443182"/>
    <w:rsid w:val="004431E9"/>
    <w:rsid w:val="00443287"/>
    <w:rsid w:val="00443392"/>
    <w:rsid w:val="004433C5"/>
    <w:rsid w:val="00443630"/>
    <w:rsid w:val="0044365B"/>
    <w:rsid w:val="0044368D"/>
    <w:rsid w:val="00443ADC"/>
    <w:rsid w:val="004443AF"/>
    <w:rsid w:val="00444631"/>
    <w:rsid w:val="00444B3D"/>
    <w:rsid w:val="00444C12"/>
    <w:rsid w:val="00444D1D"/>
    <w:rsid w:val="00444E76"/>
    <w:rsid w:val="00444EA8"/>
    <w:rsid w:val="00445089"/>
    <w:rsid w:val="00445144"/>
    <w:rsid w:val="0044536C"/>
    <w:rsid w:val="00445832"/>
    <w:rsid w:val="00445B21"/>
    <w:rsid w:val="00445CC2"/>
    <w:rsid w:val="00445CCE"/>
    <w:rsid w:val="00445E44"/>
    <w:rsid w:val="00446095"/>
    <w:rsid w:val="004460FE"/>
    <w:rsid w:val="0044680C"/>
    <w:rsid w:val="00446A40"/>
    <w:rsid w:val="00446CE8"/>
    <w:rsid w:val="004477EF"/>
    <w:rsid w:val="00447895"/>
    <w:rsid w:val="00447A16"/>
    <w:rsid w:val="00447A38"/>
    <w:rsid w:val="00447BCF"/>
    <w:rsid w:val="00450446"/>
    <w:rsid w:val="004504D6"/>
    <w:rsid w:val="004507E5"/>
    <w:rsid w:val="00450AC0"/>
    <w:rsid w:val="00450D71"/>
    <w:rsid w:val="00450E14"/>
    <w:rsid w:val="004512E4"/>
    <w:rsid w:val="004516D6"/>
    <w:rsid w:val="004516F2"/>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3FF4"/>
    <w:rsid w:val="0045437C"/>
    <w:rsid w:val="004543BB"/>
    <w:rsid w:val="00454739"/>
    <w:rsid w:val="00454A14"/>
    <w:rsid w:val="00454A30"/>
    <w:rsid w:val="00454C05"/>
    <w:rsid w:val="00454D6E"/>
    <w:rsid w:val="00454F63"/>
    <w:rsid w:val="00454F87"/>
    <w:rsid w:val="0045588B"/>
    <w:rsid w:val="00455BD4"/>
    <w:rsid w:val="00455F9E"/>
    <w:rsid w:val="004563D6"/>
    <w:rsid w:val="00456654"/>
    <w:rsid w:val="00456C43"/>
    <w:rsid w:val="00456EC9"/>
    <w:rsid w:val="00456EF5"/>
    <w:rsid w:val="004576AC"/>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4B"/>
    <w:rsid w:val="004624B9"/>
    <w:rsid w:val="004627BC"/>
    <w:rsid w:val="00462C57"/>
    <w:rsid w:val="00462F8E"/>
    <w:rsid w:val="004630A2"/>
    <w:rsid w:val="00463226"/>
    <w:rsid w:val="004635B5"/>
    <w:rsid w:val="00463769"/>
    <w:rsid w:val="00463BA9"/>
    <w:rsid w:val="00463C42"/>
    <w:rsid w:val="00463F28"/>
    <w:rsid w:val="004643B9"/>
    <w:rsid w:val="0046458A"/>
    <w:rsid w:val="004646EE"/>
    <w:rsid w:val="00464876"/>
    <w:rsid w:val="004648AF"/>
    <w:rsid w:val="004649AB"/>
    <w:rsid w:val="004649B8"/>
    <w:rsid w:val="00464DCD"/>
    <w:rsid w:val="00464DED"/>
    <w:rsid w:val="00464FC4"/>
    <w:rsid w:val="004651D0"/>
    <w:rsid w:val="0046566C"/>
    <w:rsid w:val="0046581F"/>
    <w:rsid w:val="0046584D"/>
    <w:rsid w:val="00465877"/>
    <w:rsid w:val="00465A90"/>
    <w:rsid w:val="00465AEB"/>
    <w:rsid w:val="00465CC2"/>
    <w:rsid w:val="00465CF1"/>
    <w:rsid w:val="00466357"/>
    <w:rsid w:val="004665D2"/>
    <w:rsid w:val="0046671F"/>
    <w:rsid w:val="0046689D"/>
    <w:rsid w:val="00466AB7"/>
    <w:rsid w:val="00466B35"/>
    <w:rsid w:val="00466C93"/>
    <w:rsid w:val="00466D14"/>
    <w:rsid w:val="00466DE0"/>
    <w:rsid w:val="00466DF8"/>
    <w:rsid w:val="00467357"/>
    <w:rsid w:val="00467610"/>
    <w:rsid w:val="004677AB"/>
    <w:rsid w:val="00467906"/>
    <w:rsid w:val="00467B7D"/>
    <w:rsid w:val="00467CFF"/>
    <w:rsid w:val="00467E58"/>
    <w:rsid w:val="00467FAA"/>
    <w:rsid w:val="00467FFC"/>
    <w:rsid w:val="00470031"/>
    <w:rsid w:val="004700AF"/>
    <w:rsid w:val="0047030E"/>
    <w:rsid w:val="0047041D"/>
    <w:rsid w:val="004707D6"/>
    <w:rsid w:val="00470B1D"/>
    <w:rsid w:val="00470D18"/>
    <w:rsid w:val="00470F57"/>
    <w:rsid w:val="0047102C"/>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BEC"/>
    <w:rsid w:val="00474E90"/>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AE0"/>
    <w:rsid w:val="00476BB5"/>
    <w:rsid w:val="00477631"/>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603"/>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8E5"/>
    <w:rsid w:val="004909B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B0F"/>
    <w:rsid w:val="00493B38"/>
    <w:rsid w:val="00493B68"/>
    <w:rsid w:val="00493BA4"/>
    <w:rsid w:val="00493CCF"/>
    <w:rsid w:val="00493EB9"/>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6031"/>
    <w:rsid w:val="004960B3"/>
    <w:rsid w:val="004961B3"/>
    <w:rsid w:val="004961E7"/>
    <w:rsid w:val="0049622B"/>
    <w:rsid w:val="004962EB"/>
    <w:rsid w:val="00496865"/>
    <w:rsid w:val="00497272"/>
    <w:rsid w:val="00497671"/>
    <w:rsid w:val="0049782B"/>
    <w:rsid w:val="00497C2A"/>
    <w:rsid w:val="00497C74"/>
    <w:rsid w:val="00497CAB"/>
    <w:rsid w:val="004A0116"/>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F7C"/>
    <w:rsid w:val="004A3254"/>
    <w:rsid w:val="004A3261"/>
    <w:rsid w:val="004A34F8"/>
    <w:rsid w:val="004A3878"/>
    <w:rsid w:val="004A3E7B"/>
    <w:rsid w:val="004A3FB2"/>
    <w:rsid w:val="004A4356"/>
    <w:rsid w:val="004A4627"/>
    <w:rsid w:val="004A4629"/>
    <w:rsid w:val="004A4774"/>
    <w:rsid w:val="004A4B32"/>
    <w:rsid w:val="004A4CFD"/>
    <w:rsid w:val="004A537E"/>
    <w:rsid w:val="004A545D"/>
    <w:rsid w:val="004A546D"/>
    <w:rsid w:val="004A5541"/>
    <w:rsid w:val="004A5660"/>
    <w:rsid w:val="004A5E07"/>
    <w:rsid w:val="004A5F03"/>
    <w:rsid w:val="004A5F07"/>
    <w:rsid w:val="004A6334"/>
    <w:rsid w:val="004A643D"/>
    <w:rsid w:val="004A6C66"/>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AD"/>
    <w:rsid w:val="004B15F1"/>
    <w:rsid w:val="004B17CB"/>
    <w:rsid w:val="004B1891"/>
    <w:rsid w:val="004B18BE"/>
    <w:rsid w:val="004B203E"/>
    <w:rsid w:val="004B20F7"/>
    <w:rsid w:val="004B277F"/>
    <w:rsid w:val="004B28A2"/>
    <w:rsid w:val="004B2BFD"/>
    <w:rsid w:val="004B33B9"/>
    <w:rsid w:val="004B340E"/>
    <w:rsid w:val="004B3420"/>
    <w:rsid w:val="004B37E4"/>
    <w:rsid w:val="004B399F"/>
    <w:rsid w:val="004B39D5"/>
    <w:rsid w:val="004B39F4"/>
    <w:rsid w:val="004B42FD"/>
    <w:rsid w:val="004B438E"/>
    <w:rsid w:val="004B440A"/>
    <w:rsid w:val="004B496B"/>
    <w:rsid w:val="004B4A44"/>
    <w:rsid w:val="004B4BEA"/>
    <w:rsid w:val="004B50E8"/>
    <w:rsid w:val="004B5595"/>
    <w:rsid w:val="004B55C8"/>
    <w:rsid w:val="004B5888"/>
    <w:rsid w:val="004B5B54"/>
    <w:rsid w:val="004B5CC1"/>
    <w:rsid w:val="004B5DB8"/>
    <w:rsid w:val="004B5F0D"/>
    <w:rsid w:val="004B60AC"/>
    <w:rsid w:val="004B612F"/>
    <w:rsid w:val="004B621F"/>
    <w:rsid w:val="004B6485"/>
    <w:rsid w:val="004B6618"/>
    <w:rsid w:val="004B6819"/>
    <w:rsid w:val="004B6840"/>
    <w:rsid w:val="004B6B02"/>
    <w:rsid w:val="004B6C88"/>
    <w:rsid w:val="004B6D63"/>
    <w:rsid w:val="004B71A4"/>
    <w:rsid w:val="004B7EC1"/>
    <w:rsid w:val="004C0571"/>
    <w:rsid w:val="004C093C"/>
    <w:rsid w:val="004C0BC9"/>
    <w:rsid w:val="004C0DF1"/>
    <w:rsid w:val="004C0DF8"/>
    <w:rsid w:val="004C0E96"/>
    <w:rsid w:val="004C0EF6"/>
    <w:rsid w:val="004C1479"/>
    <w:rsid w:val="004C14A0"/>
    <w:rsid w:val="004C1697"/>
    <w:rsid w:val="004C1747"/>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2F6D"/>
    <w:rsid w:val="004C3089"/>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D9F"/>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A39"/>
    <w:rsid w:val="004C7B8C"/>
    <w:rsid w:val="004C7F3E"/>
    <w:rsid w:val="004D0463"/>
    <w:rsid w:val="004D05F3"/>
    <w:rsid w:val="004D08BF"/>
    <w:rsid w:val="004D0B9F"/>
    <w:rsid w:val="004D0C77"/>
    <w:rsid w:val="004D0DD6"/>
    <w:rsid w:val="004D0FF1"/>
    <w:rsid w:val="004D1027"/>
    <w:rsid w:val="004D13B6"/>
    <w:rsid w:val="004D156A"/>
    <w:rsid w:val="004D167B"/>
    <w:rsid w:val="004D1B28"/>
    <w:rsid w:val="004D1D5E"/>
    <w:rsid w:val="004D1E00"/>
    <w:rsid w:val="004D1FEF"/>
    <w:rsid w:val="004D238F"/>
    <w:rsid w:val="004D2FC5"/>
    <w:rsid w:val="004D323C"/>
    <w:rsid w:val="004D35C6"/>
    <w:rsid w:val="004D378E"/>
    <w:rsid w:val="004D3797"/>
    <w:rsid w:val="004D3A2C"/>
    <w:rsid w:val="004D3B94"/>
    <w:rsid w:val="004D3BF7"/>
    <w:rsid w:val="004D3E24"/>
    <w:rsid w:val="004D3FDF"/>
    <w:rsid w:val="004D4312"/>
    <w:rsid w:val="004D4544"/>
    <w:rsid w:val="004D4647"/>
    <w:rsid w:val="004D4C47"/>
    <w:rsid w:val="004D4CBE"/>
    <w:rsid w:val="004D5477"/>
    <w:rsid w:val="004D5745"/>
    <w:rsid w:val="004D5CD9"/>
    <w:rsid w:val="004D5E82"/>
    <w:rsid w:val="004D5F42"/>
    <w:rsid w:val="004D602D"/>
    <w:rsid w:val="004D6687"/>
    <w:rsid w:val="004D6CF4"/>
    <w:rsid w:val="004D6D06"/>
    <w:rsid w:val="004D6E44"/>
    <w:rsid w:val="004D6EDA"/>
    <w:rsid w:val="004D6EE2"/>
    <w:rsid w:val="004D6F65"/>
    <w:rsid w:val="004D76BF"/>
    <w:rsid w:val="004D771F"/>
    <w:rsid w:val="004D7841"/>
    <w:rsid w:val="004D79F3"/>
    <w:rsid w:val="004D7B81"/>
    <w:rsid w:val="004E00C1"/>
    <w:rsid w:val="004E0480"/>
    <w:rsid w:val="004E0734"/>
    <w:rsid w:val="004E07AA"/>
    <w:rsid w:val="004E0DAB"/>
    <w:rsid w:val="004E0E58"/>
    <w:rsid w:val="004E0E80"/>
    <w:rsid w:val="004E0E9C"/>
    <w:rsid w:val="004E1294"/>
    <w:rsid w:val="004E1447"/>
    <w:rsid w:val="004E18DF"/>
    <w:rsid w:val="004E1905"/>
    <w:rsid w:val="004E1992"/>
    <w:rsid w:val="004E1FDF"/>
    <w:rsid w:val="004E2138"/>
    <w:rsid w:val="004E21C6"/>
    <w:rsid w:val="004E22A4"/>
    <w:rsid w:val="004E2527"/>
    <w:rsid w:val="004E2726"/>
    <w:rsid w:val="004E281C"/>
    <w:rsid w:val="004E283A"/>
    <w:rsid w:val="004E2A17"/>
    <w:rsid w:val="004E2ADF"/>
    <w:rsid w:val="004E2CE5"/>
    <w:rsid w:val="004E2E35"/>
    <w:rsid w:val="004E3543"/>
    <w:rsid w:val="004E366E"/>
    <w:rsid w:val="004E39FA"/>
    <w:rsid w:val="004E3AE0"/>
    <w:rsid w:val="004E3C70"/>
    <w:rsid w:val="004E3EFB"/>
    <w:rsid w:val="004E4161"/>
    <w:rsid w:val="004E438B"/>
    <w:rsid w:val="004E443C"/>
    <w:rsid w:val="004E451A"/>
    <w:rsid w:val="004E4719"/>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04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E85"/>
    <w:rsid w:val="004F4071"/>
    <w:rsid w:val="004F41DE"/>
    <w:rsid w:val="004F43B8"/>
    <w:rsid w:val="004F4638"/>
    <w:rsid w:val="004F4655"/>
    <w:rsid w:val="004F481D"/>
    <w:rsid w:val="004F498B"/>
    <w:rsid w:val="004F4C1A"/>
    <w:rsid w:val="004F514F"/>
    <w:rsid w:val="004F58C9"/>
    <w:rsid w:val="004F5A1A"/>
    <w:rsid w:val="004F5AA1"/>
    <w:rsid w:val="004F5AE3"/>
    <w:rsid w:val="004F5B97"/>
    <w:rsid w:val="004F5FE3"/>
    <w:rsid w:val="004F6187"/>
    <w:rsid w:val="004F68F7"/>
    <w:rsid w:val="004F6C03"/>
    <w:rsid w:val="004F6C0C"/>
    <w:rsid w:val="004F6E44"/>
    <w:rsid w:val="004F7584"/>
    <w:rsid w:val="004F7A0A"/>
    <w:rsid w:val="004F7A2C"/>
    <w:rsid w:val="004F7FEF"/>
    <w:rsid w:val="005001D7"/>
    <w:rsid w:val="00500369"/>
    <w:rsid w:val="00500412"/>
    <w:rsid w:val="00500480"/>
    <w:rsid w:val="005008E5"/>
    <w:rsid w:val="00500B0C"/>
    <w:rsid w:val="00500DB5"/>
    <w:rsid w:val="00500DDC"/>
    <w:rsid w:val="00501282"/>
    <w:rsid w:val="005013AF"/>
    <w:rsid w:val="0050144E"/>
    <w:rsid w:val="005015B1"/>
    <w:rsid w:val="005016F1"/>
    <w:rsid w:val="00501B32"/>
    <w:rsid w:val="00501CE9"/>
    <w:rsid w:val="00501E42"/>
    <w:rsid w:val="00501E71"/>
    <w:rsid w:val="0050214A"/>
    <w:rsid w:val="00502387"/>
    <w:rsid w:val="00502D0D"/>
    <w:rsid w:val="00502D67"/>
    <w:rsid w:val="00502F22"/>
    <w:rsid w:val="0050310D"/>
    <w:rsid w:val="0050345A"/>
    <w:rsid w:val="005035BF"/>
    <w:rsid w:val="0050397D"/>
    <w:rsid w:val="0050461E"/>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890"/>
    <w:rsid w:val="005108B1"/>
    <w:rsid w:val="00510991"/>
    <w:rsid w:val="005109F2"/>
    <w:rsid w:val="00510B8E"/>
    <w:rsid w:val="00510BAA"/>
    <w:rsid w:val="00510E9B"/>
    <w:rsid w:val="00510F84"/>
    <w:rsid w:val="00510FAF"/>
    <w:rsid w:val="00510FF4"/>
    <w:rsid w:val="0051108C"/>
    <w:rsid w:val="00511288"/>
    <w:rsid w:val="00511343"/>
    <w:rsid w:val="005114CA"/>
    <w:rsid w:val="0051152C"/>
    <w:rsid w:val="0051194C"/>
    <w:rsid w:val="00511BAA"/>
    <w:rsid w:val="00511E58"/>
    <w:rsid w:val="005120EA"/>
    <w:rsid w:val="0051212A"/>
    <w:rsid w:val="00512267"/>
    <w:rsid w:val="00512314"/>
    <w:rsid w:val="005123D3"/>
    <w:rsid w:val="00512A6D"/>
    <w:rsid w:val="00512BA1"/>
    <w:rsid w:val="00513395"/>
    <w:rsid w:val="0051347D"/>
    <w:rsid w:val="0051349F"/>
    <w:rsid w:val="00513851"/>
    <w:rsid w:val="00513877"/>
    <w:rsid w:val="00513BF5"/>
    <w:rsid w:val="00513CF8"/>
    <w:rsid w:val="005140E6"/>
    <w:rsid w:val="0051411E"/>
    <w:rsid w:val="005145C5"/>
    <w:rsid w:val="00514730"/>
    <w:rsid w:val="005147BB"/>
    <w:rsid w:val="005147F4"/>
    <w:rsid w:val="00514A3A"/>
    <w:rsid w:val="00514E17"/>
    <w:rsid w:val="005152C9"/>
    <w:rsid w:val="0051551E"/>
    <w:rsid w:val="0051560D"/>
    <w:rsid w:val="00515737"/>
    <w:rsid w:val="0051587A"/>
    <w:rsid w:val="00515AA0"/>
    <w:rsid w:val="00516066"/>
    <w:rsid w:val="00516265"/>
    <w:rsid w:val="00516D9F"/>
    <w:rsid w:val="00516DBA"/>
    <w:rsid w:val="00516E9F"/>
    <w:rsid w:val="00516F49"/>
    <w:rsid w:val="00516FE4"/>
    <w:rsid w:val="0051702A"/>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209B"/>
    <w:rsid w:val="005221B2"/>
    <w:rsid w:val="005223A5"/>
    <w:rsid w:val="0052243A"/>
    <w:rsid w:val="005228A3"/>
    <w:rsid w:val="0052299E"/>
    <w:rsid w:val="00522DDE"/>
    <w:rsid w:val="0052304E"/>
    <w:rsid w:val="00523157"/>
    <w:rsid w:val="0052349A"/>
    <w:rsid w:val="005235CB"/>
    <w:rsid w:val="005236AB"/>
    <w:rsid w:val="005237B8"/>
    <w:rsid w:val="005237BA"/>
    <w:rsid w:val="00523843"/>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4A"/>
    <w:rsid w:val="005273F0"/>
    <w:rsid w:val="00527995"/>
    <w:rsid w:val="00527B51"/>
    <w:rsid w:val="00527CA2"/>
    <w:rsid w:val="00527EBB"/>
    <w:rsid w:val="0053006E"/>
    <w:rsid w:val="005300DA"/>
    <w:rsid w:val="00530157"/>
    <w:rsid w:val="00530208"/>
    <w:rsid w:val="00530472"/>
    <w:rsid w:val="005308E1"/>
    <w:rsid w:val="00530A79"/>
    <w:rsid w:val="00530CAC"/>
    <w:rsid w:val="00530D21"/>
    <w:rsid w:val="00531062"/>
    <w:rsid w:val="00531595"/>
    <w:rsid w:val="00531ACB"/>
    <w:rsid w:val="00531B26"/>
    <w:rsid w:val="0053232E"/>
    <w:rsid w:val="005323F1"/>
    <w:rsid w:val="005328B7"/>
    <w:rsid w:val="00532B79"/>
    <w:rsid w:val="00532BDF"/>
    <w:rsid w:val="00532D8A"/>
    <w:rsid w:val="005332CE"/>
    <w:rsid w:val="00533353"/>
    <w:rsid w:val="005337E4"/>
    <w:rsid w:val="00533922"/>
    <w:rsid w:val="00533D7F"/>
    <w:rsid w:val="00533E9B"/>
    <w:rsid w:val="00533FA2"/>
    <w:rsid w:val="00533FA7"/>
    <w:rsid w:val="00533FDB"/>
    <w:rsid w:val="00534343"/>
    <w:rsid w:val="00534644"/>
    <w:rsid w:val="00534757"/>
    <w:rsid w:val="00535205"/>
    <w:rsid w:val="00535232"/>
    <w:rsid w:val="00535388"/>
    <w:rsid w:val="005358B3"/>
    <w:rsid w:val="00535B25"/>
    <w:rsid w:val="00535C32"/>
    <w:rsid w:val="00535D4D"/>
    <w:rsid w:val="00536069"/>
    <w:rsid w:val="0053639C"/>
    <w:rsid w:val="005363C6"/>
    <w:rsid w:val="005365AA"/>
    <w:rsid w:val="00536692"/>
    <w:rsid w:val="00536975"/>
    <w:rsid w:val="0053698E"/>
    <w:rsid w:val="00536B68"/>
    <w:rsid w:val="00536B76"/>
    <w:rsid w:val="00536D4D"/>
    <w:rsid w:val="00537035"/>
    <w:rsid w:val="0053779B"/>
    <w:rsid w:val="00537854"/>
    <w:rsid w:val="005378AA"/>
    <w:rsid w:val="00537C42"/>
    <w:rsid w:val="00537C61"/>
    <w:rsid w:val="00537CF6"/>
    <w:rsid w:val="00537D43"/>
    <w:rsid w:val="00537E7F"/>
    <w:rsid w:val="005400BC"/>
    <w:rsid w:val="00540304"/>
    <w:rsid w:val="00540437"/>
    <w:rsid w:val="00540AF1"/>
    <w:rsid w:val="00540D35"/>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62CB"/>
    <w:rsid w:val="00546375"/>
    <w:rsid w:val="0054653E"/>
    <w:rsid w:val="00546B02"/>
    <w:rsid w:val="00546D0E"/>
    <w:rsid w:val="00546D78"/>
    <w:rsid w:val="0054707A"/>
    <w:rsid w:val="005473EA"/>
    <w:rsid w:val="005475E1"/>
    <w:rsid w:val="0054763F"/>
    <w:rsid w:val="00547671"/>
    <w:rsid w:val="00547841"/>
    <w:rsid w:val="00547A50"/>
    <w:rsid w:val="00547DF0"/>
    <w:rsid w:val="00547F6E"/>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FED"/>
    <w:rsid w:val="00552C21"/>
    <w:rsid w:val="00552DB9"/>
    <w:rsid w:val="00552E5E"/>
    <w:rsid w:val="00553081"/>
    <w:rsid w:val="0055311A"/>
    <w:rsid w:val="005535AA"/>
    <w:rsid w:val="0055362B"/>
    <w:rsid w:val="005536A7"/>
    <w:rsid w:val="005537A2"/>
    <w:rsid w:val="00553DAD"/>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CB1"/>
    <w:rsid w:val="00556E35"/>
    <w:rsid w:val="00556F11"/>
    <w:rsid w:val="00556FD5"/>
    <w:rsid w:val="005570F7"/>
    <w:rsid w:val="0055711F"/>
    <w:rsid w:val="00557270"/>
    <w:rsid w:val="00557359"/>
    <w:rsid w:val="00557827"/>
    <w:rsid w:val="00557B9E"/>
    <w:rsid w:val="00557DE4"/>
    <w:rsid w:val="00557F82"/>
    <w:rsid w:val="00560102"/>
    <w:rsid w:val="005606DA"/>
    <w:rsid w:val="005609D2"/>
    <w:rsid w:val="00560A3D"/>
    <w:rsid w:val="00560F0F"/>
    <w:rsid w:val="005610A0"/>
    <w:rsid w:val="005612D0"/>
    <w:rsid w:val="00561631"/>
    <w:rsid w:val="0056185C"/>
    <w:rsid w:val="00561E6D"/>
    <w:rsid w:val="00561F9C"/>
    <w:rsid w:val="005621A6"/>
    <w:rsid w:val="005623E8"/>
    <w:rsid w:val="005625F4"/>
    <w:rsid w:val="005626BF"/>
    <w:rsid w:val="005629B1"/>
    <w:rsid w:val="00562BBA"/>
    <w:rsid w:val="00562BE3"/>
    <w:rsid w:val="0056371A"/>
    <w:rsid w:val="00563955"/>
    <w:rsid w:val="005639FD"/>
    <w:rsid w:val="00563B74"/>
    <w:rsid w:val="00563D08"/>
    <w:rsid w:val="00563DFF"/>
    <w:rsid w:val="00563E54"/>
    <w:rsid w:val="00563F47"/>
    <w:rsid w:val="00563F55"/>
    <w:rsid w:val="00564021"/>
    <w:rsid w:val="005643B1"/>
    <w:rsid w:val="005647DB"/>
    <w:rsid w:val="005648E4"/>
    <w:rsid w:val="0056496A"/>
    <w:rsid w:val="00565272"/>
    <w:rsid w:val="00565921"/>
    <w:rsid w:val="00565D02"/>
    <w:rsid w:val="00565F56"/>
    <w:rsid w:val="0056610C"/>
    <w:rsid w:val="0056637F"/>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623"/>
    <w:rsid w:val="00570AEF"/>
    <w:rsid w:val="00570F91"/>
    <w:rsid w:val="005712A4"/>
    <w:rsid w:val="005716C0"/>
    <w:rsid w:val="005718A8"/>
    <w:rsid w:val="00571942"/>
    <w:rsid w:val="00571B5A"/>
    <w:rsid w:val="005721A4"/>
    <w:rsid w:val="00572203"/>
    <w:rsid w:val="0057222B"/>
    <w:rsid w:val="005722BC"/>
    <w:rsid w:val="005723B6"/>
    <w:rsid w:val="005723BB"/>
    <w:rsid w:val="0057289B"/>
    <w:rsid w:val="00572A7D"/>
    <w:rsid w:val="00572CFD"/>
    <w:rsid w:val="005731E9"/>
    <w:rsid w:val="00573302"/>
    <w:rsid w:val="0057338F"/>
    <w:rsid w:val="00573647"/>
    <w:rsid w:val="00573903"/>
    <w:rsid w:val="005739D7"/>
    <w:rsid w:val="00573B1A"/>
    <w:rsid w:val="00573D33"/>
    <w:rsid w:val="00573DC5"/>
    <w:rsid w:val="00574223"/>
    <w:rsid w:val="00574D66"/>
    <w:rsid w:val="00574E2E"/>
    <w:rsid w:val="00575284"/>
    <w:rsid w:val="0057546D"/>
    <w:rsid w:val="0057554A"/>
    <w:rsid w:val="00575822"/>
    <w:rsid w:val="00575973"/>
    <w:rsid w:val="00575E87"/>
    <w:rsid w:val="0057604C"/>
    <w:rsid w:val="00576147"/>
    <w:rsid w:val="00576436"/>
    <w:rsid w:val="00576564"/>
    <w:rsid w:val="005767C0"/>
    <w:rsid w:val="00576DD5"/>
    <w:rsid w:val="00576E83"/>
    <w:rsid w:val="00576EAA"/>
    <w:rsid w:val="00576FFD"/>
    <w:rsid w:val="005773DC"/>
    <w:rsid w:val="00577618"/>
    <w:rsid w:val="005776CB"/>
    <w:rsid w:val="00577812"/>
    <w:rsid w:val="005779D6"/>
    <w:rsid w:val="00577DE7"/>
    <w:rsid w:val="0058007E"/>
    <w:rsid w:val="0058019F"/>
    <w:rsid w:val="00580408"/>
    <w:rsid w:val="00580CCE"/>
    <w:rsid w:val="005814E6"/>
    <w:rsid w:val="0058172C"/>
    <w:rsid w:val="00581958"/>
    <w:rsid w:val="00581A42"/>
    <w:rsid w:val="00581C03"/>
    <w:rsid w:val="00581D7D"/>
    <w:rsid w:val="005821CC"/>
    <w:rsid w:val="00582D68"/>
    <w:rsid w:val="00582E7D"/>
    <w:rsid w:val="00582E8D"/>
    <w:rsid w:val="005833D3"/>
    <w:rsid w:val="00583454"/>
    <w:rsid w:val="00583944"/>
    <w:rsid w:val="00583E5F"/>
    <w:rsid w:val="00584205"/>
    <w:rsid w:val="00584757"/>
    <w:rsid w:val="00584838"/>
    <w:rsid w:val="00584BFE"/>
    <w:rsid w:val="00584D23"/>
    <w:rsid w:val="00584D98"/>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972"/>
    <w:rsid w:val="00586ACB"/>
    <w:rsid w:val="00586E61"/>
    <w:rsid w:val="00586F26"/>
    <w:rsid w:val="00587122"/>
    <w:rsid w:val="00587E8E"/>
    <w:rsid w:val="00590248"/>
    <w:rsid w:val="005903FA"/>
    <w:rsid w:val="00590591"/>
    <w:rsid w:val="005906DF"/>
    <w:rsid w:val="0059076C"/>
    <w:rsid w:val="0059077C"/>
    <w:rsid w:val="00590885"/>
    <w:rsid w:val="00591000"/>
    <w:rsid w:val="0059119C"/>
    <w:rsid w:val="005911E2"/>
    <w:rsid w:val="005916D5"/>
    <w:rsid w:val="005918AF"/>
    <w:rsid w:val="00591940"/>
    <w:rsid w:val="00591C6E"/>
    <w:rsid w:val="00591CC1"/>
    <w:rsid w:val="00591EF0"/>
    <w:rsid w:val="005926E2"/>
    <w:rsid w:val="00592845"/>
    <w:rsid w:val="00592AA8"/>
    <w:rsid w:val="005931F5"/>
    <w:rsid w:val="00593202"/>
    <w:rsid w:val="0059340C"/>
    <w:rsid w:val="00593546"/>
    <w:rsid w:val="005940A3"/>
    <w:rsid w:val="00594376"/>
    <w:rsid w:val="00594451"/>
    <w:rsid w:val="0059458B"/>
    <w:rsid w:val="005945E7"/>
    <w:rsid w:val="0059465D"/>
    <w:rsid w:val="005949B6"/>
    <w:rsid w:val="00594A50"/>
    <w:rsid w:val="005951D7"/>
    <w:rsid w:val="0059526A"/>
    <w:rsid w:val="005958A4"/>
    <w:rsid w:val="00595993"/>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0C3"/>
    <w:rsid w:val="005A03EA"/>
    <w:rsid w:val="005A049F"/>
    <w:rsid w:val="005A05F8"/>
    <w:rsid w:val="005A0983"/>
    <w:rsid w:val="005A0C46"/>
    <w:rsid w:val="005A0CC9"/>
    <w:rsid w:val="005A0D27"/>
    <w:rsid w:val="005A127B"/>
    <w:rsid w:val="005A12CE"/>
    <w:rsid w:val="005A14C5"/>
    <w:rsid w:val="005A16D2"/>
    <w:rsid w:val="005A19A2"/>
    <w:rsid w:val="005A19B3"/>
    <w:rsid w:val="005A1B49"/>
    <w:rsid w:val="005A1BD4"/>
    <w:rsid w:val="005A1D9C"/>
    <w:rsid w:val="005A214D"/>
    <w:rsid w:val="005A2383"/>
    <w:rsid w:val="005A2C93"/>
    <w:rsid w:val="005A2D82"/>
    <w:rsid w:val="005A2DFD"/>
    <w:rsid w:val="005A2E96"/>
    <w:rsid w:val="005A3447"/>
    <w:rsid w:val="005A3602"/>
    <w:rsid w:val="005A36B6"/>
    <w:rsid w:val="005A3DA1"/>
    <w:rsid w:val="005A4487"/>
    <w:rsid w:val="005A4977"/>
    <w:rsid w:val="005A4A3A"/>
    <w:rsid w:val="005A4ECB"/>
    <w:rsid w:val="005A5135"/>
    <w:rsid w:val="005A54D4"/>
    <w:rsid w:val="005A5B14"/>
    <w:rsid w:val="005A5BDE"/>
    <w:rsid w:val="005A5E0F"/>
    <w:rsid w:val="005A602F"/>
    <w:rsid w:val="005A60E0"/>
    <w:rsid w:val="005A633C"/>
    <w:rsid w:val="005A6BF6"/>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20C7"/>
    <w:rsid w:val="005B215A"/>
    <w:rsid w:val="005B25EC"/>
    <w:rsid w:val="005B2820"/>
    <w:rsid w:val="005B2CBF"/>
    <w:rsid w:val="005B31C8"/>
    <w:rsid w:val="005B3204"/>
    <w:rsid w:val="005B363A"/>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6A18"/>
    <w:rsid w:val="005B6D85"/>
    <w:rsid w:val="005B7207"/>
    <w:rsid w:val="005B780A"/>
    <w:rsid w:val="005B7CC5"/>
    <w:rsid w:val="005B7E45"/>
    <w:rsid w:val="005B7F65"/>
    <w:rsid w:val="005C0039"/>
    <w:rsid w:val="005C0448"/>
    <w:rsid w:val="005C0981"/>
    <w:rsid w:val="005C098F"/>
    <w:rsid w:val="005C0A8D"/>
    <w:rsid w:val="005C0BF7"/>
    <w:rsid w:val="005C0BFD"/>
    <w:rsid w:val="005C1066"/>
    <w:rsid w:val="005C1201"/>
    <w:rsid w:val="005C131D"/>
    <w:rsid w:val="005C1634"/>
    <w:rsid w:val="005C1AC5"/>
    <w:rsid w:val="005C1B7D"/>
    <w:rsid w:val="005C22C3"/>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07B"/>
    <w:rsid w:val="005C4284"/>
    <w:rsid w:val="005C43E2"/>
    <w:rsid w:val="005C469E"/>
    <w:rsid w:val="005C4877"/>
    <w:rsid w:val="005C4892"/>
    <w:rsid w:val="005C4922"/>
    <w:rsid w:val="005C4EAA"/>
    <w:rsid w:val="005C5095"/>
    <w:rsid w:val="005C53DD"/>
    <w:rsid w:val="005C58F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8FE"/>
    <w:rsid w:val="005C7BF3"/>
    <w:rsid w:val="005C7DFF"/>
    <w:rsid w:val="005D0215"/>
    <w:rsid w:val="005D027C"/>
    <w:rsid w:val="005D077F"/>
    <w:rsid w:val="005D10A9"/>
    <w:rsid w:val="005D1144"/>
    <w:rsid w:val="005D19AC"/>
    <w:rsid w:val="005D1C5B"/>
    <w:rsid w:val="005D1EF4"/>
    <w:rsid w:val="005D2072"/>
    <w:rsid w:val="005D221A"/>
    <w:rsid w:val="005D2333"/>
    <w:rsid w:val="005D234F"/>
    <w:rsid w:val="005D246D"/>
    <w:rsid w:val="005D24AF"/>
    <w:rsid w:val="005D289E"/>
    <w:rsid w:val="005D297B"/>
    <w:rsid w:val="005D2A4F"/>
    <w:rsid w:val="005D2A97"/>
    <w:rsid w:val="005D2F3A"/>
    <w:rsid w:val="005D3265"/>
    <w:rsid w:val="005D3430"/>
    <w:rsid w:val="005D360C"/>
    <w:rsid w:val="005D36CE"/>
    <w:rsid w:val="005D39EF"/>
    <w:rsid w:val="005D3B50"/>
    <w:rsid w:val="005D3E72"/>
    <w:rsid w:val="005D4028"/>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198"/>
    <w:rsid w:val="005D660C"/>
    <w:rsid w:val="005D678B"/>
    <w:rsid w:val="005D6C8E"/>
    <w:rsid w:val="005D73A6"/>
    <w:rsid w:val="005D7574"/>
    <w:rsid w:val="005D77C7"/>
    <w:rsid w:val="005D790D"/>
    <w:rsid w:val="005D7951"/>
    <w:rsid w:val="005E018B"/>
    <w:rsid w:val="005E0660"/>
    <w:rsid w:val="005E07EA"/>
    <w:rsid w:val="005E0815"/>
    <w:rsid w:val="005E0A1F"/>
    <w:rsid w:val="005E0D4F"/>
    <w:rsid w:val="005E0E6C"/>
    <w:rsid w:val="005E1480"/>
    <w:rsid w:val="005E1512"/>
    <w:rsid w:val="005E15E3"/>
    <w:rsid w:val="005E1A55"/>
    <w:rsid w:val="005E1E55"/>
    <w:rsid w:val="005E2005"/>
    <w:rsid w:val="005E224F"/>
    <w:rsid w:val="005E2460"/>
    <w:rsid w:val="005E262C"/>
    <w:rsid w:val="005E2A6D"/>
    <w:rsid w:val="005E2B22"/>
    <w:rsid w:val="005E2C61"/>
    <w:rsid w:val="005E2CA4"/>
    <w:rsid w:val="005E3046"/>
    <w:rsid w:val="005E3510"/>
    <w:rsid w:val="005E36D6"/>
    <w:rsid w:val="005E38C2"/>
    <w:rsid w:val="005E3967"/>
    <w:rsid w:val="005E3A70"/>
    <w:rsid w:val="005E3D05"/>
    <w:rsid w:val="005E3E22"/>
    <w:rsid w:val="005E3F5B"/>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EC2"/>
    <w:rsid w:val="005E6F07"/>
    <w:rsid w:val="005E74B4"/>
    <w:rsid w:val="005E79D7"/>
    <w:rsid w:val="005E7E6E"/>
    <w:rsid w:val="005E7E8D"/>
    <w:rsid w:val="005F006A"/>
    <w:rsid w:val="005F00E1"/>
    <w:rsid w:val="005F00FC"/>
    <w:rsid w:val="005F0231"/>
    <w:rsid w:val="005F02B2"/>
    <w:rsid w:val="005F03AB"/>
    <w:rsid w:val="005F0691"/>
    <w:rsid w:val="005F09F5"/>
    <w:rsid w:val="005F0A4B"/>
    <w:rsid w:val="005F0A74"/>
    <w:rsid w:val="005F0BF7"/>
    <w:rsid w:val="005F1311"/>
    <w:rsid w:val="005F14F7"/>
    <w:rsid w:val="005F1558"/>
    <w:rsid w:val="005F188D"/>
    <w:rsid w:val="005F1D8D"/>
    <w:rsid w:val="005F21C9"/>
    <w:rsid w:val="005F241F"/>
    <w:rsid w:val="005F247D"/>
    <w:rsid w:val="005F26B1"/>
    <w:rsid w:val="005F2EF6"/>
    <w:rsid w:val="005F30BF"/>
    <w:rsid w:val="005F372C"/>
    <w:rsid w:val="005F3739"/>
    <w:rsid w:val="005F3E71"/>
    <w:rsid w:val="005F3F6D"/>
    <w:rsid w:val="005F3FB8"/>
    <w:rsid w:val="005F4312"/>
    <w:rsid w:val="005F4523"/>
    <w:rsid w:val="005F4642"/>
    <w:rsid w:val="005F4788"/>
    <w:rsid w:val="005F4856"/>
    <w:rsid w:val="005F4B69"/>
    <w:rsid w:val="005F4EA7"/>
    <w:rsid w:val="005F502B"/>
    <w:rsid w:val="005F5040"/>
    <w:rsid w:val="005F51F2"/>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CC8"/>
    <w:rsid w:val="005F6D52"/>
    <w:rsid w:val="005F6FE6"/>
    <w:rsid w:val="005F73C6"/>
    <w:rsid w:val="005F7421"/>
    <w:rsid w:val="005F7DB6"/>
    <w:rsid w:val="005F7E7B"/>
    <w:rsid w:val="005F7ECA"/>
    <w:rsid w:val="0060026E"/>
    <w:rsid w:val="00600389"/>
    <w:rsid w:val="0060043C"/>
    <w:rsid w:val="00600815"/>
    <w:rsid w:val="006009AC"/>
    <w:rsid w:val="006009F3"/>
    <w:rsid w:val="00600E99"/>
    <w:rsid w:val="006011BA"/>
    <w:rsid w:val="0060144C"/>
    <w:rsid w:val="00601957"/>
    <w:rsid w:val="00602081"/>
    <w:rsid w:val="00602180"/>
    <w:rsid w:val="00602383"/>
    <w:rsid w:val="006023DB"/>
    <w:rsid w:val="006026AC"/>
    <w:rsid w:val="006026E6"/>
    <w:rsid w:val="00602BEF"/>
    <w:rsid w:val="00602E57"/>
    <w:rsid w:val="00603012"/>
    <w:rsid w:val="006030BB"/>
    <w:rsid w:val="006030BD"/>
    <w:rsid w:val="00603808"/>
    <w:rsid w:val="00603C02"/>
    <w:rsid w:val="00603C48"/>
    <w:rsid w:val="006047B1"/>
    <w:rsid w:val="006047D4"/>
    <w:rsid w:val="00604C70"/>
    <w:rsid w:val="00604C93"/>
    <w:rsid w:val="00604DE8"/>
    <w:rsid w:val="00605261"/>
    <w:rsid w:val="0060548A"/>
    <w:rsid w:val="006054D2"/>
    <w:rsid w:val="006055B8"/>
    <w:rsid w:val="0060563D"/>
    <w:rsid w:val="00605BE0"/>
    <w:rsid w:val="00605BE6"/>
    <w:rsid w:val="00605FAA"/>
    <w:rsid w:val="00606608"/>
    <w:rsid w:val="0060683B"/>
    <w:rsid w:val="00606BA1"/>
    <w:rsid w:val="00606C4D"/>
    <w:rsid w:val="00606D98"/>
    <w:rsid w:val="00606FA7"/>
    <w:rsid w:val="00607114"/>
    <w:rsid w:val="0060719F"/>
    <w:rsid w:val="0060722B"/>
    <w:rsid w:val="006076E6"/>
    <w:rsid w:val="00607856"/>
    <w:rsid w:val="006079D1"/>
    <w:rsid w:val="00607BD8"/>
    <w:rsid w:val="00607C4F"/>
    <w:rsid w:val="00607DA0"/>
    <w:rsid w:val="00610168"/>
    <w:rsid w:val="006101F7"/>
    <w:rsid w:val="0061038F"/>
    <w:rsid w:val="00610465"/>
    <w:rsid w:val="00610479"/>
    <w:rsid w:val="00610A82"/>
    <w:rsid w:val="00610A92"/>
    <w:rsid w:val="00610BAF"/>
    <w:rsid w:val="00611228"/>
    <w:rsid w:val="0061156F"/>
    <w:rsid w:val="00611990"/>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424"/>
    <w:rsid w:val="00614C5D"/>
    <w:rsid w:val="00614D6C"/>
    <w:rsid w:val="00614E47"/>
    <w:rsid w:val="0061530F"/>
    <w:rsid w:val="006154AB"/>
    <w:rsid w:val="0061557B"/>
    <w:rsid w:val="006160C4"/>
    <w:rsid w:val="00616265"/>
    <w:rsid w:val="006163CF"/>
    <w:rsid w:val="0061668C"/>
    <w:rsid w:val="00616B95"/>
    <w:rsid w:val="00617344"/>
    <w:rsid w:val="00617401"/>
    <w:rsid w:val="00617444"/>
    <w:rsid w:val="006176D6"/>
    <w:rsid w:val="00617784"/>
    <w:rsid w:val="00617EEA"/>
    <w:rsid w:val="006206B5"/>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6DB"/>
    <w:rsid w:val="0062377F"/>
    <w:rsid w:val="00623907"/>
    <w:rsid w:val="00623954"/>
    <w:rsid w:val="00623B98"/>
    <w:rsid w:val="00623C13"/>
    <w:rsid w:val="0062415F"/>
    <w:rsid w:val="00624376"/>
    <w:rsid w:val="0062460B"/>
    <w:rsid w:val="0062479F"/>
    <w:rsid w:val="0062495F"/>
    <w:rsid w:val="00624A70"/>
    <w:rsid w:val="00624AB7"/>
    <w:rsid w:val="00624B39"/>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683"/>
    <w:rsid w:val="006306A9"/>
    <w:rsid w:val="006307DF"/>
    <w:rsid w:val="00630A60"/>
    <w:rsid w:val="00630EB3"/>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40AF"/>
    <w:rsid w:val="006341F7"/>
    <w:rsid w:val="00634297"/>
    <w:rsid w:val="00634C12"/>
    <w:rsid w:val="00634C5F"/>
    <w:rsid w:val="00634CB5"/>
    <w:rsid w:val="00634ECD"/>
    <w:rsid w:val="00634F72"/>
    <w:rsid w:val="00635127"/>
    <w:rsid w:val="00635301"/>
    <w:rsid w:val="00635317"/>
    <w:rsid w:val="00635457"/>
    <w:rsid w:val="00635485"/>
    <w:rsid w:val="00635605"/>
    <w:rsid w:val="0063561D"/>
    <w:rsid w:val="0063563F"/>
    <w:rsid w:val="00635753"/>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37E56"/>
    <w:rsid w:val="006400B3"/>
    <w:rsid w:val="00640161"/>
    <w:rsid w:val="0064022B"/>
    <w:rsid w:val="00640412"/>
    <w:rsid w:val="006405B9"/>
    <w:rsid w:val="00640967"/>
    <w:rsid w:val="006409F4"/>
    <w:rsid w:val="00640AA9"/>
    <w:rsid w:val="00640AEF"/>
    <w:rsid w:val="00640D07"/>
    <w:rsid w:val="00641298"/>
    <w:rsid w:val="0064145C"/>
    <w:rsid w:val="00641F9C"/>
    <w:rsid w:val="0064200B"/>
    <w:rsid w:val="0064202D"/>
    <w:rsid w:val="0064226C"/>
    <w:rsid w:val="0064238B"/>
    <w:rsid w:val="006429D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553"/>
    <w:rsid w:val="00644E7A"/>
    <w:rsid w:val="00644E7E"/>
    <w:rsid w:val="00644E87"/>
    <w:rsid w:val="0064511E"/>
    <w:rsid w:val="00645339"/>
    <w:rsid w:val="00645512"/>
    <w:rsid w:val="006457C8"/>
    <w:rsid w:val="00645D23"/>
    <w:rsid w:val="00646231"/>
    <w:rsid w:val="00646235"/>
    <w:rsid w:val="00646259"/>
    <w:rsid w:val="0064625A"/>
    <w:rsid w:val="006469BA"/>
    <w:rsid w:val="00646E88"/>
    <w:rsid w:val="00646EE8"/>
    <w:rsid w:val="00646FE0"/>
    <w:rsid w:val="0064706F"/>
    <w:rsid w:val="0064732A"/>
    <w:rsid w:val="006474B3"/>
    <w:rsid w:val="006474F2"/>
    <w:rsid w:val="00647BFF"/>
    <w:rsid w:val="00647EB2"/>
    <w:rsid w:val="00647FD7"/>
    <w:rsid w:val="0064BEE6"/>
    <w:rsid w:val="0065008E"/>
    <w:rsid w:val="00650092"/>
    <w:rsid w:val="0065012B"/>
    <w:rsid w:val="006506EC"/>
    <w:rsid w:val="0065098C"/>
    <w:rsid w:val="00650D8F"/>
    <w:rsid w:val="00651340"/>
    <w:rsid w:val="006513A5"/>
    <w:rsid w:val="006513C3"/>
    <w:rsid w:val="00651686"/>
    <w:rsid w:val="0065172C"/>
    <w:rsid w:val="00651740"/>
    <w:rsid w:val="0065180D"/>
    <w:rsid w:val="00651A4F"/>
    <w:rsid w:val="00651C93"/>
    <w:rsid w:val="00651CD7"/>
    <w:rsid w:val="00651E14"/>
    <w:rsid w:val="00651FF6"/>
    <w:rsid w:val="006520E3"/>
    <w:rsid w:val="006522EC"/>
    <w:rsid w:val="006527D6"/>
    <w:rsid w:val="00652939"/>
    <w:rsid w:val="0065299B"/>
    <w:rsid w:val="00652A13"/>
    <w:rsid w:val="00652AA8"/>
    <w:rsid w:val="00652CC1"/>
    <w:rsid w:val="0065326D"/>
    <w:rsid w:val="0065343C"/>
    <w:rsid w:val="0065343E"/>
    <w:rsid w:val="0065373D"/>
    <w:rsid w:val="00653842"/>
    <w:rsid w:val="006539EE"/>
    <w:rsid w:val="00653E17"/>
    <w:rsid w:val="00654090"/>
    <w:rsid w:val="00654280"/>
    <w:rsid w:val="006542F2"/>
    <w:rsid w:val="006543E4"/>
    <w:rsid w:val="006546BB"/>
    <w:rsid w:val="0065481D"/>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E87"/>
    <w:rsid w:val="00656F8B"/>
    <w:rsid w:val="00656FCA"/>
    <w:rsid w:val="00657366"/>
    <w:rsid w:val="00657AE5"/>
    <w:rsid w:val="00657BE2"/>
    <w:rsid w:val="00657C4B"/>
    <w:rsid w:val="00657EBC"/>
    <w:rsid w:val="00657F70"/>
    <w:rsid w:val="00657FC6"/>
    <w:rsid w:val="0066015F"/>
    <w:rsid w:val="00660361"/>
    <w:rsid w:val="006604B7"/>
    <w:rsid w:val="00660675"/>
    <w:rsid w:val="00660BE4"/>
    <w:rsid w:val="00660D14"/>
    <w:rsid w:val="00660E89"/>
    <w:rsid w:val="00660EFE"/>
    <w:rsid w:val="00661804"/>
    <w:rsid w:val="006619C8"/>
    <w:rsid w:val="006621A6"/>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A2E"/>
    <w:rsid w:val="00665AD4"/>
    <w:rsid w:val="00665C42"/>
    <w:rsid w:val="00665C96"/>
    <w:rsid w:val="00666084"/>
    <w:rsid w:val="006661EA"/>
    <w:rsid w:val="00666215"/>
    <w:rsid w:val="00666499"/>
    <w:rsid w:val="0066655F"/>
    <w:rsid w:val="006665CB"/>
    <w:rsid w:val="0066661F"/>
    <w:rsid w:val="00666B90"/>
    <w:rsid w:val="006675B0"/>
    <w:rsid w:val="00667961"/>
    <w:rsid w:val="00667D30"/>
    <w:rsid w:val="0067002B"/>
    <w:rsid w:val="00670147"/>
    <w:rsid w:val="0067029D"/>
    <w:rsid w:val="00670403"/>
    <w:rsid w:val="006704C3"/>
    <w:rsid w:val="00670B0C"/>
    <w:rsid w:val="00670C1F"/>
    <w:rsid w:val="00670F2F"/>
    <w:rsid w:val="00671028"/>
    <w:rsid w:val="00671299"/>
    <w:rsid w:val="006713DF"/>
    <w:rsid w:val="0067143B"/>
    <w:rsid w:val="00671487"/>
    <w:rsid w:val="00671D6A"/>
    <w:rsid w:val="00672129"/>
    <w:rsid w:val="0067253E"/>
    <w:rsid w:val="00672583"/>
    <w:rsid w:val="00672736"/>
    <w:rsid w:val="006729B7"/>
    <w:rsid w:val="00672CD3"/>
    <w:rsid w:val="0067302F"/>
    <w:rsid w:val="006732E8"/>
    <w:rsid w:val="00673426"/>
    <w:rsid w:val="00673482"/>
    <w:rsid w:val="0067369D"/>
    <w:rsid w:val="006737AC"/>
    <w:rsid w:val="006738FF"/>
    <w:rsid w:val="00673A9C"/>
    <w:rsid w:val="00673D17"/>
    <w:rsid w:val="00673E4F"/>
    <w:rsid w:val="00673F85"/>
    <w:rsid w:val="0067444B"/>
    <w:rsid w:val="00674684"/>
    <w:rsid w:val="00674AAE"/>
    <w:rsid w:val="00674B42"/>
    <w:rsid w:val="00674BAF"/>
    <w:rsid w:val="006752F2"/>
    <w:rsid w:val="00675509"/>
    <w:rsid w:val="006757AA"/>
    <w:rsid w:val="00675916"/>
    <w:rsid w:val="006759B3"/>
    <w:rsid w:val="00675AD1"/>
    <w:rsid w:val="00675C3F"/>
    <w:rsid w:val="00675CC8"/>
    <w:rsid w:val="00675F5D"/>
    <w:rsid w:val="00675FCF"/>
    <w:rsid w:val="006760AC"/>
    <w:rsid w:val="00676467"/>
    <w:rsid w:val="006766AA"/>
    <w:rsid w:val="006767BC"/>
    <w:rsid w:val="00676904"/>
    <w:rsid w:val="0067695B"/>
    <w:rsid w:val="006771FB"/>
    <w:rsid w:val="00677604"/>
    <w:rsid w:val="00677861"/>
    <w:rsid w:val="0067798F"/>
    <w:rsid w:val="00677AD6"/>
    <w:rsid w:val="006800E7"/>
    <w:rsid w:val="00680197"/>
    <w:rsid w:val="006804C4"/>
    <w:rsid w:val="00680500"/>
    <w:rsid w:val="006806CA"/>
    <w:rsid w:val="00680ED3"/>
    <w:rsid w:val="00680F0D"/>
    <w:rsid w:val="00680F69"/>
    <w:rsid w:val="00681293"/>
    <w:rsid w:val="006816AC"/>
    <w:rsid w:val="00681933"/>
    <w:rsid w:val="0068194A"/>
    <w:rsid w:val="00681A7A"/>
    <w:rsid w:val="00681C42"/>
    <w:rsid w:val="00681EF1"/>
    <w:rsid w:val="006825F9"/>
    <w:rsid w:val="00682847"/>
    <w:rsid w:val="006829C2"/>
    <w:rsid w:val="00682A2B"/>
    <w:rsid w:val="00683473"/>
    <w:rsid w:val="00683520"/>
    <w:rsid w:val="006835B9"/>
    <w:rsid w:val="006836B9"/>
    <w:rsid w:val="0068374A"/>
    <w:rsid w:val="006838A0"/>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6F1"/>
    <w:rsid w:val="006858DF"/>
    <w:rsid w:val="00685A4D"/>
    <w:rsid w:val="00685ACD"/>
    <w:rsid w:val="00685B24"/>
    <w:rsid w:val="006861E9"/>
    <w:rsid w:val="00686313"/>
    <w:rsid w:val="0068655A"/>
    <w:rsid w:val="00686C7F"/>
    <w:rsid w:val="00687219"/>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72"/>
    <w:rsid w:val="00691ABB"/>
    <w:rsid w:val="00691B2F"/>
    <w:rsid w:val="00691B50"/>
    <w:rsid w:val="00691C9D"/>
    <w:rsid w:val="006920F4"/>
    <w:rsid w:val="0069258D"/>
    <w:rsid w:val="00692D95"/>
    <w:rsid w:val="00693086"/>
    <w:rsid w:val="0069346F"/>
    <w:rsid w:val="0069360E"/>
    <w:rsid w:val="0069362A"/>
    <w:rsid w:val="0069389B"/>
    <w:rsid w:val="00693943"/>
    <w:rsid w:val="00693A6B"/>
    <w:rsid w:val="00693AC5"/>
    <w:rsid w:val="00693D4E"/>
    <w:rsid w:val="00693F81"/>
    <w:rsid w:val="0069432C"/>
    <w:rsid w:val="006945B4"/>
    <w:rsid w:val="0069471C"/>
    <w:rsid w:val="00694A94"/>
    <w:rsid w:val="00694C68"/>
    <w:rsid w:val="00694E98"/>
    <w:rsid w:val="0069509A"/>
    <w:rsid w:val="006952CE"/>
    <w:rsid w:val="00695629"/>
    <w:rsid w:val="006956AF"/>
    <w:rsid w:val="00695BC0"/>
    <w:rsid w:val="00695C46"/>
    <w:rsid w:val="00695D25"/>
    <w:rsid w:val="00696041"/>
    <w:rsid w:val="006963CB"/>
    <w:rsid w:val="006969DC"/>
    <w:rsid w:val="00696E73"/>
    <w:rsid w:val="00696EAD"/>
    <w:rsid w:val="00696EF5"/>
    <w:rsid w:val="006971B0"/>
    <w:rsid w:val="006971C7"/>
    <w:rsid w:val="00697310"/>
    <w:rsid w:val="00697441"/>
    <w:rsid w:val="006A01DE"/>
    <w:rsid w:val="006A024D"/>
    <w:rsid w:val="006A0927"/>
    <w:rsid w:val="006A0A0A"/>
    <w:rsid w:val="006A0C73"/>
    <w:rsid w:val="006A0D67"/>
    <w:rsid w:val="006A114D"/>
    <w:rsid w:val="006A153A"/>
    <w:rsid w:val="006A1547"/>
    <w:rsid w:val="006A1831"/>
    <w:rsid w:val="006A1981"/>
    <w:rsid w:val="006A1C0D"/>
    <w:rsid w:val="006A1F34"/>
    <w:rsid w:val="006A2071"/>
    <w:rsid w:val="006A2238"/>
    <w:rsid w:val="006A22D0"/>
    <w:rsid w:val="006A2370"/>
    <w:rsid w:val="006A2479"/>
    <w:rsid w:val="006A25BC"/>
    <w:rsid w:val="006A264A"/>
    <w:rsid w:val="006A299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853"/>
    <w:rsid w:val="006A791D"/>
    <w:rsid w:val="006A7DBE"/>
    <w:rsid w:val="006A7F52"/>
    <w:rsid w:val="006A7FF0"/>
    <w:rsid w:val="006B028F"/>
    <w:rsid w:val="006B059A"/>
    <w:rsid w:val="006B0992"/>
    <w:rsid w:val="006B09D4"/>
    <w:rsid w:val="006B0C5B"/>
    <w:rsid w:val="006B0DB4"/>
    <w:rsid w:val="006B130E"/>
    <w:rsid w:val="006B1587"/>
    <w:rsid w:val="006B1766"/>
    <w:rsid w:val="006B1AD0"/>
    <w:rsid w:val="006B1ED2"/>
    <w:rsid w:val="006B21BB"/>
    <w:rsid w:val="006B2449"/>
    <w:rsid w:val="006B2734"/>
    <w:rsid w:val="006B29BD"/>
    <w:rsid w:val="006B2D56"/>
    <w:rsid w:val="006B2EA4"/>
    <w:rsid w:val="006B2F96"/>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4CE5"/>
    <w:rsid w:val="006B570A"/>
    <w:rsid w:val="006B5715"/>
    <w:rsid w:val="006B5A61"/>
    <w:rsid w:val="006B648C"/>
    <w:rsid w:val="006B6546"/>
    <w:rsid w:val="006B65A0"/>
    <w:rsid w:val="006B6728"/>
    <w:rsid w:val="006B6CB7"/>
    <w:rsid w:val="006B6D0B"/>
    <w:rsid w:val="006B6EC1"/>
    <w:rsid w:val="006B6ED5"/>
    <w:rsid w:val="006B6F1F"/>
    <w:rsid w:val="006B6F7D"/>
    <w:rsid w:val="006B7082"/>
    <w:rsid w:val="006B709A"/>
    <w:rsid w:val="006B7122"/>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E7F"/>
    <w:rsid w:val="006C2F33"/>
    <w:rsid w:val="006C2F83"/>
    <w:rsid w:val="006C3037"/>
    <w:rsid w:val="006C31A3"/>
    <w:rsid w:val="006C31F8"/>
    <w:rsid w:val="006C39EA"/>
    <w:rsid w:val="006C3B17"/>
    <w:rsid w:val="006C3C36"/>
    <w:rsid w:val="006C3DC2"/>
    <w:rsid w:val="006C3E46"/>
    <w:rsid w:val="006C402B"/>
    <w:rsid w:val="006C40E5"/>
    <w:rsid w:val="006C40F8"/>
    <w:rsid w:val="006C410E"/>
    <w:rsid w:val="006C42C4"/>
    <w:rsid w:val="006C4313"/>
    <w:rsid w:val="006C4338"/>
    <w:rsid w:val="006C440F"/>
    <w:rsid w:val="006C4623"/>
    <w:rsid w:val="006C46B6"/>
    <w:rsid w:val="006C4703"/>
    <w:rsid w:val="006C4EB7"/>
    <w:rsid w:val="006C52E8"/>
    <w:rsid w:val="006C5346"/>
    <w:rsid w:val="006C583D"/>
    <w:rsid w:val="006C589E"/>
    <w:rsid w:val="006C58E9"/>
    <w:rsid w:val="006C5B44"/>
    <w:rsid w:val="006C5C0B"/>
    <w:rsid w:val="006C5F68"/>
    <w:rsid w:val="006C61F8"/>
    <w:rsid w:val="006C64D5"/>
    <w:rsid w:val="006C67DA"/>
    <w:rsid w:val="006C6D0C"/>
    <w:rsid w:val="006C6E6D"/>
    <w:rsid w:val="006C7242"/>
    <w:rsid w:val="006C74DD"/>
    <w:rsid w:val="006C79A8"/>
    <w:rsid w:val="006C7AE2"/>
    <w:rsid w:val="006C7CC7"/>
    <w:rsid w:val="006D077B"/>
    <w:rsid w:val="006D0974"/>
    <w:rsid w:val="006D09D2"/>
    <w:rsid w:val="006D0A72"/>
    <w:rsid w:val="006D0C8A"/>
    <w:rsid w:val="006D0D92"/>
    <w:rsid w:val="006D121E"/>
    <w:rsid w:val="006D13F9"/>
    <w:rsid w:val="006D176E"/>
    <w:rsid w:val="006D1BD4"/>
    <w:rsid w:val="006D1EE5"/>
    <w:rsid w:val="006D2145"/>
    <w:rsid w:val="006D2AB9"/>
    <w:rsid w:val="006D2ED4"/>
    <w:rsid w:val="006D2FF8"/>
    <w:rsid w:val="006D302A"/>
    <w:rsid w:val="006D30B2"/>
    <w:rsid w:val="006D35FD"/>
    <w:rsid w:val="006D3811"/>
    <w:rsid w:val="006D3872"/>
    <w:rsid w:val="006D3F34"/>
    <w:rsid w:val="006D40E7"/>
    <w:rsid w:val="006D447B"/>
    <w:rsid w:val="006D4954"/>
    <w:rsid w:val="006D496A"/>
    <w:rsid w:val="006D49C4"/>
    <w:rsid w:val="006D4ACE"/>
    <w:rsid w:val="006D4BE1"/>
    <w:rsid w:val="006D4C73"/>
    <w:rsid w:val="006D4D3F"/>
    <w:rsid w:val="006D4F23"/>
    <w:rsid w:val="006D5154"/>
    <w:rsid w:val="006D517D"/>
    <w:rsid w:val="006D518F"/>
    <w:rsid w:val="006D5268"/>
    <w:rsid w:val="006D58DB"/>
    <w:rsid w:val="006D5C2B"/>
    <w:rsid w:val="006D5C96"/>
    <w:rsid w:val="006D6010"/>
    <w:rsid w:val="006D6080"/>
    <w:rsid w:val="006D631C"/>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EAC"/>
    <w:rsid w:val="006E1F52"/>
    <w:rsid w:val="006E22E1"/>
    <w:rsid w:val="006E2653"/>
    <w:rsid w:val="006E27DA"/>
    <w:rsid w:val="006E2875"/>
    <w:rsid w:val="006E2D3E"/>
    <w:rsid w:val="006E329A"/>
    <w:rsid w:val="006E3477"/>
    <w:rsid w:val="006E358D"/>
    <w:rsid w:val="006E3A90"/>
    <w:rsid w:val="006E3CC7"/>
    <w:rsid w:val="006E4585"/>
    <w:rsid w:val="006E4900"/>
    <w:rsid w:val="006E4923"/>
    <w:rsid w:val="006E4960"/>
    <w:rsid w:val="006E4C15"/>
    <w:rsid w:val="006E4DC4"/>
    <w:rsid w:val="006E4FEC"/>
    <w:rsid w:val="006E5332"/>
    <w:rsid w:val="006E533F"/>
    <w:rsid w:val="006E53A3"/>
    <w:rsid w:val="006E5696"/>
    <w:rsid w:val="006E5BBA"/>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A8"/>
    <w:rsid w:val="006F23EC"/>
    <w:rsid w:val="006F2578"/>
    <w:rsid w:val="006F2F10"/>
    <w:rsid w:val="006F344B"/>
    <w:rsid w:val="006F3664"/>
    <w:rsid w:val="006F40BA"/>
    <w:rsid w:val="006F42AE"/>
    <w:rsid w:val="006F4507"/>
    <w:rsid w:val="006F4CE5"/>
    <w:rsid w:val="006F5608"/>
    <w:rsid w:val="006F560B"/>
    <w:rsid w:val="006F604B"/>
    <w:rsid w:val="006F6337"/>
    <w:rsid w:val="006F6502"/>
    <w:rsid w:val="006F6847"/>
    <w:rsid w:val="006F6A32"/>
    <w:rsid w:val="006F7262"/>
    <w:rsid w:val="006F73B3"/>
    <w:rsid w:val="006F73B4"/>
    <w:rsid w:val="006F73FC"/>
    <w:rsid w:val="006F7524"/>
    <w:rsid w:val="006F7546"/>
    <w:rsid w:val="006F76C5"/>
    <w:rsid w:val="006F78B1"/>
    <w:rsid w:val="006F794B"/>
    <w:rsid w:val="006F7A24"/>
    <w:rsid w:val="006F7CA3"/>
    <w:rsid w:val="006F7E88"/>
    <w:rsid w:val="007003D9"/>
    <w:rsid w:val="0070089D"/>
    <w:rsid w:val="0070116F"/>
    <w:rsid w:val="00701369"/>
    <w:rsid w:val="007013B5"/>
    <w:rsid w:val="00701496"/>
    <w:rsid w:val="00701705"/>
    <w:rsid w:val="0070170E"/>
    <w:rsid w:val="00701D18"/>
    <w:rsid w:val="00701F44"/>
    <w:rsid w:val="007027F8"/>
    <w:rsid w:val="00702AAC"/>
    <w:rsid w:val="00702C97"/>
    <w:rsid w:val="00702D7E"/>
    <w:rsid w:val="00702E1B"/>
    <w:rsid w:val="007030C7"/>
    <w:rsid w:val="0070343A"/>
    <w:rsid w:val="007035D6"/>
    <w:rsid w:val="007035E8"/>
    <w:rsid w:val="007039BA"/>
    <w:rsid w:val="00703AFB"/>
    <w:rsid w:val="00703EFD"/>
    <w:rsid w:val="00703F9F"/>
    <w:rsid w:val="007040E6"/>
    <w:rsid w:val="007044BB"/>
    <w:rsid w:val="00704F73"/>
    <w:rsid w:val="00705306"/>
    <w:rsid w:val="007053A6"/>
    <w:rsid w:val="007054E5"/>
    <w:rsid w:val="00705812"/>
    <w:rsid w:val="00706076"/>
    <w:rsid w:val="007060FC"/>
    <w:rsid w:val="00706625"/>
    <w:rsid w:val="0070690C"/>
    <w:rsid w:val="00706952"/>
    <w:rsid w:val="00706B0E"/>
    <w:rsid w:val="00706B40"/>
    <w:rsid w:val="00706C63"/>
    <w:rsid w:val="00706F11"/>
    <w:rsid w:val="00706FC4"/>
    <w:rsid w:val="007073B1"/>
    <w:rsid w:val="0070768C"/>
    <w:rsid w:val="007076E6"/>
    <w:rsid w:val="00707D18"/>
    <w:rsid w:val="00707F91"/>
    <w:rsid w:val="00710129"/>
    <w:rsid w:val="00710736"/>
    <w:rsid w:val="00710F1F"/>
    <w:rsid w:val="007112F8"/>
    <w:rsid w:val="00711AB9"/>
    <w:rsid w:val="00711E02"/>
    <w:rsid w:val="0071226A"/>
    <w:rsid w:val="007122DA"/>
    <w:rsid w:val="00712475"/>
    <w:rsid w:val="0071247C"/>
    <w:rsid w:val="0071255A"/>
    <w:rsid w:val="00712622"/>
    <w:rsid w:val="007126B1"/>
    <w:rsid w:val="007127A2"/>
    <w:rsid w:val="007127A3"/>
    <w:rsid w:val="007129D9"/>
    <w:rsid w:val="00712C57"/>
    <w:rsid w:val="00712F2D"/>
    <w:rsid w:val="00713515"/>
    <w:rsid w:val="00713587"/>
    <w:rsid w:val="0071385C"/>
    <w:rsid w:val="007138DE"/>
    <w:rsid w:val="00713970"/>
    <w:rsid w:val="00714680"/>
    <w:rsid w:val="00714A31"/>
    <w:rsid w:val="00714A43"/>
    <w:rsid w:val="007150B0"/>
    <w:rsid w:val="007155A6"/>
    <w:rsid w:val="0071562E"/>
    <w:rsid w:val="00715797"/>
    <w:rsid w:val="00715A9A"/>
    <w:rsid w:val="00715B97"/>
    <w:rsid w:val="00716314"/>
    <w:rsid w:val="00716813"/>
    <w:rsid w:val="00716926"/>
    <w:rsid w:val="00716979"/>
    <w:rsid w:val="00716A08"/>
    <w:rsid w:val="00716B77"/>
    <w:rsid w:val="00716CF5"/>
    <w:rsid w:val="00716DC0"/>
    <w:rsid w:val="00717224"/>
    <w:rsid w:val="0071732C"/>
    <w:rsid w:val="00717392"/>
    <w:rsid w:val="007175CC"/>
    <w:rsid w:val="007177D8"/>
    <w:rsid w:val="007177D9"/>
    <w:rsid w:val="0071796A"/>
    <w:rsid w:val="00717D89"/>
    <w:rsid w:val="00717EA3"/>
    <w:rsid w:val="0071E905"/>
    <w:rsid w:val="0072000A"/>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83D"/>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0C1"/>
    <w:rsid w:val="007276BE"/>
    <w:rsid w:val="00727856"/>
    <w:rsid w:val="00727AD4"/>
    <w:rsid w:val="00727BD2"/>
    <w:rsid w:val="00730286"/>
    <w:rsid w:val="007306DC"/>
    <w:rsid w:val="007309B3"/>
    <w:rsid w:val="00730C79"/>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A89"/>
    <w:rsid w:val="00734C92"/>
    <w:rsid w:val="00734ED8"/>
    <w:rsid w:val="007352FB"/>
    <w:rsid w:val="0073538B"/>
    <w:rsid w:val="00735467"/>
    <w:rsid w:val="007354B7"/>
    <w:rsid w:val="00735528"/>
    <w:rsid w:val="00735A18"/>
    <w:rsid w:val="00735BA3"/>
    <w:rsid w:val="00736037"/>
    <w:rsid w:val="0073605C"/>
    <w:rsid w:val="007364DE"/>
    <w:rsid w:val="007365B7"/>
    <w:rsid w:val="00736924"/>
    <w:rsid w:val="00736971"/>
    <w:rsid w:val="00736A21"/>
    <w:rsid w:val="00736DBB"/>
    <w:rsid w:val="007371C1"/>
    <w:rsid w:val="007371F5"/>
    <w:rsid w:val="007373D9"/>
    <w:rsid w:val="00737595"/>
    <w:rsid w:val="00737925"/>
    <w:rsid w:val="00737C55"/>
    <w:rsid w:val="00737D5E"/>
    <w:rsid w:val="0074002E"/>
    <w:rsid w:val="00740045"/>
    <w:rsid w:val="007401CE"/>
    <w:rsid w:val="00740260"/>
    <w:rsid w:val="0074028F"/>
    <w:rsid w:val="007402F4"/>
    <w:rsid w:val="007404FB"/>
    <w:rsid w:val="00740B5A"/>
    <w:rsid w:val="0074107F"/>
    <w:rsid w:val="0074122F"/>
    <w:rsid w:val="007412C4"/>
    <w:rsid w:val="00741684"/>
    <w:rsid w:val="00741714"/>
    <w:rsid w:val="007417A9"/>
    <w:rsid w:val="0074188B"/>
    <w:rsid w:val="007418E5"/>
    <w:rsid w:val="00741A20"/>
    <w:rsid w:val="00741B43"/>
    <w:rsid w:val="00741F41"/>
    <w:rsid w:val="00741FFB"/>
    <w:rsid w:val="00742016"/>
    <w:rsid w:val="00742242"/>
    <w:rsid w:val="00742245"/>
    <w:rsid w:val="007423BB"/>
    <w:rsid w:val="00742666"/>
    <w:rsid w:val="00742862"/>
    <w:rsid w:val="00742B32"/>
    <w:rsid w:val="00743169"/>
    <w:rsid w:val="0074338A"/>
    <w:rsid w:val="00743682"/>
    <w:rsid w:val="00743964"/>
    <w:rsid w:val="007439D0"/>
    <w:rsid w:val="00743A8A"/>
    <w:rsid w:val="00743B3A"/>
    <w:rsid w:val="00743EFB"/>
    <w:rsid w:val="00743FA6"/>
    <w:rsid w:val="00744A81"/>
    <w:rsid w:val="00744AF4"/>
    <w:rsid w:val="00744C07"/>
    <w:rsid w:val="00744EE4"/>
    <w:rsid w:val="007457BD"/>
    <w:rsid w:val="0074586F"/>
    <w:rsid w:val="007459BF"/>
    <w:rsid w:val="00745A65"/>
    <w:rsid w:val="00745CA3"/>
    <w:rsid w:val="00745D71"/>
    <w:rsid w:val="0074607B"/>
    <w:rsid w:val="007460AE"/>
    <w:rsid w:val="00746214"/>
    <w:rsid w:val="007463AA"/>
    <w:rsid w:val="00746512"/>
    <w:rsid w:val="007468D5"/>
    <w:rsid w:val="007469E9"/>
    <w:rsid w:val="00746F46"/>
    <w:rsid w:val="007471F8"/>
    <w:rsid w:val="00747516"/>
    <w:rsid w:val="0074755D"/>
    <w:rsid w:val="007476F0"/>
    <w:rsid w:val="00747949"/>
    <w:rsid w:val="00747BB2"/>
    <w:rsid w:val="00747D86"/>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3A"/>
    <w:rsid w:val="00752E8D"/>
    <w:rsid w:val="00752E92"/>
    <w:rsid w:val="00752EC6"/>
    <w:rsid w:val="00752FB3"/>
    <w:rsid w:val="00752FD3"/>
    <w:rsid w:val="007532EE"/>
    <w:rsid w:val="007536E9"/>
    <w:rsid w:val="0075393B"/>
    <w:rsid w:val="00753A31"/>
    <w:rsid w:val="00753A84"/>
    <w:rsid w:val="00754589"/>
    <w:rsid w:val="00754F4E"/>
    <w:rsid w:val="00754F9F"/>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7C3"/>
    <w:rsid w:val="00757B34"/>
    <w:rsid w:val="00757ED3"/>
    <w:rsid w:val="00757EF0"/>
    <w:rsid w:val="00757FDF"/>
    <w:rsid w:val="00760136"/>
    <w:rsid w:val="0076014D"/>
    <w:rsid w:val="007602D0"/>
    <w:rsid w:val="007604D5"/>
    <w:rsid w:val="007604FB"/>
    <w:rsid w:val="007606EE"/>
    <w:rsid w:val="00760711"/>
    <w:rsid w:val="00760715"/>
    <w:rsid w:val="00760F11"/>
    <w:rsid w:val="0076101C"/>
    <w:rsid w:val="0076146C"/>
    <w:rsid w:val="00761660"/>
    <w:rsid w:val="00761894"/>
    <w:rsid w:val="00761949"/>
    <w:rsid w:val="00761977"/>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F2D"/>
    <w:rsid w:val="00764007"/>
    <w:rsid w:val="00764135"/>
    <w:rsid w:val="00764194"/>
    <w:rsid w:val="0076445A"/>
    <w:rsid w:val="0076446C"/>
    <w:rsid w:val="00764490"/>
    <w:rsid w:val="007646AC"/>
    <w:rsid w:val="00764A6D"/>
    <w:rsid w:val="00764C3D"/>
    <w:rsid w:val="00764E2D"/>
    <w:rsid w:val="00765A1B"/>
    <w:rsid w:val="00765A2E"/>
    <w:rsid w:val="00765C5D"/>
    <w:rsid w:val="00765ECF"/>
    <w:rsid w:val="00765FE6"/>
    <w:rsid w:val="0076612F"/>
    <w:rsid w:val="0076642C"/>
    <w:rsid w:val="0076647C"/>
    <w:rsid w:val="00766491"/>
    <w:rsid w:val="007664B8"/>
    <w:rsid w:val="00766609"/>
    <w:rsid w:val="0076685D"/>
    <w:rsid w:val="0076687C"/>
    <w:rsid w:val="00766C55"/>
    <w:rsid w:val="00766F38"/>
    <w:rsid w:val="007675D8"/>
    <w:rsid w:val="0076768E"/>
    <w:rsid w:val="007676E5"/>
    <w:rsid w:val="00767700"/>
    <w:rsid w:val="0076771A"/>
    <w:rsid w:val="00767D35"/>
    <w:rsid w:val="00767E15"/>
    <w:rsid w:val="00767ECB"/>
    <w:rsid w:val="00767FD9"/>
    <w:rsid w:val="007700F8"/>
    <w:rsid w:val="007702DE"/>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2FCF"/>
    <w:rsid w:val="0077313D"/>
    <w:rsid w:val="007735A3"/>
    <w:rsid w:val="007735FD"/>
    <w:rsid w:val="0077367E"/>
    <w:rsid w:val="007736A6"/>
    <w:rsid w:val="00773830"/>
    <w:rsid w:val="007738D3"/>
    <w:rsid w:val="00773FF9"/>
    <w:rsid w:val="00774581"/>
    <w:rsid w:val="00774779"/>
    <w:rsid w:val="00774A0D"/>
    <w:rsid w:val="00774AAA"/>
    <w:rsid w:val="00774FCC"/>
    <w:rsid w:val="0077510C"/>
    <w:rsid w:val="00775284"/>
    <w:rsid w:val="007754C4"/>
    <w:rsid w:val="00775886"/>
    <w:rsid w:val="00775934"/>
    <w:rsid w:val="00775974"/>
    <w:rsid w:val="00775CBC"/>
    <w:rsid w:val="00775F0A"/>
    <w:rsid w:val="00776257"/>
    <w:rsid w:val="007762E2"/>
    <w:rsid w:val="00776B7F"/>
    <w:rsid w:val="00776DA5"/>
    <w:rsid w:val="0077711A"/>
    <w:rsid w:val="007773AE"/>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AB"/>
    <w:rsid w:val="007814F2"/>
    <w:rsid w:val="0078189F"/>
    <w:rsid w:val="00781BEF"/>
    <w:rsid w:val="00781C13"/>
    <w:rsid w:val="00781C96"/>
    <w:rsid w:val="00781EA9"/>
    <w:rsid w:val="007820BF"/>
    <w:rsid w:val="00782305"/>
    <w:rsid w:val="00782599"/>
    <w:rsid w:val="0078262A"/>
    <w:rsid w:val="00782A7E"/>
    <w:rsid w:val="00782D4D"/>
    <w:rsid w:val="00782D7F"/>
    <w:rsid w:val="00782E69"/>
    <w:rsid w:val="00782EE3"/>
    <w:rsid w:val="00783197"/>
    <w:rsid w:val="007834F3"/>
    <w:rsid w:val="00783A1E"/>
    <w:rsid w:val="00783B53"/>
    <w:rsid w:val="00784389"/>
    <w:rsid w:val="007845BB"/>
    <w:rsid w:val="0078476D"/>
    <w:rsid w:val="007847CD"/>
    <w:rsid w:val="00784840"/>
    <w:rsid w:val="00784C02"/>
    <w:rsid w:val="00784C1B"/>
    <w:rsid w:val="00784D76"/>
    <w:rsid w:val="00784E22"/>
    <w:rsid w:val="00784FC2"/>
    <w:rsid w:val="00785562"/>
    <w:rsid w:val="00785A27"/>
    <w:rsid w:val="00785F6D"/>
    <w:rsid w:val="0078660B"/>
    <w:rsid w:val="0078698C"/>
    <w:rsid w:val="00786A73"/>
    <w:rsid w:val="00786ACC"/>
    <w:rsid w:val="00786B12"/>
    <w:rsid w:val="00786CE9"/>
    <w:rsid w:val="00786D0E"/>
    <w:rsid w:val="00786D77"/>
    <w:rsid w:val="00787634"/>
    <w:rsid w:val="007876BF"/>
    <w:rsid w:val="0078784E"/>
    <w:rsid w:val="00787999"/>
    <w:rsid w:val="0079035A"/>
    <w:rsid w:val="007906A1"/>
    <w:rsid w:val="007906F9"/>
    <w:rsid w:val="007907BA"/>
    <w:rsid w:val="00790A2F"/>
    <w:rsid w:val="00790E92"/>
    <w:rsid w:val="0079139D"/>
    <w:rsid w:val="00791536"/>
    <w:rsid w:val="007915C8"/>
    <w:rsid w:val="007915DD"/>
    <w:rsid w:val="00791AC8"/>
    <w:rsid w:val="0079224B"/>
    <w:rsid w:val="0079229A"/>
    <w:rsid w:val="0079230E"/>
    <w:rsid w:val="00792514"/>
    <w:rsid w:val="007925DE"/>
    <w:rsid w:val="00792683"/>
    <w:rsid w:val="007926C8"/>
    <w:rsid w:val="007926E9"/>
    <w:rsid w:val="00792813"/>
    <w:rsid w:val="00792AAC"/>
    <w:rsid w:val="00792D38"/>
    <w:rsid w:val="0079348E"/>
    <w:rsid w:val="007935C4"/>
    <w:rsid w:val="007936A6"/>
    <w:rsid w:val="007936F3"/>
    <w:rsid w:val="00793884"/>
    <w:rsid w:val="00794503"/>
    <w:rsid w:val="007946CE"/>
    <w:rsid w:val="00794740"/>
    <w:rsid w:val="007948B5"/>
    <w:rsid w:val="007949EC"/>
    <w:rsid w:val="00794BA7"/>
    <w:rsid w:val="00794F8E"/>
    <w:rsid w:val="00795330"/>
    <w:rsid w:val="007954DA"/>
    <w:rsid w:val="007959A9"/>
    <w:rsid w:val="007959D7"/>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42A"/>
    <w:rsid w:val="007A2553"/>
    <w:rsid w:val="007A2A37"/>
    <w:rsid w:val="007A2E2A"/>
    <w:rsid w:val="007A3364"/>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2CE"/>
    <w:rsid w:val="007A64CF"/>
    <w:rsid w:val="007A6708"/>
    <w:rsid w:val="007A685F"/>
    <w:rsid w:val="007A6ED6"/>
    <w:rsid w:val="007A71D7"/>
    <w:rsid w:val="007A7600"/>
    <w:rsid w:val="007A7960"/>
    <w:rsid w:val="007B0002"/>
    <w:rsid w:val="007B017D"/>
    <w:rsid w:val="007B01AF"/>
    <w:rsid w:val="007B075C"/>
    <w:rsid w:val="007B083D"/>
    <w:rsid w:val="007B09B4"/>
    <w:rsid w:val="007B09D1"/>
    <w:rsid w:val="007B1265"/>
    <w:rsid w:val="007B1A21"/>
    <w:rsid w:val="007B1ACD"/>
    <w:rsid w:val="007B1DF1"/>
    <w:rsid w:val="007B21B1"/>
    <w:rsid w:val="007B234D"/>
    <w:rsid w:val="007B2840"/>
    <w:rsid w:val="007B28B4"/>
    <w:rsid w:val="007B2980"/>
    <w:rsid w:val="007B2E6D"/>
    <w:rsid w:val="007B2E7A"/>
    <w:rsid w:val="007B2FDF"/>
    <w:rsid w:val="007B30EA"/>
    <w:rsid w:val="007B33D2"/>
    <w:rsid w:val="007B354B"/>
    <w:rsid w:val="007B3A86"/>
    <w:rsid w:val="007B3DE7"/>
    <w:rsid w:val="007B4246"/>
    <w:rsid w:val="007B43A1"/>
    <w:rsid w:val="007B4499"/>
    <w:rsid w:val="007B473D"/>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50A5"/>
    <w:rsid w:val="007C5273"/>
    <w:rsid w:val="007C59EB"/>
    <w:rsid w:val="007C5A14"/>
    <w:rsid w:val="007C5C83"/>
    <w:rsid w:val="007C5D8A"/>
    <w:rsid w:val="007C6321"/>
    <w:rsid w:val="007C662A"/>
    <w:rsid w:val="007C66AF"/>
    <w:rsid w:val="007C6958"/>
    <w:rsid w:val="007C6A21"/>
    <w:rsid w:val="007C6AAA"/>
    <w:rsid w:val="007C708A"/>
    <w:rsid w:val="007C70D1"/>
    <w:rsid w:val="007C7680"/>
    <w:rsid w:val="007C7C81"/>
    <w:rsid w:val="007C7D92"/>
    <w:rsid w:val="007D00FA"/>
    <w:rsid w:val="007D014E"/>
    <w:rsid w:val="007D022D"/>
    <w:rsid w:val="007D0527"/>
    <w:rsid w:val="007D0846"/>
    <w:rsid w:val="007D0BED"/>
    <w:rsid w:val="007D0C47"/>
    <w:rsid w:val="007D0D50"/>
    <w:rsid w:val="007D0DD4"/>
    <w:rsid w:val="007D0E3D"/>
    <w:rsid w:val="007D0EF7"/>
    <w:rsid w:val="007D16FF"/>
    <w:rsid w:val="007D1A42"/>
    <w:rsid w:val="007D1A5A"/>
    <w:rsid w:val="007D1AFC"/>
    <w:rsid w:val="007D1DE9"/>
    <w:rsid w:val="007D221D"/>
    <w:rsid w:val="007D269C"/>
    <w:rsid w:val="007D26D0"/>
    <w:rsid w:val="007D2B58"/>
    <w:rsid w:val="007D2B94"/>
    <w:rsid w:val="007D2CAF"/>
    <w:rsid w:val="007D31A0"/>
    <w:rsid w:val="007D34B9"/>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1E4"/>
    <w:rsid w:val="007D628A"/>
    <w:rsid w:val="007D62B4"/>
    <w:rsid w:val="007D64D8"/>
    <w:rsid w:val="007D67A4"/>
    <w:rsid w:val="007D69BC"/>
    <w:rsid w:val="007D6AFB"/>
    <w:rsid w:val="007D6BAA"/>
    <w:rsid w:val="007D6FC8"/>
    <w:rsid w:val="007D7175"/>
    <w:rsid w:val="007D73E1"/>
    <w:rsid w:val="007D769B"/>
    <w:rsid w:val="007D76AE"/>
    <w:rsid w:val="007D77C7"/>
    <w:rsid w:val="007D7CC8"/>
    <w:rsid w:val="007D7F83"/>
    <w:rsid w:val="007E0349"/>
    <w:rsid w:val="007E0432"/>
    <w:rsid w:val="007E0536"/>
    <w:rsid w:val="007E0597"/>
    <w:rsid w:val="007E069D"/>
    <w:rsid w:val="007E0BC4"/>
    <w:rsid w:val="007E0F92"/>
    <w:rsid w:val="007E122B"/>
    <w:rsid w:val="007E1663"/>
    <w:rsid w:val="007E1915"/>
    <w:rsid w:val="007E2202"/>
    <w:rsid w:val="007E249B"/>
    <w:rsid w:val="007E2590"/>
    <w:rsid w:val="007E2756"/>
    <w:rsid w:val="007E2770"/>
    <w:rsid w:val="007E288F"/>
    <w:rsid w:val="007E2A73"/>
    <w:rsid w:val="007E2E46"/>
    <w:rsid w:val="007E2E9D"/>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9D"/>
    <w:rsid w:val="007E66E2"/>
    <w:rsid w:val="007E67FB"/>
    <w:rsid w:val="007E6AAB"/>
    <w:rsid w:val="007E6FAA"/>
    <w:rsid w:val="007E7501"/>
    <w:rsid w:val="007E756C"/>
    <w:rsid w:val="007E7B9F"/>
    <w:rsid w:val="007E7D0D"/>
    <w:rsid w:val="007E7E1C"/>
    <w:rsid w:val="007F0776"/>
    <w:rsid w:val="007F07F4"/>
    <w:rsid w:val="007F07FD"/>
    <w:rsid w:val="007F0BF6"/>
    <w:rsid w:val="007F0CB8"/>
    <w:rsid w:val="007F0FD2"/>
    <w:rsid w:val="007F10FC"/>
    <w:rsid w:val="007F142B"/>
    <w:rsid w:val="007F190C"/>
    <w:rsid w:val="007F1911"/>
    <w:rsid w:val="007F19AA"/>
    <w:rsid w:val="007F2272"/>
    <w:rsid w:val="007F2306"/>
    <w:rsid w:val="007F26DB"/>
    <w:rsid w:val="007F2C18"/>
    <w:rsid w:val="007F2DF4"/>
    <w:rsid w:val="007F2F43"/>
    <w:rsid w:val="007F2F4D"/>
    <w:rsid w:val="007F31F6"/>
    <w:rsid w:val="007F37AD"/>
    <w:rsid w:val="007F38D3"/>
    <w:rsid w:val="007F3C73"/>
    <w:rsid w:val="007F42CF"/>
    <w:rsid w:val="007F4331"/>
    <w:rsid w:val="007F48BB"/>
    <w:rsid w:val="007F48ED"/>
    <w:rsid w:val="007F4D56"/>
    <w:rsid w:val="007F4D74"/>
    <w:rsid w:val="007F4F16"/>
    <w:rsid w:val="007F53A9"/>
    <w:rsid w:val="007F55F1"/>
    <w:rsid w:val="007F5C43"/>
    <w:rsid w:val="007F5D52"/>
    <w:rsid w:val="007F5EAD"/>
    <w:rsid w:val="007F5F33"/>
    <w:rsid w:val="007F67A9"/>
    <w:rsid w:val="007F691E"/>
    <w:rsid w:val="007F6E0C"/>
    <w:rsid w:val="007F7184"/>
    <w:rsid w:val="007F727C"/>
    <w:rsid w:val="007F73E2"/>
    <w:rsid w:val="007F748F"/>
    <w:rsid w:val="007F7624"/>
    <w:rsid w:val="007F76BB"/>
    <w:rsid w:val="007F7E2B"/>
    <w:rsid w:val="0080043A"/>
    <w:rsid w:val="00800555"/>
    <w:rsid w:val="008005CC"/>
    <w:rsid w:val="0080060F"/>
    <w:rsid w:val="00800797"/>
    <w:rsid w:val="00800C51"/>
    <w:rsid w:val="00800CA5"/>
    <w:rsid w:val="00800CAA"/>
    <w:rsid w:val="00800FC4"/>
    <w:rsid w:val="00801189"/>
    <w:rsid w:val="00801548"/>
    <w:rsid w:val="00801586"/>
    <w:rsid w:val="0080159E"/>
    <w:rsid w:val="008019DF"/>
    <w:rsid w:val="00801A3A"/>
    <w:rsid w:val="00801E69"/>
    <w:rsid w:val="00802385"/>
    <w:rsid w:val="0080240A"/>
    <w:rsid w:val="008026E5"/>
    <w:rsid w:val="0080298A"/>
    <w:rsid w:val="0080298B"/>
    <w:rsid w:val="00802A07"/>
    <w:rsid w:val="00802AE9"/>
    <w:rsid w:val="00802C75"/>
    <w:rsid w:val="00802DA5"/>
    <w:rsid w:val="00802EEA"/>
    <w:rsid w:val="00803046"/>
    <w:rsid w:val="00803776"/>
    <w:rsid w:val="008037DB"/>
    <w:rsid w:val="008039AB"/>
    <w:rsid w:val="008039B8"/>
    <w:rsid w:val="00803B4B"/>
    <w:rsid w:val="008040B3"/>
    <w:rsid w:val="008040BC"/>
    <w:rsid w:val="008040E8"/>
    <w:rsid w:val="00804470"/>
    <w:rsid w:val="008045AD"/>
    <w:rsid w:val="008047CE"/>
    <w:rsid w:val="008048AD"/>
    <w:rsid w:val="00804913"/>
    <w:rsid w:val="00804ABA"/>
    <w:rsid w:val="00804E79"/>
    <w:rsid w:val="0080503F"/>
    <w:rsid w:val="00805262"/>
    <w:rsid w:val="00805269"/>
    <w:rsid w:val="0080543D"/>
    <w:rsid w:val="008055A7"/>
    <w:rsid w:val="008055EA"/>
    <w:rsid w:val="0080578D"/>
    <w:rsid w:val="008058F6"/>
    <w:rsid w:val="00805C7D"/>
    <w:rsid w:val="00805FB9"/>
    <w:rsid w:val="00806141"/>
    <w:rsid w:val="00806932"/>
    <w:rsid w:val="00806B10"/>
    <w:rsid w:val="00806B6C"/>
    <w:rsid w:val="00806BF8"/>
    <w:rsid w:val="00807252"/>
    <w:rsid w:val="00807383"/>
    <w:rsid w:val="00807419"/>
    <w:rsid w:val="008076A5"/>
    <w:rsid w:val="008077B2"/>
    <w:rsid w:val="0080780B"/>
    <w:rsid w:val="008078B7"/>
    <w:rsid w:val="00807CE2"/>
    <w:rsid w:val="00807CE5"/>
    <w:rsid w:val="008111F2"/>
    <w:rsid w:val="0081147E"/>
    <w:rsid w:val="00812128"/>
    <w:rsid w:val="00812176"/>
    <w:rsid w:val="00812AF2"/>
    <w:rsid w:val="00812D5C"/>
    <w:rsid w:val="00812E06"/>
    <w:rsid w:val="00812FCD"/>
    <w:rsid w:val="00813274"/>
    <w:rsid w:val="00813288"/>
    <w:rsid w:val="00813315"/>
    <w:rsid w:val="008133B2"/>
    <w:rsid w:val="008136B2"/>
    <w:rsid w:val="00813804"/>
    <w:rsid w:val="00813855"/>
    <w:rsid w:val="00813888"/>
    <w:rsid w:val="008141D2"/>
    <w:rsid w:val="0081445E"/>
    <w:rsid w:val="0081457A"/>
    <w:rsid w:val="008145BC"/>
    <w:rsid w:val="00814855"/>
    <w:rsid w:val="00814AC5"/>
    <w:rsid w:val="00814AF0"/>
    <w:rsid w:val="00814C17"/>
    <w:rsid w:val="00814D42"/>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42E"/>
    <w:rsid w:val="0082270F"/>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2F"/>
    <w:rsid w:val="00824E46"/>
    <w:rsid w:val="00825189"/>
    <w:rsid w:val="0082519E"/>
    <w:rsid w:val="008252D3"/>
    <w:rsid w:val="00825335"/>
    <w:rsid w:val="008253A1"/>
    <w:rsid w:val="008257AA"/>
    <w:rsid w:val="0082585C"/>
    <w:rsid w:val="008259D7"/>
    <w:rsid w:val="00825B33"/>
    <w:rsid w:val="00825C27"/>
    <w:rsid w:val="00825CBB"/>
    <w:rsid w:val="00825DFA"/>
    <w:rsid w:val="00825FA7"/>
    <w:rsid w:val="008263BD"/>
    <w:rsid w:val="008264D6"/>
    <w:rsid w:val="0082663A"/>
    <w:rsid w:val="008266F1"/>
    <w:rsid w:val="00826789"/>
    <w:rsid w:val="008268CA"/>
    <w:rsid w:val="00826994"/>
    <w:rsid w:val="008269A8"/>
    <w:rsid w:val="00826EB4"/>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943"/>
    <w:rsid w:val="00831B63"/>
    <w:rsid w:val="00831BD2"/>
    <w:rsid w:val="00831E69"/>
    <w:rsid w:val="00831EFF"/>
    <w:rsid w:val="00831F1E"/>
    <w:rsid w:val="00831F9B"/>
    <w:rsid w:val="0083219B"/>
    <w:rsid w:val="0083247A"/>
    <w:rsid w:val="00832DA5"/>
    <w:rsid w:val="008331E9"/>
    <w:rsid w:val="008332FE"/>
    <w:rsid w:val="00833474"/>
    <w:rsid w:val="00833663"/>
    <w:rsid w:val="008336D4"/>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126"/>
    <w:rsid w:val="00836715"/>
    <w:rsid w:val="00836E03"/>
    <w:rsid w:val="00836F2C"/>
    <w:rsid w:val="00837780"/>
    <w:rsid w:val="00837848"/>
    <w:rsid w:val="008379C8"/>
    <w:rsid w:val="00837D08"/>
    <w:rsid w:val="00840853"/>
    <w:rsid w:val="0084097C"/>
    <w:rsid w:val="00840AAC"/>
    <w:rsid w:val="00840B80"/>
    <w:rsid w:val="00841076"/>
    <w:rsid w:val="008415D0"/>
    <w:rsid w:val="008416C0"/>
    <w:rsid w:val="008416F2"/>
    <w:rsid w:val="008418B1"/>
    <w:rsid w:val="008418F3"/>
    <w:rsid w:val="008419C5"/>
    <w:rsid w:val="00841BFE"/>
    <w:rsid w:val="00841C7E"/>
    <w:rsid w:val="00841F59"/>
    <w:rsid w:val="00841F66"/>
    <w:rsid w:val="0084226A"/>
    <w:rsid w:val="00842AD7"/>
    <w:rsid w:val="00842BB3"/>
    <w:rsid w:val="00842F90"/>
    <w:rsid w:val="0084348B"/>
    <w:rsid w:val="00843591"/>
    <w:rsid w:val="00843761"/>
    <w:rsid w:val="008438B6"/>
    <w:rsid w:val="00843AA6"/>
    <w:rsid w:val="00843E2B"/>
    <w:rsid w:val="00843FFE"/>
    <w:rsid w:val="0084406B"/>
    <w:rsid w:val="008443BA"/>
    <w:rsid w:val="0084458D"/>
    <w:rsid w:val="00844606"/>
    <w:rsid w:val="008446F6"/>
    <w:rsid w:val="00844AA5"/>
    <w:rsid w:val="0084582A"/>
    <w:rsid w:val="008458D1"/>
    <w:rsid w:val="00845939"/>
    <w:rsid w:val="00845AEA"/>
    <w:rsid w:val="00845C2E"/>
    <w:rsid w:val="00845D3D"/>
    <w:rsid w:val="00846069"/>
    <w:rsid w:val="008460AE"/>
    <w:rsid w:val="008462C7"/>
    <w:rsid w:val="0084644F"/>
    <w:rsid w:val="008464D2"/>
    <w:rsid w:val="008465E1"/>
    <w:rsid w:val="008465E6"/>
    <w:rsid w:val="00846905"/>
    <w:rsid w:val="00846A7E"/>
    <w:rsid w:val="00846ECE"/>
    <w:rsid w:val="00847223"/>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5E"/>
    <w:rsid w:val="00851A99"/>
    <w:rsid w:val="00851B1C"/>
    <w:rsid w:val="00851B27"/>
    <w:rsid w:val="00851C82"/>
    <w:rsid w:val="00851ED1"/>
    <w:rsid w:val="00851F36"/>
    <w:rsid w:val="00852052"/>
    <w:rsid w:val="00852113"/>
    <w:rsid w:val="00852141"/>
    <w:rsid w:val="008521B8"/>
    <w:rsid w:val="0085294E"/>
    <w:rsid w:val="00852A01"/>
    <w:rsid w:val="00852BFE"/>
    <w:rsid w:val="00852F8B"/>
    <w:rsid w:val="00853100"/>
    <w:rsid w:val="0085396A"/>
    <w:rsid w:val="00853A2E"/>
    <w:rsid w:val="00853BC0"/>
    <w:rsid w:val="00853D05"/>
    <w:rsid w:val="00853D12"/>
    <w:rsid w:val="00853F0F"/>
    <w:rsid w:val="00853F97"/>
    <w:rsid w:val="008540EB"/>
    <w:rsid w:val="008542EE"/>
    <w:rsid w:val="0085431B"/>
    <w:rsid w:val="0085444A"/>
    <w:rsid w:val="008544B5"/>
    <w:rsid w:val="00854566"/>
    <w:rsid w:val="00854AC2"/>
    <w:rsid w:val="00854BC0"/>
    <w:rsid w:val="00854C05"/>
    <w:rsid w:val="008558EF"/>
    <w:rsid w:val="008559A4"/>
    <w:rsid w:val="008559FD"/>
    <w:rsid w:val="00855C66"/>
    <w:rsid w:val="00855D46"/>
    <w:rsid w:val="008560CE"/>
    <w:rsid w:val="008561F9"/>
    <w:rsid w:val="00856992"/>
    <w:rsid w:val="00856A09"/>
    <w:rsid w:val="00856AA3"/>
    <w:rsid w:val="00857DEE"/>
    <w:rsid w:val="00857DF4"/>
    <w:rsid w:val="008607F2"/>
    <w:rsid w:val="00860AD4"/>
    <w:rsid w:val="00860C63"/>
    <w:rsid w:val="00860DB7"/>
    <w:rsid w:val="00860DD6"/>
    <w:rsid w:val="00860F8F"/>
    <w:rsid w:val="00860F9B"/>
    <w:rsid w:val="0086117B"/>
    <w:rsid w:val="00861272"/>
    <w:rsid w:val="00861477"/>
    <w:rsid w:val="008614CA"/>
    <w:rsid w:val="0086179E"/>
    <w:rsid w:val="00862226"/>
    <w:rsid w:val="00862902"/>
    <w:rsid w:val="00862C4F"/>
    <w:rsid w:val="00862CD3"/>
    <w:rsid w:val="00862DAC"/>
    <w:rsid w:val="00862F25"/>
    <w:rsid w:val="00863378"/>
    <w:rsid w:val="008637E9"/>
    <w:rsid w:val="00863958"/>
    <w:rsid w:val="00863D7C"/>
    <w:rsid w:val="00863DF7"/>
    <w:rsid w:val="00863E90"/>
    <w:rsid w:val="00863EF6"/>
    <w:rsid w:val="0086409B"/>
    <w:rsid w:val="00864660"/>
    <w:rsid w:val="0086471E"/>
    <w:rsid w:val="00864B33"/>
    <w:rsid w:val="00864B88"/>
    <w:rsid w:val="0086511E"/>
    <w:rsid w:val="0086530E"/>
    <w:rsid w:val="008654CA"/>
    <w:rsid w:val="00865506"/>
    <w:rsid w:val="0086566F"/>
    <w:rsid w:val="008656F8"/>
    <w:rsid w:val="008658AA"/>
    <w:rsid w:val="00865D6C"/>
    <w:rsid w:val="00865DC7"/>
    <w:rsid w:val="00865FE9"/>
    <w:rsid w:val="00866341"/>
    <w:rsid w:val="00866B94"/>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67F84"/>
    <w:rsid w:val="0087007B"/>
    <w:rsid w:val="0087008C"/>
    <w:rsid w:val="008700CA"/>
    <w:rsid w:val="008701E7"/>
    <w:rsid w:val="008703C3"/>
    <w:rsid w:val="00870508"/>
    <w:rsid w:val="00870722"/>
    <w:rsid w:val="008709A1"/>
    <w:rsid w:val="00870B54"/>
    <w:rsid w:val="00870C6F"/>
    <w:rsid w:val="00870C8B"/>
    <w:rsid w:val="00870C99"/>
    <w:rsid w:val="00871095"/>
    <w:rsid w:val="008714E6"/>
    <w:rsid w:val="0087151E"/>
    <w:rsid w:val="00871A9E"/>
    <w:rsid w:val="00871AF3"/>
    <w:rsid w:val="00871B95"/>
    <w:rsid w:val="00872461"/>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A2B"/>
    <w:rsid w:val="00874AD4"/>
    <w:rsid w:val="00874B51"/>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2CA"/>
    <w:rsid w:val="00880355"/>
    <w:rsid w:val="0088051A"/>
    <w:rsid w:val="008807B4"/>
    <w:rsid w:val="00880834"/>
    <w:rsid w:val="00880CBB"/>
    <w:rsid w:val="00880FD7"/>
    <w:rsid w:val="0088127C"/>
    <w:rsid w:val="0088159C"/>
    <w:rsid w:val="00881887"/>
    <w:rsid w:val="008818E4"/>
    <w:rsid w:val="008819B2"/>
    <w:rsid w:val="00881D73"/>
    <w:rsid w:val="00881FA5"/>
    <w:rsid w:val="008822D5"/>
    <w:rsid w:val="00882364"/>
    <w:rsid w:val="008823A3"/>
    <w:rsid w:val="008824F9"/>
    <w:rsid w:val="008825F2"/>
    <w:rsid w:val="008826DC"/>
    <w:rsid w:val="00882967"/>
    <w:rsid w:val="00882BE0"/>
    <w:rsid w:val="00882C14"/>
    <w:rsid w:val="00882E4B"/>
    <w:rsid w:val="00883483"/>
    <w:rsid w:val="008839E4"/>
    <w:rsid w:val="00883CA2"/>
    <w:rsid w:val="00883CAC"/>
    <w:rsid w:val="00883D38"/>
    <w:rsid w:val="00883E17"/>
    <w:rsid w:val="00884163"/>
    <w:rsid w:val="008842DF"/>
    <w:rsid w:val="00884465"/>
    <w:rsid w:val="0088477C"/>
    <w:rsid w:val="0088484D"/>
    <w:rsid w:val="00884CE8"/>
    <w:rsid w:val="00884EF2"/>
    <w:rsid w:val="008852AB"/>
    <w:rsid w:val="008853B8"/>
    <w:rsid w:val="0088545A"/>
    <w:rsid w:val="00885671"/>
    <w:rsid w:val="00885D54"/>
    <w:rsid w:val="00885E17"/>
    <w:rsid w:val="008863A6"/>
    <w:rsid w:val="008865E3"/>
    <w:rsid w:val="008865F9"/>
    <w:rsid w:val="008866E0"/>
    <w:rsid w:val="00886F5E"/>
    <w:rsid w:val="008872C2"/>
    <w:rsid w:val="008872C6"/>
    <w:rsid w:val="00887CAB"/>
    <w:rsid w:val="0089021A"/>
    <w:rsid w:val="008902C1"/>
    <w:rsid w:val="00890481"/>
    <w:rsid w:val="00890B56"/>
    <w:rsid w:val="00890ED1"/>
    <w:rsid w:val="00891182"/>
    <w:rsid w:val="008911CD"/>
    <w:rsid w:val="00891206"/>
    <w:rsid w:val="00892250"/>
    <w:rsid w:val="008922AC"/>
    <w:rsid w:val="008922E2"/>
    <w:rsid w:val="0089248B"/>
    <w:rsid w:val="00892A3C"/>
    <w:rsid w:val="00892BFA"/>
    <w:rsid w:val="00893121"/>
    <w:rsid w:val="00893473"/>
    <w:rsid w:val="00893656"/>
    <w:rsid w:val="0089365A"/>
    <w:rsid w:val="0089396D"/>
    <w:rsid w:val="008939CF"/>
    <w:rsid w:val="00893B73"/>
    <w:rsid w:val="00893CEE"/>
    <w:rsid w:val="00893D96"/>
    <w:rsid w:val="0089400A"/>
    <w:rsid w:val="00894067"/>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3A5"/>
    <w:rsid w:val="00896575"/>
    <w:rsid w:val="00896612"/>
    <w:rsid w:val="008968D9"/>
    <w:rsid w:val="0089690E"/>
    <w:rsid w:val="00896A26"/>
    <w:rsid w:val="00896BC5"/>
    <w:rsid w:val="00896ED7"/>
    <w:rsid w:val="00897A0E"/>
    <w:rsid w:val="00897ED1"/>
    <w:rsid w:val="00897F20"/>
    <w:rsid w:val="008A0301"/>
    <w:rsid w:val="008A0453"/>
    <w:rsid w:val="008A061D"/>
    <w:rsid w:val="008A07CE"/>
    <w:rsid w:val="008A07F0"/>
    <w:rsid w:val="008A0C6F"/>
    <w:rsid w:val="008A1609"/>
    <w:rsid w:val="008A1BAA"/>
    <w:rsid w:val="008A1BC1"/>
    <w:rsid w:val="008A1E72"/>
    <w:rsid w:val="008A2413"/>
    <w:rsid w:val="008A25A6"/>
    <w:rsid w:val="008A2904"/>
    <w:rsid w:val="008A291F"/>
    <w:rsid w:val="008A29ED"/>
    <w:rsid w:val="008A2E0C"/>
    <w:rsid w:val="008A2E3F"/>
    <w:rsid w:val="008A34E0"/>
    <w:rsid w:val="008A368E"/>
    <w:rsid w:val="008A36F0"/>
    <w:rsid w:val="008A37E5"/>
    <w:rsid w:val="008A401D"/>
    <w:rsid w:val="008A4256"/>
    <w:rsid w:val="008A451C"/>
    <w:rsid w:val="008A47DC"/>
    <w:rsid w:val="008A4824"/>
    <w:rsid w:val="008A49B1"/>
    <w:rsid w:val="008A4F1E"/>
    <w:rsid w:val="008A529E"/>
    <w:rsid w:val="008A56DC"/>
    <w:rsid w:val="008A5771"/>
    <w:rsid w:val="008A5E33"/>
    <w:rsid w:val="008A5ED4"/>
    <w:rsid w:val="008A63B0"/>
    <w:rsid w:val="008A65AB"/>
    <w:rsid w:val="008A6623"/>
    <w:rsid w:val="008A663D"/>
    <w:rsid w:val="008A680F"/>
    <w:rsid w:val="008A6A40"/>
    <w:rsid w:val="008A728F"/>
    <w:rsid w:val="008A73C1"/>
    <w:rsid w:val="008A74D2"/>
    <w:rsid w:val="008A76A5"/>
    <w:rsid w:val="008A779C"/>
    <w:rsid w:val="008B007B"/>
    <w:rsid w:val="008B052D"/>
    <w:rsid w:val="008B0B57"/>
    <w:rsid w:val="008B0CB1"/>
    <w:rsid w:val="008B1089"/>
    <w:rsid w:val="008B1146"/>
    <w:rsid w:val="008B114F"/>
    <w:rsid w:val="008B1150"/>
    <w:rsid w:val="008B1161"/>
    <w:rsid w:val="008B1293"/>
    <w:rsid w:val="008B13DE"/>
    <w:rsid w:val="008B1813"/>
    <w:rsid w:val="008B1870"/>
    <w:rsid w:val="008B2158"/>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626"/>
    <w:rsid w:val="008B47CA"/>
    <w:rsid w:val="008B48B7"/>
    <w:rsid w:val="008B4976"/>
    <w:rsid w:val="008B4FC7"/>
    <w:rsid w:val="008B5102"/>
    <w:rsid w:val="008B548D"/>
    <w:rsid w:val="008B58E7"/>
    <w:rsid w:val="008B5E20"/>
    <w:rsid w:val="008B615E"/>
    <w:rsid w:val="008B63D6"/>
    <w:rsid w:val="008B67BC"/>
    <w:rsid w:val="008B6BE1"/>
    <w:rsid w:val="008B6E48"/>
    <w:rsid w:val="008B6FC0"/>
    <w:rsid w:val="008B7102"/>
    <w:rsid w:val="008B723D"/>
    <w:rsid w:val="008B76EE"/>
    <w:rsid w:val="008B7721"/>
    <w:rsid w:val="008B77E9"/>
    <w:rsid w:val="008B781A"/>
    <w:rsid w:val="008B7CB2"/>
    <w:rsid w:val="008C0597"/>
    <w:rsid w:val="008C081E"/>
    <w:rsid w:val="008C0BCD"/>
    <w:rsid w:val="008C0E6B"/>
    <w:rsid w:val="008C1A55"/>
    <w:rsid w:val="008C1B54"/>
    <w:rsid w:val="008C23C8"/>
    <w:rsid w:val="008C23C9"/>
    <w:rsid w:val="008C24CB"/>
    <w:rsid w:val="008C2AE7"/>
    <w:rsid w:val="008C2C78"/>
    <w:rsid w:val="008C2E28"/>
    <w:rsid w:val="008C2FA9"/>
    <w:rsid w:val="008C30E7"/>
    <w:rsid w:val="008C310E"/>
    <w:rsid w:val="008C32A9"/>
    <w:rsid w:val="008C33E6"/>
    <w:rsid w:val="008C3539"/>
    <w:rsid w:val="008C363C"/>
    <w:rsid w:val="008C37DA"/>
    <w:rsid w:val="008C3A88"/>
    <w:rsid w:val="008C3B2E"/>
    <w:rsid w:val="008C4352"/>
    <w:rsid w:val="008C4456"/>
    <w:rsid w:val="008C47FA"/>
    <w:rsid w:val="008C497B"/>
    <w:rsid w:val="008C4C86"/>
    <w:rsid w:val="008C4CC1"/>
    <w:rsid w:val="008C4D55"/>
    <w:rsid w:val="008C4DF2"/>
    <w:rsid w:val="008C4F20"/>
    <w:rsid w:val="008C5008"/>
    <w:rsid w:val="008C525B"/>
    <w:rsid w:val="008C5B5B"/>
    <w:rsid w:val="008C5E64"/>
    <w:rsid w:val="008C65CC"/>
    <w:rsid w:val="008C6796"/>
    <w:rsid w:val="008C6D97"/>
    <w:rsid w:val="008C6E8C"/>
    <w:rsid w:val="008C6FA4"/>
    <w:rsid w:val="008C7015"/>
    <w:rsid w:val="008C7160"/>
    <w:rsid w:val="008C73AC"/>
    <w:rsid w:val="008C7674"/>
    <w:rsid w:val="008C770D"/>
    <w:rsid w:val="008C781A"/>
    <w:rsid w:val="008C7953"/>
    <w:rsid w:val="008C79B9"/>
    <w:rsid w:val="008C7B2E"/>
    <w:rsid w:val="008C7C58"/>
    <w:rsid w:val="008C7C7C"/>
    <w:rsid w:val="008D052F"/>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521"/>
    <w:rsid w:val="008D2C41"/>
    <w:rsid w:val="008D3301"/>
    <w:rsid w:val="008D3347"/>
    <w:rsid w:val="008D394B"/>
    <w:rsid w:val="008D3AC8"/>
    <w:rsid w:val="008D48E9"/>
    <w:rsid w:val="008D4BAA"/>
    <w:rsid w:val="008D4E81"/>
    <w:rsid w:val="008D4F44"/>
    <w:rsid w:val="008D5053"/>
    <w:rsid w:val="008D51EC"/>
    <w:rsid w:val="008D5326"/>
    <w:rsid w:val="008D53DC"/>
    <w:rsid w:val="008D5517"/>
    <w:rsid w:val="008D5530"/>
    <w:rsid w:val="008D582A"/>
    <w:rsid w:val="008D5960"/>
    <w:rsid w:val="008D5A82"/>
    <w:rsid w:val="008D5C2B"/>
    <w:rsid w:val="008D6132"/>
    <w:rsid w:val="008D6163"/>
    <w:rsid w:val="008D64F3"/>
    <w:rsid w:val="008D6627"/>
    <w:rsid w:val="008D684F"/>
    <w:rsid w:val="008D6B42"/>
    <w:rsid w:val="008D6B6B"/>
    <w:rsid w:val="008D6C57"/>
    <w:rsid w:val="008D6CA4"/>
    <w:rsid w:val="008D6CCB"/>
    <w:rsid w:val="008D6EF6"/>
    <w:rsid w:val="008D71C6"/>
    <w:rsid w:val="008D754B"/>
    <w:rsid w:val="008D7579"/>
    <w:rsid w:val="008D7731"/>
    <w:rsid w:val="008D77CB"/>
    <w:rsid w:val="008D7B61"/>
    <w:rsid w:val="008D7FB4"/>
    <w:rsid w:val="008E05F9"/>
    <w:rsid w:val="008E0629"/>
    <w:rsid w:val="008E06C1"/>
    <w:rsid w:val="008E089A"/>
    <w:rsid w:val="008E0967"/>
    <w:rsid w:val="008E0AE2"/>
    <w:rsid w:val="008E0B4F"/>
    <w:rsid w:val="008E0F86"/>
    <w:rsid w:val="008E116D"/>
    <w:rsid w:val="008E14A9"/>
    <w:rsid w:val="008E1615"/>
    <w:rsid w:val="008E171E"/>
    <w:rsid w:val="008E1816"/>
    <w:rsid w:val="008E1A26"/>
    <w:rsid w:val="008E1CA0"/>
    <w:rsid w:val="008E2A23"/>
    <w:rsid w:val="008E2ABF"/>
    <w:rsid w:val="008E2C87"/>
    <w:rsid w:val="008E3466"/>
    <w:rsid w:val="008E37BC"/>
    <w:rsid w:val="008E3A51"/>
    <w:rsid w:val="008E3D95"/>
    <w:rsid w:val="008E3DC7"/>
    <w:rsid w:val="008E3EDB"/>
    <w:rsid w:val="008E3FEB"/>
    <w:rsid w:val="008E4256"/>
    <w:rsid w:val="008E45AD"/>
    <w:rsid w:val="008E460F"/>
    <w:rsid w:val="008E48AD"/>
    <w:rsid w:val="008E48E8"/>
    <w:rsid w:val="008E4B6C"/>
    <w:rsid w:val="008E4F0C"/>
    <w:rsid w:val="008E503F"/>
    <w:rsid w:val="008E5070"/>
    <w:rsid w:val="008E53A2"/>
    <w:rsid w:val="008E5434"/>
    <w:rsid w:val="008E5521"/>
    <w:rsid w:val="008E5B2F"/>
    <w:rsid w:val="008E5E6B"/>
    <w:rsid w:val="008E62A2"/>
    <w:rsid w:val="008E6841"/>
    <w:rsid w:val="008E694A"/>
    <w:rsid w:val="008E6BB6"/>
    <w:rsid w:val="008E6BBA"/>
    <w:rsid w:val="008E6E8C"/>
    <w:rsid w:val="008E6F38"/>
    <w:rsid w:val="008E7006"/>
    <w:rsid w:val="008E706E"/>
    <w:rsid w:val="008E7163"/>
    <w:rsid w:val="008E72F9"/>
    <w:rsid w:val="008E7B49"/>
    <w:rsid w:val="008E7B51"/>
    <w:rsid w:val="008E7CC6"/>
    <w:rsid w:val="008F0202"/>
    <w:rsid w:val="008F03B6"/>
    <w:rsid w:val="008F054C"/>
    <w:rsid w:val="008F0CE6"/>
    <w:rsid w:val="008F0D78"/>
    <w:rsid w:val="008F0DAD"/>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B1"/>
    <w:rsid w:val="008F2EDB"/>
    <w:rsid w:val="008F313B"/>
    <w:rsid w:val="008F3270"/>
    <w:rsid w:val="008F3286"/>
    <w:rsid w:val="008F337D"/>
    <w:rsid w:val="008F3411"/>
    <w:rsid w:val="008F3484"/>
    <w:rsid w:val="008F389C"/>
    <w:rsid w:val="008F4055"/>
    <w:rsid w:val="008F45B6"/>
    <w:rsid w:val="008F45F2"/>
    <w:rsid w:val="008F46DA"/>
    <w:rsid w:val="008F482B"/>
    <w:rsid w:val="008F4920"/>
    <w:rsid w:val="008F4AEF"/>
    <w:rsid w:val="008F4C85"/>
    <w:rsid w:val="008F4E07"/>
    <w:rsid w:val="008F4F30"/>
    <w:rsid w:val="008F4F8E"/>
    <w:rsid w:val="008F55E8"/>
    <w:rsid w:val="008F56EA"/>
    <w:rsid w:val="008F596E"/>
    <w:rsid w:val="008F5F8F"/>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EF1"/>
    <w:rsid w:val="009020C2"/>
    <w:rsid w:val="0090215B"/>
    <w:rsid w:val="0090280E"/>
    <w:rsid w:val="0090287A"/>
    <w:rsid w:val="00902E36"/>
    <w:rsid w:val="00902E73"/>
    <w:rsid w:val="00902FFC"/>
    <w:rsid w:val="009030C4"/>
    <w:rsid w:val="00903532"/>
    <w:rsid w:val="00903906"/>
    <w:rsid w:val="00903914"/>
    <w:rsid w:val="00903B72"/>
    <w:rsid w:val="00903BF8"/>
    <w:rsid w:val="009040B5"/>
    <w:rsid w:val="009046B5"/>
    <w:rsid w:val="00905201"/>
    <w:rsid w:val="00905396"/>
    <w:rsid w:val="009054A3"/>
    <w:rsid w:val="00905775"/>
    <w:rsid w:val="00905939"/>
    <w:rsid w:val="0090594B"/>
    <w:rsid w:val="009059C1"/>
    <w:rsid w:val="00905A22"/>
    <w:rsid w:val="00905C88"/>
    <w:rsid w:val="00905DB4"/>
    <w:rsid w:val="0090627E"/>
    <w:rsid w:val="00906310"/>
    <w:rsid w:val="009064A7"/>
    <w:rsid w:val="00906817"/>
    <w:rsid w:val="009069DA"/>
    <w:rsid w:val="00906C6F"/>
    <w:rsid w:val="009070A1"/>
    <w:rsid w:val="00907123"/>
    <w:rsid w:val="00907197"/>
    <w:rsid w:val="009073ED"/>
    <w:rsid w:val="00907604"/>
    <w:rsid w:val="00907AC2"/>
    <w:rsid w:val="00907B27"/>
    <w:rsid w:val="00907BBE"/>
    <w:rsid w:val="00907E9A"/>
    <w:rsid w:val="00910259"/>
    <w:rsid w:val="009103AC"/>
    <w:rsid w:val="00910422"/>
    <w:rsid w:val="00910455"/>
    <w:rsid w:val="009107F5"/>
    <w:rsid w:val="00910832"/>
    <w:rsid w:val="00910A32"/>
    <w:rsid w:val="00910CED"/>
    <w:rsid w:val="00910EE8"/>
    <w:rsid w:val="00910F83"/>
    <w:rsid w:val="00911278"/>
    <w:rsid w:val="009115BB"/>
    <w:rsid w:val="00911639"/>
    <w:rsid w:val="009117C6"/>
    <w:rsid w:val="00911A9D"/>
    <w:rsid w:val="00911BBF"/>
    <w:rsid w:val="0091259A"/>
    <w:rsid w:val="00912BDE"/>
    <w:rsid w:val="00912DCF"/>
    <w:rsid w:val="00912EEE"/>
    <w:rsid w:val="00912F51"/>
    <w:rsid w:val="009131EC"/>
    <w:rsid w:val="0091324D"/>
    <w:rsid w:val="00913252"/>
    <w:rsid w:val="00913445"/>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CF7"/>
    <w:rsid w:val="00916EB2"/>
    <w:rsid w:val="00917175"/>
    <w:rsid w:val="0091762D"/>
    <w:rsid w:val="009177D8"/>
    <w:rsid w:val="00917A4F"/>
    <w:rsid w:val="00917B90"/>
    <w:rsid w:val="00917DFC"/>
    <w:rsid w:val="0092005C"/>
    <w:rsid w:val="009201DB"/>
    <w:rsid w:val="00920209"/>
    <w:rsid w:val="0092033B"/>
    <w:rsid w:val="009204C4"/>
    <w:rsid w:val="009205C1"/>
    <w:rsid w:val="0092067F"/>
    <w:rsid w:val="00920923"/>
    <w:rsid w:val="00920ADB"/>
    <w:rsid w:val="00920BF1"/>
    <w:rsid w:val="00920C92"/>
    <w:rsid w:val="00920CBF"/>
    <w:rsid w:val="00920D77"/>
    <w:rsid w:val="009210F0"/>
    <w:rsid w:val="009211D1"/>
    <w:rsid w:val="009214C5"/>
    <w:rsid w:val="009217D6"/>
    <w:rsid w:val="009217EE"/>
    <w:rsid w:val="00921846"/>
    <w:rsid w:val="0092184A"/>
    <w:rsid w:val="00921CAD"/>
    <w:rsid w:val="00922481"/>
    <w:rsid w:val="009226FB"/>
    <w:rsid w:val="00922ECF"/>
    <w:rsid w:val="00923092"/>
    <w:rsid w:val="009231BC"/>
    <w:rsid w:val="009231DC"/>
    <w:rsid w:val="0092330D"/>
    <w:rsid w:val="009234A1"/>
    <w:rsid w:val="009236E5"/>
    <w:rsid w:val="00923881"/>
    <w:rsid w:val="00923A7F"/>
    <w:rsid w:val="00923B39"/>
    <w:rsid w:val="00923CAC"/>
    <w:rsid w:val="00923D1C"/>
    <w:rsid w:val="00924208"/>
    <w:rsid w:val="009246EF"/>
    <w:rsid w:val="00924761"/>
    <w:rsid w:val="0092498B"/>
    <w:rsid w:val="009249A3"/>
    <w:rsid w:val="00924D43"/>
    <w:rsid w:val="00924F9A"/>
    <w:rsid w:val="0092510C"/>
    <w:rsid w:val="009251E1"/>
    <w:rsid w:val="009251EF"/>
    <w:rsid w:val="00925259"/>
    <w:rsid w:val="009252F0"/>
    <w:rsid w:val="00925946"/>
    <w:rsid w:val="00925AD5"/>
    <w:rsid w:val="00925FBF"/>
    <w:rsid w:val="0092606F"/>
    <w:rsid w:val="009263BA"/>
    <w:rsid w:val="0092657E"/>
    <w:rsid w:val="00926837"/>
    <w:rsid w:val="00926A86"/>
    <w:rsid w:val="00927126"/>
    <w:rsid w:val="009276B5"/>
    <w:rsid w:val="00927913"/>
    <w:rsid w:val="00927987"/>
    <w:rsid w:val="00927B2F"/>
    <w:rsid w:val="00927C80"/>
    <w:rsid w:val="00927E84"/>
    <w:rsid w:val="00927F58"/>
    <w:rsid w:val="00930063"/>
    <w:rsid w:val="009305F1"/>
    <w:rsid w:val="0093065A"/>
    <w:rsid w:val="00930AD5"/>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9B7"/>
    <w:rsid w:val="00933BCC"/>
    <w:rsid w:val="00933D05"/>
    <w:rsid w:val="00933E0F"/>
    <w:rsid w:val="009342D9"/>
    <w:rsid w:val="009342F2"/>
    <w:rsid w:val="00934309"/>
    <w:rsid w:val="0093463D"/>
    <w:rsid w:val="00934709"/>
    <w:rsid w:val="00934800"/>
    <w:rsid w:val="0093481E"/>
    <w:rsid w:val="0093485C"/>
    <w:rsid w:val="009348CD"/>
    <w:rsid w:val="00934C2A"/>
    <w:rsid w:val="00934E49"/>
    <w:rsid w:val="00934F9A"/>
    <w:rsid w:val="009353B9"/>
    <w:rsid w:val="00935410"/>
    <w:rsid w:val="009355EC"/>
    <w:rsid w:val="009355F5"/>
    <w:rsid w:val="00935B2B"/>
    <w:rsid w:val="00935B74"/>
    <w:rsid w:val="00935F85"/>
    <w:rsid w:val="00936658"/>
    <w:rsid w:val="009368FB"/>
    <w:rsid w:val="00936CCE"/>
    <w:rsid w:val="00936CF4"/>
    <w:rsid w:val="00936D6F"/>
    <w:rsid w:val="00936DB3"/>
    <w:rsid w:val="00936E80"/>
    <w:rsid w:val="00936EBC"/>
    <w:rsid w:val="009370A1"/>
    <w:rsid w:val="00937175"/>
    <w:rsid w:val="00937760"/>
    <w:rsid w:val="009377E4"/>
    <w:rsid w:val="00937BB5"/>
    <w:rsid w:val="0094008E"/>
    <w:rsid w:val="00940266"/>
    <w:rsid w:val="00940537"/>
    <w:rsid w:val="009406DE"/>
    <w:rsid w:val="009407CC"/>
    <w:rsid w:val="00940CDC"/>
    <w:rsid w:val="00940EBC"/>
    <w:rsid w:val="00940F49"/>
    <w:rsid w:val="0094112C"/>
    <w:rsid w:val="009412BE"/>
    <w:rsid w:val="009413F8"/>
    <w:rsid w:val="00941920"/>
    <w:rsid w:val="009419EE"/>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AD"/>
    <w:rsid w:val="009519DA"/>
    <w:rsid w:val="00951B64"/>
    <w:rsid w:val="00951CE5"/>
    <w:rsid w:val="00951D45"/>
    <w:rsid w:val="00952202"/>
    <w:rsid w:val="00952318"/>
    <w:rsid w:val="009525CB"/>
    <w:rsid w:val="009529F3"/>
    <w:rsid w:val="00952A1B"/>
    <w:rsid w:val="00952E5F"/>
    <w:rsid w:val="00952F3A"/>
    <w:rsid w:val="0095313A"/>
    <w:rsid w:val="009532AC"/>
    <w:rsid w:val="00953322"/>
    <w:rsid w:val="009537A7"/>
    <w:rsid w:val="00953A4C"/>
    <w:rsid w:val="00953A7E"/>
    <w:rsid w:val="00953CF4"/>
    <w:rsid w:val="00953F73"/>
    <w:rsid w:val="00953FA1"/>
    <w:rsid w:val="009541AC"/>
    <w:rsid w:val="00954263"/>
    <w:rsid w:val="00954286"/>
    <w:rsid w:val="009542A8"/>
    <w:rsid w:val="00954501"/>
    <w:rsid w:val="00954892"/>
    <w:rsid w:val="009549F9"/>
    <w:rsid w:val="00954ADB"/>
    <w:rsid w:val="00954BF0"/>
    <w:rsid w:val="009550F1"/>
    <w:rsid w:val="009552EA"/>
    <w:rsid w:val="00955750"/>
    <w:rsid w:val="0095582B"/>
    <w:rsid w:val="009559B6"/>
    <w:rsid w:val="009559E5"/>
    <w:rsid w:val="00955B67"/>
    <w:rsid w:val="00955DDE"/>
    <w:rsid w:val="00956793"/>
    <w:rsid w:val="00956827"/>
    <w:rsid w:val="009568F4"/>
    <w:rsid w:val="00956C96"/>
    <w:rsid w:val="00956E87"/>
    <w:rsid w:val="00956FD3"/>
    <w:rsid w:val="009571A6"/>
    <w:rsid w:val="00957C78"/>
    <w:rsid w:val="00957CEF"/>
    <w:rsid w:val="00957E04"/>
    <w:rsid w:val="0096018A"/>
    <w:rsid w:val="0096034D"/>
    <w:rsid w:val="0096039D"/>
    <w:rsid w:val="009603BD"/>
    <w:rsid w:val="00960559"/>
    <w:rsid w:val="009606F6"/>
    <w:rsid w:val="00960972"/>
    <w:rsid w:val="00960A6A"/>
    <w:rsid w:val="00960C62"/>
    <w:rsid w:val="00960C9C"/>
    <w:rsid w:val="00960FEE"/>
    <w:rsid w:val="0096149B"/>
    <w:rsid w:val="009616EC"/>
    <w:rsid w:val="0096174B"/>
    <w:rsid w:val="00961909"/>
    <w:rsid w:val="00961B9A"/>
    <w:rsid w:val="00961D17"/>
    <w:rsid w:val="00961EA3"/>
    <w:rsid w:val="00961F76"/>
    <w:rsid w:val="00961FCD"/>
    <w:rsid w:val="0096203B"/>
    <w:rsid w:val="0096203D"/>
    <w:rsid w:val="00962117"/>
    <w:rsid w:val="0096215D"/>
    <w:rsid w:val="009621C5"/>
    <w:rsid w:val="00962243"/>
    <w:rsid w:val="00962362"/>
    <w:rsid w:val="00962A49"/>
    <w:rsid w:val="00962AF0"/>
    <w:rsid w:val="00962CC0"/>
    <w:rsid w:val="00962DA1"/>
    <w:rsid w:val="00962F80"/>
    <w:rsid w:val="00963025"/>
    <w:rsid w:val="00963187"/>
    <w:rsid w:val="009635A6"/>
    <w:rsid w:val="00963885"/>
    <w:rsid w:val="00963AC8"/>
    <w:rsid w:val="00963EC6"/>
    <w:rsid w:val="0096417C"/>
    <w:rsid w:val="009645D2"/>
    <w:rsid w:val="00964834"/>
    <w:rsid w:val="00964EA4"/>
    <w:rsid w:val="00964F50"/>
    <w:rsid w:val="009653A7"/>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CD4"/>
    <w:rsid w:val="00970F19"/>
    <w:rsid w:val="00971146"/>
    <w:rsid w:val="009711A9"/>
    <w:rsid w:val="009711CD"/>
    <w:rsid w:val="0097195B"/>
    <w:rsid w:val="00971E6E"/>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88B"/>
    <w:rsid w:val="00976A05"/>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5CF"/>
    <w:rsid w:val="00982B80"/>
    <w:rsid w:val="00982CBB"/>
    <w:rsid w:val="00982E2B"/>
    <w:rsid w:val="00982E47"/>
    <w:rsid w:val="009830E6"/>
    <w:rsid w:val="0098325C"/>
    <w:rsid w:val="00983580"/>
    <w:rsid w:val="00983B10"/>
    <w:rsid w:val="00983DC3"/>
    <w:rsid w:val="00983E8B"/>
    <w:rsid w:val="0098408A"/>
    <w:rsid w:val="00984240"/>
    <w:rsid w:val="00984369"/>
    <w:rsid w:val="0098449E"/>
    <w:rsid w:val="0098464F"/>
    <w:rsid w:val="0098480B"/>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35D"/>
    <w:rsid w:val="0099168F"/>
    <w:rsid w:val="009918EC"/>
    <w:rsid w:val="00991D3C"/>
    <w:rsid w:val="00991D93"/>
    <w:rsid w:val="0099234E"/>
    <w:rsid w:val="00992394"/>
    <w:rsid w:val="0099264F"/>
    <w:rsid w:val="00992B2B"/>
    <w:rsid w:val="00992B68"/>
    <w:rsid w:val="00992D80"/>
    <w:rsid w:val="00993183"/>
    <w:rsid w:val="009932C9"/>
    <w:rsid w:val="00993329"/>
    <w:rsid w:val="0099366C"/>
    <w:rsid w:val="00993A2A"/>
    <w:rsid w:val="00993B08"/>
    <w:rsid w:val="00993B7C"/>
    <w:rsid w:val="00993B9F"/>
    <w:rsid w:val="00993CC2"/>
    <w:rsid w:val="00993DF8"/>
    <w:rsid w:val="0099414F"/>
    <w:rsid w:val="00994284"/>
    <w:rsid w:val="009945D8"/>
    <w:rsid w:val="0099470F"/>
    <w:rsid w:val="00994959"/>
    <w:rsid w:val="00994B76"/>
    <w:rsid w:val="00995104"/>
    <w:rsid w:val="009951D8"/>
    <w:rsid w:val="00995295"/>
    <w:rsid w:val="00995AC7"/>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CE2"/>
    <w:rsid w:val="009A0D05"/>
    <w:rsid w:val="009A0DD2"/>
    <w:rsid w:val="009A0E0E"/>
    <w:rsid w:val="009A11FA"/>
    <w:rsid w:val="009A133C"/>
    <w:rsid w:val="009A15CF"/>
    <w:rsid w:val="009A174C"/>
    <w:rsid w:val="009A1896"/>
    <w:rsid w:val="009A1CB7"/>
    <w:rsid w:val="009A1F37"/>
    <w:rsid w:val="009A2048"/>
    <w:rsid w:val="009A207E"/>
    <w:rsid w:val="009A2518"/>
    <w:rsid w:val="009A26C8"/>
    <w:rsid w:val="009A26FF"/>
    <w:rsid w:val="009A27AE"/>
    <w:rsid w:val="009A2BEA"/>
    <w:rsid w:val="009A2C73"/>
    <w:rsid w:val="009A2EA3"/>
    <w:rsid w:val="009A302F"/>
    <w:rsid w:val="009A3191"/>
    <w:rsid w:val="009A37D4"/>
    <w:rsid w:val="009A39B2"/>
    <w:rsid w:val="009A3DA0"/>
    <w:rsid w:val="009A402B"/>
    <w:rsid w:val="009A41F0"/>
    <w:rsid w:val="009A4321"/>
    <w:rsid w:val="009A46B9"/>
    <w:rsid w:val="009A4A04"/>
    <w:rsid w:val="009A4A94"/>
    <w:rsid w:val="009A4CD7"/>
    <w:rsid w:val="009A4D3E"/>
    <w:rsid w:val="009A4D5B"/>
    <w:rsid w:val="009A4F66"/>
    <w:rsid w:val="009A50A4"/>
    <w:rsid w:val="009A597B"/>
    <w:rsid w:val="009A60B8"/>
    <w:rsid w:val="009A6382"/>
    <w:rsid w:val="009A6A1A"/>
    <w:rsid w:val="009A6B3E"/>
    <w:rsid w:val="009A6BC5"/>
    <w:rsid w:val="009A6CA4"/>
    <w:rsid w:val="009A6EA0"/>
    <w:rsid w:val="009A6FD9"/>
    <w:rsid w:val="009A6FF6"/>
    <w:rsid w:val="009A70AF"/>
    <w:rsid w:val="009A724D"/>
    <w:rsid w:val="009A727F"/>
    <w:rsid w:val="009A742A"/>
    <w:rsid w:val="009A7692"/>
    <w:rsid w:val="009A772C"/>
    <w:rsid w:val="009A794E"/>
    <w:rsid w:val="009A7C10"/>
    <w:rsid w:val="009B000F"/>
    <w:rsid w:val="009B010F"/>
    <w:rsid w:val="009B018C"/>
    <w:rsid w:val="009B094D"/>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2CB"/>
    <w:rsid w:val="009B53BD"/>
    <w:rsid w:val="009B57EC"/>
    <w:rsid w:val="009B5BA4"/>
    <w:rsid w:val="009B5E1C"/>
    <w:rsid w:val="009B5E8D"/>
    <w:rsid w:val="009B5F42"/>
    <w:rsid w:val="009B5FC2"/>
    <w:rsid w:val="009B61B8"/>
    <w:rsid w:val="009B6596"/>
    <w:rsid w:val="009B65AD"/>
    <w:rsid w:val="009B6752"/>
    <w:rsid w:val="009B6B3D"/>
    <w:rsid w:val="009B6DA1"/>
    <w:rsid w:val="009B6F81"/>
    <w:rsid w:val="009B7003"/>
    <w:rsid w:val="009B730E"/>
    <w:rsid w:val="009B782C"/>
    <w:rsid w:val="009B7E72"/>
    <w:rsid w:val="009B7EC9"/>
    <w:rsid w:val="009C056C"/>
    <w:rsid w:val="009C0732"/>
    <w:rsid w:val="009C0A90"/>
    <w:rsid w:val="009C0BE8"/>
    <w:rsid w:val="009C11F9"/>
    <w:rsid w:val="009C1250"/>
    <w:rsid w:val="009C1251"/>
    <w:rsid w:val="009C1551"/>
    <w:rsid w:val="009C1694"/>
    <w:rsid w:val="009C173A"/>
    <w:rsid w:val="009C181E"/>
    <w:rsid w:val="009C18C4"/>
    <w:rsid w:val="009C1A28"/>
    <w:rsid w:val="009C1CDC"/>
    <w:rsid w:val="009C1D89"/>
    <w:rsid w:val="009C1E4E"/>
    <w:rsid w:val="009C20FD"/>
    <w:rsid w:val="009C22B2"/>
    <w:rsid w:val="009C22E7"/>
    <w:rsid w:val="009C235B"/>
    <w:rsid w:val="009C28FD"/>
    <w:rsid w:val="009C2E33"/>
    <w:rsid w:val="009C2F12"/>
    <w:rsid w:val="009C3222"/>
    <w:rsid w:val="009C33D9"/>
    <w:rsid w:val="009C34D0"/>
    <w:rsid w:val="009C3526"/>
    <w:rsid w:val="009C3623"/>
    <w:rsid w:val="009C3A20"/>
    <w:rsid w:val="009C3CD6"/>
    <w:rsid w:val="009C3E2F"/>
    <w:rsid w:val="009C3E4E"/>
    <w:rsid w:val="009C3E87"/>
    <w:rsid w:val="009C40AA"/>
    <w:rsid w:val="009C40EF"/>
    <w:rsid w:val="009C46AC"/>
    <w:rsid w:val="009C4B49"/>
    <w:rsid w:val="009C4BBB"/>
    <w:rsid w:val="009C4C6C"/>
    <w:rsid w:val="009C5039"/>
    <w:rsid w:val="009C5067"/>
    <w:rsid w:val="009C50A7"/>
    <w:rsid w:val="009C5328"/>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D011E"/>
    <w:rsid w:val="009D0161"/>
    <w:rsid w:val="009D019B"/>
    <w:rsid w:val="009D05BF"/>
    <w:rsid w:val="009D08F6"/>
    <w:rsid w:val="009D09B5"/>
    <w:rsid w:val="009D0DF0"/>
    <w:rsid w:val="009D15AE"/>
    <w:rsid w:val="009D17EA"/>
    <w:rsid w:val="009D17FA"/>
    <w:rsid w:val="009D18AC"/>
    <w:rsid w:val="009D1A01"/>
    <w:rsid w:val="009D1DA7"/>
    <w:rsid w:val="009D1F0C"/>
    <w:rsid w:val="009D1F29"/>
    <w:rsid w:val="009D203F"/>
    <w:rsid w:val="009D268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6DFA"/>
    <w:rsid w:val="009D704A"/>
    <w:rsid w:val="009D7112"/>
    <w:rsid w:val="009D72DF"/>
    <w:rsid w:val="009D755F"/>
    <w:rsid w:val="009D7797"/>
    <w:rsid w:val="009D7B15"/>
    <w:rsid w:val="009D7E7F"/>
    <w:rsid w:val="009E0625"/>
    <w:rsid w:val="009E0768"/>
    <w:rsid w:val="009E07CF"/>
    <w:rsid w:val="009E0978"/>
    <w:rsid w:val="009E0AD2"/>
    <w:rsid w:val="009E0B18"/>
    <w:rsid w:val="009E1439"/>
    <w:rsid w:val="009E149D"/>
    <w:rsid w:val="009E175C"/>
    <w:rsid w:val="009E175E"/>
    <w:rsid w:val="009E187B"/>
    <w:rsid w:val="009E1887"/>
    <w:rsid w:val="009E19FF"/>
    <w:rsid w:val="009E1CA3"/>
    <w:rsid w:val="009E1D65"/>
    <w:rsid w:val="009E1DD1"/>
    <w:rsid w:val="009E1E6F"/>
    <w:rsid w:val="009E216E"/>
    <w:rsid w:val="009E2245"/>
    <w:rsid w:val="009E22DA"/>
    <w:rsid w:val="009E276A"/>
    <w:rsid w:val="009E27E3"/>
    <w:rsid w:val="009E29A1"/>
    <w:rsid w:val="009E2BAE"/>
    <w:rsid w:val="009E2D74"/>
    <w:rsid w:val="009E2FE1"/>
    <w:rsid w:val="009E2FF2"/>
    <w:rsid w:val="009E3297"/>
    <w:rsid w:val="009E3E52"/>
    <w:rsid w:val="009E3EBA"/>
    <w:rsid w:val="009E430F"/>
    <w:rsid w:val="009E449A"/>
    <w:rsid w:val="009E44BB"/>
    <w:rsid w:val="009E4A53"/>
    <w:rsid w:val="009E4CA1"/>
    <w:rsid w:val="009E4CC5"/>
    <w:rsid w:val="009E4F89"/>
    <w:rsid w:val="009E5394"/>
    <w:rsid w:val="009E5549"/>
    <w:rsid w:val="009E55D5"/>
    <w:rsid w:val="009E560C"/>
    <w:rsid w:val="009E57AD"/>
    <w:rsid w:val="009E592A"/>
    <w:rsid w:val="009E59B4"/>
    <w:rsid w:val="009E5B20"/>
    <w:rsid w:val="009E5B4D"/>
    <w:rsid w:val="009E5B90"/>
    <w:rsid w:val="009E5B98"/>
    <w:rsid w:val="009E5BF9"/>
    <w:rsid w:val="009E5DCF"/>
    <w:rsid w:val="009E5F36"/>
    <w:rsid w:val="009E5F3B"/>
    <w:rsid w:val="009E610E"/>
    <w:rsid w:val="009E634F"/>
    <w:rsid w:val="009E6426"/>
    <w:rsid w:val="009E6B48"/>
    <w:rsid w:val="009E6BAF"/>
    <w:rsid w:val="009E6CDE"/>
    <w:rsid w:val="009E72D8"/>
    <w:rsid w:val="009E734D"/>
    <w:rsid w:val="009E7364"/>
    <w:rsid w:val="009E74F7"/>
    <w:rsid w:val="009E76F9"/>
    <w:rsid w:val="009E77AA"/>
    <w:rsid w:val="009E77FC"/>
    <w:rsid w:val="009E7C1D"/>
    <w:rsid w:val="009F0014"/>
    <w:rsid w:val="009F028D"/>
    <w:rsid w:val="009F09D7"/>
    <w:rsid w:val="009F0A1D"/>
    <w:rsid w:val="009F0BB9"/>
    <w:rsid w:val="009F0DCC"/>
    <w:rsid w:val="009F0E1A"/>
    <w:rsid w:val="009F122A"/>
    <w:rsid w:val="009F13D3"/>
    <w:rsid w:val="009F16AD"/>
    <w:rsid w:val="009F1C9B"/>
    <w:rsid w:val="009F1D06"/>
    <w:rsid w:val="009F2269"/>
    <w:rsid w:val="009F27B5"/>
    <w:rsid w:val="009F28B5"/>
    <w:rsid w:val="009F2E5F"/>
    <w:rsid w:val="009F2F2C"/>
    <w:rsid w:val="009F3077"/>
    <w:rsid w:val="009F30A9"/>
    <w:rsid w:val="009F3581"/>
    <w:rsid w:val="009F3A71"/>
    <w:rsid w:val="009F3A96"/>
    <w:rsid w:val="009F3DD0"/>
    <w:rsid w:val="009F3DE5"/>
    <w:rsid w:val="009F3FB2"/>
    <w:rsid w:val="009F400A"/>
    <w:rsid w:val="009F410E"/>
    <w:rsid w:val="009F4261"/>
    <w:rsid w:val="009F4450"/>
    <w:rsid w:val="009F48C0"/>
    <w:rsid w:val="009F4955"/>
    <w:rsid w:val="009F4E2E"/>
    <w:rsid w:val="009F4E3D"/>
    <w:rsid w:val="009F50A4"/>
    <w:rsid w:val="009F51BF"/>
    <w:rsid w:val="009F52C4"/>
    <w:rsid w:val="009F5447"/>
    <w:rsid w:val="009F557B"/>
    <w:rsid w:val="009F568B"/>
    <w:rsid w:val="009F5828"/>
    <w:rsid w:val="009F5A25"/>
    <w:rsid w:val="009F5A79"/>
    <w:rsid w:val="009F5E73"/>
    <w:rsid w:val="009F6177"/>
    <w:rsid w:val="009F662B"/>
    <w:rsid w:val="009F68E2"/>
    <w:rsid w:val="009F6B62"/>
    <w:rsid w:val="009F6E3A"/>
    <w:rsid w:val="009F708F"/>
    <w:rsid w:val="009F72B0"/>
    <w:rsid w:val="009F7403"/>
    <w:rsid w:val="009F741C"/>
    <w:rsid w:val="009F7500"/>
    <w:rsid w:val="009F758F"/>
    <w:rsid w:val="009F7626"/>
    <w:rsid w:val="009F768E"/>
    <w:rsid w:val="009F76E7"/>
    <w:rsid w:val="009F76F9"/>
    <w:rsid w:val="009F7A94"/>
    <w:rsid w:val="009F7D59"/>
    <w:rsid w:val="009F7D5D"/>
    <w:rsid w:val="00A0080B"/>
    <w:rsid w:val="00A010DC"/>
    <w:rsid w:val="00A012C7"/>
    <w:rsid w:val="00A01677"/>
    <w:rsid w:val="00A01B12"/>
    <w:rsid w:val="00A01E2A"/>
    <w:rsid w:val="00A01E81"/>
    <w:rsid w:val="00A022D4"/>
    <w:rsid w:val="00A023B0"/>
    <w:rsid w:val="00A029F2"/>
    <w:rsid w:val="00A02A02"/>
    <w:rsid w:val="00A02D43"/>
    <w:rsid w:val="00A02D4C"/>
    <w:rsid w:val="00A035AA"/>
    <w:rsid w:val="00A038E0"/>
    <w:rsid w:val="00A03ADC"/>
    <w:rsid w:val="00A03AE3"/>
    <w:rsid w:val="00A03CB8"/>
    <w:rsid w:val="00A042BE"/>
    <w:rsid w:val="00A0454F"/>
    <w:rsid w:val="00A0458F"/>
    <w:rsid w:val="00A04690"/>
    <w:rsid w:val="00A046FB"/>
    <w:rsid w:val="00A04765"/>
    <w:rsid w:val="00A048C7"/>
    <w:rsid w:val="00A0492A"/>
    <w:rsid w:val="00A04B93"/>
    <w:rsid w:val="00A0512C"/>
    <w:rsid w:val="00A051CB"/>
    <w:rsid w:val="00A052DE"/>
    <w:rsid w:val="00A05977"/>
    <w:rsid w:val="00A05ABE"/>
    <w:rsid w:val="00A05CC5"/>
    <w:rsid w:val="00A05ED2"/>
    <w:rsid w:val="00A05F04"/>
    <w:rsid w:val="00A06019"/>
    <w:rsid w:val="00A06168"/>
    <w:rsid w:val="00A06186"/>
    <w:rsid w:val="00A06372"/>
    <w:rsid w:val="00A06598"/>
    <w:rsid w:val="00A06D7F"/>
    <w:rsid w:val="00A073CF"/>
    <w:rsid w:val="00A0752A"/>
    <w:rsid w:val="00A078F4"/>
    <w:rsid w:val="00A07980"/>
    <w:rsid w:val="00A07D10"/>
    <w:rsid w:val="00A102E4"/>
    <w:rsid w:val="00A10649"/>
    <w:rsid w:val="00A10808"/>
    <w:rsid w:val="00A10BD9"/>
    <w:rsid w:val="00A10CC6"/>
    <w:rsid w:val="00A10D11"/>
    <w:rsid w:val="00A10F29"/>
    <w:rsid w:val="00A110CE"/>
    <w:rsid w:val="00A11444"/>
    <w:rsid w:val="00A116E5"/>
    <w:rsid w:val="00A11800"/>
    <w:rsid w:val="00A11A9A"/>
    <w:rsid w:val="00A11AB8"/>
    <w:rsid w:val="00A11C0C"/>
    <w:rsid w:val="00A11D59"/>
    <w:rsid w:val="00A11D5C"/>
    <w:rsid w:val="00A11DE9"/>
    <w:rsid w:val="00A121E6"/>
    <w:rsid w:val="00A12403"/>
    <w:rsid w:val="00A12750"/>
    <w:rsid w:val="00A12B27"/>
    <w:rsid w:val="00A12B2A"/>
    <w:rsid w:val="00A12CA3"/>
    <w:rsid w:val="00A12CB4"/>
    <w:rsid w:val="00A12D69"/>
    <w:rsid w:val="00A12D9D"/>
    <w:rsid w:val="00A12E2D"/>
    <w:rsid w:val="00A135A8"/>
    <w:rsid w:val="00A13725"/>
    <w:rsid w:val="00A1386E"/>
    <w:rsid w:val="00A138EF"/>
    <w:rsid w:val="00A13C1F"/>
    <w:rsid w:val="00A141BA"/>
    <w:rsid w:val="00A14210"/>
    <w:rsid w:val="00A142AE"/>
    <w:rsid w:val="00A148BF"/>
    <w:rsid w:val="00A14A24"/>
    <w:rsid w:val="00A15108"/>
    <w:rsid w:val="00A1521B"/>
    <w:rsid w:val="00A15C50"/>
    <w:rsid w:val="00A15CF5"/>
    <w:rsid w:val="00A15F89"/>
    <w:rsid w:val="00A1649C"/>
    <w:rsid w:val="00A1660F"/>
    <w:rsid w:val="00A16616"/>
    <w:rsid w:val="00A16B1D"/>
    <w:rsid w:val="00A16C9D"/>
    <w:rsid w:val="00A16EBB"/>
    <w:rsid w:val="00A1735A"/>
    <w:rsid w:val="00A174E3"/>
    <w:rsid w:val="00A1785B"/>
    <w:rsid w:val="00A178CF"/>
    <w:rsid w:val="00A17926"/>
    <w:rsid w:val="00A17D59"/>
    <w:rsid w:val="00A17D9B"/>
    <w:rsid w:val="00A17DAE"/>
    <w:rsid w:val="00A203C1"/>
    <w:rsid w:val="00A203E2"/>
    <w:rsid w:val="00A20603"/>
    <w:rsid w:val="00A20A4E"/>
    <w:rsid w:val="00A20C1B"/>
    <w:rsid w:val="00A21277"/>
    <w:rsid w:val="00A212EF"/>
    <w:rsid w:val="00A21399"/>
    <w:rsid w:val="00A21569"/>
    <w:rsid w:val="00A217EC"/>
    <w:rsid w:val="00A21900"/>
    <w:rsid w:val="00A21AE9"/>
    <w:rsid w:val="00A21B58"/>
    <w:rsid w:val="00A2222A"/>
    <w:rsid w:val="00A224EB"/>
    <w:rsid w:val="00A225CB"/>
    <w:rsid w:val="00A22951"/>
    <w:rsid w:val="00A22B7E"/>
    <w:rsid w:val="00A2300F"/>
    <w:rsid w:val="00A23113"/>
    <w:rsid w:val="00A231F2"/>
    <w:rsid w:val="00A236CB"/>
    <w:rsid w:val="00A237E3"/>
    <w:rsid w:val="00A23968"/>
    <w:rsid w:val="00A23B78"/>
    <w:rsid w:val="00A23C2D"/>
    <w:rsid w:val="00A23D71"/>
    <w:rsid w:val="00A23D7F"/>
    <w:rsid w:val="00A243EF"/>
    <w:rsid w:val="00A24401"/>
    <w:rsid w:val="00A244A8"/>
    <w:rsid w:val="00A24CB3"/>
    <w:rsid w:val="00A253A6"/>
    <w:rsid w:val="00A25A78"/>
    <w:rsid w:val="00A25ACB"/>
    <w:rsid w:val="00A25B9E"/>
    <w:rsid w:val="00A2642F"/>
    <w:rsid w:val="00A26B77"/>
    <w:rsid w:val="00A26E28"/>
    <w:rsid w:val="00A26E31"/>
    <w:rsid w:val="00A272CE"/>
    <w:rsid w:val="00A2750B"/>
    <w:rsid w:val="00A275C3"/>
    <w:rsid w:val="00A276B9"/>
    <w:rsid w:val="00A2774B"/>
    <w:rsid w:val="00A27A5F"/>
    <w:rsid w:val="00A27B69"/>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CED"/>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6F6A"/>
    <w:rsid w:val="00A37069"/>
    <w:rsid w:val="00A37327"/>
    <w:rsid w:val="00A37465"/>
    <w:rsid w:val="00A374A2"/>
    <w:rsid w:val="00A37603"/>
    <w:rsid w:val="00A376DE"/>
    <w:rsid w:val="00A376E4"/>
    <w:rsid w:val="00A37EE1"/>
    <w:rsid w:val="00A403D4"/>
    <w:rsid w:val="00A4047C"/>
    <w:rsid w:val="00A40516"/>
    <w:rsid w:val="00A408FA"/>
    <w:rsid w:val="00A40962"/>
    <w:rsid w:val="00A40B01"/>
    <w:rsid w:val="00A40CB8"/>
    <w:rsid w:val="00A40D3E"/>
    <w:rsid w:val="00A40D9A"/>
    <w:rsid w:val="00A41102"/>
    <w:rsid w:val="00A41343"/>
    <w:rsid w:val="00A41371"/>
    <w:rsid w:val="00A41400"/>
    <w:rsid w:val="00A41797"/>
    <w:rsid w:val="00A41DD3"/>
    <w:rsid w:val="00A41F51"/>
    <w:rsid w:val="00A42067"/>
    <w:rsid w:val="00A42165"/>
    <w:rsid w:val="00A42213"/>
    <w:rsid w:val="00A42463"/>
    <w:rsid w:val="00A427B3"/>
    <w:rsid w:val="00A429F6"/>
    <w:rsid w:val="00A42AC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772"/>
    <w:rsid w:val="00A467B3"/>
    <w:rsid w:val="00A46FB6"/>
    <w:rsid w:val="00A4708A"/>
    <w:rsid w:val="00A4723A"/>
    <w:rsid w:val="00A47AEC"/>
    <w:rsid w:val="00A47B6C"/>
    <w:rsid w:val="00A47CB5"/>
    <w:rsid w:val="00A47E64"/>
    <w:rsid w:val="00A50335"/>
    <w:rsid w:val="00A511D6"/>
    <w:rsid w:val="00A516D5"/>
    <w:rsid w:val="00A5191C"/>
    <w:rsid w:val="00A51C53"/>
    <w:rsid w:val="00A520B6"/>
    <w:rsid w:val="00A5217E"/>
    <w:rsid w:val="00A52187"/>
    <w:rsid w:val="00A522FF"/>
    <w:rsid w:val="00A523E0"/>
    <w:rsid w:val="00A52402"/>
    <w:rsid w:val="00A52580"/>
    <w:rsid w:val="00A525D8"/>
    <w:rsid w:val="00A528BA"/>
    <w:rsid w:val="00A52A26"/>
    <w:rsid w:val="00A52D50"/>
    <w:rsid w:val="00A52F74"/>
    <w:rsid w:val="00A530E3"/>
    <w:rsid w:val="00A5327B"/>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E4D"/>
    <w:rsid w:val="00A54FC0"/>
    <w:rsid w:val="00A55157"/>
    <w:rsid w:val="00A554D2"/>
    <w:rsid w:val="00A5572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5"/>
    <w:rsid w:val="00A602AD"/>
    <w:rsid w:val="00A60708"/>
    <w:rsid w:val="00A60BFE"/>
    <w:rsid w:val="00A60D56"/>
    <w:rsid w:val="00A60DF7"/>
    <w:rsid w:val="00A60EEA"/>
    <w:rsid w:val="00A612B7"/>
    <w:rsid w:val="00A61418"/>
    <w:rsid w:val="00A616DA"/>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D5"/>
    <w:rsid w:val="00A63FA6"/>
    <w:rsid w:val="00A6400E"/>
    <w:rsid w:val="00A6433D"/>
    <w:rsid w:val="00A64370"/>
    <w:rsid w:val="00A64432"/>
    <w:rsid w:val="00A64892"/>
    <w:rsid w:val="00A648EF"/>
    <w:rsid w:val="00A64A2F"/>
    <w:rsid w:val="00A64A63"/>
    <w:rsid w:val="00A64D7C"/>
    <w:rsid w:val="00A64FEF"/>
    <w:rsid w:val="00A65018"/>
    <w:rsid w:val="00A6514D"/>
    <w:rsid w:val="00A65683"/>
    <w:rsid w:val="00A65BE7"/>
    <w:rsid w:val="00A65D68"/>
    <w:rsid w:val="00A66005"/>
    <w:rsid w:val="00A6607F"/>
    <w:rsid w:val="00A6632C"/>
    <w:rsid w:val="00A6636C"/>
    <w:rsid w:val="00A66431"/>
    <w:rsid w:val="00A664E3"/>
    <w:rsid w:val="00A6659E"/>
    <w:rsid w:val="00A66842"/>
    <w:rsid w:val="00A668DD"/>
    <w:rsid w:val="00A66C3D"/>
    <w:rsid w:val="00A66C8C"/>
    <w:rsid w:val="00A671FA"/>
    <w:rsid w:val="00A67383"/>
    <w:rsid w:val="00A67710"/>
    <w:rsid w:val="00A70023"/>
    <w:rsid w:val="00A70394"/>
    <w:rsid w:val="00A703A0"/>
    <w:rsid w:val="00A704B9"/>
    <w:rsid w:val="00A7054C"/>
    <w:rsid w:val="00A7057A"/>
    <w:rsid w:val="00A7097F"/>
    <w:rsid w:val="00A70A7D"/>
    <w:rsid w:val="00A70C6A"/>
    <w:rsid w:val="00A70C81"/>
    <w:rsid w:val="00A71042"/>
    <w:rsid w:val="00A710EA"/>
    <w:rsid w:val="00A71343"/>
    <w:rsid w:val="00A714A4"/>
    <w:rsid w:val="00A71875"/>
    <w:rsid w:val="00A71AFA"/>
    <w:rsid w:val="00A71C84"/>
    <w:rsid w:val="00A71DB5"/>
    <w:rsid w:val="00A71E21"/>
    <w:rsid w:val="00A71E6D"/>
    <w:rsid w:val="00A7208A"/>
    <w:rsid w:val="00A721AB"/>
    <w:rsid w:val="00A728E1"/>
    <w:rsid w:val="00A72C65"/>
    <w:rsid w:val="00A730ED"/>
    <w:rsid w:val="00A73139"/>
    <w:rsid w:val="00A731F9"/>
    <w:rsid w:val="00A7327E"/>
    <w:rsid w:val="00A7340E"/>
    <w:rsid w:val="00A73621"/>
    <w:rsid w:val="00A73811"/>
    <w:rsid w:val="00A73D03"/>
    <w:rsid w:val="00A73F50"/>
    <w:rsid w:val="00A7428C"/>
    <w:rsid w:val="00A74790"/>
    <w:rsid w:val="00A749D2"/>
    <w:rsid w:val="00A74DB9"/>
    <w:rsid w:val="00A751EF"/>
    <w:rsid w:val="00A752D8"/>
    <w:rsid w:val="00A75423"/>
    <w:rsid w:val="00A75C6B"/>
    <w:rsid w:val="00A75E8D"/>
    <w:rsid w:val="00A75F81"/>
    <w:rsid w:val="00A762AA"/>
    <w:rsid w:val="00A766FF"/>
    <w:rsid w:val="00A76B4A"/>
    <w:rsid w:val="00A76E00"/>
    <w:rsid w:val="00A76EE9"/>
    <w:rsid w:val="00A7700E"/>
    <w:rsid w:val="00A77131"/>
    <w:rsid w:val="00A7746B"/>
    <w:rsid w:val="00A77620"/>
    <w:rsid w:val="00A77845"/>
    <w:rsid w:val="00A77B53"/>
    <w:rsid w:val="00A77C7B"/>
    <w:rsid w:val="00A77D15"/>
    <w:rsid w:val="00A77D45"/>
    <w:rsid w:val="00A77E99"/>
    <w:rsid w:val="00A8050B"/>
    <w:rsid w:val="00A80624"/>
    <w:rsid w:val="00A806A9"/>
    <w:rsid w:val="00A8094A"/>
    <w:rsid w:val="00A80A31"/>
    <w:rsid w:val="00A80C47"/>
    <w:rsid w:val="00A80FCE"/>
    <w:rsid w:val="00A81089"/>
    <w:rsid w:val="00A8111C"/>
    <w:rsid w:val="00A813B1"/>
    <w:rsid w:val="00A81D11"/>
    <w:rsid w:val="00A81EFB"/>
    <w:rsid w:val="00A8210E"/>
    <w:rsid w:val="00A8212E"/>
    <w:rsid w:val="00A8236D"/>
    <w:rsid w:val="00A823E1"/>
    <w:rsid w:val="00A824B4"/>
    <w:rsid w:val="00A82730"/>
    <w:rsid w:val="00A82770"/>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279"/>
    <w:rsid w:val="00A862C5"/>
    <w:rsid w:val="00A86418"/>
    <w:rsid w:val="00A8653F"/>
    <w:rsid w:val="00A86617"/>
    <w:rsid w:val="00A86E24"/>
    <w:rsid w:val="00A86F95"/>
    <w:rsid w:val="00A870D1"/>
    <w:rsid w:val="00A87180"/>
    <w:rsid w:val="00A87261"/>
    <w:rsid w:val="00A87648"/>
    <w:rsid w:val="00A878D1"/>
    <w:rsid w:val="00A87CC9"/>
    <w:rsid w:val="00A90272"/>
    <w:rsid w:val="00A90657"/>
    <w:rsid w:val="00A906FA"/>
    <w:rsid w:val="00A90944"/>
    <w:rsid w:val="00A90A7F"/>
    <w:rsid w:val="00A90AAD"/>
    <w:rsid w:val="00A90B82"/>
    <w:rsid w:val="00A91051"/>
    <w:rsid w:val="00A91215"/>
    <w:rsid w:val="00A9132A"/>
    <w:rsid w:val="00A9134F"/>
    <w:rsid w:val="00A91BCE"/>
    <w:rsid w:val="00A91E60"/>
    <w:rsid w:val="00A9216C"/>
    <w:rsid w:val="00A92480"/>
    <w:rsid w:val="00A928CC"/>
    <w:rsid w:val="00A92B1E"/>
    <w:rsid w:val="00A92DBF"/>
    <w:rsid w:val="00A9343B"/>
    <w:rsid w:val="00A945D4"/>
    <w:rsid w:val="00A94765"/>
    <w:rsid w:val="00A947DF"/>
    <w:rsid w:val="00A94ACE"/>
    <w:rsid w:val="00A94B9F"/>
    <w:rsid w:val="00A94BF2"/>
    <w:rsid w:val="00A94FB6"/>
    <w:rsid w:val="00A9520D"/>
    <w:rsid w:val="00A952BB"/>
    <w:rsid w:val="00A95486"/>
    <w:rsid w:val="00A95715"/>
    <w:rsid w:val="00A957ED"/>
    <w:rsid w:val="00A958CB"/>
    <w:rsid w:val="00A9593F"/>
    <w:rsid w:val="00A959E2"/>
    <w:rsid w:val="00A95BA5"/>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DB"/>
    <w:rsid w:val="00AA1092"/>
    <w:rsid w:val="00AA13DA"/>
    <w:rsid w:val="00AA1532"/>
    <w:rsid w:val="00AA181B"/>
    <w:rsid w:val="00AA1907"/>
    <w:rsid w:val="00AA1B55"/>
    <w:rsid w:val="00AA2221"/>
    <w:rsid w:val="00AA2801"/>
    <w:rsid w:val="00AA29BD"/>
    <w:rsid w:val="00AA2BE2"/>
    <w:rsid w:val="00AA32B9"/>
    <w:rsid w:val="00AA351F"/>
    <w:rsid w:val="00AA3671"/>
    <w:rsid w:val="00AA3A33"/>
    <w:rsid w:val="00AA3AFC"/>
    <w:rsid w:val="00AA3CC0"/>
    <w:rsid w:val="00AA3EF2"/>
    <w:rsid w:val="00AA42AC"/>
    <w:rsid w:val="00AA450F"/>
    <w:rsid w:val="00AA467D"/>
    <w:rsid w:val="00AA47BA"/>
    <w:rsid w:val="00AA4802"/>
    <w:rsid w:val="00AA4BF2"/>
    <w:rsid w:val="00AA4C11"/>
    <w:rsid w:val="00AA4C22"/>
    <w:rsid w:val="00AA4D65"/>
    <w:rsid w:val="00AA4DF6"/>
    <w:rsid w:val="00AA5118"/>
    <w:rsid w:val="00AA54C6"/>
    <w:rsid w:val="00AA56B0"/>
    <w:rsid w:val="00AA575C"/>
    <w:rsid w:val="00AA5A3C"/>
    <w:rsid w:val="00AA5BC6"/>
    <w:rsid w:val="00AA5D47"/>
    <w:rsid w:val="00AA6163"/>
    <w:rsid w:val="00AA61F2"/>
    <w:rsid w:val="00AA6616"/>
    <w:rsid w:val="00AA667E"/>
    <w:rsid w:val="00AA68D2"/>
    <w:rsid w:val="00AA6994"/>
    <w:rsid w:val="00AA6AC1"/>
    <w:rsid w:val="00AA6AE7"/>
    <w:rsid w:val="00AA6B65"/>
    <w:rsid w:val="00AA6DD4"/>
    <w:rsid w:val="00AA7090"/>
    <w:rsid w:val="00AA73FF"/>
    <w:rsid w:val="00AA7546"/>
    <w:rsid w:val="00AA7751"/>
    <w:rsid w:val="00AA77EF"/>
    <w:rsid w:val="00AA7D2E"/>
    <w:rsid w:val="00AB01F2"/>
    <w:rsid w:val="00AB0274"/>
    <w:rsid w:val="00AB036B"/>
    <w:rsid w:val="00AB039D"/>
    <w:rsid w:val="00AB03F7"/>
    <w:rsid w:val="00AB0436"/>
    <w:rsid w:val="00AB0D3A"/>
    <w:rsid w:val="00AB1196"/>
    <w:rsid w:val="00AB11AB"/>
    <w:rsid w:val="00AB149A"/>
    <w:rsid w:val="00AB14CC"/>
    <w:rsid w:val="00AB1738"/>
    <w:rsid w:val="00AB173C"/>
    <w:rsid w:val="00AB1950"/>
    <w:rsid w:val="00AB1AD7"/>
    <w:rsid w:val="00AB1D8F"/>
    <w:rsid w:val="00AB1DC2"/>
    <w:rsid w:val="00AB1EF6"/>
    <w:rsid w:val="00AB213C"/>
    <w:rsid w:val="00AB221A"/>
    <w:rsid w:val="00AB2456"/>
    <w:rsid w:val="00AB2569"/>
    <w:rsid w:val="00AB261F"/>
    <w:rsid w:val="00AB289F"/>
    <w:rsid w:val="00AB2DC1"/>
    <w:rsid w:val="00AB2EC2"/>
    <w:rsid w:val="00AB2EEB"/>
    <w:rsid w:val="00AB2F7D"/>
    <w:rsid w:val="00AB3292"/>
    <w:rsid w:val="00AB33E3"/>
    <w:rsid w:val="00AB361A"/>
    <w:rsid w:val="00AB3657"/>
    <w:rsid w:val="00AB38C6"/>
    <w:rsid w:val="00AB38DF"/>
    <w:rsid w:val="00AB39B3"/>
    <w:rsid w:val="00AB3A69"/>
    <w:rsid w:val="00AB3B56"/>
    <w:rsid w:val="00AB3E86"/>
    <w:rsid w:val="00AB4299"/>
    <w:rsid w:val="00AB44AC"/>
    <w:rsid w:val="00AB4865"/>
    <w:rsid w:val="00AB4D93"/>
    <w:rsid w:val="00AB4DA2"/>
    <w:rsid w:val="00AB52DD"/>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AB1"/>
    <w:rsid w:val="00AC0D03"/>
    <w:rsid w:val="00AC1217"/>
    <w:rsid w:val="00AC1346"/>
    <w:rsid w:val="00AC18D9"/>
    <w:rsid w:val="00AC2487"/>
    <w:rsid w:val="00AC27FF"/>
    <w:rsid w:val="00AC2A2F"/>
    <w:rsid w:val="00AC2C04"/>
    <w:rsid w:val="00AC2C70"/>
    <w:rsid w:val="00AC31EC"/>
    <w:rsid w:val="00AC31FD"/>
    <w:rsid w:val="00AC3293"/>
    <w:rsid w:val="00AC3624"/>
    <w:rsid w:val="00AC363E"/>
    <w:rsid w:val="00AC38ED"/>
    <w:rsid w:val="00AC39FE"/>
    <w:rsid w:val="00AC3B0B"/>
    <w:rsid w:val="00AC3B27"/>
    <w:rsid w:val="00AC410C"/>
    <w:rsid w:val="00AC429F"/>
    <w:rsid w:val="00AC4321"/>
    <w:rsid w:val="00AC4557"/>
    <w:rsid w:val="00AC49CF"/>
    <w:rsid w:val="00AC4B2B"/>
    <w:rsid w:val="00AC527B"/>
    <w:rsid w:val="00AC53F6"/>
    <w:rsid w:val="00AC542C"/>
    <w:rsid w:val="00AC5543"/>
    <w:rsid w:val="00AC59A7"/>
    <w:rsid w:val="00AC5B6C"/>
    <w:rsid w:val="00AC5BE8"/>
    <w:rsid w:val="00AC5C06"/>
    <w:rsid w:val="00AC5EFE"/>
    <w:rsid w:val="00AC68C8"/>
    <w:rsid w:val="00AC6955"/>
    <w:rsid w:val="00AC6AFA"/>
    <w:rsid w:val="00AC6F35"/>
    <w:rsid w:val="00AC717A"/>
    <w:rsid w:val="00AC77CB"/>
    <w:rsid w:val="00AC782D"/>
    <w:rsid w:val="00AC79A0"/>
    <w:rsid w:val="00AC7A16"/>
    <w:rsid w:val="00AC7B50"/>
    <w:rsid w:val="00AC7C5A"/>
    <w:rsid w:val="00AC7E54"/>
    <w:rsid w:val="00AD0009"/>
    <w:rsid w:val="00AD0115"/>
    <w:rsid w:val="00AD012E"/>
    <w:rsid w:val="00AD069D"/>
    <w:rsid w:val="00AD081B"/>
    <w:rsid w:val="00AD084B"/>
    <w:rsid w:val="00AD0A55"/>
    <w:rsid w:val="00AD101C"/>
    <w:rsid w:val="00AD1295"/>
    <w:rsid w:val="00AD1451"/>
    <w:rsid w:val="00AD1497"/>
    <w:rsid w:val="00AD14C1"/>
    <w:rsid w:val="00AD16FC"/>
    <w:rsid w:val="00AD19DA"/>
    <w:rsid w:val="00AD1A5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A2"/>
    <w:rsid w:val="00AD38EF"/>
    <w:rsid w:val="00AD3A52"/>
    <w:rsid w:val="00AD3A59"/>
    <w:rsid w:val="00AD3F62"/>
    <w:rsid w:val="00AD4035"/>
    <w:rsid w:val="00AD44DE"/>
    <w:rsid w:val="00AD4872"/>
    <w:rsid w:val="00AD4DB2"/>
    <w:rsid w:val="00AD4F56"/>
    <w:rsid w:val="00AD500B"/>
    <w:rsid w:val="00AD51AB"/>
    <w:rsid w:val="00AD5205"/>
    <w:rsid w:val="00AD5708"/>
    <w:rsid w:val="00AD5852"/>
    <w:rsid w:val="00AD598B"/>
    <w:rsid w:val="00AD5E0C"/>
    <w:rsid w:val="00AD6123"/>
    <w:rsid w:val="00AD6845"/>
    <w:rsid w:val="00AD68C1"/>
    <w:rsid w:val="00AD6C00"/>
    <w:rsid w:val="00AD6C74"/>
    <w:rsid w:val="00AD7053"/>
    <w:rsid w:val="00AD748B"/>
    <w:rsid w:val="00AD7659"/>
    <w:rsid w:val="00AD7895"/>
    <w:rsid w:val="00AD79F1"/>
    <w:rsid w:val="00AD79F4"/>
    <w:rsid w:val="00AD7B0E"/>
    <w:rsid w:val="00AD7B8E"/>
    <w:rsid w:val="00AD7F8B"/>
    <w:rsid w:val="00AE00E2"/>
    <w:rsid w:val="00AE01CF"/>
    <w:rsid w:val="00AE01E4"/>
    <w:rsid w:val="00AE0677"/>
    <w:rsid w:val="00AE0A3A"/>
    <w:rsid w:val="00AE0C87"/>
    <w:rsid w:val="00AE0DCC"/>
    <w:rsid w:val="00AE1315"/>
    <w:rsid w:val="00AE1842"/>
    <w:rsid w:val="00AE1C39"/>
    <w:rsid w:val="00AE2025"/>
    <w:rsid w:val="00AE2421"/>
    <w:rsid w:val="00AE26DD"/>
    <w:rsid w:val="00AE2A19"/>
    <w:rsid w:val="00AE2B9B"/>
    <w:rsid w:val="00AE2E4E"/>
    <w:rsid w:val="00AE2EA0"/>
    <w:rsid w:val="00AE368F"/>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D3B"/>
    <w:rsid w:val="00AE6F13"/>
    <w:rsid w:val="00AE7068"/>
    <w:rsid w:val="00AE7321"/>
    <w:rsid w:val="00AE73D7"/>
    <w:rsid w:val="00AE75C1"/>
    <w:rsid w:val="00AE76FD"/>
    <w:rsid w:val="00AE7841"/>
    <w:rsid w:val="00AE7B30"/>
    <w:rsid w:val="00AE7C82"/>
    <w:rsid w:val="00AE7D10"/>
    <w:rsid w:val="00AF025C"/>
    <w:rsid w:val="00AF043A"/>
    <w:rsid w:val="00AF05B0"/>
    <w:rsid w:val="00AF0E17"/>
    <w:rsid w:val="00AF10B2"/>
    <w:rsid w:val="00AF112A"/>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27"/>
    <w:rsid w:val="00AF5337"/>
    <w:rsid w:val="00AF540E"/>
    <w:rsid w:val="00AF57F7"/>
    <w:rsid w:val="00AF5C5D"/>
    <w:rsid w:val="00AF612F"/>
    <w:rsid w:val="00AF64B6"/>
    <w:rsid w:val="00AF64C5"/>
    <w:rsid w:val="00AF659E"/>
    <w:rsid w:val="00AF6681"/>
    <w:rsid w:val="00AF66A9"/>
    <w:rsid w:val="00AF67DD"/>
    <w:rsid w:val="00AF692A"/>
    <w:rsid w:val="00AF6CF2"/>
    <w:rsid w:val="00AF744E"/>
    <w:rsid w:val="00AF74C2"/>
    <w:rsid w:val="00AF79E5"/>
    <w:rsid w:val="00AF7A9B"/>
    <w:rsid w:val="00AF7E92"/>
    <w:rsid w:val="00B00018"/>
    <w:rsid w:val="00B000BE"/>
    <w:rsid w:val="00B0030E"/>
    <w:rsid w:val="00B00879"/>
    <w:rsid w:val="00B00938"/>
    <w:rsid w:val="00B00C29"/>
    <w:rsid w:val="00B00D80"/>
    <w:rsid w:val="00B012CA"/>
    <w:rsid w:val="00B01369"/>
    <w:rsid w:val="00B013DA"/>
    <w:rsid w:val="00B01D56"/>
    <w:rsid w:val="00B01E3F"/>
    <w:rsid w:val="00B023FD"/>
    <w:rsid w:val="00B0249F"/>
    <w:rsid w:val="00B02584"/>
    <w:rsid w:val="00B02C47"/>
    <w:rsid w:val="00B03135"/>
    <w:rsid w:val="00B035D9"/>
    <w:rsid w:val="00B03AAB"/>
    <w:rsid w:val="00B03AC1"/>
    <w:rsid w:val="00B03B6A"/>
    <w:rsid w:val="00B03BF2"/>
    <w:rsid w:val="00B04024"/>
    <w:rsid w:val="00B042BF"/>
    <w:rsid w:val="00B04410"/>
    <w:rsid w:val="00B044CA"/>
    <w:rsid w:val="00B044E2"/>
    <w:rsid w:val="00B0470A"/>
    <w:rsid w:val="00B04734"/>
    <w:rsid w:val="00B0479B"/>
    <w:rsid w:val="00B048F0"/>
    <w:rsid w:val="00B04D56"/>
    <w:rsid w:val="00B04EA7"/>
    <w:rsid w:val="00B0510E"/>
    <w:rsid w:val="00B05139"/>
    <w:rsid w:val="00B052F6"/>
    <w:rsid w:val="00B05423"/>
    <w:rsid w:val="00B05D68"/>
    <w:rsid w:val="00B05FEC"/>
    <w:rsid w:val="00B06248"/>
    <w:rsid w:val="00B0627F"/>
    <w:rsid w:val="00B062B1"/>
    <w:rsid w:val="00B06309"/>
    <w:rsid w:val="00B064DB"/>
    <w:rsid w:val="00B066FD"/>
    <w:rsid w:val="00B06898"/>
    <w:rsid w:val="00B0726C"/>
    <w:rsid w:val="00B073B7"/>
    <w:rsid w:val="00B073DD"/>
    <w:rsid w:val="00B07491"/>
    <w:rsid w:val="00B07527"/>
    <w:rsid w:val="00B07569"/>
    <w:rsid w:val="00B07601"/>
    <w:rsid w:val="00B076A4"/>
    <w:rsid w:val="00B079BF"/>
    <w:rsid w:val="00B07AC0"/>
    <w:rsid w:val="00B07BA0"/>
    <w:rsid w:val="00B07C18"/>
    <w:rsid w:val="00B07D12"/>
    <w:rsid w:val="00B07EB6"/>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F81"/>
    <w:rsid w:val="00B121CA"/>
    <w:rsid w:val="00B12319"/>
    <w:rsid w:val="00B1265F"/>
    <w:rsid w:val="00B127A9"/>
    <w:rsid w:val="00B12B3E"/>
    <w:rsid w:val="00B12F0E"/>
    <w:rsid w:val="00B12F3B"/>
    <w:rsid w:val="00B13015"/>
    <w:rsid w:val="00B13206"/>
    <w:rsid w:val="00B13405"/>
    <w:rsid w:val="00B1343D"/>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15"/>
    <w:rsid w:val="00B15581"/>
    <w:rsid w:val="00B155AE"/>
    <w:rsid w:val="00B15A59"/>
    <w:rsid w:val="00B161E9"/>
    <w:rsid w:val="00B16354"/>
    <w:rsid w:val="00B164F0"/>
    <w:rsid w:val="00B16548"/>
    <w:rsid w:val="00B169DB"/>
    <w:rsid w:val="00B169F0"/>
    <w:rsid w:val="00B16AEC"/>
    <w:rsid w:val="00B16C7D"/>
    <w:rsid w:val="00B16EFC"/>
    <w:rsid w:val="00B17232"/>
    <w:rsid w:val="00B17491"/>
    <w:rsid w:val="00B176D9"/>
    <w:rsid w:val="00B17AFB"/>
    <w:rsid w:val="00B17F37"/>
    <w:rsid w:val="00B17F6C"/>
    <w:rsid w:val="00B20090"/>
    <w:rsid w:val="00B202D4"/>
    <w:rsid w:val="00B20515"/>
    <w:rsid w:val="00B20E42"/>
    <w:rsid w:val="00B20E6A"/>
    <w:rsid w:val="00B20E83"/>
    <w:rsid w:val="00B21057"/>
    <w:rsid w:val="00B2112B"/>
    <w:rsid w:val="00B216EC"/>
    <w:rsid w:val="00B21868"/>
    <w:rsid w:val="00B21A04"/>
    <w:rsid w:val="00B21A36"/>
    <w:rsid w:val="00B21A6C"/>
    <w:rsid w:val="00B21B7A"/>
    <w:rsid w:val="00B21CBC"/>
    <w:rsid w:val="00B21CF3"/>
    <w:rsid w:val="00B21D69"/>
    <w:rsid w:val="00B21F61"/>
    <w:rsid w:val="00B21F71"/>
    <w:rsid w:val="00B220CC"/>
    <w:rsid w:val="00B2217D"/>
    <w:rsid w:val="00B22760"/>
    <w:rsid w:val="00B2295C"/>
    <w:rsid w:val="00B22A4E"/>
    <w:rsid w:val="00B22AC9"/>
    <w:rsid w:val="00B22CEE"/>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1AA"/>
    <w:rsid w:val="00B261DE"/>
    <w:rsid w:val="00B2621B"/>
    <w:rsid w:val="00B2623A"/>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669"/>
    <w:rsid w:val="00B317FA"/>
    <w:rsid w:val="00B3191D"/>
    <w:rsid w:val="00B32343"/>
    <w:rsid w:val="00B3274B"/>
    <w:rsid w:val="00B32D73"/>
    <w:rsid w:val="00B32F05"/>
    <w:rsid w:val="00B32FAD"/>
    <w:rsid w:val="00B330EE"/>
    <w:rsid w:val="00B331E1"/>
    <w:rsid w:val="00B332CB"/>
    <w:rsid w:val="00B33494"/>
    <w:rsid w:val="00B336BF"/>
    <w:rsid w:val="00B33C54"/>
    <w:rsid w:val="00B33E67"/>
    <w:rsid w:val="00B33F8B"/>
    <w:rsid w:val="00B3400C"/>
    <w:rsid w:val="00B34194"/>
    <w:rsid w:val="00B341B9"/>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757"/>
    <w:rsid w:val="00B37DE1"/>
    <w:rsid w:val="00B37DFC"/>
    <w:rsid w:val="00B37EA2"/>
    <w:rsid w:val="00B37ED8"/>
    <w:rsid w:val="00B37EF4"/>
    <w:rsid w:val="00B40666"/>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AF9"/>
    <w:rsid w:val="00B45B79"/>
    <w:rsid w:val="00B45B7A"/>
    <w:rsid w:val="00B46B64"/>
    <w:rsid w:val="00B46BDD"/>
    <w:rsid w:val="00B46CC1"/>
    <w:rsid w:val="00B46DBE"/>
    <w:rsid w:val="00B470EA"/>
    <w:rsid w:val="00B47394"/>
    <w:rsid w:val="00B475A9"/>
    <w:rsid w:val="00B4799D"/>
    <w:rsid w:val="00B47A89"/>
    <w:rsid w:val="00B47D66"/>
    <w:rsid w:val="00B47E4F"/>
    <w:rsid w:val="00B47F0C"/>
    <w:rsid w:val="00B50331"/>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30DC"/>
    <w:rsid w:val="00B5313E"/>
    <w:rsid w:val="00B53267"/>
    <w:rsid w:val="00B53387"/>
    <w:rsid w:val="00B534F0"/>
    <w:rsid w:val="00B53AEF"/>
    <w:rsid w:val="00B53BC9"/>
    <w:rsid w:val="00B53D03"/>
    <w:rsid w:val="00B53E4B"/>
    <w:rsid w:val="00B53E86"/>
    <w:rsid w:val="00B5417C"/>
    <w:rsid w:val="00B546E2"/>
    <w:rsid w:val="00B5548E"/>
    <w:rsid w:val="00B55AC6"/>
    <w:rsid w:val="00B55D56"/>
    <w:rsid w:val="00B55F9E"/>
    <w:rsid w:val="00B55FBA"/>
    <w:rsid w:val="00B560F0"/>
    <w:rsid w:val="00B56134"/>
    <w:rsid w:val="00B566BA"/>
    <w:rsid w:val="00B569A4"/>
    <w:rsid w:val="00B569B8"/>
    <w:rsid w:val="00B570F1"/>
    <w:rsid w:val="00B57DC9"/>
    <w:rsid w:val="00B57E2F"/>
    <w:rsid w:val="00B601AA"/>
    <w:rsid w:val="00B6050E"/>
    <w:rsid w:val="00B60670"/>
    <w:rsid w:val="00B60689"/>
    <w:rsid w:val="00B60950"/>
    <w:rsid w:val="00B609BB"/>
    <w:rsid w:val="00B60D86"/>
    <w:rsid w:val="00B60DEB"/>
    <w:rsid w:val="00B6106D"/>
    <w:rsid w:val="00B6114D"/>
    <w:rsid w:val="00B6132E"/>
    <w:rsid w:val="00B613EC"/>
    <w:rsid w:val="00B615D3"/>
    <w:rsid w:val="00B61650"/>
    <w:rsid w:val="00B61EB6"/>
    <w:rsid w:val="00B62148"/>
    <w:rsid w:val="00B62226"/>
    <w:rsid w:val="00B626A3"/>
    <w:rsid w:val="00B62746"/>
    <w:rsid w:val="00B62954"/>
    <w:rsid w:val="00B62D85"/>
    <w:rsid w:val="00B62DAF"/>
    <w:rsid w:val="00B62E1E"/>
    <w:rsid w:val="00B62FE1"/>
    <w:rsid w:val="00B6392E"/>
    <w:rsid w:val="00B63BA9"/>
    <w:rsid w:val="00B63C03"/>
    <w:rsid w:val="00B63EE8"/>
    <w:rsid w:val="00B64103"/>
    <w:rsid w:val="00B641A2"/>
    <w:rsid w:val="00B6429C"/>
    <w:rsid w:val="00B64AB2"/>
    <w:rsid w:val="00B651B0"/>
    <w:rsid w:val="00B651FC"/>
    <w:rsid w:val="00B65207"/>
    <w:rsid w:val="00B6522F"/>
    <w:rsid w:val="00B65343"/>
    <w:rsid w:val="00B654FC"/>
    <w:rsid w:val="00B65781"/>
    <w:rsid w:val="00B65788"/>
    <w:rsid w:val="00B65BE6"/>
    <w:rsid w:val="00B65C8F"/>
    <w:rsid w:val="00B65EDD"/>
    <w:rsid w:val="00B65FEF"/>
    <w:rsid w:val="00B6648B"/>
    <w:rsid w:val="00B665B6"/>
    <w:rsid w:val="00B66615"/>
    <w:rsid w:val="00B667B3"/>
    <w:rsid w:val="00B66D07"/>
    <w:rsid w:val="00B66D23"/>
    <w:rsid w:val="00B66E04"/>
    <w:rsid w:val="00B67104"/>
    <w:rsid w:val="00B672A1"/>
    <w:rsid w:val="00B67333"/>
    <w:rsid w:val="00B673C4"/>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633"/>
    <w:rsid w:val="00B72965"/>
    <w:rsid w:val="00B72A38"/>
    <w:rsid w:val="00B72A3E"/>
    <w:rsid w:val="00B72DF7"/>
    <w:rsid w:val="00B72E6C"/>
    <w:rsid w:val="00B72F50"/>
    <w:rsid w:val="00B731DE"/>
    <w:rsid w:val="00B731EC"/>
    <w:rsid w:val="00B732C5"/>
    <w:rsid w:val="00B7354A"/>
    <w:rsid w:val="00B735D4"/>
    <w:rsid w:val="00B739B0"/>
    <w:rsid w:val="00B73A00"/>
    <w:rsid w:val="00B73AAF"/>
    <w:rsid w:val="00B73D41"/>
    <w:rsid w:val="00B73DE6"/>
    <w:rsid w:val="00B73DF3"/>
    <w:rsid w:val="00B73F25"/>
    <w:rsid w:val="00B74186"/>
    <w:rsid w:val="00B741AF"/>
    <w:rsid w:val="00B7439A"/>
    <w:rsid w:val="00B74454"/>
    <w:rsid w:val="00B7465C"/>
    <w:rsid w:val="00B748CC"/>
    <w:rsid w:val="00B74A97"/>
    <w:rsid w:val="00B74B49"/>
    <w:rsid w:val="00B74B4A"/>
    <w:rsid w:val="00B74B7D"/>
    <w:rsid w:val="00B74FAA"/>
    <w:rsid w:val="00B75285"/>
    <w:rsid w:val="00B75485"/>
    <w:rsid w:val="00B75488"/>
    <w:rsid w:val="00B7555F"/>
    <w:rsid w:val="00B757AA"/>
    <w:rsid w:val="00B758A5"/>
    <w:rsid w:val="00B75A8C"/>
    <w:rsid w:val="00B75E18"/>
    <w:rsid w:val="00B75E7F"/>
    <w:rsid w:val="00B76067"/>
    <w:rsid w:val="00B76260"/>
    <w:rsid w:val="00B76399"/>
    <w:rsid w:val="00B76706"/>
    <w:rsid w:val="00B76E0E"/>
    <w:rsid w:val="00B76EBD"/>
    <w:rsid w:val="00B76ECE"/>
    <w:rsid w:val="00B77545"/>
    <w:rsid w:val="00B775BE"/>
    <w:rsid w:val="00B776CD"/>
    <w:rsid w:val="00B77801"/>
    <w:rsid w:val="00B77935"/>
    <w:rsid w:val="00B80197"/>
    <w:rsid w:val="00B8019B"/>
    <w:rsid w:val="00B801A8"/>
    <w:rsid w:val="00B80214"/>
    <w:rsid w:val="00B80476"/>
    <w:rsid w:val="00B804E8"/>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4E9"/>
    <w:rsid w:val="00B835A3"/>
    <w:rsid w:val="00B83E46"/>
    <w:rsid w:val="00B843B6"/>
    <w:rsid w:val="00B84689"/>
    <w:rsid w:val="00B849C9"/>
    <w:rsid w:val="00B84A62"/>
    <w:rsid w:val="00B84ED3"/>
    <w:rsid w:val="00B84F34"/>
    <w:rsid w:val="00B84F7F"/>
    <w:rsid w:val="00B853C7"/>
    <w:rsid w:val="00B85414"/>
    <w:rsid w:val="00B85465"/>
    <w:rsid w:val="00B85747"/>
    <w:rsid w:val="00B85D09"/>
    <w:rsid w:val="00B85FF8"/>
    <w:rsid w:val="00B86087"/>
    <w:rsid w:val="00B8645C"/>
    <w:rsid w:val="00B86801"/>
    <w:rsid w:val="00B86933"/>
    <w:rsid w:val="00B86BB1"/>
    <w:rsid w:val="00B86C48"/>
    <w:rsid w:val="00B87258"/>
    <w:rsid w:val="00B87688"/>
    <w:rsid w:val="00B8777E"/>
    <w:rsid w:val="00B87D7A"/>
    <w:rsid w:val="00B908F8"/>
    <w:rsid w:val="00B90B26"/>
    <w:rsid w:val="00B90D71"/>
    <w:rsid w:val="00B90DBE"/>
    <w:rsid w:val="00B90DC1"/>
    <w:rsid w:val="00B9101E"/>
    <w:rsid w:val="00B91027"/>
    <w:rsid w:val="00B9111B"/>
    <w:rsid w:val="00B911E7"/>
    <w:rsid w:val="00B91223"/>
    <w:rsid w:val="00B9141B"/>
    <w:rsid w:val="00B91487"/>
    <w:rsid w:val="00B917C1"/>
    <w:rsid w:val="00B91D5A"/>
    <w:rsid w:val="00B91F97"/>
    <w:rsid w:val="00B921B0"/>
    <w:rsid w:val="00B9259E"/>
    <w:rsid w:val="00B927CB"/>
    <w:rsid w:val="00B92CB2"/>
    <w:rsid w:val="00B92DCC"/>
    <w:rsid w:val="00B92FE6"/>
    <w:rsid w:val="00B93044"/>
    <w:rsid w:val="00B935F8"/>
    <w:rsid w:val="00B93D0B"/>
    <w:rsid w:val="00B93D3B"/>
    <w:rsid w:val="00B93E98"/>
    <w:rsid w:val="00B94006"/>
    <w:rsid w:val="00B943FB"/>
    <w:rsid w:val="00B94914"/>
    <w:rsid w:val="00B94A79"/>
    <w:rsid w:val="00B94ADD"/>
    <w:rsid w:val="00B94C87"/>
    <w:rsid w:val="00B94D17"/>
    <w:rsid w:val="00B950CA"/>
    <w:rsid w:val="00B952F6"/>
    <w:rsid w:val="00B953B9"/>
    <w:rsid w:val="00B95491"/>
    <w:rsid w:val="00B95568"/>
    <w:rsid w:val="00B9557F"/>
    <w:rsid w:val="00B95AB2"/>
    <w:rsid w:val="00B95D4B"/>
    <w:rsid w:val="00B95D73"/>
    <w:rsid w:val="00B96316"/>
    <w:rsid w:val="00B963DB"/>
    <w:rsid w:val="00B964E1"/>
    <w:rsid w:val="00B9652D"/>
    <w:rsid w:val="00B965FD"/>
    <w:rsid w:val="00B96766"/>
    <w:rsid w:val="00B96C7F"/>
    <w:rsid w:val="00B96E51"/>
    <w:rsid w:val="00B970A0"/>
    <w:rsid w:val="00B97189"/>
    <w:rsid w:val="00B972E1"/>
    <w:rsid w:val="00B972F6"/>
    <w:rsid w:val="00B973EA"/>
    <w:rsid w:val="00B97429"/>
    <w:rsid w:val="00B977E4"/>
    <w:rsid w:val="00B97A18"/>
    <w:rsid w:val="00B97B3D"/>
    <w:rsid w:val="00BA015D"/>
    <w:rsid w:val="00BA0229"/>
    <w:rsid w:val="00BA0860"/>
    <w:rsid w:val="00BA0A8E"/>
    <w:rsid w:val="00BA0ECC"/>
    <w:rsid w:val="00BA114F"/>
    <w:rsid w:val="00BA139E"/>
    <w:rsid w:val="00BA17E4"/>
    <w:rsid w:val="00BA1A10"/>
    <w:rsid w:val="00BA1B35"/>
    <w:rsid w:val="00BA1B99"/>
    <w:rsid w:val="00BA1C72"/>
    <w:rsid w:val="00BA2652"/>
    <w:rsid w:val="00BA2914"/>
    <w:rsid w:val="00BA2B6F"/>
    <w:rsid w:val="00BA2DD7"/>
    <w:rsid w:val="00BA3072"/>
    <w:rsid w:val="00BA30C7"/>
    <w:rsid w:val="00BA35C5"/>
    <w:rsid w:val="00BA3857"/>
    <w:rsid w:val="00BA3A00"/>
    <w:rsid w:val="00BA3CB8"/>
    <w:rsid w:val="00BA3CFD"/>
    <w:rsid w:val="00BA3D55"/>
    <w:rsid w:val="00BA4183"/>
    <w:rsid w:val="00BA449D"/>
    <w:rsid w:val="00BA45D8"/>
    <w:rsid w:val="00BA52B6"/>
    <w:rsid w:val="00BA5320"/>
    <w:rsid w:val="00BA532E"/>
    <w:rsid w:val="00BA5982"/>
    <w:rsid w:val="00BA5B32"/>
    <w:rsid w:val="00BA5B52"/>
    <w:rsid w:val="00BA5B9A"/>
    <w:rsid w:val="00BA5E53"/>
    <w:rsid w:val="00BA5ED7"/>
    <w:rsid w:val="00BA613A"/>
    <w:rsid w:val="00BA6226"/>
    <w:rsid w:val="00BA6510"/>
    <w:rsid w:val="00BA65AB"/>
    <w:rsid w:val="00BA688B"/>
    <w:rsid w:val="00BA6C06"/>
    <w:rsid w:val="00BA6DF7"/>
    <w:rsid w:val="00BA6F40"/>
    <w:rsid w:val="00BA7246"/>
    <w:rsid w:val="00BA7262"/>
    <w:rsid w:val="00BA7269"/>
    <w:rsid w:val="00BA757B"/>
    <w:rsid w:val="00BA7A42"/>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1E58"/>
    <w:rsid w:val="00BB25A9"/>
    <w:rsid w:val="00BB27DE"/>
    <w:rsid w:val="00BB298C"/>
    <w:rsid w:val="00BB29AF"/>
    <w:rsid w:val="00BB2ABC"/>
    <w:rsid w:val="00BB2D92"/>
    <w:rsid w:val="00BB31D0"/>
    <w:rsid w:val="00BB3461"/>
    <w:rsid w:val="00BB3619"/>
    <w:rsid w:val="00BB36B1"/>
    <w:rsid w:val="00BB372A"/>
    <w:rsid w:val="00BB3895"/>
    <w:rsid w:val="00BB3990"/>
    <w:rsid w:val="00BB3F05"/>
    <w:rsid w:val="00BB4035"/>
    <w:rsid w:val="00BB434B"/>
    <w:rsid w:val="00BB4485"/>
    <w:rsid w:val="00BB4AEA"/>
    <w:rsid w:val="00BB4B7E"/>
    <w:rsid w:val="00BB4F35"/>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B7E4C"/>
    <w:rsid w:val="00BC0455"/>
    <w:rsid w:val="00BC0974"/>
    <w:rsid w:val="00BC0C75"/>
    <w:rsid w:val="00BC0E32"/>
    <w:rsid w:val="00BC0E33"/>
    <w:rsid w:val="00BC0F7E"/>
    <w:rsid w:val="00BC126B"/>
    <w:rsid w:val="00BC130F"/>
    <w:rsid w:val="00BC18C9"/>
    <w:rsid w:val="00BC1918"/>
    <w:rsid w:val="00BC1A76"/>
    <w:rsid w:val="00BC1AB4"/>
    <w:rsid w:val="00BC1B77"/>
    <w:rsid w:val="00BC1FFB"/>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FD0"/>
    <w:rsid w:val="00BC4609"/>
    <w:rsid w:val="00BC473C"/>
    <w:rsid w:val="00BC4B45"/>
    <w:rsid w:val="00BC4B70"/>
    <w:rsid w:val="00BC53B6"/>
    <w:rsid w:val="00BC555E"/>
    <w:rsid w:val="00BC575C"/>
    <w:rsid w:val="00BC5923"/>
    <w:rsid w:val="00BC5A95"/>
    <w:rsid w:val="00BC5AD6"/>
    <w:rsid w:val="00BC61C4"/>
    <w:rsid w:val="00BC65D9"/>
    <w:rsid w:val="00BC683D"/>
    <w:rsid w:val="00BC69AA"/>
    <w:rsid w:val="00BC6B48"/>
    <w:rsid w:val="00BC6CC5"/>
    <w:rsid w:val="00BC6D68"/>
    <w:rsid w:val="00BC6DC4"/>
    <w:rsid w:val="00BC71E6"/>
    <w:rsid w:val="00BC7240"/>
    <w:rsid w:val="00BC74D6"/>
    <w:rsid w:val="00BC76EA"/>
    <w:rsid w:val="00BC77EF"/>
    <w:rsid w:val="00BC79A6"/>
    <w:rsid w:val="00BC79B3"/>
    <w:rsid w:val="00BC7C7C"/>
    <w:rsid w:val="00BD0322"/>
    <w:rsid w:val="00BD05D8"/>
    <w:rsid w:val="00BD06E7"/>
    <w:rsid w:val="00BD0A2B"/>
    <w:rsid w:val="00BD0C7F"/>
    <w:rsid w:val="00BD0CAD"/>
    <w:rsid w:val="00BD1838"/>
    <w:rsid w:val="00BD1954"/>
    <w:rsid w:val="00BD1BAB"/>
    <w:rsid w:val="00BD1CFD"/>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7E4"/>
    <w:rsid w:val="00BD49BE"/>
    <w:rsid w:val="00BD4D9A"/>
    <w:rsid w:val="00BD4FEC"/>
    <w:rsid w:val="00BD503E"/>
    <w:rsid w:val="00BD5550"/>
    <w:rsid w:val="00BD559C"/>
    <w:rsid w:val="00BD56B8"/>
    <w:rsid w:val="00BD5802"/>
    <w:rsid w:val="00BD618C"/>
    <w:rsid w:val="00BD6441"/>
    <w:rsid w:val="00BD64BE"/>
    <w:rsid w:val="00BD6593"/>
    <w:rsid w:val="00BD6630"/>
    <w:rsid w:val="00BD6C37"/>
    <w:rsid w:val="00BD6DFD"/>
    <w:rsid w:val="00BD6FDD"/>
    <w:rsid w:val="00BD7460"/>
    <w:rsid w:val="00BD74BF"/>
    <w:rsid w:val="00BE0156"/>
    <w:rsid w:val="00BE05B9"/>
    <w:rsid w:val="00BE0AC6"/>
    <w:rsid w:val="00BE0F8B"/>
    <w:rsid w:val="00BE0F99"/>
    <w:rsid w:val="00BE101D"/>
    <w:rsid w:val="00BE1176"/>
    <w:rsid w:val="00BE12C9"/>
    <w:rsid w:val="00BE140E"/>
    <w:rsid w:val="00BE1529"/>
    <w:rsid w:val="00BE16AB"/>
    <w:rsid w:val="00BE1BD6"/>
    <w:rsid w:val="00BE1CB8"/>
    <w:rsid w:val="00BE1EB7"/>
    <w:rsid w:val="00BE2334"/>
    <w:rsid w:val="00BE2550"/>
    <w:rsid w:val="00BE2748"/>
    <w:rsid w:val="00BE2A26"/>
    <w:rsid w:val="00BE2A83"/>
    <w:rsid w:val="00BE2A90"/>
    <w:rsid w:val="00BE2B6A"/>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CF2"/>
    <w:rsid w:val="00BE7DC5"/>
    <w:rsid w:val="00BF000B"/>
    <w:rsid w:val="00BF0046"/>
    <w:rsid w:val="00BF0052"/>
    <w:rsid w:val="00BF026E"/>
    <w:rsid w:val="00BF044C"/>
    <w:rsid w:val="00BF0757"/>
    <w:rsid w:val="00BF0A16"/>
    <w:rsid w:val="00BF0BA0"/>
    <w:rsid w:val="00BF0E35"/>
    <w:rsid w:val="00BF0F33"/>
    <w:rsid w:val="00BF132A"/>
    <w:rsid w:val="00BF16CF"/>
    <w:rsid w:val="00BF198A"/>
    <w:rsid w:val="00BF19BB"/>
    <w:rsid w:val="00BF1AF8"/>
    <w:rsid w:val="00BF24D5"/>
    <w:rsid w:val="00BF2509"/>
    <w:rsid w:val="00BF260B"/>
    <w:rsid w:val="00BF2632"/>
    <w:rsid w:val="00BF27F2"/>
    <w:rsid w:val="00BF2B0D"/>
    <w:rsid w:val="00BF2C55"/>
    <w:rsid w:val="00BF3073"/>
    <w:rsid w:val="00BF322D"/>
    <w:rsid w:val="00BF325C"/>
    <w:rsid w:val="00BF32B7"/>
    <w:rsid w:val="00BF330A"/>
    <w:rsid w:val="00BF3715"/>
    <w:rsid w:val="00BF38CD"/>
    <w:rsid w:val="00BF3B82"/>
    <w:rsid w:val="00BF3E3F"/>
    <w:rsid w:val="00BF4775"/>
    <w:rsid w:val="00BF4860"/>
    <w:rsid w:val="00BF48E2"/>
    <w:rsid w:val="00BF4BF3"/>
    <w:rsid w:val="00BF4ED5"/>
    <w:rsid w:val="00BF4EE4"/>
    <w:rsid w:val="00BF4F5D"/>
    <w:rsid w:val="00BF5122"/>
    <w:rsid w:val="00BF5455"/>
    <w:rsid w:val="00BF5B8E"/>
    <w:rsid w:val="00BF62E6"/>
    <w:rsid w:val="00BF63B6"/>
    <w:rsid w:val="00BF653F"/>
    <w:rsid w:val="00BF65A5"/>
    <w:rsid w:val="00BF676E"/>
    <w:rsid w:val="00BF6A44"/>
    <w:rsid w:val="00BF6B2D"/>
    <w:rsid w:val="00BF6E21"/>
    <w:rsid w:val="00BF6FD1"/>
    <w:rsid w:val="00BF73DC"/>
    <w:rsid w:val="00BF7598"/>
    <w:rsid w:val="00BF7886"/>
    <w:rsid w:val="00C000A3"/>
    <w:rsid w:val="00C0042E"/>
    <w:rsid w:val="00C006A0"/>
    <w:rsid w:val="00C008E5"/>
    <w:rsid w:val="00C0093C"/>
    <w:rsid w:val="00C00E0A"/>
    <w:rsid w:val="00C00EDF"/>
    <w:rsid w:val="00C01169"/>
    <w:rsid w:val="00C012AF"/>
    <w:rsid w:val="00C01844"/>
    <w:rsid w:val="00C01876"/>
    <w:rsid w:val="00C018AE"/>
    <w:rsid w:val="00C01B16"/>
    <w:rsid w:val="00C024A0"/>
    <w:rsid w:val="00C0297F"/>
    <w:rsid w:val="00C029D7"/>
    <w:rsid w:val="00C02BD0"/>
    <w:rsid w:val="00C02D1E"/>
    <w:rsid w:val="00C030FE"/>
    <w:rsid w:val="00C03530"/>
    <w:rsid w:val="00C036B9"/>
    <w:rsid w:val="00C0370B"/>
    <w:rsid w:val="00C03C18"/>
    <w:rsid w:val="00C03F43"/>
    <w:rsid w:val="00C03F48"/>
    <w:rsid w:val="00C03FD8"/>
    <w:rsid w:val="00C04513"/>
    <w:rsid w:val="00C04557"/>
    <w:rsid w:val="00C04DD1"/>
    <w:rsid w:val="00C0502A"/>
    <w:rsid w:val="00C05121"/>
    <w:rsid w:val="00C05248"/>
    <w:rsid w:val="00C056C9"/>
    <w:rsid w:val="00C057EB"/>
    <w:rsid w:val="00C05900"/>
    <w:rsid w:val="00C05AE7"/>
    <w:rsid w:val="00C05EFF"/>
    <w:rsid w:val="00C05FFB"/>
    <w:rsid w:val="00C06179"/>
    <w:rsid w:val="00C06186"/>
    <w:rsid w:val="00C0645D"/>
    <w:rsid w:val="00C0670C"/>
    <w:rsid w:val="00C0691E"/>
    <w:rsid w:val="00C069F1"/>
    <w:rsid w:val="00C06BCE"/>
    <w:rsid w:val="00C06DB4"/>
    <w:rsid w:val="00C06F28"/>
    <w:rsid w:val="00C06FD0"/>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7BA"/>
    <w:rsid w:val="00C11E04"/>
    <w:rsid w:val="00C1200C"/>
    <w:rsid w:val="00C1249E"/>
    <w:rsid w:val="00C124C9"/>
    <w:rsid w:val="00C12554"/>
    <w:rsid w:val="00C1256A"/>
    <w:rsid w:val="00C127B6"/>
    <w:rsid w:val="00C12A04"/>
    <w:rsid w:val="00C12A64"/>
    <w:rsid w:val="00C12DD6"/>
    <w:rsid w:val="00C138AF"/>
    <w:rsid w:val="00C13C25"/>
    <w:rsid w:val="00C13C42"/>
    <w:rsid w:val="00C14C63"/>
    <w:rsid w:val="00C14F48"/>
    <w:rsid w:val="00C151E3"/>
    <w:rsid w:val="00C152E3"/>
    <w:rsid w:val="00C154CD"/>
    <w:rsid w:val="00C15507"/>
    <w:rsid w:val="00C15671"/>
    <w:rsid w:val="00C158D3"/>
    <w:rsid w:val="00C158DA"/>
    <w:rsid w:val="00C160CD"/>
    <w:rsid w:val="00C165B2"/>
    <w:rsid w:val="00C16703"/>
    <w:rsid w:val="00C16AB2"/>
    <w:rsid w:val="00C16C05"/>
    <w:rsid w:val="00C17036"/>
    <w:rsid w:val="00C17215"/>
    <w:rsid w:val="00C173AD"/>
    <w:rsid w:val="00C1758F"/>
    <w:rsid w:val="00C176CB"/>
    <w:rsid w:val="00C17B66"/>
    <w:rsid w:val="00C17C2B"/>
    <w:rsid w:val="00C17DE5"/>
    <w:rsid w:val="00C17E68"/>
    <w:rsid w:val="00C17F3E"/>
    <w:rsid w:val="00C200A9"/>
    <w:rsid w:val="00C208D5"/>
    <w:rsid w:val="00C20B43"/>
    <w:rsid w:val="00C20CAB"/>
    <w:rsid w:val="00C20F7A"/>
    <w:rsid w:val="00C21163"/>
    <w:rsid w:val="00C2128A"/>
    <w:rsid w:val="00C214C5"/>
    <w:rsid w:val="00C214E6"/>
    <w:rsid w:val="00C2151A"/>
    <w:rsid w:val="00C219FD"/>
    <w:rsid w:val="00C21A38"/>
    <w:rsid w:val="00C21EAB"/>
    <w:rsid w:val="00C21F8F"/>
    <w:rsid w:val="00C220D3"/>
    <w:rsid w:val="00C224F6"/>
    <w:rsid w:val="00C2251B"/>
    <w:rsid w:val="00C2251E"/>
    <w:rsid w:val="00C225D6"/>
    <w:rsid w:val="00C22D7F"/>
    <w:rsid w:val="00C22EDF"/>
    <w:rsid w:val="00C23005"/>
    <w:rsid w:val="00C230B7"/>
    <w:rsid w:val="00C2346D"/>
    <w:rsid w:val="00C236F1"/>
    <w:rsid w:val="00C2374B"/>
    <w:rsid w:val="00C23C8C"/>
    <w:rsid w:val="00C23EC1"/>
    <w:rsid w:val="00C240BF"/>
    <w:rsid w:val="00C24245"/>
    <w:rsid w:val="00C2479D"/>
    <w:rsid w:val="00C247BF"/>
    <w:rsid w:val="00C24BE2"/>
    <w:rsid w:val="00C24ED1"/>
    <w:rsid w:val="00C24F1D"/>
    <w:rsid w:val="00C24F6C"/>
    <w:rsid w:val="00C25159"/>
    <w:rsid w:val="00C253E2"/>
    <w:rsid w:val="00C25D5F"/>
    <w:rsid w:val="00C26040"/>
    <w:rsid w:val="00C2662E"/>
    <w:rsid w:val="00C267C6"/>
    <w:rsid w:val="00C26CC7"/>
    <w:rsid w:val="00C27030"/>
    <w:rsid w:val="00C27077"/>
    <w:rsid w:val="00C271E2"/>
    <w:rsid w:val="00C27518"/>
    <w:rsid w:val="00C2784F"/>
    <w:rsid w:val="00C27D1D"/>
    <w:rsid w:val="00C27F24"/>
    <w:rsid w:val="00C301B8"/>
    <w:rsid w:val="00C3023F"/>
    <w:rsid w:val="00C30438"/>
    <w:rsid w:val="00C304C5"/>
    <w:rsid w:val="00C30873"/>
    <w:rsid w:val="00C30902"/>
    <w:rsid w:val="00C30E82"/>
    <w:rsid w:val="00C3105A"/>
    <w:rsid w:val="00C31313"/>
    <w:rsid w:val="00C313F4"/>
    <w:rsid w:val="00C3143C"/>
    <w:rsid w:val="00C31610"/>
    <w:rsid w:val="00C31810"/>
    <w:rsid w:val="00C3184B"/>
    <w:rsid w:val="00C318E5"/>
    <w:rsid w:val="00C31D95"/>
    <w:rsid w:val="00C31DE4"/>
    <w:rsid w:val="00C31FBA"/>
    <w:rsid w:val="00C323D1"/>
    <w:rsid w:val="00C32576"/>
    <w:rsid w:val="00C325F9"/>
    <w:rsid w:val="00C32AFA"/>
    <w:rsid w:val="00C32C12"/>
    <w:rsid w:val="00C32C39"/>
    <w:rsid w:val="00C32E32"/>
    <w:rsid w:val="00C33DAD"/>
    <w:rsid w:val="00C342A8"/>
    <w:rsid w:val="00C348C9"/>
    <w:rsid w:val="00C34A49"/>
    <w:rsid w:val="00C34BAA"/>
    <w:rsid w:val="00C34F1C"/>
    <w:rsid w:val="00C35415"/>
    <w:rsid w:val="00C354D8"/>
    <w:rsid w:val="00C354E3"/>
    <w:rsid w:val="00C355EB"/>
    <w:rsid w:val="00C35967"/>
    <w:rsid w:val="00C359A9"/>
    <w:rsid w:val="00C35D6A"/>
    <w:rsid w:val="00C35E06"/>
    <w:rsid w:val="00C35FB5"/>
    <w:rsid w:val="00C36053"/>
    <w:rsid w:val="00C36132"/>
    <w:rsid w:val="00C36168"/>
    <w:rsid w:val="00C362BB"/>
    <w:rsid w:val="00C36535"/>
    <w:rsid w:val="00C3665A"/>
    <w:rsid w:val="00C367B2"/>
    <w:rsid w:val="00C36B06"/>
    <w:rsid w:val="00C36C89"/>
    <w:rsid w:val="00C36FA9"/>
    <w:rsid w:val="00C3708F"/>
    <w:rsid w:val="00C3728B"/>
    <w:rsid w:val="00C373CB"/>
    <w:rsid w:val="00C378EA"/>
    <w:rsid w:val="00C37BC1"/>
    <w:rsid w:val="00C37C88"/>
    <w:rsid w:val="00C37DB2"/>
    <w:rsid w:val="00C37DE9"/>
    <w:rsid w:val="00C37FB8"/>
    <w:rsid w:val="00C401D1"/>
    <w:rsid w:val="00C40483"/>
    <w:rsid w:val="00C407AB"/>
    <w:rsid w:val="00C40AAF"/>
    <w:rsid w:val="00C40B84"/>
    <w:rsid w:val="00C40C50"/>
    <w:rsid w:val="00C40CDB"/>
    <w:rsid w:val="00C40F89"/>
    <w:rsid w:val="00C41695"/>
    <w:rsid w:val="00C41B04"/>
    <w:rsid w:val="00C41D69"/>
    <w:rsid w:val="00C41F7A"/>
    <w:rsid w:val="00C42042"/>
    <w:rsid w:val="00C423DB"/>
    <w:rsid w:val="00C4265D"/>
    <w:rsid w:val="00C42674"/>
    <w:rsid w:val="00C428A6"/>
    <w:rsid w:val="00C42D3F"/>
    <w:rsid w:val="00C435E2"/>
    <w:rsid w:val="00C43908"/>
    <w:rsid w:val="00C43B4A"/>
    <w:rsid w:val="00C43C91"/>
    <w:rsid w:val="00C44069"/>
    <w:rsid w:val="00C443DF"/>
    <w:rsid w:val="00C44476"/>
    <w:rsid w:val="00C44FF0"/>
    <w:rsid w:val="00C4500C"/>
    <w:rsid w:val="00C4504E"/>
    <w:rsid w:val="00C450D1"/>
    <w:rsid w:val="00C45414"/>
    <w:rsid w:val="00C4545E"/>
    <w:rsid w:val="00C4574A"/>
    <w:rsid w:val="00C458FE"/>
    <w:rsid w:val="00C45A54"/>
    <w:rsid w:val="00C45C2B"/>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5AD"/>
    <w:rsid w:val="00C47A2C"/>
    <w:rsid w:val="00C47AA1"/>
    <w:rsid w:val="00C47C2D"/>
    <w:rsid w:val="00C50676"/>
    <w:rsid w:val="00C50A03"/>
    <w:rsid w:val="00C5100D"/>
    <w:rsid w:val="00C511BA"/>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86D"/>
    <w:rsid w:val="00C53955"/>
    <w:rsid w:val="00C53A76"/>
    <w:rsid w:val="00C53BAC"/>
    <w:rsid w:val="00C53D24"/>
    <w:rsid w:val="00C53ED9"/>
    <w:rsid w:val="00C53F6B"/>
    <w:rsid w:val="00C540EA"/>
    <w:rsid w:val="00C54667"/>
    <w:rsid w:val="00C54668"/>
    <w:rsid w:val="00C546C6"/>
    <w:rsid w:val="00C5472E"/>
    <w:rsid w:val="00C548E5"/>
    <w:rsid w:val="00C54BD9"/>
    <w:rsid w:val="00C54C19"/>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33B"/>
    <w:rsid w:val="00C576C3"/>
    <w:rsid w:val="00C576E5"/>
    <w:rsid w:val="00C57A49"/>
    <w:rsid w:val="00C57ADB"/>
    <w:rsid w:val="00C57B31"/>
    <w:rsid w:val="00C57BC4"/>
    <w:rsid w:val="00C57C19"/>
    <w:rsid w:val="00C60337"/>
    <w:rsid w:val="00C60372"/>
    <w:rsid w:val="00C6054F"/>
    <w:rsid w:val="00C60659"/>
    <w:rsid w:val="00C6066C"/>
    <w:rsid w:val="00C606D0"/>
    <w:rsid w:val="00C606E8"/>
    <w:rsid w:val="00C607C3"/>
    <w:rsid w:val="00C60C67"/>
    <w:rsid w:val="00C60C90"/>
    <w:rsid w:val="00C612E0"/>
    <w:rsid w:val="00C61516"/>
    <w:rsid w:val="00C61646"/>
    <w:rsid w:val="00C616E3"/>
    <w:rsid w:val="00C61856"/>
    <w:rsid w:val="00C618C3"/>
    <w:rsid w:val="00C61916"/>
    <w:rsid w:val="00C619ED"/>
    <w:rsid w:val="00C61E6A"/>
    <w:rsid w:val="00C62091"/>
    <w:rsid w:val="00C62171"/>
    <w:rsid w:val="00C62699"/>
    <w:rsid w:val="00C626A2"/>
    <w:rsid w:val="00C62853"/>
    <w:rsid w:val="00C62975"/>
    <w:rsid w:val="00C629C6"/>
    <w:rsid w:val="00C62C9D"/>
    <w:rsid w:val="00C62E15"/>
    <w:rsid w:val="00C62E42"/>
    <w:rsid w:val="00C62F90"/>
    <w:rsid w:val="00C63051"/>
    <w:rsid w:val="00C630A4"/>
    <w:rsid w:val="00C632C3"/>
    <w:rsid w:val="00C636CC"/>
    <w:rsid w:val="00C6371E"/>
    <w:rsid w:val="00C6376F"/>
    <w:rsid w:val="00C6386F"/>
    <w:rsid w:val="00C63F0A"/>
    <w:rsid w:val="00C641E9"/>
    <w:rsid w:val="00C646E0"/>
    <w:rsid w:val="00C646F0"/>
    <w:rsid w:val="00C647CC"/>
    <w:rsid w:val="00C6492D"/>
    <w:rsid w:val="00C64AF1"/>
    <w:rsid w:val="00C64B75"/>
    <w:rsid w:val="00C64CA8"/>
    <w:rsid w:val="00C64E07"/>
    <w:rsid w:val="00C652DA"/>
    <w:rsid w:val="00C65572"/>
    <w:rsid w:val="00C65655"/>
    <w:rsid w:val="00C657DD"/>
    <w:rsid w:val="00C65A5E"/>
    <w:rsid w:val="00C65A69"/>
    <w:rsid w:val="00C65A6A"/>
    <w:rsid w:val="00C65D4F"/>
    <w:rsid w:val="00C6607F"/>
    <w:rsid w:val="00C66083"/>
    <w:rsid w:val="00C66225"/>
    <w:rsid w:val="00C662B0"/>
    <w:rsid w:val="00C663FE"/>
    <w:rsid w:val="00C6645A"/>
    <w:rsid w:val="00C66482"/>
    <w:rsid w:val="00C66878"/>
    <w:rsid w:val="00C66ABC"/>
    <w:rsid w:val="00C66B3A"/>
    <w:rsid w:val="00C66C0D"/>
    <w:rsid w:val="00C66F28"/>
    <w:rsid w:val="00C67001"/>
    <w:rsid w:val="00C67495"/>
    <w:rsid w:val="00C67507"/>
    <w:rsid w:val="00C6787B"/>
    <w:rsid w:val="00C70017"/>
    <w:rsid w:val="00C7026C"/>
    <w:rsid w:val="00C7031D"/>
    <w:rsid w:val="00C704C0"/>
    <w:rsid w:val="00C704C9"/>
    <w:rsid w:val="00C70720"/>
    <w:rsid w:val="00C70A1C"/>
    <w:rsid w:val="00C70BC1"/>
    <w:rsid w:val="00C70ED2"/>
    <w:rsid w:val="00C71189"/>
    <w:rsid w:val="00C71824"/>
    <w:rsid w:val="00C71889"/>
    <w:rsid w:val="00C7198A"/>
    <w:rsid w:val="00C71FC1"/>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228"/>
    <w:rsid w:val="00C764E4"/>
    <w:rsid w:val="00C769B9"/>
    <w:rsid w:val="00C76BB9"/>
    <w:rsid w:val="00C76C31"/>
    <w:rsid w:val="00C76E57"/>
    <w:rsid w:val="00C770CE"/>
    <w:rsid w:val="00C7724F"/>
    <w:rsid w:val="00C77281"/>
    <w:rsid w:val="00C777A7"/>
    <w:rsid w:val="00C777E9"/>
    <w:rsid w:val="00C77804"/>
    <w:rsid w:val="00C805D9"/>
    <w:rsid w:val="00C80A72"/>
    <w:rsid w:val="00C80AF3"/>
    <w:rsid w:val="00C8110D"/>
    <w:rsid w:val="00C81331"/>
    <w:rsid w:val="00C81975"/>
    <w:rsid w:val="00C81BF0"/>
    <w:rsid w:val="00C82166"/>
    <w:rsid w:val="00C82540"/>
    <w:rsid w:val="00C82624"/>
    <w:rsid w:val="00C82EBF"/>
    <w:rsid w:val="00C82ED3"/>
    <w:rsid w:val="00C82FB5"/>
    <w:rsid w:val="00C83405"/>
    <w:rsid w:val="00C834EB"/>
    <w:rsid w:val="00C83613"/>
    <w:rsid w:val="00C83958"/>
    <w:rsid w:val="00C83F9A"/>
    <w:rsid w:val="00C83FEA"/>
    <w:rsid w:val="00C84324"/>
    <w:rsid w:val="00C8434D"/>
    <w:rsid w:val="00C84898"/>
    <w:rsid w:val="00C848A0"/>
    <w:rsid w:val="00C84A98"/>
    <w:rsid w:val="00C84AE5"/>
    <w:rsid w:val="00C84D61"/>
    <w:rsid w:val="00C850F8"/>
    <w:rsid w:val="00C85145"/>
    <w:rsid w:val="00C85608"/>
    <w:rsid w:val="00C859B5"/>
    <w:rsid w:val="00C85B6F"/>
    <w:rsid w:val="00C86183"/>
    <w:rsid w:val="00C86245"/>
    <w:rsid w:val="00C86370"/>
    <w:rsid w:val="00C867AE"/>
    <w:rsid w:val="00C867E1"/>
    <w:rsid w:val="00C86D7B"/>
    <w:rsid w:val="00C86EEC"/>
    <w:rsid w:val="00C87318"/>
    <w:rsid w:val="00C875F0"/>
    <w:rsid w:val="00C87680"/>
    <w:rsid w:val="00C8771A"/>
    <w:rsid w:val="00C904A8"/>
    <w:rsid w:val="00C90603"/>
    <w:rsid w:val="00C90DA1"/>
    <w:rsid w:val="00C90F11"/>
    <w:rsid w:val="00C9110F"/>
    <w:rsid w:val="00C9131E"/>
    <w:rsid w:val="00C915A0"/>
    <w:rsid w:val="00C91635"/>
    <w:rsid w:val="00C9185A"/>
    <w:rsid w:val="00C919DA"/>
    <w:rsid w:val="00C91A1D"/>
    <w:rsid w:val="00C91AB0"/>
    <w:rsid w:val="00C91BE3"/>
    <w:rsid w:val="00C91E07"/>
    <w:rsid w:val="00C91E8F"/>
    <w:rsid w:val="00C91F7A"/>
    <w:rsid w:val="00C9215C"/>
    <w:rsid w:val="00C92222"/>
    <w:rsid w:val="00C9268B"/>
    <w:rsid w:val="00C9268D"/>
    <w:rsid w:val="00C92957"/>
    <w:rsid w:val="00C92C0C"/>
    <w:rsid w:val="00C92CFA"/>
    <w:rsid w:val="00C92F0A"/>
    <w:rsid w:val="00C92F77"/>
    <w:rsid w:val="00C93579"/>
    <w:rsid w:val="00C937E9"/>
    <w:rsid w:val="00C93A91"/>
    <w:rsid w:val="00C93CB0"/>
    <w:rsid w:val="00C941E2"/>
    <w:rsid w:val="00C942CD"/>
    <w:rsid w:val="00C945E1"/>
    <w:rsid w:val="00C94F6C"/>
    <w:rsid w:val="00C95083"/>
    <w:rsid w:val="00C9524F"/>
    <w:rsid w:val="00C953CB"/>
    <w:rsid w:val="00C95639"/>
    <w:rsid w:val="00C95761"/>
    <w:rsid w:val="00C95ED5"/>
    <w:rsid w:val="00C9653E"/>
    <w:rsid w:val="00C966AC"/>
    <w:rsid w:val="00C969DE"/>
    <w:rsid w:val="00C96B91"/>
    <w:rsid w:val="00C96FEF"/>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9D3"/>
    <w:rsid w:val="00CA0C34"/>
    <w:rsid w:val="00CA0D7E"/>
    <w:rsid w:val="00CA0E1E"/>
    <w:rsid w:val="00CA0FA1"/>
    <w:rsid w:val="00CA114E"/>
    <w:rsid w:val="00CA19B2"/>
    <w:rsid w:val="00CA1B6B"/>
    <w:rsid w:val="00CA1C6C"/>
    <w:rsid w:val="00CA1C94"/>
    <w:rsid w:val="00CA23ED"/>
    <w:rsid w:val="00CA24D9"/>
    <w:rsid w:val="00CA2EE2"/>
    <w:rsid w:val="00CA326D"/>
    <w:rsid w:val="00CA3AD1"/>
    <w:rsid w:val="00CA3CDD"/>
    <w:rsid w:val="00CA3DCC"/>
    <w:rsid w:val="00CA404F"/>
    <w:rsid w:val="00CA463C"/>
    <w:rsid w:val="00CA474B"/>
    <w:rsid w:val="00CA4760"/>
    <w:rsid w:val="00CA4863"/>
    <w:rsid w:val="00CA4C2D"/>
    <w:rsid w:val="00CA4C6A"/>
    <w:rsid w:val="00CA51C3"/>
    <w:rsid w:val="00CA5B28"/>
    <w:rsid w:val="00CA5CEA"/>
    <w:rsid w:val="00CA5D19"/>
    <w:rsid w:val="00CA633D"/>
    <w:rsid w:val="00CA63D9"/>
    <w:rsid w:val="00CA6759"/>
    <w:rsid w:val="00CA6CB0"/>
    <w:rsid w:val="00CA76F9"/>
    <w:rsid w:val="00CA7700"/>
    <w:rsid w:val="00CA7755"/>
    <w:rsid w:val="00CA776B"/>
    <w:rsid w:val="00CA7A40"/>
    <w:rsid w:val="00CA7AA0"/>
    <w:rsid w:val="00CA7BAC"/>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69E"/>
    <w:rsid w:val="00CB486E"/>
    <w:rsid w:val="00CB494A"/>
    <w:rsid w:val="00CB4995"/>
    <w:rsid w:val="00CB4D0B"/>
    <w:rsid w:val="00CB50D9"/>
    <w:rsid w:val="00CB52FD"/>
    <w:rsid w:val="00CB5470"/>
    <w:rsid w:val="00CB56EC"/>
    <w:rsid w:val="00CB56F2"/>
    <w:rsid w:val="00CB5A25"/>
    <w:rsid w:val="00CB5B93"/>
    <w:rsid w:val="00CB5E6C"/>
    <w:rsid w:val="00CB5F55"/>
    <w:rsid w:val="00CB623C"/>
    <w:rsid w:val="00CB6733"/>
    <w:rsid w:val="00CB6737"/>
    <w:rsid w:val="00CB6A01"/>
    <w:rsid w:val="00CB6FA6"/>
    <w:rsid w:val="00CB7274"/>
    <w:rsid w:val="00CB72C9"/>
    <w:rsid w:val="00CB740D"/>
    <w:rsid w:val="00CB7483"/>
    <w:rsid w:val="00CB78B6"/>
    <w:rsid w:val="00CB7B22"/>
    <w:rsid w:val="00CB7C5C"/>
    <w:rsid w:val="00CB7DE0"/>
    <w:rsid w:val="00CC0177"/>
    <w:rsid w:val="00CC0543"/>
    <w:rsid w:val="00CC05D3"/>
    <w:rsid w:val="00CC0609"/>
    <w:rsid w:val="00CC071E"/>
    <w:rsid w:val="00CC083E"/>
    <w:rsid w:val="00CC1463"/>
    <w:rsid w:val="00CC158D"/>
    <w:rsid w:val="00CC168E"/>
    <w:rsid w:val="00CC1C59"/>
    <w:rsid w:val="00CC1D4B"/>
    <w:rsid w:val="00CC1E96"/>
    <w:rsid w:val="00CC20BF"/>
    <w:rsid w:val="00CC2255"/>
    <w:rsid w:val="00CC237C"/>
    <w:rsid w:val="00CC246F"/>
    <w:rsid w:val="00CC25A8"/>
    <w:rsid w:val="00CC263C"/>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05"/>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52F"/>
    <w:rsid w:val="00CD05A1"/>
    <w:rsid w:val="00CD0667"/>
    <w:rsid w:val="00CD06E4"/>
    <w:rsid w:val="00CD076C"/>
    <w:rsid w:val="00CD07A1"/>
    <w:rsid w:val="00CD087F"/>
    <w:rsid w:val="00CD0AD1"/>
    <w:rsid w:val="00CD0E95"/>
    <w:rsid w:val="00CD13A4"/>
    <w:rsid w:val="00CD1708"/>
    <w:rsid w:val="00CD18D9"/>
    <w:rsid w:val="00CD19EB"/>
    <w:rsid w:val="00CD1B28"/>
    <w:rsid w:val="00CD1B29"/>
    <w:rsid w:val="00CD1C40"/>
    <w:rsid w:val="00CD1E87"/>
    <w:rsid w:val="00CD2013"/>
    <w:rsid w:val="00CD208C"/>
    <w:rsid w:val="00CD2242"/>
    <w:rsid w:val="00CD22BE"/>
    <w:rsid w:val="00CD249B"/>
    <w:rsid w:val="00CD2523"/>
    <w:rsid w:val="00CD2912"/>
    <w:rsid w:val="00CD291D"/>
    <w:rsid w:val="00CD2E1F"/>
    <w:rsid w:val="00CD2EB3"/>
    <w:rsid w:val="00CD30ED"/>
    <w:rsid w:val="00CD3197"/>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C9"/>
    <w:rsid w:val="00CD6540"/>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89"/>
    <w:rsid w:val="00CE3C8A"/>
    <w:rsid w:val="00CE3D2A"/>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7412"/>
    <w:rsid w:val="00CE7572"/>
    <w:rsid w:val="00CE76EE"/>
    <w:rsid w:val="00CE7B52"/>
    <w:rsid w:val="00CE7E70"/>
    <w:rsid w:val="00CF0243"/>
    <w:rsid w:val="00CF02A7"/>
    <w:rsid w:val="00CF02E2"/>
    <w:rsid w:val="00CF02FB"/>
    <w:rsid w:val="00CF0607"/>
    <w:rsid w:val="00CF0E85"/>
    <w:rsid w:val="00CF0FAC"/>
    <w:rsid w:val="00CF0FFE"/>
    <w:rsid w:val="00CF101F"/>
    <w:rsid w:val="00CF132F"/>
    <w:rsid w:val="00CF1390"/>
    <w:rsid w:val="00CF1558"/>
    <w:rsid w:val="00CF1565"/>
    <w:rsid w:val="00CF162A"/>
    <w:rsid w:val="00CF177B"/>
    <w:rsid w:val="00CF192F"/>
    <w:rsid w:val="00CF1A06"/>
    <w:rsid w:val="00CF1B11"/>
    <w:rsid w:val="00CF1DF8"/>
    <w:rsid w:val="00CF1F60"/>
    <w:rsid w:val="00CF1FD6"/>
    <w:rsid w:val="00CF203C"/>
    <w:rsid w:val="00CF2145"/>
    <w:rsid w:val="00CF2348"/>
    <w:rsid w:val="00CF2501"/>
    <w:rsid w:val="00CF255C"/>
    <w:rsid w:val="00CF2631"/>
    <w:rsid w:val="00CF27A9"/>
    <w:rsid w:val="00CF27DB"/>
    <w:rsid w:val="00CF29EB"/>
    <w:rsid w:val="00CF2D06"/>
    <w:rsid w:val="00CF2D47"/>
    <w:rsid w:val="00CF3014"/>
    <w:rsid w:val="00CF36BD"/>
    <w:rsid w:val="00CF3769"/>
    <w:rsid w:val="00CF3C30"/>
    <w:rsid w:val="00CF5003"/>
    <w:rsid w:val="00CF537B"/>
    <w:rsid w:val="00CF547E"/>
    <w:rsid w:val="00CF5895"/>
    <w:rsid w:val="00CF5954"/>
    <w:rsid w:val="00CF5A41"/>
    <w:rsid w:val="00CF5B65"/>
    <w:rsid w:val="00CF5BD9"/>
    <w:rsid w:val="00CF5CC8"/>
    <w:rsid w:val="00CF5D8A"/>
    <w:rsid w:val="00CF5D99"/>
    <w:rsid w:val="00CF5F23"/>
    <w:rsid w:val="00CF6013"/>
    <w:rsid w:val="00CF62EA"/>
    <w:rsid w:val="00CF64BB"/>
    <w:rsid w:val="00CF650A"/>
    <w:rsid w:val="00CF6BE8"/>
    <w:rsid w:val="00CF6D16"/>
    <w:rsid w:val="00CF6DBF"/>
    <w:rsid w:val="00CF6E1E"/>
    <w:rsid w:val="00CF6F7C"/>
    <w:rsid w:val="00CF6FF5"/>
    <w:rsid w:val="00CF703E"/>
    <w:rsid w:val="00CF7345"/>
    <w:rsid w:val="00CF741D"/>
    <w:rsid w:val="00CF79DF"/>
    <w:rsid w:val="00CF7BFD"/>
    <w:rsid w:val="00CF7D09"/>
    <w:rsid w:val="00CF7E82"/>
    <w:rsid w:val="00D00051"/>
    <w:rsid w:val="00D00195"/>
    <w:rsid w:val="00D00243"/>
    <w:rsid w:val="00D0064D"/>
    <w:rsid w:val="00D00664"/>
    <w:rsid w:val="00D0075D"/>
    <w:rsid w:val="00D007E4"/>
    <w:rsid w:val="00D008E3"/>
    <w:rsid w:val="00D00993"/>
    <w:rsid w:val="00D0099E"/>
    <w:rsid w:val="00D009AA"/>
    <w:rsid w:val="00D009BA"/>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2EC"/>
    <w:rsid w:val="00D0659A"/>
    <w:rsid w:val="00D065A0"/>
    <w:rsid w:val="00D0712F"/>
    <w:rsid w:val="00D07276"/>
    <w:rsid w:val="00D0742A"/>
    <w:rsid w:val="00D07497"/>
    <w:rsid w:val="00D07682"/>
    <w:rsid w:val="00D0779C"/>
    <w:rsid w:val="00D077B3"/>
    <w:rsid w:val="00D07841"/>
    <w:rsid w:val="00D07984"/>
    <w:rsid w:val="00D07D37"/>
    <w:rsid w:val="00D07D5C"/>
    <w:rsid w:val="00D07F1F"/>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3EC"/>
    <w:rsid w:val="00D12697"/>
    <w:rsid w:val="00D127AE"/>
    <w:rsid w:val="00D12B64"/>
    <w:rsid w:val="00D12B78"/>
    <w:rsid w:val="00D13416"/>
    <w:rsid w:val="00D1366E"/>
    <w:rsid w:val="00D13839"/>
    <w:rsid w:val="00D13B8E"/>
    <w:rsid w:val="00D13CA8"/>
    <w:rsid w:val="00D13D6E"/>
    <w:rsid w:val="00D13DA5"/>
    <w:rsid w:val="00D13FA5"/>
    <w:rsid w:val="00D14003"/>
    <w:rsid w:val="00D14040"/>
    <w:rsid w:val="00D14131"/>
    <w:rsid w:val="00D1414C"/>
    <w:rsid w:val="00D142FA"/>
    <w:rsid w:val="00D148DD"/>
    <w:rsid w:val="00D14E4A"/>
    <w:rsid w:val="00D1520E"/>
    <w:rsid w:val="00D154B4"/>
    <w:rsid w:val="00D15578"/>
    <w:rsid w:val="00D158A2"/>
    <w:rsid w:val="00D15E75"/>
    <w:rsid w:val="00D160C6"/>
    <w:rsid w:val="00D161E6"/>
    <w:rsid w:val="00D16440"/>
    <w:rsid w:val="00D16655"/>
    <w:rsid w:val="00D166A4"/>
    <w:rsid w:val="00D16B2F"/>
    <w:rsid w:val="00D16C40"/>
    <w:rsid w:val="00D16E07"/>
    <w:rsid w:val="00D17555"/>
    <w:rsid w:val="00D1788B"/>
    <w:rsid w:val="00D178EB"/>
    <w:rsid w:val="00D17923"/>
    <w:rsid w:val="00D179CA"/>
    <w:rsid w:val="00D17DB7"/>
    <w:rsid w:val="00D202EB"/>
    <w:rsid w:val="00D20878"/>
    <w:rsid w:val="00D2089A"/>
    <w:rsid w:val="00D208BA"/>
    <w:rsid w:val="00D20933"/>
    <w:rsid w:val="00D209FF"/>
    <w:rsid w:val="00D20C9E"/>
    <w:rsid w:val="00D21913"/>
    <w:rsid w:val="00D2193A"/>
    <w:rsid w:val="00D2196A"/>
    <w:rsid w:val="00D21B70"/>
    <w:rsid w:val="00D21C40"/>
    <w:rsid w:val="00D21C72"/>
    <w:rsid w:val="00D21F3F"/>
    <w:rsid w:val="00D21FAE"/>
    <w:rsid w:val="00D220C7"/>
    <w:rsid w:val="00D221FA"/>
    <w:rsid w:val="00D225E7"/>
    <w:rsid w:val="00D229C9"/>
    <w:rsid w:val="00D22D1B"/>
    <w:rsid w:val="00D22DEE"/>
    <w:rsid w:val="00D22E7A"/>
    <w:rsid w:val="00D22FAE"/>
    <w:rsid w:val="00D23458"/>
    <w:rsid w:val="00D234CA"/>
    <w:rsid w:val="00D23750"/>
    <w:rsid w:val="00D23769"/>
    <w:rsid w:val="00D2381F"/>
    <w:rsid w:val="00D23A25"/>
    <w:rsid w:val="00D240F8"/>
    <w:rsid w:val="00D241EF"/>
    <w:rsid w:val="00D24287"/>
    <w:rsid w:val="00D2434F"/>
    <w:rsid w:val="00D24364"/>
    <w:rsid w:val="00D244FC"/>
    <w:rsid w:val="00D24586"/>
    <w:rsid w:val="00D2475A"/>
    <w:rsid w:val="00D24874"/>
    <w:rsid w:val="00D24920"/>
    <w:rsid w:val="00D24C4C"/>
    <w:rsid w:val="00D24D69"/>
    <w:rsid w:val="00D24F74"/>
    <w:rsid w:val="00D25094"/>
    <w:rsid w:val="00D250D2"/>
    <w:rsid w:val="00D250E9"/>
    <w:rsid w:val="00D250EF"/>
    <w:rsid w:val="00D25168"/>
    <w:rsid w:val="00D251BF"/>
    <w:rsid w:val="00D256E6"/>
    <w:rsid w:val="00D25773"/>
    <w:rsid w:val="00D257D5"/>
    <w:rsid w:val="00D25CBB"/>
    <w:rsid w:val="00D25CCA"/>
    <w:rsid w:val="00D26150"/>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151"/>
    <w:rsid w:val="00D324FC"/>
    <w:rsid w:val="00D3252C"/>
    <w:rsid w:val="00D32558"/>
    <w:rsid w:val="00D32912"/>
    <w:rsid w:val="00D32A27"/>
    <w:rsid w:val="00D32BBE"/>
    <w:rsid w:val="00D32F54"/>
    <w:rsid w:val="00D3320F"/>
    <w:rsid w:val="00D3343E"/>
    <w:rsid w:val="00D334D5"/>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7DA"/>
    <w:rsid w:val="00D35B03"/>
    <w:rsid w:val="00D35BC5"/>
    <w:rsid w:val="00D35C4C"/>
    <w:rsid w:val="00D35FD5"/>
    <w:rsid w:val="00D361A7"/>
    <w:rsid w:val="00D36A01"/>
    <w:rsid w:val="00D36A0C"/>
    <w:rsid w:val="00D36AB7"/>
    <w:rsid w:val="00D36ADA"/>
    <w:rsid w:val="00D36E44"/>
    <w:rsid w:val="00D36F14"/>
    <w:rsid w:val="00D3736D"/>
    <w:rsid w:val="00D37550"/>
    <w:rsid w:val="00D376ED"/>
    <w:rsid w:val="00D37715"/>
    <w:rsid w:val="00D37B46"/>
    <w:rsid w:val="00D400B0"/>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D74"/>
    <w:rsid w:val="00D42FF7"/>
    <w:rsid w:val="00D43376"/>
    <w:rsid w:val="00D43385"/>
    <w:rsid w:val="00D4340D"/>
    <w:rsid w:val="00D4353F"/>
    <w:rsid w:val="00D435F9"/>
    <w:rsid w:val="00D43693"/>
    <w:rsid w:val="00D43856"/>
    <w:rsid w:val="00D438FB"/>
    <w:rsid w:val="00D439F4"/>
    <w:rsid w:val="00D43EFA"/>
    <w:rsid w:val="00D44230"/>
    <w:rsid w:val="00D442C7"/>
    <w:rsid w:val="00D446BC"/>
    <w:rsid w:val="00D44B15"/>
    <w:rsid w:val="00D44B2B"/>
    <w:rsid w:val="00D44B5D"/>
    <w:rsid w:val="00D4517E"/>
    <w:rsid w:val="00D4543F"/>
    <w:rsid w:val="00D45502"/>
    <w:rsid w:val="00D45508"/>
    <w:rsid w:val="00D4589B"/>
    <w:rsid w:val="00D45EFB"/>
    <w:rsid w:val="00D460EB"/>
    <w:rsid w:val="00D463E2"/>
    <w:rsid w:val="00D4659C"/>
    <w:rsid w:val="00D46635"/>
    <w:rsid w:val="00D468D0"/>
    <w:rsid w:val="00D46AE2"/>
    <w:rsid w:val="00D46C8F"/>
    <w:rsid w:val="00D47073"/>
    <w:rsid w:val="00D47167"/>
    <w:rsid w:val="00D479E4"/>
    <w:rsid w:val="00D47AEB"/>
    <w:rsid w:val="00D47CBD"/>
    <w:rsid w:val="00D47FFE"/>
    <w:rsid w:val="00D502A6"/>
    <w:rsid w:val="00D502C1"/>
    <w:rsid w:val="00D502DD"/>
    <w:rsid w:val="00D503A9"/>
    <w:rsid w:val="00D503FC"/>
    <w:rsid w:val="00D50674"/>
    <w:rsid w:val="00D506D1"/>
    <w:rsid w:val="00D506F5"/>
    <w:rsid w:val="00D50935"/>
    <w:rsid w:val="00D50B35"/>
    <w:rsid w:val="00D50CCE"/>
    <w:rsid w:val="00D50F49"/>
    <w:rsid w:val="00D50FEC"/>
    <w:rsid w:val="00D51AB2"/>
    <w:rsid w:val="00D51D3E"/>
    <w:rsid w:val="00D51D9F"/>
    <w:rsid w:val="00D51ED2"/>
    <w:rsid w:val="00D51F0A"/>
    <w:rsid w:val="00D5200B"/>
    <w:rsid w:val="00D52478"/>
    <w:rsid w:val="00D524BE"/>
    <w:rsid w:val="00D52956"/>
    <w:rsid w:val="00D52BBC"/>
    <w:rsid w:val="00D52C38"/>
    <w:rsid w:val="00D52CE1"/>
    <w:rsid w:val="00D52CE3"/>
    <w:rsid w:val="00D52FF0"/>
    <w:rsid w:val="00D53235"/>
    <w:rsid w:val="00D536A4"/>
    <w:rsid w:val="00D53715"/>
    <w:rsid w:val="00D5392B"/>
    <w:rsid w:val="00D53980"/>
    <w:rsid w:val="00D53989"/>
    <w:rsid w:val="00D5399E"/>
    <w:rsid w:val="00D539DD"/>
    <w:rsid w:val="00D53E5D"/>
    <w:rsid w:val="00D53FF4"/>
    <w:rsid w:val="00D5468E"/>
    <w:rsid w:val="00D5468F"/>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446"/>
    <w:rsid w:val="00D57696"/>
    <w:rsid w:val="00D576BC"/>
    <w:rsid w:val="00D579A6"/>
    <w:rsid w:val="00D579CC"/>
    <w:rsid w:val="00D57A73"/>
    <w:rsid w:val="00D57D22"/>
    <w:rsid w:val="00D60235"/>
    <w:rsid w:val="00D60339"/>
    <w:rsid w:val="00D6035A"/>
    <w:rsid w:val="00D6053E"/>
    <w:rsid w:val="00D60564"/>
    <w:rsid w:val="00D6083C"/>
    <w:rsid w:val="00D60870"/>
    <w:rsid w:val="00D6088B"/>
    <w:rsid w:val="00D60C5B"/>
    <w:rsid w:val="00D60EED"/>
    <w:rsid w:val="00D60F21"/>
    <w:rsid w:val="00D615AD"/>
    <w:rsid w:val="00D617CC"/>
    <w:rsid w:val="00D6183D"/>
    <w:rsid w:val="00D61A02"/>
    <w:rsid w:val="00D62208"/>
    <w:rsid w:val="00D625F2"/>
    <w:rsid w:val="00D62AAF"/>
    <w:rsid w:val="00D62B8A"/>
    <w:rsid w:val="00D634A7"/>
    <w:rsid w:val="00D634E9"/>
    <w:rsid w:val="00D636AA"/>
    <w:rsid w:val="00D63C54"/>
    <w:rsid w:val="00D63CDA"/>
    <w:rsid w:val="00D643C5"/>
    <w:rsid w:val="00D64791"/>
    <w:rsid w:val="00D64A46"/>
    <w:rsid w:val="00D64B5A"/>
    <w:rsid w:val="00D64CE8"/>
    <w:rsid w:val="00D64F53"/>
    <w:rsid w:val="00D65064"/>
    <w:rsid w:val="00D6563A"/>
    <w:rsid w:val="00D656B9"/>
    <w:rsid w:val="00D65BA6"/>
    <w:rsid w:val="00D65E4D"/>
    <w:rsid w:val="00D66132"/>
    <w:rsid w:val="00D66287"/>
    <w:rsid w:val="00D662C9"/>
    <w:rsid w:val="00D665A3"/>
    <w:rsid w:val="00D66C87"/>
    <w:rsid w:val="00D66CDA"/>
    <w:rsid w:val="00D66CDB"/>
    <w:rsid w:val="00D66EFF"/>
    <w:rsid w:val="00D66F39"/>
    <w:rsid w:val="00D67710"/>
    <w:rsid w:val="00D677CA"/>
    <w:rsid w:val="00D67C18"/>
    <w:rsid w:val="00D70039"/>
    <w:rsid w:val="00D70174"/>
    <w:rsid w:val="00D70318"/>
    <w:rsid w:val="00D70604"/>
    <w:rsid w:val="00D70631"/>
    <w:rsid w:val="00D708BC"/>
    <w:rsid w:val="00D709D6"/>
    <w:rsid w:val="00D70B9C"/>
    <w:rsid w:val="00D70C68"/>
    <w:rsid w:val="00D70C6E"/>
    <w:rsid w:val="00D70E1F"/>
    <w:rsid w:val="00D70EFA"/>
    <w:rsid w:val="00D711FF"/>
    <w:rsid w:val="00D71464"/>
    <w:rsid w:val="00D714AE"/>
    <w:rsid w:val="00D7165F"/>
    <w:rsid w:val="00D717C5"/>
    <w:rsid w:val="00D7193B"/>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50BA"/>
    <w:rsid w:val="00D75160"/>
    <w:rsid w:val="00D75244"/>
    <w:rsid w:val="00D755E7"/>
    <w:rsid w:val="00D756AA"/>
    <w:rsid w:val="00D757BD"/>
    <w:rsid w:val="00D75843"/>
    <w:rsid w:val="00D75DE5"/>
    <w:rsid w:val="00D75FA2"/>
    <w:rsid w:val="00D76097"/>
    <w:rsid w:val="00D765A0"/>
    <w:rsid w:val="00D765D0"/>
    <w:rsid w:val="00D76709"/>
    <w:rsid w:val="00D767A0"/>
    <w:rsid w:val="00D7682A"/>
    <w:rsid w:val="00D768A4"/>
    <w:rsid w:val="00D76E51"/>
    <w:rsid w:val="00D7703D"/>
    <w:rsid w:val="00D776D4"/>
    <w:rsid w:val="00D77800"/>
    <w:rsid w:val="00D779F9"/>
    <w:rsid w:val="00D77BBF"/>
    <w:rsid w:val="00D8040B"/>
    <w:rsid w:val="00D80567"/>
    <w:rsid w:val="00D80889"/>
    <w:rsid w:val="00D80912"/>
    <w:rsid w:val="00D809AE"/>
    <w:rsid w:val="00D80AF6"/>
    <w:rsid w:val="00D80C3D"/>
    <w:rsid w:val="00D80FB0"/>
    <w:rsid w:val="00D812B7"/>
    <w:rsid w:val="00D81550"/>
    <w:rsid w:val="00D818DD"/>
    <w:rsid w:val="00D81C6C"/>
    <w:rsid w:val="00D81DF1"/>
    <w:rsid w:val="00D820EF"/>
    <w:rsid w:val="00D8231D"/>
    <w:rsid w:val="00D82569"/>
    <w:rsid w:val="00D825DD"/>
    <w:rsid w:val="00D82658"/>
    <w:rsid w:val="00D8297C"/>
    <w:rsid w:val="00D82A80"/>
    <w:rsid w:val="00D8319B"/>
    <w:rsid w:val="00D831DD"/>
    <w:rsid w:val="00D832A1"/>
    <w:rsid w:val="00D832D6"/>
    <w:rsid w:val="00D83420"/>
    <w:rsid w:val="00D834ED"/>
    <w:rsid w:val="00D83753"/>
    <w:rsid w:val="00D83BC6"/>
    <w:rsid w:val="00D84463"/>
    <w:rsid w:val="00D8455B"/>
    <w:rsid w:val="00D845B3"/>
    <w:rsid w:val="00D849DC"/>
    <w:rsid w:val="00D84A7E"/>
    <w:rsid w:val="00D84C1F"/>
    <w:rsid w:val="00D84E7E"/>
    <w:rsid w:val="00D850FE"/>
    <w:rsid w:val="00D85500"/>
    <w:rsid w:val="00D8562E"/>
    <w:rsid w:val="00D85B61"/>
    <w:rsid w:val="00D85B84"/>
    <w:rsid w:val="00D85FDD"/>
    <w:rsid w:val="00D862D7"/>
    <w:rsid w:val="00D866CC"/>
    <w:rsid w:val="00D86929"/>
    <w:rsid w:val="00D869CB"/>
    <w:rsid w:val="00D86AF6"/>
    <w:rsid w:val="00D86CDC"/>
    <w:rsid w:val="00D86D0A"/>
    <w:rsid w:val="00D870FF"/>
    <w:rsid w:val="00D874B9"/>
    <w:rsid w:val="00D879F1"/>
    <w:rsid w:val="00D87A6E"/>
    <w:rsid w:val="00D87EAA"/>
    <w:rsid w:val="00D900EF"/>
    <w:rsid w:val="00D90555"/>
    <w:rsid w:val="00D907B3"/>
    <w:rsid w:val="00D9089A"/>
    <w:rsid w:val="00D90932"/>
    <w:rsid w:val="00D90C91"/>
    <w:rsid w:val="00D90CD2"/>
    <w:rsid w:val="00D912E6"/>
    <w:rsid w:val="00D913F5"/>
    <w:rsid w:val="00D915EE"/>
    <w:rsid w:val="00D91D74"/>
    <w:rsid w:val="00D91E68"/>
    <w:rsid w:val="00D9201D"/>
    <w:rsid w:val="00D925AB"/>
    <w:rsid w:val="00D92877"/>
    <w:rsid w:val="00D9294C"/>
    <w:rsid w:val="00D92A24"/>
    <w:rsid w:val="00D92AB6"/>
    <w:rsid w:val="00D92BFF"/>
    <w:rsid w:val="00D92DE5"/>
    <w:rsid w:val="00D92F09"/>
    <w:rsid w:val="00D930B9"/>
    <w:rsid w:val="00D93630"/>
    <w:rsid w:val="00D937F1"/>
    <w:rsid w:val="00D93B3A"/>
    <w:rsid w:val="00D93FD0"/>
    <w:rsid w:val="00D940D6"/>
    <w:rsid w:val="00D941A4"/>
    <w:rsid w:val="00D942BE"/>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231"/>
    <w:rsid w:val="00D96714"/>
    <w:rsid w:val="00D969F4"/>
    <w:rsid w:val="00D96AFE"/>
    <w:rsid w:val="00D96EA9"/>
    <w:rsid w:val="00D97320"/>
    <w:rsid w:val="00D9784A"/>
    <w:rsid w:val="00D978E5"/>
    <w:rsid w:val="00D97D00"/>
    <w:rsid w:val="00D97EFE"/>
    <w:rsid w:val="00DA008F"/>
    <w:rsid w:val="00DA0127"/>
    <w:rsid w:val="00DA01BF"/>
    <w:rsid w:val="00DA0525"/>
    <w:rsid w:val="00DA0815"/>
    <w:rsid w:val="00DA08BB"/>
    <w:rsid w:val="00DA09AF"/>
    <w:rsid w:val="00DA09D2"/>
    <w:rsid w:val="00DA0B44"/>
    <w:rsid w:val="00DA10CD"/>
    <w:rsid w:val="00DA14F6"/>
    <w:rsid w:val="00DA1801"/>
    <w:rsid w:val="00DA1803"/>
    <w:rsid w:val="00DA1F2D"/>
    <w:rsid w:val="00DA1F83"/>
    <w:rsid w:val="00DA2176"/>
    <w:rsid w:val="00DA2223"/>
    <w:rsid w:val="00DA22ED"/>
    <w:rsid w:val="00DA26FA"/>
    <w:rsid w:val="00DA2720"/>
    <w:rsid w:val="00DA2838"/>
    <w:rsid w:val="00DA2885"/>
    <w:rsid w:val="00DA2ABA"/>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446"/>
    <w:rsid w:val="00DA5E4B"/>
    <w:rsid w:val="00DA6189"/>
    <w:rsid w:val="00DA685A"/>
    <w:rsid w:val="00DA6A3D"/>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C33"/>
    <w:rsid w:val="00DB1D3E"/>
    <w:rsid w:val="00DB1EF5"/>
    <w:rsid w:val="00DB1F51"/>
    <w:rsid w:val="00DB1FE2"/>
    <w:rsid w:val="00DB2327"/>
    <w:rsid w:val="00DB24BC"/>
    <w:rsid w:val="00DB256C"/>
    <w:rsid w:val="00DB27C6"/>
    <w:rsid w:val="00DB28E3"/>
    <w:rsid w:val="00DB3507"/>
    <w:rsid w:val="00DB37CD"/>
    <w:rsid w:val="00DB39D1"/>
    <w:rsid w:val="00DB3F0A"/>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15"/>
    <w:rsid w:val="00DB61F1"/>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1FC"/>
    <w:rsid w:val="00DC22CF"/>
    <w:rsid w:val="00DC2492"/>
    <w:rsid w:val="00DC252C"/>
    <w:rsid w:val="00DC25B5"/>
    <w:rsid w:val="00DC26F6"/>
    <w:rsid w:val="00DC27BC"/>
    <w:rsid w:val="00DC2904"/>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0CF"/>
    <w:rsid w:val="00DC4401"/>
    <w:rsid w:val="00DC4502"/>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868"/>
    <w:rsid w:val="00DC68D1"/>
    <w:rsid w:val="00DC6B52"/>
    <w:rsid w:val="00DC6DCC"/>
    <w:rsid w:val="00DC6F0E"/>
    <w:rsid w:val="00DC7000"/>
    <w:rsid w:val="00DC742E"/>
    <w:rsid w:val="00DC7668"/>
    <w:rsid w:val="00DC78B7"/>
    <w:rsid w:val="00DC7FD6"/>
    <w:rsid w:val="00DD0135"/>
    <w:rsid w:val="00DD0249"/>
    <w:rsid w:val="00DD042F"/>
    <w:rsid w:val="00DD05DC"/>
    <w:rsid w:val="00DD061A"/>
    <w:rsid w:val="00DD0948"/>
    <w:rsid w:val="00DD0A7A"/>
    <w:rsid w:val="00DD0B37"/>
    <w:rsid w:val="00DD0BCA"/>
    <w:rsid w:val="00DD1017"/>
    <w:rsid w:val="00DD1042"/>
    <w:rsid w:val="00DD1105"/>
    <w:rsid w:val="00DD1213"/>
    <w:rsid w:val="00DD12B1"/>
    <w:rsid w:val="00DD14EB"/>
    <w:rsid w:val="00DD1511"/>
    <w:rsid w:val="00DD168F"/>
    <w:rsid w:val="00DD16DB"/>
    <w:rsid w:val="00DD17AC"/>
    <w:rsid w:val="00DD1B07"/>
    <w:rsid w:val="00DD1B61"/>
    <w:rsid w:val="00DD1CDB"/>
    <w:rsid w:val="00DD247B"/>
    <w:rsid w:val="00DD255F"/>
    <w:rsid w:val="00DD270C"/>
    <w:rsid w:val="00DD274B"/>
    <w:rsid w:val="00DD277A"/>
    <w:rsid w:val="00DD2A72"/>
    <w:rsid w:val="00DD2AAB"/>
    <w:rsid w:val="00DD2F61"/>
    <w:rsid w:val="00DD30B6"/>
    <w:rsid w:val="00DD3386"/>
    <w:rsid w:val="00DD3534"/>
    <w:rsid w:val="00DD38C7"/>
    <w:rsid w:val="00DD3AB4"/>
    <w:rsid w:val="00DD3AEB"/>
    <w:rsid w:val="00DD3B48"/>
    <w:rsid w:val="00DD3C15"/>
    <w:rsid w:val="00DD3C23"/>
    <w:rsid w:val="00DD4022"/>
    <w:rsid w:val="00DD419B"/>
    <w:rsid w:val="00DD42BA"/>
    <w:rsid w:val="00DD453D"/>
    <w:rsid w:val="00DD4556"/>
    <w:rsid w:val="00DD473F"/>
    <w:rsid w:val="00DD478F"/>
    <w:rsid w:val="00DD4901"/>
    <w:rsid w:val="00DD49C0"/>
    <w:rsid w:val="00DD49E2"/>
    <w:rsid w:val="00DD4BE6"/>
    <w:rsid w:val="00DD513E"/>
    <w:rsid w:val="00DD53F3"/>
    <w:rsid w:val="00DD5458"/>
    <w:rsid w:val="00DD55DE"/>
    <w:rsid w:val="00DD577E"/>
    <w:rsid w:val="00DD5812"/>
    <w:rsid w:val="00DD58DE"/>
    <w:rsid w:val="00DD59C0"/>
    <w:rsid w:val="00DD5ABC"/>
    <w:rsid w:val="00DD60CD"/>
    <w:rsid w:val="00DD6C24"/>
    <w:rsid w:val="00DD70F4"/>
    <w:rsid w:val="00DD766B"/>
    <w:rsid w:val="00DD786C"/>
    <w:rsid w:val="00DE0556"/>
    <w:rsid w:val="00DE074F"/>
    <w:rsid w:val="00DE0B91"/>
    <w:rsid w:val="00DE0CD8"/>
    <w:rsid w:val="00DE0EA8"/>
    <w:rsid w:val="00DE110E"/>
    <w:rsid w:val="00DE12F3"/>
    <w:rsid w:val="00DE1911"/>
    <w:rsid w:val="00DE1B4F"/>
    <w:rsid w:val="00DE1D2D"/>
    <w:rsid w:val="00DE1D7C"/>
    <w:rsid w:val="00DE2066"/>
    <w:rsid w:val="00DE28F2"/>
    <w:rsid w:val="00DE291A"/>
    <w:rsid w:val="00DE2C38"/>
    <w:rsid w:val="00DE305A"/>
    <w:rsid w:val="00DE30C2"/>
    <w:rsid w:val="00DE33E1"/>
    <w:rsid w:val="00DE352E"/>
    <w:rsid w:val="00DE354E"/>
    <w:rsid w:val="00DE35B6"/>
    <w:rsid w:val="00DE3600"/>
    <w:rsid w:val="00DE3658"/>
    <w:rsid w:val="00DE3660"/>
    <w:rsid w:val="00DE3740"/>
    <w:rsid w:val="00DE3825"/>
    <w:rsid w:val="00DE4462"/>
    <w:rsid w:val="00DE4561"/>
    <w:rsid w:val="00DE4976"/>
    <w:rsid w:val="00DE4C64"/>
    <w:rsid w:val="00DE4ED8"/>
    <w:rsid w:val="00DE5337"/>
    <w:rsid w:val="00DE534B"/>
    <w:rsid w:val="00DE5DAE"/>
    <w:rsid w:val="00DE5F9A"/>
    <w:rsid w:val="00DE6364"/>
    <w:rsid w:val="00DE63B4"/>
    <w:rsid w:val="00DE6412"/>
    <w:rsid w:val="00DE6922"/>
    <w:rsid w:val="00DE6CE1"/>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8F"/>
    <w:rsid w:val="00DF17C5"/>
    <w:rsid w:val="00DF1B32"/>
    <w:rsid w:val="00DF1D3D"/>
    <w:rsid w:val="00DF1F3B"/>
    <w:rsid w:val="00DF2199"/>
    <w:rsid w:val="00DF24D4"/>
    <w:rsid w:val="00DF24D5"/>
    <w:rsid w:val="00DF2741"/>
    <w:rsid w:val="00DF28C3"/>
    <w:rsid w:val="00DF28CB"/>
    <w:rsid w:val="00DF2983"/>
    <w:rsid w:val="00DF2DF0"/>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BE3"/>
    <w:rsid w:val="00DF5D06"/>
    <w:rsid w:val="00DF5F70"/>
    <w:rsid w:val="00DF6122"/>
    <w:rsid w:val="00DF62DB"/>
    <w:rsid w:val="00DF6667"/>
    <w:rsid w:val="00DF66B7"/>
    <w:rsid w:val="00DF68C4"/>
    <w:rsid w:val="00DF6C35"/>
    <w:rsid w:val="00DF6DD9"/>
    <w:rsid w:val="00DF7124"/>
    <w:rsid w:val="00DF7320"/>
    <w:rsid w:val="00DF7433"/>
    <w:rsid w:val="00DF7465"/>
    <w:rsid w:val="00DF7560"/>
    <w:rsid w:val="00DF7682"/>
    <w:rsid w:val="00DF78DE"/>
    <w:rsid w:val="00DF7CA7"/>
    <w:rsid w:val="00DF7D59"/>
    <w:rsid w:val="00DF7F6D"/>
    <w:rsid w:val="00DF7F9B"/>
    <w:rsid w:val="00E003DE"/>
    <w:rsid w:val="00E00427"/>
    <w:rsid w:val="00E005AA"/>
    <w:rsid w:val="00E0095A"/>
    <w:rsid w:val="00E00A7F"/>
    <w:rsid w:val="00E00BAB"/>
    <w:rsid w:val="00E00CA8"/>
    <w:rsid w:val="00E01174"/>
    <w:rsid w:val="00E01404"/>
    <w:rsid w:val="00E017F5"/>
    <w:rsid w:val="00E019FC"/>
    <w:rsid w:val="00E01A90"/>
    <w:rsid w:val="00E0209A"/>
    <w:rsid w:val="00E02147"/>
    <w:rsid w:val="00E02795"/>
    <w:rsid w:val="00E02815"/>
    <w:rsid w:val="00E0316F"/>
    <w:rsid w:val="00E03549"/>
    <w:rsid w:val="00E03709"/>
    <w:rsid w:val="00E0370A"/>
    <w:rsid w:val="00E03898"/>
    <w:rsid w:val="00E038F6"/>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C2D"/>
    <w:rsid w:val="00E07DD8"/>
    <w:rsid w:val="00E07E9C"/>
    <w:rsid w:val="00E07EB8"/>
    <w:rsid w:val="00E07F78"/>
    <w:rsid w:val="00E1015B"/>
    <w:rsid w:val="00E10385"/>
    <w:rsid w:val="00E103F8"/>
    <w:rsid w:val="00E1047C"/>
    <w:rsid w:val="00E10DDF"/>
    <w:rsid w:val="00E114E8"/>
    <w:rsid w:val="00E11A5E"/>
    <w:rsid w:val="00E11A99"/>
    <w:rsid w:val="00E11B19"/>
    <w:rsid w:val="00E11BAF"/>
    <w:rsid w:val="00E11BE3"/>
    <w:rsid w:val="00E11E7E"/>
    <w:rsid w:val="00E1201B"/>
    <w:rsid w:val="00E12054"/>
    <w:rsid w:val="00E12088"/>
    <w:rsid w:val="00E120CF"/>
    <w:rsid w:val="00E121DE"/>
    <w:rsid w:val="00E122A5"/>
    <w:rsid w:val="00E1247E"/>
    <w:rsid w:val="00E125FB"/>
    <w:rsid w:val="00E129D0"/>
    <w:rsid w:val="00E12A19"/>
    <w:rsid w:val="00E12B44"/>
    <w:rsid w:val="00E12D6F"/>
    <w:rsid w:val="00E12FDB"/>
    <w:rsid w:val="00E13074"/>
    <w:rsid w:val="00E13076"/>
    <w:rsid w:val="00E130F9"/>
    <w:rsid w:val="00E13188"/>
    <w:rsid w:val="00E131C3"/>
    <w:rsid w:val="00E1320F"/>
    <w:rsid w:val="00E13319"/>
    <w:rsid w:val="00E133C5"/>
    <w:rsid w:val="00E13455"/>
    <w:rsid w:val="00E1360C"/>
    <w:rsid w:val="00E136BE"/>
    <w:rsid w:val="00E139C9"/>
    <w:rsid w:val="00E13D6C"/>
    <w:rsid w:val="00E13EF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005"/>
    <w:rsid w:val="00E23159"/>
    <w:rsid w:val="00E23214"/>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559"/>
    <w:rsid w:val="00E24633"/>
    <w:rsid w:val="00E247A6"/>
    <w:rsid w:val="00E24BC9"/>
    <w:rsid w:val="00E24DE0"/>
    <w:rsid w:val="00E24ED2"/>
    <w:rsid w:val="00E2555D"/>
    <w:rsid w:val="00E25A72"/>
    <w:rsid w:val="00E25B4C"/>
    <w:rsid w:val="00E25CCF"/>
    <w:rsid w:val="00E25D73"/>
    <w:rsid w:val="00E25F74"/>
    <w:rsid w:val="00E25FD4"/>
    <w:rsid w:val="00E26300"/>
    <w:rsid w:val="00E263D8"/>
    <w:rsid w:val="00E26692"/>
    <w:rsid w:val="00E26852"/>
    <w:rsid w:val="00E269D7"/>
    <w:rsid w:val="00E26D53"/>
    <w:rsid w:val="00E26E81"/>
    <w:rsid w:val="00E2716E"/>
    <w:rsid w:val="00E27239"/>
    <w:rsid w:val="00E27435"/>
    <w:rsid w:val="00E2767F"/>
    <w:rsid w:val="00E276DE"/>
    <w:rsid w:val="00E27A53"/>
    <w:rsid w:val="00E27C79"/>
    <w:rsid w:val="00E27D41"/>
    <w:rsid w:val="00E300BD"/>
    <w:rsid w:val="00E3083D"/>
    <w:rsid w:val="00E30897"/>
    <w:rsid w:val="00E309D2"/>
    <w:rsid w:val="00E30ACA"/>
    <w:rsid w:val="00E30DFF"/>
    <w:rsid w:val="00E30E94"/>
    <w:rsid w:val="00E31064"/>
    <w:rsid w:val="00E311E3"/>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C5E"/>
    <w:rsid w:val="00E33CEC"/>
    <w:rsid w:val="00E33DE9"/>
    <w:rsid w:val="00E33E62"/>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19B"/>
    <w:rsid w:val="00E4081E"/>
    <w:rsid w:val="00E40AEB"/>
    <w:rsid w:val="00E40F6D"/>
    <w:rsid w:val="00E41014"/>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420B"/>
    <w:rsid w:val="00E44235"/>
    <w:rsid w:val="00E44521"/>
    <w:rsid w:val="00E445A4"/>
    <w:rsid w:val="00E44813"/>
    <w:rsid w:val="00E44907"/>
    <w:rsid w:val="00E45159"/>
    <w:rsid w:val="00E4522F"/>
    <w:rsid w:val="00E4531F"/>
    <w:rsid w:val="00E455C8"/>
    <w:rsid w:val="00E45653"/>
    <w:rsid w:val="00E456B8"/>
    <w:rsid w:val="00E456D5"/>
    <w:rsid w:val="00E45D0B"/>
    <w:rsid w:val="00E45DD3"/>
    <w:rsid w:val="00E45E50"/>
    <w:rsid w:val="00E460D5"/>
    <w:rsid w:val="00E46116"/>
    <w:rsid w:val="00E46235"/>
    <w:rsid w:val="00E4656D"/>
    <w:rsid w:val="00E46676"/>
    <w:rsid w:val="00E46989"/>
    <w:rsid w:val="00E46CB0"/>
    <w:rsid w:val="00E46D65"/>
    <w:rsid w:val="00E4702F"/>
    <w:rsid w:val="00E47530"/>
    <w:rsid w:val="00E47550"/>
    <w:rsid w:val="00E477B9"/>
    <w:rsid w:val="00E47A00"/>
    <w:rsid w:val="00E47B48"/>
    <w:rsid w:val="00E47F05"/>
    <w:rsid w:val="00E500A1"/>
    <w:rsid w:val="00E5019D"/>
    <w:rsid w:val="00E501CA"/>
    <w:rsid w:val="00E502F0"/>
    <w:rsid w:val="00E50475"/>
    <w:rsid w:val="00E5051E"/>
    <w:rsid w:val="00E505F4"/>
    <w:rsid w:val="00E508AD"/>
    <w:rsid w:val="00E509AB"/>
    <w:rsid w:val="00E509DF"/>
    <w:rsid w:val="00E50CEC"/>
    <w:rsid w:val="00E50EF3"/>
    <w:rsid w:val="00E5199E"/>
    <w:rsid w:val="00E51B67"/>
    <w:rsid w:val="00E51E55"/>
    <w:rsid w:val="00E52544"/>
    <w:rsid w:val="00E52569"/>
    <w:rsid w:val="00E53101"/>
    <w:rsid w:val="00E53182"/>
    <w:rsid w:val="00E533B0"/>
    <w:rsid w:val="00E53404"/>
    <w:rsid w:val="00E53541"/>
    <w:rsid w:val="00E53810"/>
    <w:rsid w:val="00E539B9"/>
    <w:rsid w:val="00E53C2E"/>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5C5"/>
    <w:rsid w:val="00E55679"/>
    <w:rsid w:val="00E55B43"/>
    <w:rsid w:val="00E55F2E"/>
    <w:rsid w:val="00E561B5"/>
    <w:rsid w:val="00E5640A"/>
    <w:rsid w:val="00E56599"/>
    <w:rsid w:val="00E568A7"/>
    <w:rsid w:val="00E56C87"/>
    <w:rsid w:val="00E56F06"/>
    <w:rsid w:val="00E57AE6"/>
    <w:rsid w:val="00E57B97"/>
    <w:rsid w:val="00E57CA4"/>
    <w:rsid w:val="00E57CB5"/>
    <w:rsid w:val="00E57EEF"/>
    <w:rsid w:val="00E60523"/>
    <w:rsid w:val="00E60648"/>
    <w:rsid w:val="00E608B4"/>
    <w:rsid w:val="00E608D3"/>
    <w:rsid w:val="00E60A59"/>
    <w:rsid w:val="00E60C56"/>
    <w:rsid w:val="00E60FA3"/>
    <w:rsid w:val="00E613AB"/>
    <w:rsid w:val="00E6148E"/>
    <w:rsid w:val="00E6178E"/>
    <w:rsid w:val="00E61919"/>
    <w:rsid w:val="00E61B0B"/>
    <w:rsid w:val="00E61C4A"/>
    <w:rsid w:val="00E61F89"/>
    <w:rsid w:val="00E61FA1"/>
    <w:rsid w:val="00E61FC7"/>
    <w:rsid w:val="00E61FE8"/>
    <w:rsid w:val="00E621B5"/>
    <w:rsid w:val="00E6249B"/>
    <w:rsid w:val="00E624A7"/>
    <w:rsid w:val="00E627F5"/>
    <w:rsid w:val="00E62827"/>
    <w:rsid w:val="00E628DA"/>
    <w:rsid w:val="00E62A3B"/>
    <w:rsid w:val="00E62F23"/>
    <w:rsid w:val="00E630DE"/>
    <w:rsid w:val="00E635A3"/>
    <w:rsid w:val="00E6372E"/>
    <w:rsid w:val="00E637E2"/>
    <w:rsid w:val="00E63EE0"/>
    <w:rsid w:val="00E63FEC"/>
    <w:rsid w:val="00E64107"/>
    <w:rsid w:val="00E6462F"/>
    <w:rsid w:val="00E64C05"/>
    <w:rsid w:val="00E64EF3"/>
    <w:rsid w:val="00E64F2A"/>
    <w:rsid w:val="00E65083"/>
    <w:rsid w:val="00E653A1"/>
    <w:rsid w:val="00E65564"/>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5FA"/>
    <w:rsid w:val="00E66621"/>
    <w:rsid w:val="00E666EC"/>
    <w:rsid w:val="00E66729"/>
    <w:rsid w:val="00E667C1"/>
    <w:rsid w:val="00E66824"/>
    <w:rsid w:val="00E66858"/>
    <w:rsid w:val="00E668BA"/>
    <w:rsid w:val="00E66CCD"/>
    <w:rsid w:val="00E66F28"/>
    <w:rsid w:val="00E6721B"/>
    <w:rsid w:val="00E6726D"/>
    <w:rsid w:val="00E67357"/>
    <w:rsid w:val="00E674BF"/>
    <w:rsid w:val="00E678AD"/>
    <w:rsid w:val="00E67998"/>
    <w:rsid w:val="00E67BA0"/>
    <w:rsid w:val="00E67E01"/>
    <w:rsid w:val="00E70014"/>
    <w:rsid w:val="00E701EB"/>
    <w:rsid w:val="00E7034D"/>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57"/>
    <w:rsid w:val="00E71ACB"/>
    <w:rsid w:val="00E71AFB"/>
    <w:rsid w:val="00E71CB7"/>
    <w:rsid w:val="00E71DA5"/>
    <w:rsid w:val="00E7206D"/>
    <w:rsid w:val="00E720FB"/>
    <w:rsid w:val="00E72697"/>
    <w:rsid w:val="00E72926"/>
    <w:rsid w:val="00E72C50"/>
    <w:rsid w:val="00E72ECE"/>
    <w:rsid w:val="00E72F7C"/>
    <w:rsid w:val="00E73082"/>
    <w:rsid w:val="00E7337C"/>
    <w:rsid w:val="00E73745"/>
    <w:rsid w:val="00E73865"/>
    <w:rsid w:val="00E73A7D"/>
    <w:rsid w:val="00E73BF9"/>
    <w:rsid w:val="00E74064"/>
    <w:rsid w:val="00E740BA"/>
    <w:rsid w:val="00E74148"/>
    <w:rsid w:val="00E74228"/>
    <w:rsid w:val="00E74BA6"/>
    <w:rsid w:val="00E74ED0"/>
    <w:rsid w:val="00E750C5"/>
    <w:rsid w:val="00E75156"/>
    <w:rsid w:val="00E75422"/>
    <w:rsid w:val="00E75467"/>
    <w:rsid w:val="00E75947"/>
    <w:rsid w:val="00E7596A"/>
    <w:rsid w:val="00E759B2"/>
    <w:rsid w:val="00E75B45"/>
    <w:rsid w:val="00E75FC2"/>
    <w:rsid w:val="00E76202"/>
    <w:rsid w:val="00E762C5"/>
    <w:rsid w:val="00E763A2"/>
    <w:rsid w:val="00E7641C"/>
    <w:rsid w:val="00E7642C"/>
    <w:rsid w:val="00E764AC"/>
    <w:rsid w:val="00E765E8"/>
    <w:rsid w:val="00E77057"/>
    <w:rsid w:val="00E7732E"/>
    <w:rsid w:val="00E773E4"/>
    <w:rsid w:val="00E7740C"/>
    <w:rsid w:val="00E77432"/>
    <w:rsid w:val="00E776BB"/>
    <w:rsid w:val="00E777E4"/>
    <w:rsid w:val="00E77B4C"/>
    <w:rsid w:val="00E77CAD"/>
    <w:rsid w:val="00E77FA8"/>
    <w:rsid w:val="00E80015"/>
    <w:rsid w:val="00E8026D"/>
    <w:rsid w:val="00E8030A"/>
    <w:rsid w:val="00E80500"/>
    <w:rsid w:val="00E8094F"/>
    <w:rsid w:val="00E80A2B"/>
    <w:rsid w:val="00E80BCD"/>
    <w:rsid w:val="00E80C42"/>
    <w:rsid w:val="00E813C0"/>
    <w:rsid w:val="00E81459"/>
    <w:rsid w:val="00E82093"/>
    <w:rsid w:val="00E821F0"/>
    <w:rsid w:val="00E82324"/>
    <w:rsid w:val="00E82471"/>
    <w:rsid w:val="00E8265B"/>
    <w:rsid w:val="00E826FB"/>
    <w:rsid w:val="00E8271A"/>
    <w:rsid w:val="00E8286F"/>
    <w:rsid w:val="00E8293D"/>
    <w:rsid w:val="00E82AE3"/>
    <w:rsid w:val="00E82FD4"/>
    <w:rsid w:val="00E8303D"/>
    <w:rsid w:val="00E8324C"/>
    <w:rsid w:val="00E835C1"/>
    <w:rsid w:val="00E83A47"/>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BE3"/>
    <w:rsid w:val="00E85C82"/>
    <w:rsid w:val="00E85F3D"/>
    <w:rsid w:val="00E8639A"/>
    <w:rsid w:val="00E86577"/>
    <w:rsid w:val="00E86799"/>
    <w:rsid w:val="00E86D66"/>
    <w:rsid w:val="00E87307"/>
    <w:rsid w:val="00E87313"/>
    <w:rsid w:val="00E87333"/>
    <w:rsid w:val="00E87362"/>
    <w:rsid w:val="00E8748C"/>
    <w:rsid w:val="00E87722"/>
    <w:rsid w:val="00E87744"/>
    <w:rsid w:val="00E87A47"/>
    <w:rsid w:val="00E87D94"/>
    <w:rsid w:val="00E87F55"/>
    <w:rsid w:val="00E87FC4"/>
    <w:rsid w:val="00E90A1C"/>
    <w:rsid w:val="00E91109"/>
    <w:rsid w:val="00E9129D"/>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2C6C"/>
    <w:rsid w:val="00E93126"/>
    <w:rsid w:val="00E93279"/>
    <w:rsid w:val="00E93799"/>
    <w:rsid w:val="00E93D4E"/>
    <w:rsid w:val="00E93FE0"/>
    <w:rsid w:val="00E940B2"/>
    <w:rsid w:val="00E946BB"/>
    <w:rsid w:val="00E94E06"/>
    <w:rsid w:val="00E952B5"/>
    <w:rsid w:val="00E9543D"/>
    <w:rsid w:val="00E95626"/>
    <w:rsid w:val="00E95723"/>
    <w:rsid w:val="00E95859"/>
    <w:rsid w:val="00E95AE1"/>
    <w:rsid w:val="00E95B16"/>
    <w:rsid w:val="00E95BFB"/>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2C9"/>
    <w:rsid w:val="00E97485"/>
    <w:rsid w:val="00E97584"/>
    <w:rsid w:val="00E9772C"/>
    <w:rsid w:val="00E97795"/>
    <w:rsid w:val="00E977AA"/>
    <w:rsid w:val="00E977DB"/>
    <w:rsid w:val="00E97864"/>
    <w:rsid w:val="00E97D5E"/>
    <w:rsid w:val="00E97E68"/>
    <w:rsid w:val="00EA0241"/>
    <w:rsid w:val="00EA039A"/>
    <w:rsid w:val="00EA045F"/>
    <w:rsid w:val="00EA04DA"/>
    <w:rsid w:val="00EA0616"/>
    <w:rsid w:val="00EA0667"/>
    <w:rsid w:val="00EA0B1E"/>
    <w:rsid w:val="00EA0B68"/>
    <w:rsid w:val="00EA0D59"/>
    <w:rsid w:val="00EA0E76"/>
    <w:rsid w:val="00EA135B"/>
    <w:rsid w:val="00EA1460"/>
    <w:rsid w:val="00EA16CF"/>
    <w:rsid w:val="00EA196E"/>
    <w:rsid w:val="00EA1A07"/>
    <w:rsid w:val="00EA1A27"/>
    <w:rsid w:val="00EA1B8C"/>
    <w:rsid w:val="00EA2194"/>
    <w:rsid w:val="00EA2267"/>
    <w:rsid w:val="00EA24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EA4"/>
    <w:rsid w:val="00EA4EA8"/>
    <w:rsid w:val="00EA50D8"/>
    <w:rsid w:val="00EA522B"/>
    <w:rsid w:val="00EA5A22"/>
    <w:rsid w:val="00EA5A4F"/>
    <w:rsid w:val="00EA5AFA"/>
    <w:rsid w:val="00EA5B6F"/>
    <w:rsid w:val="00EA6602"/>
    <w:rsid w:val="00EA6ECA"/>
    <w:rsid w:val="00EA7007"/>
    <w:rsid w:val="00EA73A2"/>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769"/>
    <w:rsid w:val="00EB2874"/>
    <w:rsid w:val="00EB28DB"/>
    <w:rsid w:val="00EB29DD"/>
    <w:rsid w:val="00EB2A0D"/>
    <w:rsid w:val="00EB2F87"/>
    <w:rsid w:val="00EB2FD2"/>
    <w:rsid w:val="00EB2FDD"/>
    <w:rsid w:val="00EB3011"/>
    <w:rsid w:val="00EB303B"/>
    <w:rsid w:val="00EB3664"/>
    <w:rsid w:val="00EB3DA5"/>
    <w:rsid w:val="00EB3F1C"/>
    <w:rsid w:val="00EB416E"/>
    <w:rsid w:val="00EB42F7"/>
    <w:rsid w:val="00EB4A71"/>
    <w:rsid w:val="00EB4D0F"/>
    <w:rsid w:val="00EB534E"/>
    <w:rsid w:val="00EB5353"/>
    <w:rsid w:val="00EB59CA"/>
    <w:rsid w:val="00EB5B9D"/>
    <w:rsid w:val="00EB68EF"/>
    <w:rsid w:val="00EB6B54"/>
    <w:rsid w:val="00EB6BB7"/>
    <w:rsid w:val="00EB6BF9"/>
    <w:rsid w:val="00EB7202"/>
    <w:rsid w:val="00EB7333"/>
    <w:rsid w:val="00EB749E"/>
    <w:rsid w:val="00EB74A6"/>
    <w:rsid w:val="00EB76E7"/>
    <w:rsid w:val="00EB7788"/>
    <w:rsid w:val="00EB797E"/>
    <w:rsid w:val="00EB7AE0"/>
    <w:rsid w:val="00EB7EDD"/>
    <w:rsid w:val="00EB7EF5"/>
    <w:rsid w:val="00EB7F52"/>
    <w:rsid w:val="00EB7FF5"/>
    <w:rsid w:val="00EC01B0"/>
    <w:rsid w:val="00EC02E9"/>
    <w:rsid w:val="00EC0667"/>
    <w:rsid w:val="00EC0743"/>
    <w:rsid w:val="00EC094E"/>
    <w:rsid w:val="00EC0A27"/>
    <w:rsid w:val="00EC0B35"/>
    <w:rsid w:val="00EC0EB6"/>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8B5"/>
    <w:rsid w:val="00EC39C6"/>
    <w:rsid w:val="00EC3A6B"/>
    <w:rsid w:val="00EC3AFA"/>
    <w:rsid w:val="00EC3D09"/>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7DF"/>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7069"/>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153"/>
    <w:rsid w:val="00EE3257"/>
    <w:rsid w:val="00EE3916"/>
    <w:rsid w:val="00EE3964"/>
    <w:rsid w:val="00EE3B00"/>
    <w:rsid w:val="00EE4272"/>
    <w:rsid w:val="00EE442F"/>
    <w:rsid w:val="00EE4465"/>
    <w:rsid w:val="00EE45B8"/>
    <w:rsid w:val="00EE4A2C"/>
    <w:rsid w:val="00EE4AA2"/>
    <w:rsid w:val="00EE4BBF"/>
    <w:rsid w:val="00EE4EC1"/>
    <w:rsid w:val="00EE5154"/>
    <w:rsid w:val="00EE56C9"/>
    <w:rsid w:val="00EE5ADD"/>
    <w:rsid w:val="00EE5D24"/>
    <w:rsid w:val="00EE5F0D"/>
    <w:rsid w:val="00EE623A"/>
    <w:rsid w:val="00EE664D"/>
    <w:rsid w:val="00EE67DD"/>
    <w:rsid w:val="00EE6C68"/>
    <w:rsid w:val="00EE6F30"/>
    <w:rsid w:val="00EE72D1"/>
    <w:rsid w:val="00EE72E4"/>
    <w:rsid w:val="00EE7551"/>
    <w:rsid w:val="00EE7572"/>
    <w:rsid w:val="00EE75D7"/>
    <w:rsid w:val="00EE77A2"/>
    <w:rsid w:val="00EF004A"/>
    <w:rsid w:val="00EF03FF"/>
    <w:rsid w:val="00EF04B5"/>
    <w:rsid w:val="00EF06B1"/>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4C5"/>
    <w:rsid w:val="00EF353B"/>
    <w:rsid w:val="00EF3593"/>
    <w:rsid w:val="00EF365C"/>
    <w:rsid w:val="00EF398C"/>
    <w:rsid w:val="00EF3BA0"/>
    <w:rsid w:val="00EF3D6D"/>
    <w:rsid w:val="00EF3DFF"/>
    <w:rsid w:val="00EF42D1"/>
    <w:rsid w:val="00EF4699"/>
    <w:rsid w:val="00EF46A9"/>
    <w:rsid w:val="00EF46CC"/>
    <w:rsid w:val="00EF4BCB"/>
    <w:rsid w:val="00EF4C3A"/>
    <w:rsid w:val="00EF4C8D"/>
    <w:rsid w:val="00EF4DB2"/>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D72"/>
    <w:rsid w:val="00EF7E61"/>
    <w:rsid w:val="00F009AF"/>
    <w:rsid w:val="00F00A8E"/>
    <w:rsid w:val="00F00ABB"/>
    <w:rsid w:val="00F00AD5"/>
    <w:rsid w:val="00F00B17"/>
    <w:rsid w:val="00F012B2"/>
    <w:rsid w:val="00F0135A"/>
    <w:rsid w:val="00F01A65"/>
    <w:rsid w:val="00F02197"/>
    <w:rsid w:val="00F0219B"/>
    <w:rsid w:val="00F023D8"/>
    <w:rsid w:val="00F02440"/>
    <w:rsid w:val="00F02465"/>
    <w:rsid w:val="00F02500"/>
    <w:rsid w:val="00F027C0"/>
    <w:rsid w:val="00F02862"/>
    <w:rsid w:val="00F02901"/>
    <w:rsid w:val="00F037F9"/>
    <w:rsid w:val="00F03837"/>
    <w:rsid w:val="00F03934"/>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9C8"/>
    <w:rsid w:val="00F05A7F"/>
    <w:rsid w:val="00F05A8D"/>
    <w:rsid w:val="00F05C9A"/>
    <w:rsid w:val="00F05CBB"/>
    <w:rsid w:val="00F05D80"/>
    <w:rsid w:val="00F06830"/>
    <w:rsid w:val="00F06A6B"/>
    <w:rsid w:val="00F06AA9"/>
    <w:rsid w:val="00F06C31"/>
    <w:rsid w:val="00F06D2A"/>
    <w:rsid w:val="00F06E36"/>
    <w:rsid w:val="00F07501"/>
    <w:rsid w:val="00F07789"/>
    <w:rsid w:val="00F102C5"/>
    <w:rsid w:val="00F104E1"/>
    <w:rsid w:val="00F104EB"/>
    <w:rsid w:val="00F10541"/>
    <w:rsid w:val="00F109AA"/>
    <w:rsid w:val="00F10DA5"/>
    <w:rsid w:val="00F110EE"/>
    <w:rsid w:val="00F11159"/>
    <w:rsid w:val="00F11195"/>
    <w:rsid w:val="00F11230"/>
    <w:rsid w:val="00F1192A"/>
    <w:rsid w:val="00F11A18"/>
    <w:rsid w:val="00F11C07"/>
    <w:rsid w:val="00F11C38"/>
    <w:rsid w:val="00F11F62"/>
    <w:rsid w:val="00F12670"/>
    <w:rsid w:val="00F12941"/>
    <w:rsid w:val="00F12BFC"/>
    <w:rsid w:val="00F13051"/>
    <w:rsid w:val="00F13119"/>
    <w:rsid w:val="00F133E9"/>
    <w:rsid w:val="00F133F2"/>
    <w:rsid w:val="00F1362E"/>
    <w:rsid w:val="00F13AF6"/>
    <w:rsid w:val="00F13B38"/>
    <w:rsid w:val="00F13CA6"/>
    <w:rsid w:val="00F13EA3"/>
    <w:rsid w:val="00F13ECB"/>
    <w:rsid w:val="00F13F15"/>
    <w:rsid w:val="00F142C4"/>
    <w:rsid w:val="00F142CF"/>
    <w:rsid w:val="00F145D6"/>
    <w:rsid w:val="00F14823"/>
    <w:rsid w:val="00F14A4D"/>
    <w:rsid w:val="00F14E67"/>
    <w:rsid w:val="00F14FC2"/>
    <w:rsid w:val="00F150F8"/>
    <w:rsid w:val="00F152BC"/>
    <w:rsid w:val="00F15614"/>
    <w:rsid w:val="00F15A67"/>
    <w:rsid w:val="00F15A89"/>
    <w:rsid w:val="00F15D1D"/>
    <w:rsid w:val="00F15ED3"/>
    <w:rsid w:val="00F16074"/>
    <w:rsid w:val="00F1680A"/>
    <w:rsid w:val="00F16886"/>
    <w:rsid w:val="00F16C62"/>
    <w:rsid w:val="00F173E4"/>
    <w:rsid w:val="00F17590"/>
    <w:rsid w:val="00F17716"/>
    <w:rsid w:val="00F177F5"/>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677"/>
    <w:rsid w:val="00F21D0B"/>
    <w:rsid w:val="00F21DA8"/>
    <w:rsid w:val="00F229BD"/>
    <w:rsid w:val="00F22B34"/>
    <w:rsid w:val="00F22B5D"/>
    <w:rsid w:val="00F22B63"/>
    <w:rsid w:val="00F22C32"/>
    <w:rsid w:val="00F22C8C"/>
    <w:rsid w:val="00F22D71"/>
    <w:rsid w:val="00F2357D"/>
    <w:rsid w:val="00F23605"/>
    <w:rsid w:val="00F23DB4"/>
    <w:rsid w:val="00F23DC8"/>
    <w:rsid w:val="00F23F9F"/>
    <w:rsid w:val="00F2424F"/>
    <w:rsid w:val="00F2443F"/>
    <w:rsid w:val="00F24580"/>
    <w:rsid w:val="00F24607"/>
    <w:rsid w:val="00F247D4"/>
    <w:rsid w:val="00F24A48"/>
    <w:rsid w:val="00F24A59"/>
    <w:rsid w:val="00F25012"/>
    <w:rsid w:val="00F25485"/>
    <w:rsid w:val="00F25E1A"/>
    <w:rsid w:val="00F26131"/>
    <w:rsid w:val="00F262FC"/>
    <w:rsid w:val="00F26331"/>
    <w:rsid w:val="00F2658D"/>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976"/>
    <w:rsid w:val="00F30A24"/>
    <w:rsid w:val="00F30A9C"/>
    <w:rsid w:val="00F30EF5"/>
    <w:rsid w:val="00F31569"/>
    <w:rsid w:val="00F3162D"/>
    <w:rsid w:val="00F31911"/>
    <w:rsid w:val="00F31B14"/>
    <w:rsid w:val="00F320E2"/>
    <w:rsid w:val="00F322A0"/>
    <w:rsid w:val="00F32681"/>
    <w:rsid w:val="00F3269A"/>
    <w:rsid w:val="00F3281E"/>
    <w:rsid w:val="00F3296B"/>
    <w:rsid w:val="00F32D1F"/>
    <w:rsid w:val="00F32E03"/>
    <w:rsid w:val="00F32E28"/>
    <w:rsid w:val="00F32F0D"/>
    <w:rsid w:val="00F32FA0"/>
    <w:rsid w:val="00F32FBD"/>
    <w:rsid w:val="00F33122"/>
    <w:rsid w:val="00F331EE"/>
    <w:rsid w:val="00F3329B"/>
    <w:rsid w:val="00F3336A"/>
    <w:rsid w:val="00F3348C"/>
    <w:rsid w:val="00F33789"/>
    <w:rsid w:val="00F33841"/>
    <w:rsid w:val="00F338BB"/>
    <w:rsid w:val="00F33B7B"/>
    <w:rsid w:val="00F33BD4"/>
    <w:rsid w:val="00F34561"/>
    <w:rsid w:val="00F34AA8"/>
    <w:rsid w:val="00F34ADB"/>
    <w:rsid w:val="00F35160"/>
    <w:rsid w:val="00F351CA"/>
    <w:rsid w:val="00F35587"/>
    <w:rsid w:val="00F35A7F"/>
    <w:rsid w:val="00F35FE0"/>
    <w:rsid w:val="00F36149"/>
    <w:rsid w:val="00F3623A"/>
    <w:rsid w:val="00F36674"/>
    <w:rsid w:val="00F3716D"/>
    <w:rsid w:val="00F37280"/>
    <w:rsid w:val="00F37762"/>
    <w:rsid w:val="00F377AF"/>
    <w:rsid w:val="00F37864"/>
    <w:rsid w:val="00F37875"/>
    <w:rsid w:val="00F3793F"/>
    <w:rsid w:val="00F37EB0"/>
    <w:rsid w:val="00F400BD"/>
    <w:rsid w:val="00F4010B"/>
    <w:rsid w:val="00F40286"/>
    <w:rsid w:val="00F4089B"/>
    <w:rsid w:val="00F40ABB"/>
    <w:rsid w:val="00F40ADA"/>
    <w:rsid w:val="00F40AED"/>
    <w:rsid w:val="00F40B8A"/>
    <w:rsid w:val="00F40F7E"/>
    <w:rsid w:val="00F41079"/>
    <w:rsid w:val="00F4126D"/>
    <w:rsid w:val="00F412CE"/>
    <w:rsid w:val="00F41608"/>
    <w:rsid w:val="00F41658"/>
    <w:rsid w:val="00F416BA"/>
    <w:rsid w:val="00F41724"/>
    <w:rsid w:val="00F41895"/>
    <w:rsid w:val="00F418EC"/>
    <w:rsid w:val="00F41971"/>
    <w:rsid w:val="00F419A1"/>
    <w:rsid w:val="00F419BB"/>
    <w:rsid w:val="00F41A96"/>
    <w:rsid w:val="00F41C8E"/>
    <w:rsid w:val="00F42410"/>
    <w:rsid w:val="00F42490"/>
    <w:rsid w:val="00F426B7"/>
    <w:rsid w:val="00F42C82"/>
    <w:rsid w:val="00F43066"/>
    <w:rsid w:val="00F4309B"/>
    <w:rsid w:val="00F430BF"/>
    <w:rsid w:val="00F4314D"/>
    <w:rsid w:val="00F4339C"/>
    <w:rsid w:val="00F436A4"/>
    <w:rsid w:val="00F43ABF"/>
    <w:rsid w:val="00F43C91"/>
    <w:rsid w:val="00F43E04"/>
    <w:rsid w:val="00F43E2F"/>
    <w:rsid w:val="00F43EB1"/>
    <w:rsid w:val="00F441EE"/>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6FCC"/>
    <w:rsid w:val="00F47291"/>
    <w:rsid w:val="00F47518"/>
    <w:rsid w:val="00F47762"/>
    <w:rsid w:val="00F47793"/>
    <w:rsid w:val="00F479B4"/>
    <w:rsid w:val="00F47A07"/>
    <w:rsid w:val="00F47B73"/>
    <w:rsid w:val="00F47DD1"/>
    <w:rsid w:val="00F47DF7"/>
    <w:rsid w:val="00F47F9F"/>
    <w:rsid w:val="00F50051"/>
    <w:rsid w:val="00F506CE"/>
    <w:rsid w:val="00F50DDB"/>
    <w:rsid w:val="00F50E6C"/>
    <w:rsid w:val="00F512B8"/>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97C"/>
    <w:rsid w:val="00F52AFE"/>
    <w:rsid w:val="00F52D02"/>
    <w:rsid w:val="00F52D1C"/>
    <w:rsid w:val="00F52D5B"/>
    <w:rsid w:val="00F53502"/>
    <w:rsid w:val="00F535E0"/>
    <w:rsid w:val="00F535EC"/>
    <w:rsid w:val="00F536E1"/>
    <w:rsid w:val="00F5375B"/>
    <w:rsid w:val="00F53979"/>
    <w:rsid w:val="00F53A8F"/>
    <w:rsid w:val="00F53D3A"/>
    <w:rsid w:val="00F53DC6"/>
    <w:rsid w:val="00F5413B"/>
    <w:rsid w:val="00F541BF"/>
    <w:rsid w:val="00F542DE"/>
    <w:rsid w:val="00F54301"/>
    <w:rsid w:val="00F54368"/>
    <w:rsid w:val="00F543A3"/>
    <w:rsid w:val="00F5467C"/>
    <w:rsid w:val="00F54A3F"/>
    <w:rsid w:val="00F54B3B"/>
    <w:rsid w:val="00F54DDD"/>
    <w:rsid w:val="00F54E47"/>
    <w:rsid w:val="00F5510A"/>
    <w:rsid w:val="00F551C8"/>
    <w:rsid w:val="00F551F5"/>
    <w:rsid w:val="00F5538A"/>
    <w:rsid w:val="00F55630"/>
    <w:rsid w:val="00F556A9"/>
    <w:rsid w:val="00F556DF"/>
    <w:rsid w:val="00F55773"/>
    <w:rsid w:val="00F55D7B"/>
    <w:rsid w:val="00F560EB"/>
    <w:rsid w:val="00F56159"/>
    <w:rsid w:val="00F562DA"/>
    <w:rsid w:val="00F564A3"/>
    <w:rsid w:val="00F564A4"/>
    <w:rsid w:val="00F56655"/>
    <w:rsid w:val="00F566D5"/>
    <w:rsid w:val="00F56B2A"/>
    <w:rsid w:val="00F56CFC"/>
    <w:rsid w:val="00F56E21"/>
    <w:rsid w:val="00F571FA"/>
    <w:rsid w:val="00F5741C"/>
    <w:rsid w:val="00F575D2"/>
    <w:rsid w:val="00F575E0"/>
    <w:rsid w:val="00F578FC"/>
    <w:rsid w:val="00F57AA8"/>
    <w:rsid w:val="00F57ADE"/>
    <w:rsid w:val="00F57C34"/>
    <w:rsid w:val="00F60108"/>
    <w:rsid w:val="00F60127"/>
    <w:rsid w:val="00F603BA"/>
    <w:rsid w:val="00F61502"/>
    <w:rsid w:val="00F61505"/>
    <w:rsid w:val="00F6163A"/>
    <w:rsid w:val="00F619A9"/>
    <w:rsid w:val="00F61CC0"/>
    <w:rsid w:val="00F61DDA"/>
    <w:rsid w:val="00F62114"/>
    <w:rsid w:val="00F623A6"/>
    <w:rsid w:val="00F623D5"/>
    <w:rsid w:val="00F624BA"/>
    <w:rsid w:val="00F62577"/>
    <w:rsid w:val="00F62583"/>
    <w:rsid w:val="00F62986"/>
    <w:rsid w:val="00F62A20"/>
    <w:rsid w:val="00F62CC8"/>
    <w:rsid w:val="00F63311"/>
    <w:rsid w:val="00F63851"/>
    <w:rsid w:val="00F63A58"/>
    <w:rsid w:val="00F63E86"/>
    <w:rsid w:val="00F64115"/>
    <w:rsid w:val="00F6434A"/>
    <w:rsid w:val="00F646F5"/>
    <w:rsid w:val="00F64751"/>
    <w:rsid w:val="00F65515"/>
    <w:rsid w:val="00F6564C"/>
    <w:rsid w:val="00F65CC6"/>
    <w:rsid w:val="00F65D6B"/>
    <w:rsid w:val="00F65FCB"/>
    <w:rsid w:val="00F66039"/>
    <w:rsid w:val="00F660F6"/>
    <w:rsid w:val="00F66117"/>
    <w:rsid w:val="00F661DC"/>
    <w:rsid w:val="00F664DE"/>
    <w:rsid w:val="00F66AFB"/>
    <w:rsid w:val="00F670CE"/>
    <w:rsid w:val="00F673B6"/>
    <w:rsid w:val="00F67603"/>
    <w:rsid w:val="00F6765F"/>
    <w:rsid w:val="00F6796C"/>
    <w:rsid w:val="00F67AA3"/>
    <w:rsid w:val="00F67BC2"/>
    <w:rsid w:val="00F67E5B"/>
    <w:rsid w:val="00F67F9C"/>
    <w:rsid w:val="00F7012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6C0"/>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15F"/>
    <w:rsid w:val="00F762ED"/>
    <w:rsid w:val="00F76562"/>
    <w:rsid w:val="00F765D2"/>
    <w:rsid w:val="00F76BDA"/>
    <w:rsid w:val="00F76C3F"/>
    <w:rsid w:val="00F76D01"/>
    <w:rsid w:val="00F770BE"/>
    <w:rsid w:val="00F773E1"/>
    <w:rsid w:val="00F7763E"/>
    <w:rsid w:val="00F776DF"/>
    <w:rsid w:val="00F77EAA"/>
    <w:rsid w:val="00F806AC"/>
    <w:rsid w:val="00F807CA"/>
    <w:rsid w:val="00F808E9"/>
    <w:rsid w:val="00F80D68"/>
    <w:rsid w:val="00F80D79"/>
    <w:rsid w:val="00F8102E"/>
    <w:rsid w:val="00F81434"/>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3BAB"/>
    <w:rsid w:val="00F840B5"/>
    <w:rsid w:val="00F8419D"/>
    <w:rsid w:val="00F842E1"/>
    <w:rsid w:val="00F84779"/>
    <w:rsid w:val="00F84D8D"/>
    <w:rsid w:val="00F84E62"/>
    <w:rsid w:val="00F84EA8"/>
    <w:rsid w:val="00F84EF1"/>
    <w:rsid w:val="00F8553A"/>
    <w:rsid w:val="00F858E4"/>
    <w:rsid w:val="00F859E6"/>
    <w:rsid w:val="00F85D02"/>
    <w:rsid w:val="00F861B8"/>
    <w:rsid w:val="00F8625C"/>
    <w:rsid w:val="00F864F0"/>
    <w:rsid w:val="00F86B80"/>
    <w:rsid w:val="00F86BD8"/>
    <w:rsid w:val="00F86EDE"/>
    <w:rsid w:val="00F86F57"/>
    <w:rsid w:val="00F875D2"/>
    <w:rsid w:val="00F8769A"/>
    <w:rsid w:val="00F8769C"/>
    <w:rsid w:val="00F876CC"/>
    <w:rsid w:val="00F876E5"/>
    <w:rsid w:val="00F87AA6"/>
    <w:rsid w:val="00F87F8A"/>
    <w:rsid w:val="00F90144"/>
    <w:rsid w:val="00F90229"/>
    <w:rsid w:val="00F90345"/>
    <w:rsid w:val="00F9051C"/>
    <w:rsid w:val="00F905DF"/>
    <w:rsid w:val="00F90788"/>
    <w:rsid w:val="00F909DD"/>
    <w:rsid w:val="00F90C44"/>
    <w:rsid w:val="00F90C5C"/>
    <w:rsid w:val="00F90D7F"/>
    <w:rsid w:val="00F90DA1"/>
    <w:rsid w:val="00F91322"/>
    <w:rsid w:val="00F91A11"/>
    <w:rsid w:val="00F91A18"/>
    <w:rsid w:val="00F91F66"/>
    <w:rsid w:val="00F92955"/>
    <w:rsid w:val="00F92987"/>
    <w:rsid w:val="00F92996"/>
    <w:rsid w:val="00F92BE5"/>
    <w:rsid w:val="00F92E01"/>
    <w:rsid w:val="00F93288"/>
    <w:rsid w:val="00F93304"/>
    <w:rsid w:val="00F934D3"/>
    <w:rsid w:val="00F93733"/>
    <w:rsid w:val="00F937B7"/>
    <w:rsid w:val="00F939CB"/>
    <w:rsid w:val="00F94395"/>
    <w:rsid w:val="00F945E0"/>
    <w:rsid w:val="00F94837"/>
    <w:rsid w:val="00F9484E"/>
    <w:rsid w:val="00F94BDC"/>
    <w:rsid w:val="00F950B8"/>
    <w:rsid w:val="00F954AB"/>
    <w:rsid w:val="00F95689"/>
    <w:rsid w:val="00F956F3"/>
    <w:rsid w:val="00F95A4D"/>
    <w:rsid w:val="00F95C96"/>
    <w:rsid w:val="00F95D78"/>
    <w:rsid w:val="00F96289"/>
    <w:rsid w:val="00F9651A"/>
    <w:rsid w:val="00F96752"/>
    <w:rsid w:val="00F968F9"/>
    <w:rsid w:val="00F96AD5"/>
    <w:rsid w:val="00F96C3F"/>
    <w:rsid w:val="00F96E2C"/>
    <w:rsid w:val="00F97088"/>
    <w:rsid w:val="00F976C0"/>
    <w:rsid w:val="00F97836"/>
    <w:rsid w:val="00FA04D6"/>
    <w:rsid w:val="00FA04EF"/>
    <w:rsid w:val="00FA0795"/>
    <w:rsid w:val="00FA08C2"/>
    <w:rsid w:val="00FA0986"/>
    <w:rsid w:val="00FA0CFB"/>
    <w:rsid w:val="00FA0DA2"/>
    <w:rsid w:val="00FA0E2B"/>
    <w:rsid w:val="00FA104D"/>
    <w:rsid w:val="00FA113C"/>
    <w:rsid w:val="00FA120B"/>
    <w:rsid w:val="00FA162C"/>
    <w:rsid w:val="00FA17F0"/>
    <w:rsid w:val="00FA1933"/>
    <w:rsid w:val="00FA1B8D"/>
    <w:rsid w:val="00FA1E72"/>
    <w:rsid w:val="00FA2708"/>
    <w:rsid w:val="00FA2727"/>
    <w:rsid w:val="00FA2771"/>
    <w:rsid w:val="00FA283A"/>
    <w:rsid w:val="00FA28AA"/>
    <w:rsid w:val="00FA2A3D"/>
    <w:rsid w:val="00FA2B96"/>
    <w:rsid w:val="00FA2E23"/>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06"/>
    <w:rsid w:val="00FB1C1E"/>
    <w:rsid w:val="00FB1D13"/>
    <w:rsid w:val="00FB22EF"/>
    <w:rsid w:val="00FB242F"/>
    <w:rsid w:val="00FB2508"/>
    <w:rsid w:val="00FB27B9"/>
    <w:rsid w:val="00FB27C1"/>
    <w:rsid w:val="00FB2BAD"/>
    <w:rsid w:val="00FB3151"/>
    <w:rsid w:val="00FB3318"/>
    <w:rsid w:val="00FB3322"/>
    <w:rsid w:val="00FB3ED3"/>
    <w:rsid w:val="00FB4279"/>
    <w:rsid w:val="00FB42AB"/>
    <w:rsid w:val="00FB45B7"/>
    <w:rsid w:val="00FB4942"/>
    <w:rsid w:val="00FB4967"/>
    <w:rsid w:val="00FB49AF"/>
    <w:rsid w:val="00FB4D53"/>
    <w:rsid w:val="00FB5182"/>
    <w:rsid w:val="00FB53E3"/>
    <w:rsid w:val="00FB566D"/>
    <w:rsid w:val="00FB587D"/>
    <w:rsid w:val="00FB5B40"/>
    <w:rsid w:val="00FB5D16"/>
    <w:rsid w:val="00FB5E9C"/>
    <w:rsid w:val="00FB5F51"/>
    <w:rsid w:val="00FB60DF"/>
    <w:rsid w:val="00FB6449"/>
    <w:rsid w:val="00FB6504"/>
    <w:rsid w:val="00FB6773"/>
    <w:rsid w:val="00FB69CF"/>
    <w:rsid w:val="00FB6B07"/>
    <w:rsid w:val="00FB6B58"/>
    <w:rsid w:val="00FB6BA1"/>
    <w:rsid w:val="00FB6C90"/>
    <w:rsid w:val="00FB6CB2"/>
    <w:rsid w:val="00FB6D4D"/>
    <w:rsid w:val="00FB6FB5"/>
    <w:rsid w:val="00FB7222"/>
    <w:rsid w:val="00FB7396"/>
    <w:rsid w:val="00FB76B8"/>
    <w:rsid w:val="00FB7934"/>
    <w:rsid w:val="00FB7B97"/>
    <w:rsid w:val="00FB7EF3"/>
    <w:rsid w:val="00FB7F6F"/>
    <w:rsid w:val="00FC0004"/>
    <w:rsid w:val="00FC0013"/>
    <w:rsid w:val="00FC00FE"/>
    <w:rsid w:val="00FC0193"/>
    <w:rsid w:val="00FC0DD5"/>
    <w:rsid w:val="00FC0E23"/>
    <w:rsid w:val="00FC13FD"/>
    <w:rsid w:val="00FC143F"/>
    <w:rsid w:val="00FC162E"/>
    <w:rsid w:val="00FC1D70"/>
    <w:rsid w:val="00FC1E5C"/>
    <w:rsid w:val="00FC1E9F"/>
    <w:rsid w:val="00FC1EE3"/>
    <w:rsid w:val="00FC20E6"/>
    <w:rsid w:val="00FC242A"/>
    <w:rsid w:val="00FC2434"/>
    <w:rsid w:val="00FC2537"/>
    <w:rsid w:val="00FC2589"/>
    <w:rsid w:val="00FC2867"/>
    <w:rsid w:val="00FC2886"/>
    <w:rsid w:val="00FC29ED"/>
    <w:rsid w:val="00FC32CE"/>
    <w:rsid w:val="00FC32D5"/>
    <w:rsid w:val="00FC33E2"/>
    <w:rsid w:val="00FC3413"/>
    <w:rsid w:val="00FC34E1"/>
    <w:rsid w:val="00FC3608"/>
    <w:rsid w:val="00FC3E5D"/>
    <w:rsid w:val="00FC4058"/>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F6"/>
    <w:rsid w:val="00FC656F"/>
    <w:rsid w:val="00FC672F"/>
    <w:rsid w:val="00FC6C6D"/>
    <w:rsid w:val="00FC6C8E"/>
    <w:rsid w:val="00FC6CCF"/>
    <w:rsid w:val="00FC720C"/>
    <w:rsid w:val="00FC73EB"/>
    <w:rsid w:val="00FD0BB7"/>
    <w:rsid w:val="00FD0CD2"/>
    <w:rsid w:val="00FD0E43"/>
    <w:rsid w:val="00FD0F39"/>
    <w:rsid w:val="00FD1555"/>
    <w:rsid w:val="00FD15B5"/>
    <w:rsid w:val="00FD1856"/>
    <w:rsid w:val="00FD1BD1"/>
    <w:rsid w:val="00FD1EA3"/>
    <w:rsid w:val="00FD1FBF"/>
    <w:rsid w:val="00FD2054"/>
    <w:rsid w:val="00FD2056"/>
    <w:rsid w:val="00FD20F4"/>
    <w:rsid w:val="00FD21B0"/>
    <w:rsid w:val="00FD2236"/>
    <w:rsid w:val="00FD22F7"/>
    <w:rsid w:val="00FD24E4"/>
    <w:rsid w:val="00FD2504"/>
    <w:rsid w:val="00FD2617"/>
    <w:rsid w:val="00FD275C"/>
    <w:rsid w:val="00FD2778"/>
    <w:rsid w:val="00FD2B0D"/>
    <w:rsid w:val="00FD2ED7"/>
    <w:rsid w:val="00FD319B"/>
    <w:rsid w:val="00FD3303"/>
    <w:rsid w:val="00FD34F9"/>
    <w:rsid w:val="00FD35E7"/>
    <w:rsid w:val="00FD3605"/>
    <w:rsid w:val="00FD38DE"/>
    <w:rsid w:val="00FD39E2"/>
    <w:rsid w:val="00FD3B83"/>
    <w:rsid w:val="00FD3D49"/>
    <w:rsid w:val="00FD3ECC"/>
    <w:rsid w:val="00FD4063"/>
    <w:rsid w:val="00FD4291"/>
    <w:rsid w:val="00FD4954"/>
    <w:rsid w:val="00FD4E68"/>
    <w:rsid w:val="00FD4EB0"/>
    <w:rsid w:val="00FD4F58"/>
    <w:rsid w:val="00FD4FAA"/>
    <w:rsid w:val="00FD5054"/>
    <w:rsid w:val="00FD5093"/>
    <w:rsid w:val="00FD55BE"/>
    <w:rsid w:val="00FD5709"/>
    <w:rsid w:val="00FD5732"/>
    <w:rsid w:val="00FD591D"/>
    <w:rsid w:val="00FD5E27"/>
    <w:rsid w:val="00FD5E6B"/>
    <w:rsid w:val="00FD5FB0"/>
    <w:rsid w:val="00FD604E"/>
    <w:rsid w:val="00FD60B3"/>
    <w:rsid w:val="00FD61DA"/>
    <w:rsid w:val="00FD6381"/>
    <w:rsid w:val="00FD6503"/>
    <w:rsid w:val="00FD6584"/>
    <w:rsid w:val="00FD65A8"/>
    <w:rsid w:val="00FD6833"/>
    <w:rsid w:val="00FD6900"/>
    <w:rsid w:val="00FD6CE6"/>
    <w:rsid w:val="00FD6EEB"/>
    <w:rsid w:val="00FD6F5F"/>
    <w:rsid w:val="00FD6F78"/>
    <w:rsid w:val="00FD71B9"/>
    <w:rsid w:val="00FD7445"/>
    <w:rsid w:val="00FD7AF4"/>
    <w:rsid w:val="00FD7B19"/>
    <w:rsid w:val="00FD7FD1"/>
    <w:rsid w:val="00FE00A5"/>
    <w:rsid w:val="00FE00B6"/>
    <w:rsid w:val="00FE00BC"/>
    <w:rsid w:val="00FE04B8"/>
    <w:rsid w:val="00FE0523"/>
    <w:rsid w:val="00FE1077"/>
    <w:rsid w:val="00FE1136"/>
    <w:rsid w:val="00FE12BF"/>
    <w:rsid w:val="00FE1773"/>
    <w:rsid w:val="00FE1813"/>
    <w:rsid w:val="00FE1AEA"/>
    <w:rsid w:val="00FE1F1C"/>
    <w:rsid w:val="00FE21BD"/>
    <w:rsid w:val="00FE2839"/>
    <w:rsid w:val="00FE2AD3"/>
    <w:rsid w:val="00FE2BDA"/>
    <w:rsid w:val="00FE313D"/>
    <w:rsid w:val="00FE315A"/>
    <w:rsid w:val="00FE32E0"/>
    <w:rsid w:val="00FE35A4"/>
    <w:rsid w:val="00FE39B7"/>
    <w:rsid w:val="00FE3A18"/>
    <w:rsid w:val="00FE3E10"/>
    <w:rsid w:val="00FE4123"/>
    <w:rsid w:val="00FE413C"/>
    <w:rsid w:val="00FE431B"/>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23"/>
    <w:rsid w:val="00FE6462"/>
    <w:rsid w:val="00FE6A92"/>
    <w:rsid w:val="00FE6B9A"/>
    <w:rsid w:val="00FE6FB2"/>
    <w:rsid w:val="00FE7026"/>
    <w:rsid w:val="00FE738E"/>
    <w:rsid w:val="00FE7614"/>
    <w:rsid w:val="00FE76B0"/>
    <w:rsid w:val="00FE7B92"/>
    <w:rsid w:val="00FF0004"/>
    <w:rsid w:val="00FF0264"/>
    <w:rsid w:val="00FF037E"/>
    <w:rsid w:val="00FF04A0"/>
    <w:rsid w:val="00FF082C"/>
    <w:rsid w:val="00FF0A08"/>
    <w:rsid w:val="00FF0BD3"/>
    <w:rsid w:val="00FF0FD8"/>
    <w:rsid w:val="00FF100D"/>
    <w:rsid w:val="00FF1015"/>
    <w:rsid w:val="00FF1171"/>
    <w:rsid w:val="00FF1807"/>
    <w:rsid w:val="00FF184D"/>
    <w:rsid w:val="00FF1E82"/>
    <w:rsid w:val="00FF1ECE"/>
    <w:rsid w:val="00FF1F20"/>
    <w:rsid w:val="00FF20A2"/>
    <w:rsid w:val="00FF20BC"/>
    <w:rsid w:val="00FF2247"/>
    <w:rsid w:val="00FF2284"/>
    <w:rsid w:val="00FF231A"/>
    <w:rsid w:val="00FF24A7"/>
    <w:rsid w:val="00FF26E3"/>
    <w:rsid w:val="00FF28C7"/>
    <w:rsid w:val="00FF2953"/>
    <w:rsid w:val="00FF30F1"/>
    <w:rsid w:val="00FF3130"/>
    <w:rsid w:val="00FF313B"/>
    <w:rsid w:val="00FF3150"/>
    <w:rsid w:val="00FF31F7"/>
    <w:rsid w:val="00FF359D"/>
    <w:rsid w:val="00FF3C3C"/>
    <w:rsid w:val="00FF3DF5"/>
    <w:rsid w:val="00FF3F55"/>
    <w:rsid w:val="00FF4044"/>
    <w:rsid w:val="00FF43F0"/>
    <w:rsid w:val="00FF4B3F"/>
    <w:rsid w:val="00FF4D84"/>
    <w:rsid w:val="00FF524E"/>
    <w:rsid w:val="00FF52B6"/>
    <w:rsid w:val="00FF562A"/>
    <w:rsid w:val="00FF57D9"/>
    <w:rsid w:val="00FF585E"/>
    <w:rsid w:val="00FF5975"/>
    <w:rsid w:val="00FF5B6B"/>
    <w:rsid w:val="00FF5C2A"/>
    <w:rsid w:val="00FF5EEB"/>
    <w:rsid w:val="00FF6037"/>
    <w:rsid w:val="00FF6664"/>
    <w:rsid w:val="00FF682E"/>
    <w:rsid w:val="00FF6832"/>
    <w:rsid w:val="00FF6A9D"/>
    <w:rsid w:val="00FF6BB9"/>
    <w:rsid w:val="00FF6F78"/>
    <w:rsid w:val="00FF6FBA"/>
    <w:rsid w:val="00FF7211"/>
    <w:rsid w:val="00FF7E98"/>
    <w:rsid w:val="011B2610"/>
    <w:rsid w:val="028125A3"/>
    <w:rsid w:val="04CA931C"/>
    <w:rsid w:val="04E81F7C"/>
    <w:rsid w:val="04E97210"/>
    <w:rsid w:val="05A57196"/>
    <w:rsid w:val="062090EA"/>
    <w:rsid w:val="063F4361"/>
    <w:rsid w:val="07196AB8"/>
    <w:rsid w:val="077A3543"/>
    <w:rsid w:val="078E134C"/>
    <w:rsid w:val="07D7053A"/>
    <w:rsid w:val="08E119CB"/>
    <w:rsid w:val="0A23585F"/>
    <w:rsid w:val="0AC17417"/>
    <w:rsid w:val="0ACED9CA"/>
    <w:rsid w:val="0B68CE0A"/>
    <w:rsid w:val="0C0BF9AD"/>
    <w:rsid w:val="0C15F296"/>
    <w:rsid w:val="0C3B352E"/>
    <w:rsid w:val="0C4BD95B"/>
    <w:rsid w:val="0CC275B3"/>
    <w:rsid w:val="0D40008D"/>
    <w:rsid w:val="0DC77CC4"/>
    <w:rsid w:val="0EE113DE"/>
    <w:rsid w:val="104E5C58"/>
    <w:rsid w:val="11B895B6"/>
    <w:rsid w:val="13B182C0"/>
    <w:rsid w:val="15A944D8"/>
    <w:rsid w:val="173DF425"/>
    <w:rsid w:val="17910E48"/>
    <w:rsid w:val="18701BFE"/>
    <w:rsid w:val="18C57DA0"/>
    <w:rsid w:val="19A42D30"/>
    <w:rsid w:val="1A6F875A"/>
    <w:rsid w:val="1AEAA8C5"/>
    <w:rsid w:val="1BEB3892"/>
    <w:rsid w:val="1C208BE6"/>
    <w:rsid w:val="1C57192A"/>
    <w:rsid w:val="1D04074B"/>
    <w:rsid w:val="1D3D9D63"/>
    <w:rsid w:val="1D9FBF38"/>
    <w:rsid w:val="1DA8596A"/>
    <w:rsid w:val="1DDBF86F"/>
    <w:rsid w:val="1E91EBBC"/>
    <w:rsid w:val="21E177B5"/>
    <w:rsid w:val="241D29A0"/>
    <w:rsid w:val="249ED390"/>
    <w:rsid w:val="29B6939F"/>
    <w:rsid w:val="2B0A1DCD"/>
    <w:rsid w:val="2C62AC5A"/>
    <w:rsid w:val="2DAF3065"/>
    <w:rsid w:val="2DF51F23"/>
    <w:rsid w:val="2E218D98"/>
    <w:rsid w:val="2E807977"/>
    <w:rsid w:val="2F6BB222"/>
    <w:rsid w:val="30131696"/>
    <w:rsid w:val="3048B3F0"/>
    <w:rsid w:val="310DAFAB"/>
    <w:rsid w:val="31104898"/>
    <w:rsid w:val="325F9F2F"/>
    <w:rsid w:val="3314907C"/>
    <w:rsid w:val="337092B3"/>
    <w:rsid w:val="35BE62E8"/>
    <w:rsid w:val="366EDB94"/>
    <w:rsid w:val="369AACDF"/>
    <w:rsid w:val="39A0527A"/>
    <w:rsid w:val="3A399F7C"/>
    <w:rsid w:val="3A5BEB81"/>
    <w:rsid w:val="3A94BDCA"/>
    <w:rsid w:val="3BCDB510"/>
    <w:rsid w:val="3C6C025E"/>
    <w:rsid w:val="3CFA2CDB"/>
    <w:rsid w:val="3F090E64"/>
    <w:rsid w:val="3F27D95D"/>
    <w:rsid w:val="3F97EF33"/>
    <w:rsid w:val="40894401"/>
    <w:rsid w:val="426547BB"/>
    <w:rsid w:val="42A97C42"/>
    <w:rsid w:val="43DC5A6B"/>
    <w:rsid w:val="4575B3F0"/>
    <w:rsid w:val="45EA40B8"/>
    <w:rsid w:val="4888BC3F"/>
    <w:rsid w:val="49A4006B"/>
    <w:rsid w:val="4BC11FB4"/>
    <w:rsid w:val="4CB8503F"/>
    <w:rsid w:val="4D00C952"/>
    <w:rsid w:val="4DDE0439"/>
    <w:rsid w:val="4DE468F8"/>
    <w:rsid w:val="4E5D8F0A"/>
    <w:rsid w:val="4F735663"/>
    <w:rsid w:val="4FF000F6"/>
    <w:rsid w:val="5004A906"/>
    <w:rsid w:val="501D7F25"/>
    <w:rsid w:val="506E7F5A"/>
    <w:rsid w:val="51888350"/>
    <w:rsid w:val="51DF2DAA"/>
    <w:rsid w:val="51FFCDE1"/>
    <w:rsid w:val="525308A1"/>
    <w:rsid w:val="54D745AE"/>
    <w:rsid w:val="55232EC2"/>
    <w:rsid w:val="55E3E7AE"/>
    <w:rsid w:val="566479F0"/>
    <w:rsid w:val="5994ED56"/>
    <w:rsid w:val="5AE8964A"/>
    <w:rsid w:val="5AEE35C0"/>
    <w:rsid w:val="5C3C8134"/>
    <w:rsid w:val="5C49E872"/>
    <w:rsid w:val="5D862296"/>
    <w:rsid w:val="5DA46489"/>
    <w:rsid w:val="5E19C50C"/>
    <w:rsid w:val="5F25A279"/>
    <w:rsid w:val="605A7C1E"/>
    <w:rsid w:val="625EC58B"/>
    <w:rsid w:val="6316BA5A"/>
    <w:rsid w:val="6336EAC9"/>
    <w:rsid w:val="63405C77"/>
    <w:rsid w:val="634EC438"/>
    <w:rsid w:val="63B30CE6"/>
    <w:rsid w:val="649E467B"/>
    <w:rsid w:val="65CF9C86"/>
    <w:rsid w:val="65E6F18E"/>
    <w:rsid w:val="6606551F"/>
    <w:rsid w:val="67313DAA"/>
    <w:rsid w:val="67F0B944"/>
    <w:rsid w:val="6824AD63"/>
    <w:rsid w:val="68C63410"/>
    <w:rsid w:val="68F5F094"/>
    <w:rsid w:val="69F9847C"/>
    <w:rsid w:val="6A442022"/>
    <w:rsid w:val="6AC2546A"/>
    <w:rsid w:val="6B41DAD9"/>
    <w:rsid w:val="6BCCD039"/>
    <w:rsid w:val="6C56B8E2"/>
    <w:rsid w:val="6C9D03E8"/>
    <w:rsid w:val="6D5710A8"/>
    <w:rsid w:val="6E2E8C2E"/>
    <w:rsid w:val="6EDD5365"/>
    <w:rsid w:val="6F04E70A"/>
    <w:rsid w:val="6F7DC638"/>
    <w:rsid w:val="6FCD0958"/>
    <w:rsid w:val="71E9135C"/>
    <w:rsid w:val="72148968"/>
    <w:rsid w:val="723DBDF7"/>
    <w:rsid w:val="72514910"/>
    <w:rsid w:val="7324EDD0"/>
    <w:rsid w:val="732AEBEB"/>
    <w:rsid w:val="73B4B12D"/>
    <w:rsid w:val="7421A67D"/>
    <w:rsid w:val="753ABFF4"/>
    <w:rsid w:val="757B5077"/>
    <w:rsid w:val="75A2A3DC"/>
    <w:rsid w:val="768AEE1F"/>
    <w:rsid w:val="76A6FF3E"/>
    <w:rsid w:val="76ADF8A6"/>
    <w:rsid w:val="7706393A"/>
    <w:rsid w:val="78CABC43"/>
    <w:rsid w:val="78DD77A4"/>
    <w:rsid w:val="7B8C69B6"/>
    <w:rsid w:val="7BC5470E"/>
    <w:rsid w:val="7D67C671"/>
    <w:rsid w:val="7D8B9325"/>
    <w:rsid w:val="7DB3D33A"/>
    <w:rsid w:val="7E722E2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92C0FA"/>
  <w15:docId w15:val="{F8805B64-B702-4ABB-91AB-597CA3F40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jc w:val="both"/>
    </w:pPr>
    <w:rPr>
      <w:rFonts w:ascii="Courier New" w:hAnsi="Courier New"/>
      <w:sz w:val="24"/>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link w:val="EndnoteTextChar"/>
    <w:uiPriority w:val="99"/>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uiPriority w:val="99"/>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uiPriority w:val="99"/>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fr-FR"/>
    </w:rPr>
  </w:style>
  <w:style w:type="paragraph" w:customStyle="1" w:styleId="Initial">
    <w:name w:val="Initial"/>
    <w:link w:val="InitialChar"/>
    <w:pPr>
      <w:tabs>
        <w:tab w:val="left" w:pos="-720"/>
      </w:tabs>
      <w:suppressAutoHyphens/>
      <w:jc w:val="both"/>
    </w:pPr>
    <w:rPr>
      <w:spacing w:val="-3"/>
      <w:sz w:val="24"/>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rPr>
  </w:style>
  <w:style w:type="character" w:styleId="Hyperlink">
    <w:name w:val="Hyperlink"/>
    <w:aliases w:val="Char1"/>
    <w:uiPriority w:val="99"/>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semiHidden/>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lang w:eastAsia="ko-KR"/>
    </w:rPr>
  </w:style>
  <w:style w:type="paragraph" w:customStyle="1" w:styleId="Normal12Tab">
    <w:name w:val="Normal12Tab"/>
    <w:basedOn w:val="Normal"/>
    <w:rsid w:val="00AA6DD4"/>
    <w:pPr>
      <w:widowControl w:val="0"/>
      <w:tabs>
        <w:tab w:val="left" w:pos="357"/>
      </w:tabs>
      <w:jc w:val="left"/>
    </w:pPr>
    <w:rPr>
      <w:rFonts w:ascii="Times New Roman" w:hAnsi="Times New Roman"/>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uiPriority w:val="39"/>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rPr>
  </w:style>
  <w:style w:type="character" w:customStyle="1" w:styleId="Normal12Char">
    <w:name w:val="Normal 12 Char"/>
    <w:link w:val="Normal12"/>
    <w:rsid w:val="0027701F"/>
    <w:rPr>
      <w:noProof/>
      <w:sz w:val="24"/>
      <w:lang w:val="fr-FR" w:eastAsia="en-GB" w:bidi="ar-SA"/>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fr-FR" w:eastAsia="en-GB" w:bidi="ar-SA"/>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fr-FR" w:eastAsia="en-US" w:bidi="ar-SA"/>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fr-FR" w:eastAsia="en-GB" w:bidi="ar-SA"/>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rPr>
  </w:style>
  <w:style w:type="paragraph" w:customStyle="1" w:styleId="normal12hanging0">
    <w:name w:val="normal12hanging"/>
    <w:basedOn w:val="Normal"/>
    <w:rsid w:val="00E709A0"/>
    <w:pPr>
      <w:ind w:left="357" w:hanging="357"/>
      <w:jc w:val="left"/>
    </w:pPr>
    <w:rPr>
      <w:rFonts w:ascii="Times New Roman" w:hAnsi="Times New Roman"/>
      <w:szCs w:val="24"/>
    </w:rPr>
  </w:style>
  <w:style w:type="paragraph" w:customStyle="1" w:styleId="CharCharChar">
    <w:name w:val="Char Char Char"/>
    <w:basedOn w:val="Normal"/>
    <w:next w:val="Normal"/>
    <w:rsid w:val="00E709A0"/>
    <w:pPr>
      <w:spacing w:after="160" w:line="240" w:lineRule="exact"/>
      <w:jc w:val="left"/>
    </w:pPr>
    <w:rPr>
      <w:rFonts w:ascii="Tahoma" w:hAnsi="Tahoma"/>
    </w:rPr>
  </w:style>
  <w:style w:type="paragraph" w:customStyle="1" w:styleId="CharCharChar0">
    <w:name w:val="Char Char Char0"/>
    <w:basedOn w:val="Normal"/>
    <w:uiPriority w:val="99"/>
    <w:rsid w:val="0092510C"/>
    <w:pPr>
      <w:spacing w:after="160" w:line="240" w:lineRule="exact"/>
      <w:jc w:val="left"/>
    </w:pPr>
    <w:rPr>
      <w:rFonts w:ascii="Tahoma" w:hAnsi="Tahoma"/>
      <w:sz w:val="20"/>
    </w:rPr>
  </w:style>
  <w:style w:type="character" w:customStyle="1" w:styleId="Normal12Char0">
    <w:name w:val="Normal12 Char"/>
    <w:link w:val="Normal120"/>
    <w:rsid w:val="008D0782"/>
    <w:rPr>
      <w:sz w:val="24"/>
      <w:szCs w:val="24"/>
      <w:lang w:val="fr-FR" w:eastAsia="en-GB" w:bidi="ar-SA"/>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rPr>
  </w:style>
  <w:style w:type="paragraph" w:customStyle="1" w:styleId="Char1">
    <w:name w:val="Char1"/>
    <w:basedOn w:val="Normal"/>
    <w:rsid w:val="00F47B73"/>
    <w:pPr>
      <w:spacing w:after="160" w:line="240" w:lineRule="exact"/>
      <w:jc w:val="left"/>
    </w:pPr>
    <w:rPr>
      <w:rFonts w:ascii="Tahoma" w:hAnsi="Tahoma"/>
      <w:sz w:val="20"/>
    </w:rPr>
  </w:style>
  <w:style w:type="paragraph" w:customStyle="1" w:styleId="Char">
    <w:name w:val="Char"/>
    <w:basedOn w:val="Normal"/>
    <w:rsid w:val="00124A7A"/>
    <w:pPr>
      <w:spacing w:after="160" w:line="240" w:lineRule="exact"/>
      <w:jc w:val="left"/>
    </w:pPr>
    <w:rPr>
      <w:rFonts w:ascii="Tahoma" w:hAnsi="Tahoma"/>
      <w:sz w:val="20"/>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fr-FR" w:eastAsia="en-GB" w:bidi="ar-SA"/>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rPr>
  </w:style>
  <w:style w:type="character" w:customStyle="1" w:styleId="Text1Char">
    <w:name w:val="Text 1 Char"/>
    <w:link w:val="Text1"/>
    <w:rsid w:val="001B76B5"/>
    <w:rPr>
      <w:rFonts w:ascii="Courier New" w:hAnsi="Courier New"/>
      <w:sz w:val="24"/>
      <w:lang w:val="fr-FR" w:eastAsia="en-GB" w:bidi="ar-SA"/>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fr-FR" w:eastAsia="en-GB" w:bidi="ar-SA"/>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rPr>
  </w:style>
  <w:style w:type="character" w:customStyle="1" w:styleId="Marker">
    <w:name w:val="Marker"/>
    <w:rsid w:val="00FE35A4"/>
    <w:rPr>
      <w:color w:val="0000FF"/>
      <w:lang w:val="fr-FR"/>
    </w:rPr>
  </w:style>
  <w:style w:type="paragraph" w:customStyle="1" w:styleId="CarChar">
    <w:name w:val="Car Char"/>
    <w:basedOn w:val="Normal"/>
    <w:rsid w:val="00573DC5"/>
    <w:pPr>
      <w:spacing w:after="160" w:line="240" w:lineRule="exact"/>
      <w:jc w:val="left"/>
    </w:pPr>
    <w:rPr>
      <w:rFonts w:ascii="Tahoma" w:hAnsi="Tahoma"/>
      <w:sz w:val="20"/>
    </w:rPr>
  </w:style>
  <w:style w:type="paragraph" w:customStyle="1" w:styleId="Car">
    <w:name w:val="Car"/>
    <w:basedOn w:val="Normal"/>
    <w:rsid w:val="00F02465"/>
    <w:pPr>
      <w:spacing w:after="160" w:line="240" w:lineRule="exact"/>
      <w:jc w:val="left"/>
    </w:pPr>
    <w:rPr>
      <w:rFonts w:ascii="Arial" w:hAnsi="Arial" w:cs="Arial"/>
      <w:sz w:val="28"/>
      <w:szCs w:val="28"/>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fr-FR" w:eastAsia="en-GB" w:bidi="ar-SA"/>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uiPriority w:val="99"/>
    <w:rsid w:val="00990461"/>
    <w:rPr>
      <w:lang w:val="fr-FR" w:eastAsia="fr-FR" w:bidi="ar-SA"/>
    </w:rPr>
  </w:style>
  <w:style w:type="paragraph" w:customStyle="1" w:styleId="Default">
    <w:name w:val="Default"/>
    <w:rsid w:val="00990461"/>
    <w:pPr>
      <w:autoSpaceDE w:val="0"/>
      <w:autoSpaceDN w:val="0"/>
      <w:adjustRightInd w:val="0"/>
    </w:pPr>
    <w:rPr>
      <w:color w:val="000000"/>
      <w:sz w:val="24"/>
      <w:szCs w:val="24"/>
      <w:lang w:eastAsia="fr-FR"/>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fr-FR" w:eastAsia="en-GB" w:bidi="ar-SA"/>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rPr>
  </w:style>
  <w:style w:type="paragraph" w:customStyle="1" w:styleId="Znak">
    <w:name w:val="Znak"/>
    <w:basedOn w:val="Normal"/>
    <w:rsid w:val="00A76EE9"/>
    <w:pPr>
      <w:spacing w:after="160" w:line="240" w:lineRule="exact"/>
      <w:jc w:val="left"/>
    </w:pPr>
    <w:rPr>
      <w:rFonts w:ascii="Tahoma" w:hAnsi="Tahoma"/>
      <w:sz w:val="20"/>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fr-FR" w:eastAsia="en-GB" w:bidi="ar-SA"/>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fr-FR" w:eastAsia="en-GB" w:bidi="ar-SA"/>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rPr>
  </w:style>
  <w:style w:type="character" w:customStyle="1" w:styleId="ListBulletChar">
    <w:name w:val="List Bullet Char"/>
    <w:rsid w:val="00B36749"/>
    <w:rPr>
      <w:sz w:val="24"/>
      <w:lang w:val="fr-FR" w:eastAsia="en-US" w:bidi="ar-SA"/>
    </w:rPr>
  </w:style>
  <w:style w:type="character" w:customStyle="1" w:styleId="Normal12HangingZnak">
    <w:name w:val="Normal12Hanging Znak"/>
    <w:rsid w:val="006474F2"/>
    <w:rPr>
      <w:sz w:val="24"/>
      <w:lang w:val="fr-FR" w:eastAsia="en-GB" w:bidi="ar-SA"/>
    </w:rPr>
  </w:style>
  <w:style w:type="character" w:customStyle="1" w:styleId="Text2Char1">
    <w:name w:val="Text 2 Char1"/>
    <w:link w:val="Text2"/>
    <w:rsid w:val="006474F2"/>
    <w:rPr>
      <w:rFonts w:ascii="Courier New" w:hAnsi="Courier New"/>
      <w:sz w:val="24"/>
      <w:lang w:val="fr-FR" w:eastAsia="en-GB" w:bidi="ar-SA"/>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fr-FR" w:eastAsia="en-GB" w:bidi="ar-SA"/>
    </w:rPr>
  </w:style>
  <w:style w:type="character" w:customStyle="1" w:styleId="ListBulletCharCharChar">
    <w:name w:val="List Bullet Char Char Char"/>
    <w:rsid w:val="00536069"/>
    <w:rPr>
      <w:sz w:val="24"/>
      <w:lang w:val="fr-FR" w:eastAsia="en-US" w:bidi="ar-SA"/>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fr-FR" w:eastAsia="ko-KR" w:bidi="ar-SA"/>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lang w:eastAsia="de-DE"/>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fr-FR" w:eastAsia="en-GB" w:bidi="ar-SA"/>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lang w:eastAsia="de-DE"/>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rPr>
  </w:style>
  <w:style w:type="paragraph" w:customStyle="1" w:styleId="Considrant">
    <w:name w:val="Considérant"/>
    <w:basedOn w:val="Normal"/>
    <w:rsid w:val="009D3B39"/>
    <w:pPr>
      <w:numPr>
        <w:numId w:val="19"/>
      </w:numPr>
      <w:spacing w:before="120" w:after="120"/>
    </w:pPr>
    <w:rPr>
      <w:rFonts w:ascii="Times New Roman" w:hAnsi="Times New Roman"/>
      <w:lang w:eastAsia="zh-C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fr-FR" w:eastAsia="en-GB" w:bidi="ar-SA"/>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fr-FR" w:eastAsia="en-US" w:bidi="ar-SA"/>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rPr>
  </w:style>
  <w:style w:type="paragraph" w:customStyle="1" w:styleId="Point0">
    <w:name w:val="Point 0"/>
    <w:basedOn w:val="Normal"/>
    <w:rsid w:val="001912E2"/>
    <w:pPr>
      <w:spacing w:before="120" w:after="120"/>
      <w:ind w:left="850" w:hanging="850"/>
    </w:pPr>
    <w:rPr>
      <w:rFonts w:ascii="Times New Roman" w:hAnsi="Times New Roman"/>
      <w:szCs w:val="24"/>
      <w:lang w:eastAsia="de-DE"/>
    </w:rPr>
  </w:style>
  <w:style w:type="character" w:customStyle="1" w:styleId="5NormalCar">
    <w:name w:val="5 Normal Car"/>
    <w:rsid w:val="005951D7"/>
    <w:rPr>
      <w:rFonts w:ascii="Arial" w:hAnsi="Arial"/>
      <w:spacing w:val="-2"/>
      <w:sz w:val="22"/>
      <w:lang w:val="fr-FR" w:eastAsia="en-GB" w:bidi="ar-SA"/>
    </w:rPr>
  </w:style>
  <w:style w:type="paragraph" w:customStyle="1" w:styleId="Briefingspeakdef">
    <w:name w:val="Briefing speak/def"/>
    <w:basedOn w:val="Normal"/>
    <w:rsid w:val="005951D7"/>
    <w:pPr>
      <w:numPr>
        <w:numId w:val="20"/>
      </w:numPr>
      <w:tabs>
        <w:tab w:val="clear" w:pos="765"/>
        <w:tab w:val="num" w:pos="284"/>
      </w:tabs>
      <w:ind w:left="284" w:hanging="284"/>
    </w:pPr>
    <w:rPr>
      <w:rFonts w:ascii="Tahoma" w:hAnsi="Tahoma" w:cs="Tahoma"/>
      <w:sz w:val="40"/>
      <w:szCs w:val="22"/>
    </w:rPr>
  </w:style>
  <w:style w:type="character" w:customStyle="1" w:styleId="NormalWebChar">
    <w:name w:val="Normal (Web) Char"/>
    <w:aliases w:val="webb Char"/>
    <w:rsid w:val="00AB650D"/>
    <w:rPr>
      <w:sz w:val="24"/>
      <w:szCs w:val="24"/>
      <w:lang w:val="fr-FR" w:eastAsia="en-GB" w:bidi="ar-SA"/>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rPr>
  </w:style>
  <w:style w:type="character" w:customStyle="1" w:styleId="BriefingtextChar">
    <w:name w:val="Briefing text Char"/>
    <w:link w:val="Briefingtext"/>
    <w:rsid w:val="00217E48"/>
    <w:rPr>
      <w:rFonts w:ascii="Arial" w:hAnsi="Arial" w:cs="Arial"/>
      <w:sz w:val="22"/>
      <w:szCs w:val="24"/>
      <w:lang w:val="fr-FR" w:eastAsia="en-US" w:bidi="ar-SA"/>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Char1 Char"/>
    <w:uiPriority w:val="99"/>
    <w:locked/>
    <w:rsid w:val="00EA0D59"/>
    <w:rPr>
      <w:lang w:val="fr-FR" w:eastAsia="en-GB" w:bidi="ar-SA"/>
    </w:rPr>
  </w:style>
  <w:style w:type="character" w:customStyle="1" w:styleId="InitialChar">
    <w:name w:val="Initial Char"/>
    <w:link w:val="Initial"/>
    <w:rsid w:val="00FD22F7"/>
    <w:rPr>
      <w:spacing w:val="-3"/>
      <w:sz w:val="24"/>
      <w:lang w:val="fr-FR" w:eastAsia="en-GB" w:bidi="ar-SA"/>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fr-FR" w:eastAsia="en-GB" w:bidi="ar-SA"/>
    </w:rPr>
  </w:style>
  <w:style w:type="paragraph" w:customStyle="1" w:styleId="ZnakZnak">
    <w:name w:val="Znak Znak"/>
    <w:basedOn w:val="Normal"/>
    <w:link w:val="NoList"/>
    <w:rsid w:val="00E61FC7"/>
    <w:pPr>
      <w:spacing w:after="0" w:line="360" w:lineRule="auto"/>
    </w:pPr>
    <w:rPr>
      <w:rFonts w:ascii="Verdana" w:hAnsi="Verdana"/>
      <w:sz w:val="20"/>
      <w:lang w:eastAsia="pl-PL"/>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fr-FR" w:eastAsia="en-GB" w:bidi="ar-SA"/>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fr-FR" w:eastAsia="en-GB" w:bidi="ar-SA"/>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0"/>
    <w:basedOn w:val="Normal"/>
    <w:rsid w:val="002D2D7A"/>
    <w:pPr>
      <w:spacing w:after="0" w:line="360" w:lineRule="auto"/>
    </w:pPr>
    <w:rPr>
      <w:rFonts w:ascii="Verdana" w:hAnsi="Verdana"/>
      <w:sz w:val="20"/>
      <w:lang w:eastAsia="pl-PL"/>
    </w:rPr>
  </w:style>
  <w:style w:type="character" w:customStyle="1" w:styleId="NoSpacingChar">
    <w:name w:val="No Spacing Char"/>
    <w:link w:val="NoSpacing"/>
    <w:uiPriority w:val="1"/>
    <w:locked/>
    <w:rsid w:val="00513CF8"/>
    <w:rPr>
      <w:rFonts w:ascii="Arial" w:hAnsi="Arial"/>
      <w:sz w:val="22"/>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rPr>
  </w:style>
  <w:style w:type="paragraph" w:customStyle="1" w:styleId="MediumGrid21">
    <w:name w:val="Medium Grid 21"/>
    <w:link w:val="MediumGrid2Char"/>
    <w:uiPriority w:val="1"/>
    <w:qFormat/>
    <w:rsid w:val="007C5D8A"/>
    <w:rPr>
      <w:rFonts w:ascii="Arial" w:hAnsi="Arial"/>
      <w:sz w:val="22"/>
      <w:szCs w:val="22"/>
    </w:rPr>
  </w:style>
  <w:style w:type="character" w:customStyle="1" w:styleId="MediumGrid2Char">
    <w:name w:val="Medium Grid 2 Char"/>
    <w:link w:val="MediumGrid21"/>
    <w:uiPriority w:val="1"/>
    <w:locked/>
    <w:rsid w:val="007C5D8A"/>
    <w:rPr>
      <w:rFonts w:ascii="Arial" w:hAnsi="Arial"/>
      <w:sz w:val="22"/>
      <w:szCs w:val="22"/>
      <w:lang w:eastAsia="en-US"/>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lang w:eastAsia="en-GB"/>
    </w:rPr>
  </w:style>
  <w:style w:type="paragraph" w:customStyle="1" w:styleId="CM3">
    <w:name w:val="CM3"/>
    <w:basedOn w:val="Default"/>
    <w:next w:val="Default"/>
    <w:uiPriority w:val="99"/>
    <w:rsid w:val="007C5D8A"/>
    <w:rPr>
      <w:rFonts w:ascii="EUAlbertina" w:hAnsi="EUAlbertina"/>
      <w:color w:val="auto"/>
      <w:lang w:eastAsia="en-GB"/>
    </w:rPr>
  </w:style>
  <w:style w:type="paragraph" w:customStyle="1" w:styleId="CM4">
    <w:name w:val="CM4"/>
    <w:basedOn w:val="Default"/>
    <w:next w:val="Default"/>
    <w:uiPriority w:val="99"/>
    <w:rsid w:val="007C5D8A"/>
    <w:rPr>
      <w:rFonts w:ascii="EUAlbertina" w:hAnsi="EUAlbertina"/>
      <w:color w:val="auto"/>
      <w:lang w:eastAsia="en-GB"/>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 w:type="character" w:customStyle="1" w:styleId="A5">
    <w:name w:val="A5"/>
    <w:uiPriority w:val="99"/>
    <w:rsid w:val="007F48ED"/>
    <w:rPr>
      <w:rFonts w:cs="EC Square Sans Cond Pro"/>
      <w:color w:val="000000"/>
      <w:sz w:val="22"/>
      <w:szCs w:val="22"/>
    </w:rPr>
  </w:style>
  <w:style w:type="paragraph" w:customStyle="1" w:styleId="Appelnotedebasdep">
    <w:name w:val="Appel note de bas de p"/>
    <w:aliases w:val="Nota,Ref"/>
    <w:basedOn w:val="Normal"/>
    <w:next w:val="Normal"/>
    <w:uiPriority w:val="99"/>
    <w:rsid w:val="008C79B9"/>
    <w:pPr>
      <w:spacing w:after="160" w:line="240" w:lineRule="exact"/>
      <w:jc w:val="left"/>
    </w:pPr>
    <w:rPr>
      <w:rFonts w:ascii="Times New Roman" w:hAnsi="Times New Roman"/>
      <w:sz w:val="20"/>
      <w:vertAlign w:val="superscript"/>
    </w:rPr>
  </w:style>
  <w:style w:type="character" w:customStyle="1" w:styleId="Corpsdutexte5">
    <w:name w:val="Corps du texte (5)_"/>
    <w:link w:val="Corpsdutexte50"/>
    <w:rsid w:val="00096700"/>
    <w:rPr>
      <w:sz w:val="22"/>
      <w:szCs w:val="22"/>
      <w:shd w:val="clear" w:color="auto" w:fill="FFFFFF"/>
    </w:rPr>
  </w:style>
  <w:style w:type="paragraph" w:customStyle="1" w:styleId="Corpsdutexte50">
    <w:name w:val="Corps du texte (5)"/>
    <w:basedOn w:val="Normal"/>
    <w:link w:val="Corpsdutexte5"/>
    <w:rsid w:val="00096700"/>
    <w:pPr>
      <w:widowControl w:val="0"/>
      <w:shd w:val="clear" w:color="auto" w:fill="FFFFFF"/>
      <w:spacing w:before="300" w:after="60" w:line="0" w:lineRule="atLeast"/>
      <w:ind w:hanging="360"/>
      <w:jc w:val="left"/>
    </w:pPr>
    <w:rPr>
      <w:rFonts w:ascii="Times New Roman" w:hAnsi="Times New Roman"/>
      <w:sz w:val="22"/>
      <w:szCs w:val="22"/>
    </w:r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uiPriority w:val="99"/>
    <w:rsid w:val="00D8297C"/>
    <w:pPr>
      <w:spacing w:after="160" w:line="240" w:lineRule="exact"/>
      <w:jc w:val="left"/>
    </w:pPr>
    <w:rPr>
      <w:rFonts w:ascii="Times New Roman" w:hAnsi="Times New Roman"/>
      <w:sz w:val="20"/>
      <w:vertAlign w:val="superscript"/>
    </w:rPr>
  </w:style>
  <w:style w:type="character" w:styleId="EndnoteReference">
    <w:name w:val="endnote reference"/>
    <w:rsid w:val="000B70BC"/>
    <w:rPr>
      <w:vertAlign w:val="superscript"/>
    </w:rPr>
  </w:style>
  <w:style w:type="character" w:customStyle="1" w:styleId="Bodytext29pt">
    <w:name w:val="Body text (2) + 9 pt"/>
    <w:rsid w:val="000B70BC"/>
    <w:rPr>
      <w:rFonts w:ascii="Arial" w:eastAsia="Arial" w:hAnsi="Arial" w:cs="Arial" w:hint="default"/>
      <w:b w:val="0"/>
      <w:bCs w:val="0"/>
      <w:i w:val="0"/>
      <w:iCs w:val="0"/>
      <w:smallCaps w:val="0"/>
      <w:strike w:val="0"/>
      <w:dstrike w:val="0"/>
      <w:color w:val="000000"/>
      <w:spacing w:val="0"/>
      <w:w w:val="100"/>
      <w:position w:val="0"/>
      <w:sz w:val="18"/>
      <w:szCs w:val="18"/>
      <w:u w:val="none"/>
      <w:effect w:val="none"/>
      <w:lang w:val="fr-FR" w:eastAsia="en-US" w:bidi="en-US"/>
    </w:rPr>
  </w:style>
  <w:style w:type="character" w:customStyle="1" w:styleId="EndnoteTextChar">
    <w:name w:val="Endnote Text Char"/>
    <w:link w:val="EndnoteText"/>
    <w:uiPriority w:val="99"/>
    <w:semiHidden/>
    <w:rsid w:val="000B70BC"/>
    <w:rPr>
      <w:rFonts w:ascii="Courier New" w:hAnsi="Courier New"/>
    </w:rPr>
  </w:style>
  <w:style w:type="paragraph" w:customStyle="1" w:styleId="briefingtext0">
    <w:name w:val="briefingtext"/>
    <w:basedOn w:val="Normal"/>
    <w:rsid w:val="00441AFE"/>
    <w:rPr>
      <w:rFonts w:ascii="Arial" w:eastAsia="Calibri" w:hAnsi="Arial" w:cs="Arial"/>
      <w:sz w:val="22"/>
      <w:szCs w:val="22"/>
    </w:rPr>
  </w:style>
  <w:style w:type="character" w:customStyle="1" w:styleId="tgc">
    <w:name w:val="_tgc"/>
    <w:rsid w:val="003B7B24"/>
  </w:style>
  <w:style w:type="character" w:customStyle="1" w:styleId="reference">
    <w:name w:val="reference"/>
    <w:rsid w:val="00E46D65"/>
  </w:style>
  <w:style w:type="character" w:customStyle="1" w:styleId="playerscommitteetext">
    <w:name w:val="players_committee_text"/>
    <w:rsid w:val="00BA139E"/>
  </w:style>
  <w:style w:type="character" w:customStyle="1" w:styleId="playersrapportertext">
    <w:name w:val="players_rapporter_text"/>
    <w:rsid w:val="003F006A"/>
  </w:style>
  <w:style w:type="character" w:styleId="UnresolvedMention">
    <w:name w:val="Unresolved Mention"/>
    <w:uiPriority w:val="99"/>
    <w:semiHidden/>
    <w:unhideWhenUsed/>
    <w:rsid w:val="00A8653F"/>
    <w:rPr>
      <w:color w:val="605E5C"/>
      <w:shd w:val="clear" w:color="auto" w:fill="E1DFDD"/>
    </w:rPr>
  </w:style>
  <w:style w:type="character" w:styleId="Mention">
    <w:name w:val="Mention"/>
    <w:uiPriority w:val="99"/>
    <w:unhideWhenUsed/>
    <w:rsid w:val="003C153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250601">
      <w:bodyDiv w:val="1"/>
      <w:marLeft w:val="0"/>
      <w:marRight w:val="0"/>
      <w:marTop w:val="0"/>
      <w:marBottom w:val="0"/>
      <w:divBdr>
        <w:top w:val="none" w:sz="0" w:space="0" w:color="auto"/>
        <w:left w:val="none" w:sz="0" w:space="0" w:color="auto"/>
        <w:bottom w:val="none" w:sz="0" w:space="0" w:color="auto"/>
        <w:right w:val="none" w:sz="0" w:space="0" w:color="auto"/>
      </w:divBdr>
    </w:div>
    <w:div w:id="920257646">
      <w:bodyDiv w:val="1"/>
      <w:marLeft w:val="0"/>
      <w:marRight w:val="0"/>
      <w:marTop w:val="0"/>
      <w:marBottom w:val="0"/>
      <w:divBdr>
        <w:top w:val="none" w:sz="0" w:space="0" w:color="auto"/>
        <w:left w:val="none" w:sz="0" w:space="0" w:color="auto"/>
        <w:bottom w:val="none" w:sz="0" w:space="0" w:color="auto"/>
        <w:right w:val="none" w:sz="0" w:space="0" w:color="auto"/>
      </w:divBdr>
    </w:div>
    <w:div w:id="944964283">
      <w:bodyDiv w:val="1"/>
      <w:marLeft w:val="0"/>
      <w:marRight w:val="0"/>
      <w:marTop w:val="0"/>
      <w:marBottom w:val="0"/>
      <w:divBdr>
        <w:top w:val="none" w:sz="0" w:space="0" w:color="auto"/>
        <w:left w:val="none" w:sz="0" w:space="0" w:color="auto"/>
        <w:bottom w:val="none" w:sz="0" w:space="0" w:color="auto"/>
        <w:right w:val="none" w:sz="0" w:space="0" w:color="auto"/>
      </w:divBdr>
    </w:div>
    <w:div w:id="1116024083">
      <w:bodyDiv w:val="1"/>
      <w:marLeft w:val="0"/>
      <w:marRight w:val="0"/>
      <w:marTop w:val="0"/>
      <w:marBottom w:val="0"/>
      <w:divBdr>
        <w:top w:val="none" w:sz="0" w:space="0" w:color="auto"/>
        <w:left w:val="none" w:sz="0" w:space="0" w:color="auto"/>
        <w:bottom w:val="none" w:sz="0" w:space="0" w:color="auto"/>
        <w:right w:val="none" w:sz="0" w:space="0" w:color="auto"/>
      </w:divBdr>
    </w:div>
    <w:div w:id="1457067635">
      <w:bodyDiv w:val="1"/>
      <w:marLeft w:val="0"/>
      <w:marRight w:val="0"/>
      <w:marTop w:val="0"/>
      <w:marBottom w:val="0"/>
      <w:divBdr>
        <w:top w:val="none" w:sz="0" w:space="0" w:color="auto"/>
        <w:left w:val="none" w:sz="0" w:space="0" w:color="auto"/>
        <w:bottom w:val="none" w:sz="0" w:space="0" w:color="auto"/>
        <w:right w:val="none" w:sz="0" w:space="0" w:color="auto"/>
      </w:divBdr>
    </w:div>
    <w:div w:id="1540363850">
      <w:bodyDiv w:val="1"/>
      <w:marLeft w:val="0"/>
      <w:marRight w:val="0"/>
      <w:marTop w:val="0"/>
      <w:marBottom w:val="0"/>
      <w:divBdr>
        <w:top w:val="none" w:sz="0" w:space="0" w:color="auto"/>
        <w:left w:val="none" w:sz="0" w:space="0" w:color="auto"/>
        <w:bottom w:val="none" w:sz="0" w:space="0" w:color="auto"/>
        <w:right w:val="none" w:sz="0" w:space="0" w:color="auto"/>
      </w:divBdr>
    </w:div>
    <w:div w:id="1560705206">
      <w:bodyDiv w:val="1"/>
      <w:marLeft w:val="0"/>
      <w:marRight w:val="0"/>
      <w:marTop w:val="0"/>
      <w:marBottom w:val="0"/>
      <w:divBdr>
        <w:top w:val="none" w:sz="0" w:space="0" w:color="auto"/>
        <w:left w:val="none" w:sz="0" w:space="0" w:color="auto"/>
        <w:bottom w:val="none" w:sz="0" w:space="0" w:color="auto"/>
        <w:right w:val="none" w:sz="0" w:space="0" w:color="auto"/>
      </w:divBdr>
    </w:div>
    <w:div w:id="1707943742">
      <w:bodyDiv w:val="1"/>
      <w:marLeft w:val="0"/>
      <w:marRight w:val="0"/>
      <w:marTop w:val="0"/>
      <w:marBottom w:val="0"/>
      <w:divBdr>
        <w:top w:val="none" w:sz="0" w:space="0" w:color="auto"/>
        <w:left w:val="none" w:sz="0" w:space="0" w:color="auto"/>
        <w:bottom w:val="none" w:sz="0" w:space="0" w:color="auto"/>
        <w:right w:val="none" w:sz="0" w:space="0" w:color="auto"/>
      </w:divBdr>
    </w:div>
    <w:div w:id="194996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competition-policy.ec.europa.eu/about/reaching-out/implementation-dialogue-ipceis_en" TargetMode="External"/><Relationship Id="rId1" Type="http://schemas.openxmlformats.org/officeDocument/2006/relationships/hyperlink" Target="https://single-market-economy.ec.europa.eu/system/files/2024-05/CHEMTP%20Annual%20Progress%20Report%202023.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1" ma:contentTypeDescription="Create a new document." ma:contentTypeScope="" ma:versionID="2f7a1b070784ad07a273cb79b2e0bffb">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efdbc7de6c019c70dd2b077576fdba83"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af9dd6c6-cf8f-4aa4-be49-f1cc0da589a4" xsi:nil="true"/>
  </documentManagement>
</p:properties>
</file>

<file path=customXml/itemProps1.xml><?xml version="1.0" encoding="utf-8"?>
<ds:datastoreItem xmlns:ds="http://schemas.openxmlformats.org/officeDocument/2006/customXml" ds:itemID="{F752E434-D90D-48F3-BFFA-3B5111042725}"/>
</file>

<file path=customXml/itemProps2.xml><?xml version="1.0" encoding="utf-8"?>
<ds:datastoreItem xmlns:ds="http://schemas.openxmlformats.org/officeDocument/2006/customXml" ds:itemID="{E81EF6E5-587B-45A1-BF05-EA372D839199}">
  <ds:schemaRefs>
    <ds:schemaRef ds:uri="http://schemas.openxmlformats.org/officeDocument/2006/bibliography"/>
  </ds:schemaRefs>
</ds:datastoreItem>
</file>

<file path=customXml/itemProps3.xml><?xml version="1.0" encoding="utf-8"?>
<ds:datastoreItem xmlns:ds="http://schemas.openxmlformats.org/officeDocument/2006/customXml" ds:itemID="{B8313C0D-2CE7-48C8-919B-2F5073358C4F}">
  <ds:schemaRefs>
    <ds:schemaRef ds:uri="http://schemas.microsoft.com/sharepoint/v3/contenttype/forms"/>
  </ds:schemaRefs>
</ds:datastoreItem>
</file>

<file path=customXml/itemProps4.xml><?xml version="1.0" encoding="utf-8"?>
<ds:datastoreItem xmlns:ds="http://schemas.openxmlformats.org/officeDocument/2006/customXml" ds:itemID="{BC7CDE3D-DC54-4599-BBE0-F5F4FCDE67CF}">
  <ds:schemaRefs>
    <ds:schemaRef ds:uri="http://schemas.microsoft.com/office/2006/metadata/properties"/>
    <ds:schemaRef ds:uri="http://schemas.microsoft.com/office/infopath/2007/PartnerControls"/>
    <ds:schemaRef ds:uri="1b1e5321-5d6d-40f3-a89c-b5482dd566c1"/>
    <ds:schemaRef ds:uri="af9dd6c6-cf8f-4aa4-be49-f1cc0da589a4"/>
  </ds:schemaRefs>
</ds:datastoreItem>
</file>

<file path=docProps/app.xml><?xml version="1.0" encoding="utf-8"?>
<Properties xmlns="http://schemas.openxmlformats.org/officeDocument/2006/extended-properties" xmlns:vt="http://schemas.openxmlformats.org/officeDocument/2006/docPropsVTypes">
  <Template>TEL.DOTM</Template>
  <TotalTime>0</TotalTime>
  <Pages>11</Pages>
  <Words>5657</Words>
  <Characters>31965</Characters>
  <Application>Microsoft Office Word</Application>
  <DocSecurity>0</DocSecurity>
  <PresentationFormat>Microsoft Word 8.0b</PresentationFormat>
  <Lines>499</Lines>
  <Paragraphs>59</Paragraphs>
  <ScaleCrop>false</ScaleCrop>
  <Company>European Commission</Company>
  <LinksUpToDate>false</LinksUpToDate>
  <CharactersWithSpaces>37563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WERKER</dc:creator>
  <cp:keywords>EL4</cp:keywords>
  <cp:lastModifiedBy>DODEKOVA Gabriela (SG)</cp:lastModifiedBy>
  <cp:revision>2</cp:revision>
  <cp:lastPrinted>2017-11-26T17:32:00Z</cp:lastPrinted>
  <dcterms:created xsi:type="dcterms:W3CDTF">2025-11-13T10:23:00Z</dcterms:created>
  <dcterms:modified xsi:type="dcterms:W3CDTF">2025-11-13T10:23:00Z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4.1.3.4</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 [20010706]</vt:lpwstr>
  </property>
  <property fmtid="{D5CDD505-2E9C-101B-9397-08002B2CF9AE}" pid="6" name="Last edited using">
    <vt:lpwstr>EL 4.6 Build 50000</vt:lpwstr>
  </property>
  <property fmtid="{D5CDD505-2E9C-101B-9397-08002B2CF9AE}" pid="7" name="EL_Author">
    <vt:lpwstr>M. WERKER</vt:lpwstr>
  </property>
  <property fmtid="{D5CDD505-2E9C-101B-9397-08002B2CF9AE}" pid="8" name="Type">
    <vt:lpwstr>Eurolook Telex</vt:lpwstr>
  </property>
  <property fmtid="{D5CDD505-2E9C-101B-9397-08002B2CF9AE}" pid="9" name="Language">
    <vt:lpwstr>FR</vt:lpwstr>
  </property>
  <property fmtid="{D5CDD505-2E9C-101B-9397-08002B2CF9AE}" pid="10" name="EL_Language">
    <vt:lpwstr>FR</vt:lpwstr>
  </property>
  <property fmtid="{D5CDD505-2E9C-101B-9397-08002B2CF9AE}" pid="11" name="Formatting">
    <vt:lpwstr>4.1</vt:lpwstr>
  </property>
  <property fmtid="{D5CDD505-2E9C-101B-9397-08002B2CF9AE}" pid="12" name="ELDocType">
    <vt:lpwstr>tel.dot</vt:lpwstr>
  </property>
  <property fmtid="{D5CDD505-2E9C-101B-9397-08002B2CF9AE}" pid="13" name="MSIP_Label_6bd9ddd1-4d20-43f6-abfa-fc3c07406f94_Enabled">
    <vt:lpwstr>true</vt:lpwstr>
  </property>
  <property fmtid="{D5CDD505-2E9C-101B-9397-08002B2CF9AE}" pid="14" name="MSIP_Label_6bd9ddd1-4d20-43f6-abfa-fc3c07406f94_SetDate">
    <vt:lpwstr>2023-02-21T13:39:13Z</vt:lpwstr>
  </property>
  <property fmtid="{D5CDD505-2E9C-101B-9397-08002B2CF9AE}" pid="15" name="MSIP_Label_6bd9ddd1-4d20-43f6-abfa-fc3c07406f94_Method">
    <vt:lpwstr>Privileged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c98215b1-b58e-459e-ac80-3f8da5ec5521</vt:lpwstr>
  </property>
  <property fmtid="{D5CDD505-2E9C-101B-9397-08002B2CF9AE}" pid="19" name="MSIP_Label_6bd9ddd1-4d20-43f6-abfa-fc3c07406f94_ContentBits">
    <vt:lpwstr>0</vt:lpwstr>
  </property>
  <property fmtid="{D5CDD505-2E9C-101B-9397-08002B2CF9AE}" pid="20" name="ContentTypeId">
    <vt:lpwstr>0x010100271BB73A879EDE41AFDC9232B9EB1EA9</vt:lpwstr>
  </property>
  <property fmtid="{D5CDD505-2E9C-101B-9397-08002B2CF9AE}" pid="21" name="MediaServiceImageTags">
    <vt:lpwstr/>
  </property>
</Properties>
</file>