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9F37A" w14:textId="5A508EAD" w:rsidR="00963420" w:rsidRPr="00E33B06" w:rsidRDefault="00963420" w:rsidP="00CB748A">
      <w:pPr>
        <w:spacing w:after="720"/>
        <w:jc w:val="center"/>
        <w:rPr>
          <w:rFonts w:ascii="Times New Roman" w:hAnsi="Times New Roman"/>
          <w:b/>
          <w:szCs w:val="24"/>
          <w:lang w:val="en-IE"/>
        </w:rPr>
      </w:pPr>
      <w:r w:rsidRPr="00E33B06">
        <w:rPr>
          <w:rFonts w:ascii="Times New Roman" w:hAnsi="Times New Roman"/>
          <w:b/>
          <w:szCs w:val="24"/>
        </w:rPr>
        <w:t xml:space="preserve">Follow-up to the European Parliament non-legislative resolution </w:t>
      </w:r>
      <w:r w:rsidRPr="00E33B06">
        <w:rPr>
          <w:rFonts w:ascii="Times New Roman" w:hAnsi="Times New Roman"/>
          <w:b/>
          <w:bCs/>
          <w:szCs w:val="24"/>
        </w:rPr>
        <w:t xml:space="preserve">on </w:t>
      </w:r>
      <w:r w:rsidR="002F0719">
        <w:rPr>
          <w:rFonts w:ascii="Times New Roman" w:hAnsi="Times New Roman" w:hint="eastAsia"/>
          <w:b/>
          <w:bCs/>
          <w:szCs w:val="24"/>
          <w:lang w:eastAsia="ja-JP"/>
        </w:rPr>
        <w:t>t</w:t>
      </w:r>
      <w:r w:rsidR="00CB748A" w:rsidRPr="00E33B06">
        <w:rPr>
          <w:rFonts w:ascii="Times New Roman" w:hAnsi="Times New Roman"/>
          <w:b/>
          <w:szCs w:val="24"/>
        </w:rPr>
        <w:t>he financial activities of the European Investment Bank – annual report</w:t>
      </w:r>
    </w:p>
    <w:p w14:paraId="222E65B7" w14:textId="7D97D709" w:rsidR="00963420" w:rsidRPr="00E33B06" w:rsidRDefault="00963420" w:rsidP="0084310E">
      <w:pPr>
        <w:numPr>
          <w:ilvl w:val="0"/>
          <w:numId w:val="34"/>
        </w:numPr>
        <w:ind w:left="567" w:hanging="567"/>
        <w:rPr>
          <w:rFonts w:ascii="Times New Roman" w:hAnsi="Times New Roman"/>
          <w:i/>
          <w:szCs w:val="24"/>
        </w:rPr>
      </w:pPr>
      <w:r w:rsidRPr="00E33B06">
        <w:rPr>
          <w:rFonts w:ascii="Times New Roman" w:hAnsi="Times New Roman"/>
          <w:b/>
          <w:szCs w:val="24"/>
        </w:rPr>
        <w:t>Rapporteur:</w:t>
      </w:r>
      <w:r w:rsidRPr="00E33B06">
        <w:rPr>
          <w:rFonts w:ascii="Times New Roman" w:hAnsi="Times New Roman"/>
          <w:szCs w:val="24"/>
        </w:rPr>
        <w:t xml:space="preserve"> </w:t>
      </w:r>
      <w:r w:rsidR="00E971C1" w:rsidRPr="00E33B06">
        <w:rPr>
          <w:rFonts w:ascii="Times New Roman" w:hAnsi="Times New Roman"/>
          <w:bCs/>
          <w:lang w:val="en-IE"/>
        </w:rPr>
        <w:t>Francisco</w:t>
      </w:r>
      <w:r w:rsidR="00266A1A">
        <w:rPr>
          <w:rFonts w:ascii="Times New Roman" w:hAnsi="Times New Roman"/>
          <w:bCs/>
          <w:lang w:val="en-IE"/>
        </w:rPr>
        <w:t xml:space="preserve"> </w:t>
      </w:r>
      <w:r w:rsidR="00266A1A" w:rsidRPr="00E33B06">
        <w:rPr>
          <w:rFonts w:ascii="Times New Roman" w:hAnsi="Times New Roman"/>
          <w:bCs/>
          <w:lang w:val="en-IE"/>
        </w:rPr>
        <w:t>ASSIS</w:t>
      </w:r>
      <w:r w:rsidR="00E971C1" w:rsidRPr="00E33B06">
        <w:rPr>
          <w:rFonts w:ascii="Times New Roman" w:hAnsi="Times New Roman"/>
          <w:bCs/>
          <w:lang w:val="en-IE"/>
        </w:rPr>
        <w:t xml:space="preserve"> (S&amp;D</w:t>
      </w:r>
      <w:r w:rsidR="00266A1A">
        <w:rPr>
          <w:rFonts w:ascii="Times New Roman" w:hAnsi="Times New Roman"/>
          <w:bCs/>
          <w:lang w:val="en-IE"/>
        </w:rPr>
        <w:t xml:space="preserve"> </w:t>
      </w:r>
      <w:r w:rsidR="00CB748A" w:rsidRPr="00E33B06">
        <w:rPr>
          <w:rFonts w:ascii="Times New Roman" w:hAnsi="Times New Roman"/>
          <w:bCs/>
          <w:lang w:val="en-IE"/>
        </w:rPr>
        <w:t>/</w:t>
      </w:r>
      <w:r w:rsidR="00266A1A">
        <w:rPr>
          <w:rFonts w:ascii="Times New Roman" w:hAnsi="Times New Roman"/>
          <w:bCs/>
          <w:lang w:val="en-IE"/>
        </w:rPr>
        <w:t xml:space="preserve"> </w:t>
      </w:r>
      <w:r w:rsidR="00E971C1" w:rsidRPr="00E33B06">
        <w:rPr>
          <w:rFonts w:ascii="Times New Roman" w:hAnsi="Times New Roman"/>
          <w:bCs/>
          <w:lang w:val="en-IE"/>
        </w:rPr>
        <w:t>PT</w:t>
      </w:r>
      <w:r w:rsidR="00CB748A" w:rsidRPr="00E33B06">
        <w:rPr>
          <w:rFonts w:ascii="Times New Roman" w:hAnsi="Times New Roman"/>
          <w:bCs/>
          <w:lang w:val="en-IE"/>
        </w:rPr>
        <w:t>)</w:t>
      </w:r>
    </w:p>
    <w:p w14:paraId="3021C497" w14:textId="46370758" w:rsidR="00563F16" w:rsidRPr="00164404" w:rsidRDefault="00063DCE" w:rsidP="001C5ADD">
      <w:pPr>
        <w:pStyle w:val="Default"/>
        <w:numPr>
          <w:ilvl w:val="0"/>
          <w:numId w:val="34"/>
        </w:numPr>
        <w:spacing w:after="240"/>
        <w:ind w:left="567" w:hanging="567"/>
        <w:rPr>
          <w:bCs/>
          <w:lang w:val="fr-BE"/>
        </w:rPr>
      </w:pPr>
      <w:r w:rsidRPr="00164404">
        <w:rPr>
          <w:b/>
          <w:color w:val="auto"/>
          <w:lang w:val="fr-BE"/>
        </w:rPr>
        <w:t>R</w:t>
      </w:r>
      <w:r w:rsidR="00963420" w:rsidRPr="00164404">
        <w:rPr>
          <w:b/>
          <w:color w:val="auto"/>
          <w:lang w:val="fr-BE"/>
        </w:rPr>
        <w:t>eference</w:t>
      </w:r>
      <w:r w:rsidR="00CA777E" w:rsidRPr="00164404">
        <w:rPr>
          <w:b/>
          <w:color w:val="auto"/>
          <w:lang w:val="fr-BE"/>
        </w:rPr>
        <w:t>s</w:t>
      </w:r>
      <w:r w:rsidR="00963420" w:rsidRPr="00164404">
        <w:rPr>
          <w:b/>
          <w:color w:val="auto"/>
          <w:lang w:val="fr-BE"/>
        </w:rPr>
        <w:t xml:space="preserve">: </w:t>
      </w:r>
      <w:r w:rsidR="00E971C1" w:rsidRPr="00164404">
        <w:rPr>
          <w:bCs/>
          <w:lang w:val="fr-BE"/>
        </w:rPr>
        <w:t>2024/2053(INI)</w:t>
      </w:r>
      <w:r w:rsidR="00560F3B" w:rsidRPr="00164404">
        <w:rPr>
          <w:bCs/>
          <w:lang w:val="fr-BE"/>
        </w:rPr>
        <w:t xml:space="preserve"> </w:t>
      </w:r>
      <w:r w:rsidR="00CB748A" w:rsidRPr="00164404">
        <w:rPr>
          <w:bCs/>
          <w:color w:val="auto"/>
          <w:lang w:val="fr-BE"/>
        </w:rPr>
        <w:t xml:space="preserve">/ </w:t>
      </w:r>
      <w:r w:rsidR="00E971C1" w:rsidRPr="00164404">
        <w:rPr>
          <w:bCs/>
          <w:color w:val="auto"/>
          <w:lang w:val="fr-BE"/>
        </w:rPr>
        <w:t>A10-0112/2025</w:t>
      </w:r>
      <w:r w:rsidR="00C62797" w:rsidRPr="00164404">
        <w:rPr>
          <w:bCs/>
          <w:color w:val="auto"/>
          <w:lang w:val="fr-BE"/>
        </w:rPr>
        <w:t xml:space="preserve"> </w:t>
      </w:r>
      <w:r w:rsidR="00CB748A" w:rsidRPr="00164404">
        <w:rPr>
          <w:bCs/>
          <w:color w:val="auto"/>
          <w:lang w:val="fr-BE"/>
        </w:rPr>
        <w:t xml:space="preserve">/ </w:t>
      </w:r>
      <w:r w:rsidR="00C62797" w:rsidRPr="00164404">
        <w:rPr>
          <w:bCs/>
          <w:color w:val="auto"/>
          <w:lang w:val="fr-BE"/>
        </w:rPr>
        <w:t>P10_TA(2025)</w:t>
      </w:r>
      <w:r w:rsidR="00142B2B">
        <w:rPr>
          <w:bCs/>
          <w:color w:val="auto"/>
          <w:lang w:val="fr-BE"/>
        </w:rPr>
        <w:t>0</w:t>
      </w:r>
      <w:r w:rsidR="00C62797" w:rsidRPr="00164404">
        <w:rPr>
          <w:bCs/>
          <w:color w:val="auto"/>
          <w:lang w:val="fr-BE"/>
        </w:rPr>
        <w:t>145</w:t>
      </w:r>
    </w:p>
    <w:p w14:paraId="61D85C18" w14:textId="3C16C848" w:rsidR="001F0B89" w:rsidRPr="00E33B06" w:rsidRDefault="00963420" w:rsidP="0084310E">
      <w:pPr>
        <w:numPr>
          <w:ilvl w:val="0"/>
          <w:numId w:val="34"/>
        </w:numPr>
        <w:ind w:left="567" w:hanging="567"/>
        <w:rPr>
          <w:rFonts w:ascii="Times New Roman" w:hAnsi="Times New Roman"/>
          <w:szCs w:val="24"/>
        </w:rPr>
      </w:pPr>
      <w:r w:rsidRPr="00E33B06">
        <w:rPr>
          <w:rFonts w:ascii="Times New Roman" w:hAnsi="Times New Roman"/>
          <w:b/>
          <w:szCs w:val="24"/>
        </w:rPr>
        <w:t>Date of adoption of the resolution:</w:t>
      </w:r>
      <w:r w:rsidRPr="00E33B06">
        <w:rPr>
          <w:rFonts w:ascii="Times New Roman" w:hAnsi="Times New Roman"/>
          <w:szCs w:val="24"/>
        </w:rPr>
        <w:t xml:space="preserve"> </w:t>
      </w:r>
      <w:r w:rsidR="00E971C1" w:rsidRPr="00E33B06">
        <w:rPr>
          <w:rFonts w:ascii="Times New Roman" w:hAnsi="Times New Roman"/>
          <w:iCs/>
          <w:szCs w:val="24"/>
        </w:rPr>
        <w:t>8</w:t>
      </w:r>
      <w:r w:rsidR="00B76743">
        <w:rPr>
          <w:rFonts w:ascii="Times New Roman" w:hAnsi="Times New Roman"/>
          <w:iCs/>
          <w:szCs w:val="24"/>
        </w:rPr>
        <w:t xml:space="preserve"> July </w:t>
      </w:r>
      <w:r w:rsidR="00E971C1" w:rsidRPr="00E33B06">
        <w:rPr>
          <w:rFonts w:ascii="Times New Roman" w:hAnsi="Times New Roman"/>
          <w:iCs/>
          <w:szCs w:val="24"/>
        </w:rPr>
        <w:t>2025</w:t>
      </w:r>
    </w:p>
    <w:p w14:paraId="7F6CC3DA" w14:textId="7E6A9899" w:rsidR="00CB748A" w:rsidRPr="00E33B06" w:rsidRDefault="00963420" w:rsidP="00E971C1">
      <w:pPr>
        <w:numPr>
          <w:ilvl w:val="0"/>
          <w:numId w:val="34"/>
        </w:numPr>
        <w:ind w:left="567" w:hanging="567"/>
        <w:rPr>
          <w:rFonts w:ascii="Times New Roman" w:hAnsi="Times New Roman"/>
          <w:szCs w:val="24"/>
          <w:lang w:val="en-IE"/>
        </w:rPr>
      </w:pPr>
      <w:r w:rsidRPr="00E33B06">
        <w:rPr>
          <w:rFonts w:ascii="Times New Roman" w:hAnsi="Times New Roman"/>
          <w:b/>
          <w:szCs w:val="24"/>
        </w:rPr>
        <w:t>Competent Parliamentary Committee:</w:t>
      </w:r>
      <w:r w:rsidR="00CB748A" w:rsidRPr="00E33B06">
        <w:rPr>
          <w:rFonts w:ascii="Times New Roman" w:hAnsi="Times New Roman"/>
          <w:b/>
          <w:szCs w:val="24"/>
        </w:rPr>
        <w:t xml:space="preserve"> </w:t>
      </w:r>
      <w:r w:rsidR="00E971C1" w:rsidRPr="00E33B06">
        <w:rPr>
          <w:rFonts w:ascii="Times New Roman" w:hAnsi="Times New Roman"/>
          <w:szCs w:val="24"/>
          <w:lang w:val="en-IE"/>
        </w:rPr>
        <w:t>Committee on Economic and Monetary Affairs (ECON)</w:t>
      </w:r>
    </w:p>
    <w:p w14:paraId="3282659C" w14:textId="45216F4D" w:rsidR="00CB748A" w:rsidRPr="00062DF6" w:rsidRDefault="00963420" w:rsidP="00CB748A">
      <w:pPr>
        <w:numPr>
          <w:ilvl w:val="0"/>
          <w:numId w:val="34"/>
        </w:numPr>
        <w:ind w:left="567" w:hanging="567"/>
        <w:rPr>
          <w:rFonts w:ascii="Times New Roman" w:hAnsi="Times New Roman"/>
          <w:szCs w:val="24"/>
        </w:rPr>
      </w:pPr>
      <w:r w:rsidRPr="00062DF6">
        <w:rPr>
          <w:rFonts w:ascii="Times New Roman" w:hAnsi="Times New Roman"/>
          <w:b/>
          <w:szCs w:val="24"/>
        </w:rPr>
        <w:t>Brief analysis/</w:t>
      </w:r>
      <w:r w:rsidR="00AB3960" w:rsidRPr="00062DF6">
        <w:rPr>
          <w:rFonts w:ascii="Times New Roman" w:hAnsi="Times New Roman"/>
          <w:b/>
          <w:szCs w:val="24"/>
        </w:rPr>
        <w:t xml:space="preserve"> </w:t>
      </w:r>
      <w:r w:rsidRPr="00062DF6">
        <w:rPr>
          <w:rFonts w:ascii="Times New Roman" w:hAnsi="Times New Roman"/>
          <w:b/>
          <w:szCs w:val="24"/>
        </w:rPr>
        <w:t>assessment of the resolution and requests made in it:</w:t>
      </w:r>
    </w:p>
    <w:p w14:paraId="386621E5" w14:textId="0D65F15E" w:rsidR="007B7592" w:rsidRPr="00062DF6" w:rsidRDefault="001F3C46" w:rsidP="007B7592">
      <w:pPr>
        <w:rPr>
          <w:rFonts w:ascii="Times New Roman" w:hAnsi="Times New Roman"/>
          <w:lang w:eastAsia="ja-JP"/>
        </w:rPr>
      </w:pPr>
      <w:r w:rsidRPr="00062DF6">
        <w:rPr>
          <w:rFonts w:ascii="Times New Roman" w:hAnsi="Times New Roman"/>
        </w:rPr>
        <w:t xml:space="preserve">The </w:t>
      </w:r>
      <w:r w:rsidR="005853D7" w:rsidRPr="00062DF6">
        <w:rPr>
          <w:rFonts w:ascii="Times New Roman" w:hAnsi="Times New Roman"/>
          <w:lang w:eastAsia="ja-JP"/>
        </w:rPr>
        <w:t xml:space="preserve">European Parliament (EP) </w:t>
      </w:r>
      <w:r w:rsidRPr="00062DF6">
        <w:rPr>
          <w:rFonts w:ascii="Times New Roman" w:hAnsi="Times New Roman"/>
        </w:rPr>
        <w:t>resolution</w:t>
      </w:r>
      <w:r w:rsidR="007C75BA" w:rsidRPr="00062DF6">
        <w:rPr>
          <w:rStyle w:val="FootnoteReference"/>
          <w:rFonts w:ascii="Times New Roman" w:hAnsi="Times New Roman"/>
        </w:rPr>
        <w:footnoteReference w:id="2"/>
      </w:r>
      <w:r w:rsidRPr="00062DF6">
        <w:rPr>
          <w:rFonts w:ascii="Times New Roman" w:hAnsi="Times New Roman"/>
        </w:rPr>
        <w:t xml:space="preserve"> highlights the</w:t>
      </w:r>
      <w:r w:rsidRPr="00062DF6">
        <w:rPr>
          <w:rFonts w:ascii="Times New Roman" w:hAnsi="Times New Roman"/>
          <w:lang w:eastAsia="ja-JP"/>
        </w:rPr>
        <w:t xml:space="preserve"> </w:t>
      </w:r>
      <w:r w:rsidR="007B7592" w:rsidRPr="00062DF6">
        <w:rPr>
          <w:rFonts w:ascii="Times New Roman" w:hAnsi="Times New Roman"/>
          <w:lang w:eastAsia="ja-JP"/>
        </w:rPr>
        <w:t>EIB's crucial role in addressing Europe's investment gap, supporting EU policies and promoting sustainable growth. It emphasizes the need for increased transparency, accountability, and oversight, while encouraging the EIB to leverage its potential to support EU priorities. The resolution also stresses the importance of the EIB Group's role in climate action, social infrastructure and cohesion policy, and calls for a more balanced geographical distribution of investments to promote inclusive growth across the EU.</w:t>
      </w:r>
    </w:p>
    <w:p w14:paraId="2E0FB015" w14:textId="31D4A895" w:rsidR="00CC0486" w:rsidRPr="00062DF6" w:rsidRDefault="00CC0486" w:rsidP="00CC0486">
      <w:pPr>
        <w:rPr>
          <w:rFonts w:ascii="Times New Roman" w:hAnsi="Times New Roman"/>
          <w:lang w:eastAsia="ja-JP"/>
        </w:rPr>
      </w:pPr>
      <w:r w:rsidRPr="00062DF6">
        <w:rPr>
          <w:rFonts w:ascii="Times New Roman" w:hAnsi="Times New Roman"/>
          <w:lang w:eastAsia="ja-JP"/>
        </w:rPr>
        <w:t xml:space="preserve">In particular, the </w:t>
      </w:r>
      <w:r w:rsidR="002440A7" w:rsidRPr="00062DF6">
        <w:rPr>
          <w:rFonts w:ascii="Times New Roman" w:hAnsi="Times New Roman"/>
          <w:lang w:eastAsia="ja-JP"/>
        </w:rPr>
        <w:t>resolution</w:t>
      </w:r>
      <w:r w:rsidRPr="00062DF6">
        <w:rPr>
          <w:rFonts w:ascii="Times New Roman" w:hAnsi="Times New Roman"/>
          <w:lang w:eastAsia="ja-JP"/>
        </w:rPr>
        <w:t xml:space="preserve"> welcomes the Commission’s proposal of 26 February 2025</w:t>
      </w:r>
      <w:r w:rsidR="00A557E2" w:rsidRPr="00062DF6">
        <w:rPr>
          <w:rStyle w:val="FootnoteReference"/>
          <w:rFonts w:ascii="Times New Roman" w:hAnsi="Times New Roman"/>
          <w:lang w:eastAsia="ja-JP"/>
        </w:rPr>
        <w:footnoteReference w:id="3"/>
      </w:r>
      <w:r w:rsidRPr="00062DF6">
        <w:rPr>
          <w:rFonts w:ascii="Times New Roman" w:hAnsi="Times New Roman"/>
          <w:lang w:eastAsia="ja-JP"/>
        </w:rPr>
        <w:t xml:space="preserve"> to provide additional funding to InvestEU, avoiding the risk that envelopes for many financial products run out by the end of 2025 without budgetary reinforcements. The EP also welcomes the joint initiative of the Commission and the EIB Group to set up the Defence Equity Facility, with a budget of EUR 175 million between 2024 and 2027, to support private investment in European SMEs developing innovative dual-use defence technologies. </w:t>
      </w:r>
    </w:p>
    <w:p w14:paraId="083ADD88" w14:textId="68F4752C" w:rsidR="00283EE4" w:rsidRPr="00062DF6" w:rsidRDefault="00963420" w:rsidP="00283EE4">
      <w:pPr>
        <w:numPr>
          <w:ilvl w:val="0"/>
          <w:numId w:val="34"/>
        </w:numPr>
        <w:ind w:left="567" w:hanging="567"/>
        <w:rPr>
          <w:rFonts w:ascii="Times New Roman" w:hAnsi="Times New Roman"/>
          <w:szCs w:val="24"/>
        </w:rPr>
      </w:pPr>
      <w:r w:rsidRPr="00062DF6">
        <w:rPr>
          <w:rFonts w:ascii="Times New Roman" w:hAnsi="Times New Roman"/>
          <w:b/>
          <w:szCs w:val="24"/>
        </w:rPr>
        <w:t>Response to requests and overview of action</w:t>
      </w:r>
      <w:r w:rsidR="001946EE" w:rsidRPr="00062DF6">
        <w:rPr>
          <w:rFonts w:ascii="Times New Roman" w:hAnsi="Times New Roman"/>
          <w:b/>
          <w:szCs w:val="24"/>
        </w:rPr>
        <w:t>s</w:t>
      </w:r>
      <w:r w:rsidRPr="00062DF6">
        <w:rPr>
          <w:rFonts w:ascii="Times New Roman" w:hAnsi="Times New Roman"/>
          <w:b/>
          <w:szCs w:val="24"/>
        </w:rPr>
        <w:t xml:space="preserve"> taken, or intended to be taken, by the Commission:</w:t>
      </w:r>
      <w:r w:rsidR="00146971" w:rsidRPr="00062DF6">
        <w:rPr>
          <w:rFonts w:ascii="Times New Roman" w:hAnsi="Times New Roman"/>
          <w:b/>
          <w:szCs w:val="24"/>
        </w:rPr>
        <w:t xml:space="preserve"> </w:t>
      </w:r>
    </w:p>
    <w:p w14:paraId="3A5B05A1" w14:textId="668695AA" w:rsidR="00283EE4" w:rsidRPr="00062DF6" w:rsidRDefault="000C4BDB" w:rsidP="00283EE4">
      <w:pPr>
        <w:keepNext/>
        <w:keepLines/>
        <w:spacing w:after="120"/>
        <w:rPr>
          <w:rFonts w:ascii="Times New Roman" w:hAnsi="Times New Roman"/>
          <w:szCs w:val="24"/>
        </w:rPr>
      </w:pPr>
      <w:r w:rsidRPr="00062DF6">
        <w:rPr>
          <w:rFonts w:ascii="Times New Roman" w:hAnsi="Times New Roman"/>
          <w:szCs w:val="24"/>
          <w:lang w:eastAsia="ja-JP"/>
        </w:rPr>
        <w:t>S</w:t>
      </w:r>
      <w:r w:rsidR="00283EE4" w:rsidRPr="00062DF6">
        <w:rPr>
          <w:rFonts w:ascii="Times New Roman" w:hAnsi="Times New Roman"/>
          <w:szCs w:val="24"/>
        </w:rPr>
        <w:t>pecific calls to the Commission</w:t>
      </w:r>
      <w:r w:rsidRPr="00062DF6">
        <w:rPr>
          <w:rFonts w:ascii="Times New Roman" w:hAnsi="Times New Roman"/>
          <w:szCs w:val="24"/>
          <w:lang w:eastAsia="ja-JP"/>
        </w:rPr>
        <w:t xml:space="preserve"> are</w:t>
      </w:r>
      <w:r w:rsidR="00283EE4" w:rsidRPr="00062DF6">
        <w:rPr>
          <w:rFonts w:ascii="Times New Roman" w:hAnsi="Times New Roman"/>
          <w:szCs w:val="24"/>
        </w:rPr>
        <w:t xml:space="preserve"> mentioned in the resolution</w:t>
      </w:r>
      <w:r w:rsidR="00F00AE4" w:rsidRPr="00062DF6">
        <w:rPr>
          <w:rFonts w:ascii="Times New Roman" w:hAnsi="Times New Roman"/>
          <w:szCs w:val="24"/>
          <w:lang w:eastAsia="ja-JP"/>
        </w:rPr>
        <w:t>, as follows</w:t>
      </w:r>
      <w:r w:rsidR="00283EE4" w:rsidRPr="00062DF6">
        <w:rPr>
          <w:rFonts w:ascii="Times New Roman" w:hAnsi="Times New Roman"/>
          <w:szCs w:val="24"/>
        </w:rPr>
        <w:t>:</w:t>
      </w:r>
    </w:p>
    <w:p w14:paraId="15BECD63" w14:textId="5B14D744" w:rsidR="00B11E29" w:rsidRPr="00062DF6" w:rsidRDefault="002440A7" w:rsidP="002440A7">
      <w:pPr>
        <w:spacing w:after="100" w:afterAutospacing="1"/>
        <w:rPr>
          <w:rFonts w:ascii="Times New Roman" w:hAnsi="Times New Roman"/>
          <w:i/>
          <w:iCs/>
          <w:lang w:eastAsia="ja-JP"/>
        </w:rPr>
      </w:pPr>
      <w:r w:rsidRPr="00062DF6">
        <w:rPr>
          <w:rFonts w:ascii="Times New Roman" w:hAnsi="Times New Roman"/>
          <w:i/>
          <w:iCs/>
          <w:lang w:eastAsia="ja-JP"/>
        </w:rPr>
        <w:t xml:space="preserve">Para 2: [..] </w:t>
      </w:r>
      <w:r w:rsidR="00C72A9C" w:rsidRPr="00062DF6">
        <w:rPr>
          <w:rFonts w:ascii="Times New Roman" w:hAnsi="Times New Roman"/>
          <w:i/>
          <w:iCs/>
          <w:lang w:eastAsia="ja-JP"/>
        </w:rPr>
        <w:t xml:space="preserve">calls on the Commission and the EIB to </w:t>
      </w:r>
      <w:r w:rsidRPr="00062DF6">
        <w:rPr>
          <w:rFonts w:ascii="Times New Roman" w:hAnsi="Times New Roman"/>
          <w:i/>
          <w:iCs/>
          <w:lang w:eastAsia="ja-JP"/>
        </w:rPr>
        <w:t>fully leverage the EIB’s potential to provide financial support for the EU’s common priorities and to fulfil its crucial role in driving the necessary investment for fair and inclusive sustainable growth, while maximising innovation gains in key EU policy areas</w:t>
      </w:r>
      <w:r w:rsidR="005F6CC9" w:rsidRPr="00062DF6">
        <w:rPr>
          <w:rFonts w:ascii="Times New Roman" w:hAnsi="Times New Roman"/>
          <w:i/>
          <w:iCs/>
          <w:lang w:eastAsia="ja-JP"/>
        </w:rPr>
        <w:t>.</w:t>
      </w:r>
    </w:p>
    <w:p w14:paraId="1B755201" w14:textId="7ED79E71" w:rsidR="00B11E29" w:rsidRPr="00062DF6" w:rsidRDefault="00B11E29" w:rsidP="002440A7">
      <w:pPr>
        <w:spacing w:after="100" w:afterAutospacing="1"/>
        <w:rPr>
          <w:rFonts w:ascii="Times New Roman" w:hAnsi="Times New Roman"/>
          <w:bCs/>
          <w:szCs w:val="24"/>
          <w:lang w:eastAsia="ja-JP"/>
        </w:rPr>
      </w:pPr>
      <w:r w:rsidRPr="00062DF6">
        <w:rPr>
          <w:rFonts w:ascii="Times New Roman" w:hAnsi="Times New Roman"/>
          <w:b/>
          <w:szCs w:val="24"/>
          <w:lang w:eastAsia="ja-JP"/>
        </w:rPr>
        <w:t>Commission reply</w:t>
      </w:r>
      <w:r w:rsidRPr="00062DF6">
        <w:rPr>
          <w:rFonts w:ascii="Times New Roman" w:hAnsi="Times New Roman"/>
          <w:bCs/>
          <w:szCs w:val="24"/>
          <w:lang w:eastAsia="ja-JP"/>
        </w:rPr>
        <w:t>:</w:t>
      </w:r>
    </w:p>
    <w:p w14:paraId="19831D7C" w14:textId="182B1EAC" w:rsidR="005F6CC9" w:rsidRPr="00062DF6" w:rsidRDefault="005F6CC9" w:rsidP="00CE1333">
      <w:pPr>
        <w:spacing w:after="100" w:afterAutospacing="1"/>
        <w:rPr>
          <w:rFonts w:ascii="Times New Roman" w:hAnsi="Times New Roman"/>
          <w:lang w:eastAsia="ja-JP"/>
        </w:rPr>
      </w:pPr>
      <w:r w:rsidRPr="00062DF6">
        <w:rPr>
          <w:rFonts w:ascii="Times New Roman" w:hAnsi="Times New Roman"/>
          <w:lang w:eastAsia="ja-JP"/>
        </w:rPr>
        <w:t>The Commission</w:t>
      </w:r>
      <w:r w:rsidR="00576383" w:rsidRPr="00062DF6">
        <w:rPr>
          <w:rFonts w:ascii="Times New Roman" w:hAnsi="Times New Roman"/>
          <w:lang w:eastAsia="ja-JP"/>
        </w:rPr>
        <w:t xml:space="preserve"> will continue to work</w:t>
      </w:r>
      <w:r w:rsidRPr="00062DF6">
        <w:rPr>
          <w:rFonts w:ascii="Times New Roman" w:hAnsi="Times New Roman"/>
          <w:lang w:eastAsia="ja-JP"/>
        </w:rPr>
        <w:t xml:space="preserve"> closely with the EIB </w:t>
      </w:r>
      <w:r w:rsidR="00576383" w:rsidRPr="00062DF6">
        <w:rPr>
          <w:rFonts w:ascii="Times New Roman" w:hAnsi="Times New Roman"/>
          <w:lang w:eastAsia="ja-JP"/>
        </w:rPr>
        <w:t xml:space="preserve">Group </w:t>
      </w:r>
      <w:r w:rsidRPr="00062DF6">
        <w:rPr>
          <w:rFonts w:ascii="Times New Roman" w:hAnsi="Times New Roman"/>
          <w:lang w:eastAsia="ja-JP"/>
        </w:rPr>
        <w:t xml:space="preserve">to ensure </w:t>
      </w:r>
      <w:r w:rsidR="008F5228" w:rsidRPr="00062DF6">
        <w:rPr>
          <w:rFonts w:ascii="Times New Roman" w:hAnsi="Times New Roman"/>
          <w:lang w:eastAsia="ja-JP"/>
        </w:rPr>
        <w:t>a coordinated approach to f</w:t>
      </w:r>
      <w:r w:rsidRPr="00062DF6">
        <w:rPr>
          <w:rFonts w:ascii="Times New Roman" w:hAnsi="Times New Roman"/>
          <w:lang w:eastAsia="ja-JP"/>
        </w:rPr>
        <w:t>inancing innovation,</w:t>
      </w:r>
      <w:r w:rsidR="00576383" w:rsidRPr="00062DF6">
        <w:rPr>
          <w:rFonts w:ascii="Times New Roman" w:hAnsi="Times New Roman"/>
          <w:lang w:eastAsia="ja-JP"/>
        </w:rPr>
        <w:t xml:space="preserve"> climate action</w:t>
      </w:r>
      <w:r w:rsidR="008F5228" w:rsidRPr="00062DF6">
        <w:rPr>
          <w:rFonts w:ascii="Times New Roman" w:hAnsi="Times New Roman"/>
          <w:lang w:eastAsia="ja-JP"/>
        </w:rPr>
        <w:t xml:space="preserve"> and</w:t>
      </w:r>
      <w:r w:rsidR="00576383" w:rsidRPr="00062DF6">
        <w:rPr>
          <w:rFonts w:ascii="Times New Roman" w:hAnsi="Times New Roman"/>
          <w:lang w:eastAsia="ja-JP"/>
        </w:rPr>
        <w:t xml:space="preserve"> competitiveness,</w:t>
      </w:r>
      <w:r w:rsidRPr="00062DF6">
        <w:rPr>
          <w:rFonts w:ascii="Times New Roman" w:hAnsi="Times New Roman"/>
          <w:lang w:eastAsia="ja-JP"/>
        </w:rPr>
        <w:t xml:space="preserve"> </w:t>
      </w:r>
      <w:r w:rsidR="008F5228" w:rsidRPr="00062DF6">
        <w:rPr>
          <w:rFonts w:ascii="Times New Roman" w:hAnsi="Times New Roman"/>
          <w:lang w:eastAsia="ja-JP"/>
        </w:rPr>
        <w:t xml:space="preserve">as well as </w:t>
      </w:r>
      <w:r w:rsidRPr="00062DF6">
        <w:rPr>
          <w:rFonts w:ascii="Times New Roman" w:hAnsi="Times New Roman"/>
          <w:lang w:eastAsia="ja-JP"/>
        </w:rPr>
        <w:t>reduc</w:t>
      </w:r>
      <w:r w:rsidR="008F5228" w:rsidRPr="00062DF6">
        <w:rPr>
          <w:rFonts w:ascii="Times New Roman" w:hAnsi="Times New Roman"/>
          <w:lang w:eastAsia="ja-JP"/>
        </w:rPr>
        <w:t>ing</w:t>
      </w:r>
      <w:r w:rsidRPr="00062DF6">
        <w:rPr>
          <w:rFonts w:ascii="Times New Roman" w:hAnsi="Times New Roman"/>
          <w:lang w:eastAsia="ja-JP"/>
        </w:rPr>
        <w:t xml:space="preserve"> inequalities and foster inclusive growth, </w:t>
      </w:r>
      <w:r w:rsidR="00576383" w:rsidRPr="00062DF6">
        <w:rPr>
          <w:rFonts w:ascii="Times New Roman" w:hAnsi="Times New Roman"/>
          <w:lang w:eastAsia="ja-JP"/>
        </w:rPr>
        <w:t>in line with EU’s long-term climate targets and policy priorities</w:t>
      </w:r>
      <w:r w:rsidRPr="00062DF6">
        <w:rPr>
          <w:rFonts w:ascii="Times New Roman" w:hAnsi="Times New Roman"/>
          <w:lang w:eastAsia="ja-JP"/>
        </w:rPr>
        <w:t xml:space="preserve">. </w:t>
      </w:r>
      <w:r w:rsidR="008F5228" w:rsidRPr="00062DF6">
        <w:rPr>
          <w:rFonts w:ascii="Times New Roman" w:hAnsi="Times New Roman"/>
          <w:lang w:eastAsia="ja-JP"/>
        </w:rPr>
        <w:t>T</w:t>
      </w:r>
      <w:r w:rsidR="00576383" w:rsidRPr="00062DF6">
        <w:rPr>
          <w:rFonts w:ascii="Times New Roman" w:hAnsi="Times New Roman"/>
          <w:lang w:eastAsia="ja-JP"/>
        </w:rPr>
        <w:t>he Commission</w:t>
      </w:r>
      <w:r w:rsidRPr="00062DF6">
        <w:rPr>
          <w:rFonts w:ascii="Times New Roman" w:hAnsi="Times New Roman"/>
          <w:lang w:eastAsia="ja-JP"/>
        </w:rPr>
        <w:t xml:space="preserve"> </w:t>
      </w:r>
      <w:r w:rsidR="008F5228" w:rsidRPr="00062DF6">
        <w:rPr>
          <w:rFonts w:ascii="Times New Roman" w:hAnsi="Times New Roman"/>
          <w:lang w:eastAsia="ja-JP"/>
        </w:rPr>
        <w:t>fully recognizes</w:t>
      </w:r>
      <w:r w:rsidRPr="00062DF6">
        <w:rPr>
          <w:rFonts w:ascii="Times New Roman" w:hAnsi="Times New Roman"/>
          <w:lang w:eastAsia="ja-JP"/>
        </w:rPr>
        <w:t xml:space="preserve"> the EIB</w:t>
      </w:r>
      <w:r w:rsidR="008F5228" w:rsidRPr="00062DF6">
        <w:rPr>
          <w:rFonts w:ascii="Times New Roman" w:hAnsi="Times New Roman"/>
          <w:lang w:eastAsia="ja-JP"/>
        </w:rPr>
        <w:t xml:space="preserve"> Group</w:t>
      </w:r>
      <w:r w:rsidRPr="00062DF6">
        <w:rPr>
          <w:rFonts w:ascii="Times New Roman" w:hAnsi="Times New Roman"/>
          <w:lang w:eastAsia="ja-JP"/>
        </w:rPr>
        <w:t xml:space="preserve">’s critical role in </w:t>
      </w:r>
      <w:r w:rsidR="008F5228" w:rsidRPr="00062DF6">
        <w:rPr>
          <w:rFonts w:ascii="Times New Roman" w:hAnsi="Times New Roman"/>
          <w:lang w:eastAsia="ja-JP"/>
        </w:rPr>
        <w:t>supporting various</w:t>
      </w:r>
      <w:r w:rsidRPr="00062DF6">
        <w:rPr>
          <w:rFonts w:ascii="Times New Roman" w:hAnsi="Times New Roman"/>
          <w:lang w:eastAsia="ja-JP"/>
        </w:rPr>
        <w:t xml:space="preserve"> EU</w:t>
      </w:r>
      <w:r w:rsidR="008F5228" w:rsidRPr="00062DF6">
        <w:rPr>
          <w:rFonts w:ascii="Times New Roman" w:hAnsi="Times New Roman"/>
          <w:lang w:eastAsia="ja-JP"/>
        </w:rPr>
        <w:t xml:space="preserve"> objectives, </w:t>
      </w:r>
      <w:r w:rsidR="00CE1333" w:rsidRPr="00062DF6">
        <w:rPr>
          <w:rFonts w:ascii="Times New Roman" w:hAnsi="Times New Roman"/>
          <w:lang w:eastAsia="ja-JP"/>
        </w:rPr>
        <w:t>with key achievements that include leveraging public</w:t>
      </w:r>
      <w:r w:rsidR="00DB3172" w:rsidRPr="00062DF6">
        <w:rPr>
          <w:rFonts w:ascii="Times New Roman" w:hAnsi="Times New Roman"/>
          <w:lang w:eastAsia="ja-JP"/>
        </w:rPr>
        <w:t xml:space="preserve"> and </w:t>
      </w:r>
      <w:r w:rsidR="00DB3172" w:rsidRPr="00062DF6">
        <w:rPr>
          <w:rFonts w:ascii="Times New Roman" w:hAnsi="Times New Roman"/>
          <w:lang w:eastAsia="ja-JP"/>
        </w:rPr>
        <w:lastRenderedPageBreak/>
        <w:t>private</w:t>
      </w:r>
      <w:r w:rsidR="00CE1333" w:rsidRPr="00062DF6">
        <w:rPr>
          <w:rFonts w:ascii="Times New Roman" w:hAnsi="Times New Roman"/>
          <w:lang w:eastAsia="ja-JP"/>
        </w:rPr>
        <w:t xml:space="preserve"> </w:t>
      </w:r>
      <w:r w:rsidR="000B2FDD" w:rsidRPr="00062DF6">
        <w:rPr>
          <w:rFonts w:ascii="Times New Roman" w:hAnsi="Times New Roman"/>
          <w:lang w:eastAsia="ja-JP"/>
        </w:rPr>
        <w:t xml:space="preserve">financing </w:t>
      </w:r>
      <w:r w:rsidR="00CE1333" w:rsidRPr="00062DF6">
        <w:rPr>
          <w:rFonts w:ascii="Times New Roman" w:hAnsi="Times New Roman"/>
          <w:lang w:eastAsia="ja-JP"/>
        </w:rPr>
        <w:t xml:space="preserve">to catalyze green and digital investment, </w:t>
      </w:r>
      <w:r w:rsidR="00A557E2" w:rsidRPr="00062DF6">
        <w:rPr>
          <w:rFonts w:ascii="Times New Roman" w:hAnsi="Times New Roman"/>
          <w:lang w:eastAsia="ja-JP"/>
        </w:rPr>
        <w:t xml:space="preserve">investment in security and defence, </w:t>
      </w:r>
      <w:r w:rsidR="00CE1333" w:rsidRPr="00062DF6">
        <w:rPr>
          <w:rFonts w:ascii="Times New Roman" w:hAnsi="Times New Roman"/>
          <w:lang w:eastAsia="ja-JP"/>
        </w:rPr>
        <w:t>and responding swiftly to crises.</w:t>
      </w:r>
    </w:p>
    <w:p w14:paraId="3CF186A0" w14:textId="507675BE" w:rsidR="002440A7" w:rsidRPr="00062DF6" w:rsidRDefault="002440A7" w:rsidP="002440A7">
      <w:pPr>
        <w:spacing w:after="100" w:afterAutospacing="1"/>
        <w:rPr>
          <w:rFonts w:ascii="Times New Roman" w:hAnsi="Times New Roman"/>
          <w:i/>
          <w:iCs/>
          <w:lang w:eastAsia="ja-JP"/>
        </w:rPr>
      </w:pPr>
      <w:r w:rsidRPr="00062DF6">
        <w:rPr>
          <w:rFonts w:ascii="Times New Roman" w:hAnsi="Times New Roman"/>
          <w:i/>
          <w:iCs/>
          <w:lang w:eastAsia="ja-JP"/>
        </w:rPr>
        <w:t xml:space="preserve">Para 7: [..] </w:t>
      </w:r>
      <w:r w:rsidR="00C72A9C" w:rsidRPr="00062DF6">
        <w:rPr>
          <w:rFonts w:ascii="Times New Roman" w:hAnsi="Times New Roman"/>
          <w:i/>
          <w:iCs/>
          <w:lang w:eastAsia="ja-JP"/>
        </w:rPr>
        <w:t xml:space="preserve">calls on the Commission and the EIB to </w:t>
      </w:r>
      <w:r w:rsidRPr="00062DF6">
        <w:rPr>
          <w:rFonts w:ascii="Times New Roman" w:hAnsi="Times New Roman"/>
          <w:i/>
          <w:iCs/>
          <w:lang w:eastAsia="ja-JP"/>
        </w:rPr>
        <w:t>further assess how to speed up the EIB’s time-to-market (e.g. time to disburse) as well as to simplify financing mandates without compromising auditing standards or transparency</w:t>
      </w:r>
    </w:p>
    <w:p w14:paraId="7B7DB5F5" w14:textId="20BA8313" w:rsidR="00B11E29" w:rsidRPr="00062DF6" w:rsidRDefault="00B11E29" w:rsidP="002440A7">
      <w:pPr>
        <w:spacing w:after="100" w:afterAutospacing="1"/>
        <w:rPr>
          <w:rFonts w:ascii="Times New Roman" w:hAnsi="Times New Roman"/>
          <w:bCs/>
          <w:szCs w:val="24"/>
          <w:lang w:eastAsia="ja-JP"/>
        </w:rPr>
      </w:pPr>
      <w:r w:rsidRPr="00062DF6">
        <w:rPr>
          <w:rFonts w:ascii="Times New Roman" w:hAnsi="Times New Roman"/>
          <w:b/>
          <w:szCs w:val="24"/>
          <w:lang w:eastAsia="ja-JP"/>
        </w:rPr>
        <w:t>Commission reply</w:t>
      </w:r>
      <w:r w:rsidRPr="00062DF6">
        <w:rPr>
          <w:rFonts w:ascii="Times New Roman" w:hAnsi="Times New Roman"/>
          <w:bCs/>
          <w:szCs w:val="24"/>
          <w:lang w:eastAsia="ja-JP"/>
        </w:rPr>
        <w:t>:</w:t>
      </w:r>
    </w:p>
    <w:p w14:paraId="71D1CC65" w14:textId="485F619C" w:rsidR="000B2FDD" w:rsidRPr="00F8339C" w:rsidRDefault="00225ED5" w:rsidP="00F8339C">
      <w:pPr>
        <w:pStyle w:val="ListParagraph"/>
        <w:spacing w:after="240" w:line="240" w:lineRule="auto"/>
        <w:ind w:left="0"/>
        <w:jc w:val="both"/>
        <w:rPr>
          <w:rFonts w:ascii="Times New Roman" w:eastAsia="MS Mincho" w:hAnsi="Times New Roman"/>
          <w:sz w:val="24"/>
          <w:szCs w:val="20"/>
          <w:lang w:val="en-GB" w:eastAsia="ja-JP"/>
        </w:rPr>
      </w:pPr>
      <w:r w:rsidRPr="00F8339C">
        <w:rPr>
          <w:rFonts w:ascii="Times New Roman" w:eastAsia="MS Mincho" w:hAnsi="Times New Roman"/>
          <w:sz w:val="24"/>
          <w:szCs w:val="20"/>
          <w:lang w:val="en-GB" w:eastAsia="ja-JP"/>
        </w:rPr>
        <w:t>T</w:t>
      </w:r>
      <w:r w:rsidR="00915874" w:rsidRPr="00F8339C">
        <w:rPr>
          <w:rFonts w:ascii="Times New Roman" w:eastAsia="MS Mincho" w:hAnsi="Times New Roman"/>
          <w:sz w:val="24"/>
          <w:szCs w:val="20"/>
          <w:lang w:val="en-GB" w:eastAsia="ja-JP"/>
        </w:rPr>
        <w:t xml:space="preserve">he Commission welcomes the EIB Group’s </w:t>
      </w:r>
      <w:r w:rsidR="005F0C59" w:rsidRPr="00F8339C">
        <w:rPr>
          <w:rFonts w:ascii="Times New Roman" w:eastAsia="MS Mincho" w:hAnsi="Times New Roman"/>
          <w:sz w:val="24"/>
          <w:szCs w:val="20"/>
          <w:lang w:val="en-GB" w:eastAsia="ja-JP"/>
        </w:rPr>
        <w:t xml:space="preserve">efforts already taken to reduce time-to-market and in particular </w:t>
      </w:r>
      <w:r w:rsidR="00543EA9" w:rsidRPr="00F8339C">
        <w:rPr>
          <w:rFonts w:ascii="Times New Roman" w:eastAsia="MS Mincho" w:hAnsi="Times New Roman"/>
          <w:sz w:val="24"/>
          <w:szCs w:val="20"/>
          <w:lang w:val="en-GB" w:eastAsia="ja-JP"/>
        </w:rPr>
        <w:t xml:space="preserve">its </w:t>
      </w:r>
      <w:r w:rsidR="00915874" w:rsidRPr="00F8339C">
        <w:rPr>
          <w:rFonts w:ascii="Times New Roman" w:eastAsia="MS Mincho" w:hAnsi="Times New Roman"/>
          <w:sz w:val="24"/>
          <w:szCs w:val="20"/>
          <w:lang w:val="en-GB" w:eastAsia="ja-JP"/>
        </w:rPr>
        <w:t xml:space="preserve">recent commitment </w:t>
      </w:r>
      <w:r w:rsidR="00543EA9" w:rsidRPr="00F8339C">
        <w:rPr>
          <w:rFonts w:ascii="Times New Roman" w:eastAsia="MS Mincho" w:hAnsi="Times New Roman"/>
          <w:sz w:val="24"/>
          <w:szCs w:val="20"/>
          <w:lang w:val="en-GB" w:eastAsia="ja-JP"/>
        </w:rPr>
        <w:t xml:space="preserve">under the new Tech-EU programme </w:t>
      </w:r>
      <w:r w:rsidR="00915874" w:rsidRPr="00F8339C">
        <w:rPr>
          <w:rFonts w:ascii="Times New Roman" w:eastAsia="MS Mincho" w:hAnsi="Times New Roman"/>
          <w:sz w:val="24"/>
          <w:szCs w:val="20"/>
          <w:lang w:val="en-GB" w:eastAsia="ja-JP"/>
        </w:rPr>
        <w:t>to</w:t>
      </w:r>
      <w:r w:rsidR="00543EA9" w:rsidRPr="00F8339C">
        <w:rPr>
          <w:rFonts w:ascii="Times New Roman" w:eastAsia="MS Mincho" w:hAnsi="Times New Roman"/>
          <w:sz w:val="24"/>
          <w:szCs w:val="20"/>
          <w:lang w:val="en-GB" w:eastAsia="ja-JP"/>
        </w:rPr>
        <w:t xml:space="preserve"> </w:t>
      </w:r>
      <w:r w:rsidR="007D1013" w:rsidRPr="00F8339C">
        <w:rPr>
          <w:rFonts w:ascii="Times New Roman" w:eastAsia="MS Mincho" w:hAnsi="Times New Roman"/>
          <w:sz w:val="24"/>
          <w:szCs w:val="20"/>
          <w:lang w:val="en-GB" w:eastAsia="ja-JP"/>
        </w:rPr>
        <w:t xml:space="preserve">make EIB support faster, simpler and </w:t>
      </w:r>
      <w:r w:rsidR="001F79AF" w:rsidRPr="00F8339C">
        <w:rPr>
          <w:rFonts w:ascii="Times New Roman" w:eastAsia="MS Mincho" w:hAnsi="Times New Roman"/>
          <w:sz w:val="24"/>
          <w:szCs w:val="20"/>
          <w:lang w:val="en-GB" w:eastAsia="ja-JP"/>
        </w:rPr>
        <w:t xml:space="preserve">more </w:t>
      </w:r>
      <w:r w:rsidR="000B2FDD" w:rsidRPr="00F8339C">
        <w:rPr>
          <w:rFonts w:ascii="Times New Roman" w:eastAsia="MS Mincho" w:hAnsi="Times New Roman"/>
          <w:sz w:val="24"/>
          <w:szCs w:val="20"/>
          <w:lang w:val="en-GB" w:eastAsia="ja-JP"/>
        </w:rPr>
        <w:t>impactful</w:t>
      </w:r>
      <w:r w:rsidR="00BE7610" w:rsidRPr="00F8339C">
        <w:rPr>
          <w:rFonts w:ascii="Times New Roman" w:eastAsia="MS Mincho" w:hAnsi="Times New Roman"/>
          <w:sz w:val="24"/>
          <w:szCs w:val="20"/>
          <w:lang w:val="en-GB" w:eastAsia="ja-JP"/>
        </w:rPr>
        <w:t>. The Commission</w:t>
      </w:r>
      <w:r w:rsidRPr="00F8339C">
        <w:rPr>
          <w:rFonts w:ascii="Times New Roman" w:eastAsia="MS Mincho" w:hAnsi="Times New Roman"/>
          <w:sz w:val="24"/>
          <w:szCs w:val="20"/>
          <w:lang w:val="en-GB" w:eastAsia="ja-JP"/>
        </w:rPr>
        <w:t xml:space="preserve"> has already made legislative proposals to streamline and optimise mandates (both for the </w:t>
      </w:r>
      <w:r w:rsidR="001F79AF" w:rsidRPr="00F8339C">
        <w:rPr>
          <w:rFonts w:ascii="Times New Roman" w:eastAsia="MS Mincho" w:hAnsi="Times New Roman"/>
          <w:sz w:val="24"/>
          <w:szCs w:val="20"/>
          <w:lang w:val="en-GB" w:eastAsia="ja-JP"/>
        </w:rPr>
        <w:t xml:space="preserve">mandates under the </w:t>
      </w:r>
      <w:r w:rsidRPr="00F8339C">
        <w:rPr>
          <w:rFonts w:ascii="Times New Roman" w:eastAsia="MS Mincho" w:hAnsi="Times New Roman"/>
          <w:sz w:val="24"/>
          <w:szCs w:val="20"/>
          <w:lang w:val="en-GB" w:eastAsia="ja-JP"/>
        </w:rPr>
        <w:t>InvestEU and the NDICI</w:t>
      </w:r>
      <w:r w:rsidR="001F79AF" w:rsidRPr="00F8339C">
        <w:rPr>
          <w:rFonts w:ascii="Times New Roman" w:eastAsia="MS Mincho" w:hAnsi="Times New Roman"/>
          <w:sz w:val="24"/>
          <w:szCs w:val="20"/>
          <w:lang w:val="en-GB" w:eastAsia="ja-JP"/>
        </w:rPr>
        <w:t xml:space="preserve"> regulation)</w:t>
      </w:r>
      <w:r w:rsidRPr="00F8339C">
        <w:rPr>
          <w:rFonts w:ascii="Times New Roman" w:eastAsia="MS Mincho" w:hAnsi="Times New Roman"/>
          <w:sz w:val="24"/>
          <w:szCs w:val="20"/>
          <w:lang w:val="en-GB" w:eastAsia="ja-JP"/>
        </w:rPr>
        <w:t>.</w:t>
      </w:r>
      <w:r w:rsidR="001F79AF" w:rsidRPr="00F8339C">
        <w:rPr>
          <w:rFonts w:ascii="Times New Roman" w:eastAsia="MS Mincho" w:hAnsi="Times New Roman"/>
          <w:sz w:val="24"/>
          <w:szCs w:val="20"/>
          <w:lang w:val="en-GB" w:eastAsia="ja-JP"/>
        </w:rPr>
        <w:t xml:space="preserve"> The Commission welcomes </w:t>
      </w:r>
      <w:r w:rsidR="00FF3FC7" w:rsidRPr="00F8339C">
        <w:rPr>
          <w:rFonts w:ascii="Times New Roman" w:eastAsia="MS Mincho" w:hAnsi="Times New Roman"/>
          <w:sz w:val="24"/>
          <w:szCs w:val="20"/>
          <w:lang w:val="en-GB" w:eastAsia="ja-JP"/>
        </w:rPr>
        <w:t xml:space="preserve">the </w:t>
      </w:r>
      <w:r w:rsidR="001F79AF" w:rsidRPr="00F8339C">
        <w:rPr>
          <w:rFonts w:ascii="Times New Roman" w:eastAsia="MS Mincho" w:hAnsi="Times New Roman"/>
          <w:sz w:val="24"/>
          <w:szCs w:val="20"/>
          <w:lang w:val="en-GB" w:eastAsia="ja-JP"/>
        </w:rPr>
        <w:t>recent political agreement on the Investment Omnibus and looks forward to its swift formalisation for the benefit of businesses and citizens across the EU.</w:t>
      </w:r>
      <w:r w:rsidRPr="00F8339C">
        <w:rPr>
          <w:rFonts w:ascii="Times New Roman" w:eastAsia="MS Mincho" w:hAnsi="Times New Roman"/>
          <w:sz w:val="24"/>
          <w:szCs w:val="20"/>
          <w:lang w:val="en-GB" w:eastAsia="ja-JP"/>
        </w:rPr>
        <w:t xml:space="preserve"> </w:t>
      </w:r>
      <w:r w:rsidR="004B62F5" w:rsidRPr="00F8339C">
        <w:rPr>
          <w:rFonts w:ascii="Times New Roman" w:eastAsia="MS Mincho" w:hAnsi="Times New Roman"/>
          <w:sz w:val="24"/>
          <w:szCs w:val="20"/>
          <w:lang w:val="en-GB" w:eastAsia="ja-JP"/>
        </w:rPr>
        <w:t xml:space="preserve">The Commission expects that the proposals put forward for the next MFF will also contribute to simplification and ultimately reduce the time to market. </w:t>
      </w:r>
      <w:r w:rsidRPr="00F8339C">
        <w:rPr>
          <w:rFonts w:ascii="Times New Roman" w:eastAsia="MS Mincho" w:hAnsi="Times New Roman"/>
          <w:sz w:val="24"/>
          <w:szCs w:val="20"/>
          <w:lang w:val="en-GB" w:eastAsia="ja-JP"/>
        </w:rPr>
        <w:t xml:space="preserve">In parallel, </w:t>
      </w:r>
      <w:r w:rsidR="000B56A4" w:rsidRPr="00F8339C">
        <w:rPr>
          <w:rFonts w:ascii="Times New Roman" w:eastAsia="MS Mincho" w:hAnsi="Times New Roman"/>
          <w:sz w:val="24"/>
          <w:szCs w:val="20"/>
          <w:lang w:val="en-GB" w:eastAsia="ja-JP"/>
        </w:rPr>
        <w:t xml:space="preserve">the Commission is </w:t>
      </w:r>
      <w:r w:rsidR="00BE7610" w:rsidRPr="00F8339C">
        <w:rPr>
          <w:rFonts w:ascii="Times New Roman" w:eastAsia="MS Mincho" w:hAnsi="Times New Roman"/>
          <w:sz w:val="24"/>
          <w:szCs w:val="20"/>
          <w:lang w:val="en-GB" w:eastAsia="ja-JP"/>
        </w:rPr>
        <w:t>work</w:t>
      </w:r>
      <w:r w:rsidR="00FF22CE" w:rsidRPr="00F8339C">
        <w:rPr>
          <w:rFonts w:ascii="Times New Roman" w:eastAsia="MS Mincho" w:hAnsi="Times New Roman"/>
          <w:sz w:val="24"/>
          <w:szCs w:val="20"/>
          <w:lang w:val="en-GB" w:eastAsia="ja-JP"/>
        </w:rPr>
        <w:t>ing</w:t>
      </w:r>
      <w:r w:rsidR="00BE7610" w:rsidRPr="00F8339C">
        <w:rPr>
          <w:rFonts w:ascii="Times New Roman" w:eastAsia="MS Mincho" w:hAnsi="Times New Roman"/>
          <w:sz w:val="24"/>
          <w:szCs w:val="20"/>
          <w:lang w:val="en-GB" w:eastAsia="ja-JP"/>
        </w:rPr>
        <w:t xml:space="preserve"> with the EIB Group </w:t>
      </w:r>
      <w:r w:rsidR="00FF22CE" w:rsidRPr="00F8339C">
        <w:rPr>
          <w:rFonts w:ascii="Times New Roman" w:eastAsia="MS Mincho" w:hAnsi="Times New Roman"/>
          <w:sz w:val="24"/>
          <w:szCs w:val="20"/>
          <w:lang w:val="en-GB" w:eastAsia="ja-JP"/>
        </w:rPr>
        <w:t>to</w:t>
      </w:r>
      <w:r w:rsidR="00BE7610" w:rsidRPr="00F8339C">
        <w:rPr>
          <w:rFonts w:ascii="Times New Roman" w:eastAsia="MS Mincho" w:hAnsi="Times New Roman"/>
          <w:sz w:val="24"/>
          <w:szCs w:val="20"/>
          <w:lang w:val="en-GB" w:eastAsia="ja-JP"/>
        </w:rPr>
        <w:t xml:space="preserve"> </w:t>
      </w:r>
      <w:r w:rsidRPr="00F8339C">
        <w:rPr>
          <w:rFonts w:ascii="Times New Roman" w:eastAsia="MS Mincho" w:hAnsi="Times New Roman"/>
          <w:sz w:val="24"/>
          <w:szCs w:val="20"/>
          <w:lang w:val="en-GB" w:eastAsia="ja-JP"/>
        </w:rPr>
        <w:t>further simplify</w:t>
      </w:r>
      <w:r w:rsidR="00BE7610" w:rsidRPr="00F8339C">
        <w:rPr>
          <w:rFonts w:ascii="Times New Roman" w:eastAsia="MS Mincho" w:hAnsi="Times New Roman"/>
          <w:sz w:val="24"/>
          <w:szCs w:val="20"/>
          <w:lang w:val="en-GB" w:eastAsia="ja-JP"/>
        </w:rPr>
        <w:t xml:space="preserve"> EU mandates, including </w:t>
      </w:r>
      <w:r w:rsidR="00FF22CE" w:rsidRPr="00F8339C">
        <w:rPr>
          <w:rFonts w:ascii="Times New Roman" w:eastAsia="MS Mincho" w:hAnsi="Times New Roman"/>
          <w:sz w:val="24"/>
          <w:szCs w:val="20"/>
          <w:lang w:val="en-GB" w:eastAsia="ja-JP"/>
        </w:rPr>
        <w:t xml:space="preserve">those </w:t>
      </w:r>
      <w:r w:rsidR="00BE7610" w:rsidRPr="00F8339C">
        <w:rPr>
          <w:rFonts w:ascii="Times New Roman" w:eastAsia="MS Mincho" w:hAnsi="Times New Roman"/>
          <w:sz w:val="24"/>
          <w:szCs w:val="20"/>
          <w:lang w:val="en-GB" w:eastAsia="ja-JP"/>
        </w:rPr>
        <w:t xml:space="preserve">for advisory services, </w:t>
      </w:r>
      <w:r w:rsidRPr="00F8339C">
        <w:rPr>
          <w:rFonts w:ascii="Times New Roman" w:eastAsia="MS Mincho" w:hAnsi="Times New Roman"/>
          <w:sz w:val="24"/>
          <w:szCs w:val="20"/>
          <w:lang w:val="en-GB" w:eastAsia="ja-JP"/>
        </w:rPr>
        <w:t xml:space="preserve">where no legislative proposals are needed </w:t>
      </w:r>
      <w:r w:rsidR="00FF22CE" w:rsidRPr="00F8339C">
        <w:rPr>
          <w:rFonts w:ascii="Times New Roman" w:eastAsia="MS Mincho" w:hAnsi="Times New Roman"/>
          <w:sz w:val="24"/>
          <w:szCs w:val="20"/>
          <w:lang w:val="en-GB" w:eastAsia="ja-JP"/>
        </w:rPr>
        <w:t>with the aim of</w:t>
      </w:r>
      <w:r w:rsidR="00BE7610" w:rsidRPr="00F8339C">
        <w:rPr>
          <w:rFonts w:ascii="Times New Roman" w:eastAsia="MS Mincho" w:hAnsi="Times New Roman"/>
          <w:sz w:val="24"/>
          <w:szCs w:val="20"/>
          <w:lang w:val="en-GB" w:eastAsia="ja-JP"/>
        </w:rPr>
        <w:t xml:space="preserve"> streamlin</w:t>
      </w:r>
      <w:r w:rsidR="00FF22CE" w:rsidRPr="00F8339C">
        <w:rPr>
          <w:rFonts w:ascii="Times New Roman" w:eastAsia="MS Mincho" w:hAnsi="Times New Roman"/>
          <w:sz w:val="24"/>
          <w:szCs w:val="20"/>
          <w:lang w:val="en-GB" w:eastAsia="ja-JP"/>
        </w:rPr>
        <w:t>ing</w:t>
      </w:r>
      <w:r w:rsidR="00BE7610" w:rsidRPr="00F8339C">
        <w:rPr>
          <w:rFonts w:ascii="Times New Roman" w:eastAsia="MS Mincho" w:hAnsi="Times New Roman"/>
          <w:sz w:val="24"/>
          <w:szCs w:val="20"/>
          <w:lang w:val="en-GB" w:eastAsia="ja-JP"/>
        </w:rPr>
        <w:t xml:space="preserve"> procedures </w:t>
      </w:r>
      <w:r w:rsidR="00FF22CE" w:rsidRPr="00F8339C">
        <w:rPr>
          <w:rFonts w:ascii="Times New Roman" w:eastAsia="MS Mincho" w:hAnsi="Times New Roman"/>
          <w:sz w:val="24"/>
          <w:szCs w:val="20"/>
          <w:lang w:val="en-GB" w:eastAsia="ja-JP"/>
        </w:rPr>
        <w:t>and</w:t>
      </w:r>
      <w:r w:rsidR="00BE7610" w:rsidRPr="00F8339C">
        <w:rPr>
          <w:rFonts w:ascii="Times New Roman" w:eastAsia="MS Mincho" w:hAnsi="Times New Roman"/>
          <w:sz w:val="24"/>
          <w:szCs w:val="20"/>
          <w:lang w:val="en-GB" w:eastAsia="ja-JP"/>
        </w:rPr>
        <w:t xml:space="preserve"> </w:t>
      </w:r>
      <w:r w:rsidR="00FF22CE" w:rsidRPr="00F8339C">
        <w:rPr>
          <w:rFonts w:ascii="Times New Roman" w:eastAsia="MS Mincho" w:hAnsi="Times New Roman"/>
          <w:sz w:val="24"/>
          <w:szCs w:val="20"/>
          <w:lang w:val="en-GB" w:eastAsia="ja-JP"/>
        </w:rPr>
        <w:t>simplifying reporting.</w:t>
      </w:r>
      <w:r w:rsidR="00BE7610" w:rsidRPr="00F8339C">
        <w:rPr>
          <w:rFonts w:ascii="Times New Roman" w:eastAsia="MS Mincho" w:hAnsi="Times New Roman"/>
          <w:sz w:val="24"/>
          <w:szCs w:val="20"/>
          <w:lang w:val="en-GB" w:eastAsia="ja-JP"/>
        </w:rPr>
        <w:t xml:space="preserve">  </w:t>
      </w:r>
      <w:r w:rsidR="000B2FDD" w:rsidRPr="00F8339C">
        <w:rPr>
          <w:rFonts w:ascii="Times New Roman" w:eastAsia="MS Mincho" w:hAnsi="Times New Roman"/>
          <w:sz w:val="24"/>
          <w:szCs w:val="20"/>
          <w:lang w:val="en-GB" w:eastAsia="ja-JP"/>
        </w:rPr>
        <w:t xml:space="preserve">Lastly, the Commission will closely monitor and support the EIB Group to accelerate and ensure full disbursements to final recipients and boost the EU competitiveness while promoting finance with impact </w:t>
      </w:r>
      <w:r w:rsidR="001F79AF" w:rsidRPr="00F8339C">
        <w:rPr>
          <w:rFonts w:ascii="Times New Roman" w:eastAsia="MS Mincho" w:hAnsi="Times New Roman"/>
          <w:sz w:val="24"/>
          <w:szCs w:val="20"/>
          <w:lang w:val="en-GB" w:eastAsia="ja-JP"/>
        </w:rPr>
        <w:t xml:space="preserve">and value added </w:t>
      </w:r>
      <w:r w:rsidR="000B2FDD" w:rsidRPr="00F8339C">
        <w:rPr>
          <w:rFonts w:ascii="Times New Roman" w:eastAsia="MS Mincho" w:hAnsi="Times New Roman"/>
          <w:sz w:val="24"/>
          <w:szCs w:val="20"/>
          <w:lang w:val="en-GB" w:eastAsia="ja-JP"/>
        </w:rPr>
        <w:t>in partner countries.</w:t>
      </w:r>
    </w:p>
    <w:p w14:paraId="65936E4A" w14:textId="189B2426" w:rsidR="00915874" w:rsidRDefault="00915874" w:rsidP="00915874">
      <w:pPr>
        <w:pStyle w:val="ListParagraph"/>
        <w:spacing w:after="160" w:line="278" w:lineRule="auto"/>
        <w:ind w:left="0"/>
        <w:jc w:val="both"/>
        <w:rPr>
          <w:rFonts w:ascii="Times New Roman" w:eastAsia="MS Mincho" w:hAnsi="Times New Roman"/>
          <w:lang w:eastAsia="ja-JP"/>
        </w:rPr>
      </w:pPr>
    </w:p>
    <w:p w14:paraId="18C674A1" w14:textId="3E0B9D9A" w:rsidR="002440A7" w:rsidRPr="00062DF6" w:rsidRDefault="002440A7" w:rsidP="002440A7">
      <w:pPr>
        <w:spacing w:after="100" w:afterAutospacing="1"/>
        <w:rPr>
          <w:rFonts w:ascii="Times New Roman" w:hAnsi="Times New Roman"/>
          <w:i/>
          <w:iCs/>
          <w:lang w:eastAsia="ja-JP"/>
        </w:rPr>
      </w:pPr>
      <w:r w:rsidRPr="00062DF6">
        <w:rPr>
          <w:rFonts w:ascii="Times New Roman" w:hAnsi="Times New Roman"/>
          <w:i/>
          <w:iCs/>
          <w:lang w:eastAsia="ja-JP"/>
        </w:rPr>
        <w:t xml:space="preserve">Para 11: [..] </w:t>
      </w:r>
      <w:r w:rsidR="00CA48E2" w:rsidRPr="00062DF6">
        <w:rPr>
          <w:rFonts w:ascii="Times New Roman" w:hAnsi="Times New Roman"/>
          <w:i/>
          <w:iCs/>
          <w:lang w:eastAsia="ja-JP"/>
        </w:rPr>
        <w:t xml:space="preserve">calls on the Commission and the EIB Group to </w:t>
      </w:r>
      <w:r w:rsidRPr="00062DF6">
        <w:rPr>
          <w:rFonts w:ascii="Times New Roman" w:hAnsi="Times New Roman"/>
          <w:i/>
          <w:iCs/>
          <w:lang w:eastAsia="ja-JP"/>
        </w:rPr>
        <w:t>enhance efforts to deliver on the agenda for the Competitiveness Compass and the savings and investments union by mobilising private capital for productive investments, supporting innovation throughout companies’ life cycles, venture capital financing and</w:t>
      </w:r>
      <w:r w:rsidRPr="00062DF6">
        <w:rPr>
          <w:rFonts w:ascii="Times New Roman" w:hAnsi="Times New Roman"/>
          <w:b/>
          <w:bCs/>
          <w:i/>
          <w:iCs/>
          <w:lang w:eastAsia="ja-JP"/>
        </w:rPr>
        <w:t> </w:t>
      </w:r>
      <w:r w:rsidRPr="00062DF6">
        <w:rPr>
          <w:rFonts w:ascii="Times New Roman" w:hAnsi="Times New Roman"/>
          <w:i/>
          <w:iCs/>
          <w:lang w:eastAsia="ja-JP"/>
        </w:rPr>
        <w:t>more high-risk equity financing for start-ups and scale-ups</w:t>
      </w:r>
    </w:p>
    <w:p w14:paraId="4EB20C0C" w14:textId="025E3039" w:rsidR="00B11E29" w:rsidRPr="00062DF6" w:rsidRDefault="00B11E29" w:rsidP="002440A7">
      <w:pPr>
        <w:spacing w:after="100" w:afterAutospacing="1"/>
        <w:rPr>
          <w:rFonts w:ascii="Times New Roman" w:hAnsi="Times New Roman"/>
          <w:bCs/>
          <w:szCs w:val="24"/>
          <w:lang w:eastAsia="ja-JP"/>
        </w:rPr>
      </w:pPr>
      <w:r w:rsidRPr="00062DF6">
        <w:rPr>
          <w:rFonts w:ascii="Times New Roman" w:hAnsi="Times New Roman"/>
          <w:b/>
          <w:szCs w:val="24"/>
          <w:lang w:eastAsia="ja-JP"/>
        </w:rPr>
        <w:t>Commission reply</w:t>
      </w:r>
      <w:r w:rsidRPr="00062DF6">
        <w:rPr>
          <w:rFonts w:ascii="Times New Roman" w:hAnsi="Times New Roman"/>
          <w:bCs/>
          <w:szCs w:val="24"/>
          <w:lang w:eastAsia="ja-JP"/>
        </w:rPr>
        <w:t>:</w:t>
      </w:r>
    </w:p>
    <w:p w14:paraId="76296681" w14:textId="2AE6BB6E" w:rsidR="00610F13" w:rsidRPr="00F8339C" w:rsidRDefault="00610F13" w:rsidP="00610F13">
      <w:pPr>
        <w:spacing w:after="100" w:afterAutospacing="1"/>
        <w:rPr>
          <w:rFonts w:ascii="Times New Roman" w:hAnsi="Times New Roman"/>
          <w:szCs w:val="24"/>
          <w:lang w:val="en-IE" w:eastAsia="ja-JP"/>
        </w:rPr>
      </w:pPr>
      <w:r w:rsidRPr="00F8339C">
        <w:rPr>
          <w:rFonts w:ascii="Times New Roman" w:hAnsi="Times New Roman"/>
          <w:szCs w:val="24"/>
          <w:lang w:val="en-IE" w:eastAsia="ja-JP"/>
        </w:rPr>
        <w:t xml:space="preserve">The Commission is committed to promoting competitiveness and investment in the EU. </w:t>
      </w:r>
      <w:r w:rsidR="00225ED5" w:rsidRPr="00F8339C">
        <w:rPr>
          <w:rFonts w:ascii="Times New Roman" w:hAnsi="Times New Roman"/>
          <w:szCs w:val="24"/>
          <w:lang w:val="en-IE" w:eastAsia="ja-JP"/>
        </w:rPr>
        <w:t>It</w:t>
      </w:r>
      <w:r w:rsidRPr="00F8339C">
        <w:rPr>
          <w:rFonts w:ascii="Times New Roman" w:hAnsi="Times New Roman"/>
          <w:szCs w:val="24"/>
          <w:lang w:val="en-IE" w:eastAsia="ja-JP"/>
        </w:rPr>
        <w:t xml:space="preserve"> will continue to support innovative companies throughout their life cycles, facilitating access to venture capital and equity financing.</w:t>
      </w:r>
      <w:r w:rsidR="001370C4" w:rsidRPr="00F8339C">
        <w:rPr>
          <w:rFonts w:ascii="Times New Roman" w:hAnsi="Times New Roman"/>
          <w:szCs w:val="24"/>
          <w:lang w:val="en-IE" w:eastAsia="ja-JP"/>
        </w:rPr>
        <w:t xml:space="preserve"> For instance, the InvestEU programme – through risk-sharing between the Commission and the EIB Group – supports objectives of the Competitiveness Compass and Savings and Investments Union. In addition,</w:t>
      </w:r>
      <w:r w:rsidRPr="00F8339C">
        <w:rPr>
          <w:rFonts w:ascii="Times New Roman" w:hAnsi="Times New Roman"/>
          <w:szCs w:val="24"/>
          <w:lang w:val="en-IE" w:eastAsia="ja-JP"/>
        </w:rPr>
        <w:t xml:space="preserve"> </w:t>
      </w:r>
      <w:r w:rsidR="000B2FDD" w:rsidRPr="00F8339C">
        <w:rPr>
          <w:rFonts w:ascii="Times New Roman" w:hAnsi="Times New Roman"/>
          <w:szCs w:val="24"/>
          <w:lang w:val="en-IE" w:eastAsia="ja-JP"/>
        </w:rPr>
        <w:t>t</w:t>
      </w:r>
      <w:r w:rsidRPr="00F8339C">
        <w:rPr>
          <w:rFonts w:ascii="Times New Roman" w:hAnsi="Times New Roman"/>
          <w:szCs w:val="24"/>
          <w:lang w:val="en-US" w:eastAsia="ja-JP"/>
        </w:rPr>
        <w:t>he EU Startup and Scaleup Strategy</w:t>
      </w:r>
      <w:r w:rsidRPr="00F8339C">
        <w:rPr>
          <w:rFonts w:ascii="Times New Roman" w:hAnsi="Times New Roman"/>
          <w:szCs w:val="24"/>
          <w:lang w:val="en-IE" w:eastAsia="ja-JP"/>
        </w:rPr>
        <w:t xml:space="preserve"> adopted in May 2025 is a</w:t>
      </w:r>
      <w:r w:rsidRPr="00F8339C">
        <w:rPr>
          <w:rFonts w:ascii="Times New Roman" w:hAnsi="Times New Roman"/>
          <w:szCs w:val="24"/>
          <w:lang w:val="en-US" w:eastAsia="ja-JP"/>
        </w:rPr>
        <w:t>ligned with the Single Market Strategy and the Savings and Investments Union, aiming at making the EU the premier destination for innovation, empowering start</w:t>
      </w:r>
      <w:r w:rsidR="00225ED5" w:rsidRPr="00F8339C">
        <w:rPr>
          <w:rFonts w:ascii="Times New Roman" w:hAnsi="Times New Roman"/>
          <w:szCs w:val="24"/>
          <w:lang w:val="en-US" w:eastAsia="ja-JP"/>
        </w:rPr>
        <w:t>-</w:t>
      </w:r>
      <w:r w:rsidRPr="00F8339C">
        <w:rPr>
          <w:rFonts w:ascii="Times New Roman" w:hAnsi="Times New Roman"/>
          <w:szCs w:val="24"/>
          <w:lang w:val="en-US" w:eastAsia="ja-JP"/>
        </w:rPr>
        <w:t>ups and scale</w:t>
      </w:r>
      <w:r w:rsidR="00225ED5" w:rsidRPr="00F8339C">
        <w:rPr>
          <w:rFonts w:ascii="Times New Roman" w:hAnsi="Times New Roman"/>
          <w:szCs w:val="24"/>
          <w:lang w:val="en-US" w:eastAsia="ja-JP"/>
        </w:rPr>
        <w:t>-</w:t>
      </w:r>
      <w:r w:rsidRPr="00F8339C">
        <w:rPr>
          <w:rFonts w:ascii="Times New Roman" w:hAnsi="Times New Roman"/>
          <w:szCs w:val="24"/>
          <w:lang w:val="en-US" w:eastAsia="ja-JP"/>
        </w:rPr>
        <w:t>ups to grow and succeed in Europe and attracting them from abroad.</w:t>
      </w:r>
      <w:r w:rsidRPr="00F8339C">
        <w:rPr>
          <w:rFonts w:ascii="Times New Roman" w:hAnsi="Times New Roman"/>
          <w:szCs w:val="24"/>
          <w:lang w:val="en-IE" w:eastAsia="ja-JP"/>
        </w:rPr>
        <w:t xml:space="preserve"> Together</w:t>
      </w:r>
      <w:r w:rsidR="00225ED5" w:rsidRPr="00F8339C">
        <w:rPr>
          <w:rFonts w:ascii="Times New Roman" w:hAnsi="Times New Roman"/>
          <w:szCs w:val="24"/>
          <w:lang w:val="en-IE" w:eastAsia="ja-JP"/>
        </w:rPr>
        <w:t xml:space="preserve"> with the EIB Group</w:t>
      </w:r>
      <w:r w:rsidRPr="00F8339C">
        <w:rPr>
          <w:rFonts w:ascii="Times New Roman" w:hAnsi="Times New Roman"/>
          <w:szCs w:val="24"/>
          <w:lang w:val="en-IE" w:eastAsia="ja-JP"/>
        </w:rPr>
        <w:t xml:space="preserve">, </w:t>
      </w:r>
      <w:r w:rsidR="00225ED5" w:rsidRPr="00F8339C">
        <w:rPr>
          <w:rFonts w:ascii="Times New Roman" w:hAnsi="Times New Roman"/>
          <w:szCs w:val="24"/>
          <w:lang w:val="en-IE" w:eastAsia="ja-JP"/>
        </w:rPr>
        <w:t>it will</w:t>
      </w:r>
      <w:r w:rsidRPr="00F8339C">
        <w:rPr>
          <w:rFonts w:ascii="Times New Roman" w:hAnsi="Times New Roman"/>
          <w:szCs w:val="24"/>
          <w:lang w:val="en-IE" w:eastAsia="ja-JP"/>
        </w:rPr>
        <w:t xml:space="preserve"> creat</w:t>
      </w:r>
      <w:r w:rsidR="00225ED5" w:rsidRPr="00F8339C">
        <w:rPr>
          <w:rFonts w:ascii="Times New Roman" w:hAnsi="Times New Roman"/>
          <w:szCs w:val="24"/>
          <w:lang w:val="en-IE" w:eastAsia="ja-JP"/>
        </w:rPr>
        <w:t>e</w:t>
      </w:r>
      <w:r w:rsidRPr="00F8339C">
        <w:rPr>
          <w:rFonts w:ascii="Times New Roman" w:hAnsi="Times New Roman"/>
          <w:szCs w:val="24"/>
          <w:lang w:val="en-IE" w:eastAsia="ja-JP"/>
        </w:rPr>
        <w:t xml:space="preserve"> opportunities for start-ups and scale-ups to access </w:t>
      </w:r>
      <w:r w:rsidR="00225ED5" w:rsidRPr="00F8339C">
        <w:rPr>
          <w:rFonts w:ascii="Times New Roman" w:hAnsi="Times New Roman"/>
          <w:szCs w:val="24"/>
          <w:lang w:val="en-IE" w:eastAsia="ja-JP"/>
        </w:rPr>
        <w:t xml:space="preserve">also </w:t>
      </w:r>
      <w:r w:rsidRPr="00F8339C">
        <w:rPr>
          <w:rFonts w:ascii="Times New Roman" w:hAnsi="Times New Roman"/>
          <w:szCs w:val="24"/>
          <w:lang w:val="en-IE" w:eastAsia="ja-JP"/>
        </w:rPr>
        <w:t xml:space="preserve">high-risk equity financing, driving innovation and job creation. </w:t>
      </w:r>
    </w:p>
    <w:p w14:paraId="014D460B" w14:textId="7D28F90B" w:rsidR="00B11E29" w:rsidRPr="00062DF6" w:rsidRDefault="00B11E29" w:rsidP="00B11E29">
      <w:pPr>
        <w:spacing w:after="100" w:afterAutospacing="1"/>
        <w:rPr>
          <w:rFonts w:ascii="Times New Roman" w:hAnsi="Times New Roman"/>
          <w:i/>
          <w:iCs/>
          <w:lang w:eastAsia="ja-JP"/>
        </w:rPr>
      </w:pPr>
      <w:r w:rsidRPr="00062DF6">
        <w:rPr>
          <w:rFonts w:ascii="Times New Roman" w:hAnsi="Times New Roman"/>
          <w:i/>
          <w:iCs/>
          <w:lang w:val="en-IE" w:eastAsia="ja-JP"/>
        </w:rPr>
        <w:t xml:space="preserve">Para 16: </w:t>
      </w:r>
      <w:r w:rsidRPr="00062DF6">
        <w:rPr>
          <w:rFonts w:ascii="Times New Roman" w:hAnsi="Times New Roman"/>
          <w:i/>
          <w:iCs/>
          <w:lang w:eastAsia="ja-JP"/>
        </w:rPr>
        <w:t>welcomes, in this regard, the Commission’s proposal of 26 February 2025 to provide additional funding to InvestEU; calls for a balanced geographical distribution of financing under InvestEU, particularly with respect to smaller Member States</w:t>
      </w:r>
      <w:r w:rsidR="00A2597A" w:rsidRPr="00062DF6">
        <w:rPr>
          <w:rFonts w:ascii="Times New Roman" w:hAnsi="Times New Roman"/>
          <w:i/>
          <w:iCs/>
          <w:lang w:eastAsia="ja-JP"/>
        </w:rPr>
        <w:t>.</w:t>
      </w:r>
    </w:p>
    <w:p w14:paraId="0C84BB90" w14:textId="77777777" w:rsidR="00B11E29" w:rsidRPr="00062DF6" w:rsidRDefault="00B11E29" w:rsidP="00E21E26">
      <w:pPr>
        <w:keepNext/>
        <w:keepLines/>
        <w:spacing w:after="100" w:afterAutospacing="1"/>
        <w:rPr>
          <w:rFonts w:ascii="Times New Roman" w:hAnsi="Times New Roman"/>
          <w:bCs/>
          <w:szCs w:val="24"/>
          <w:lang w:eastAsia="ja-JP"/>
        </w:rPr>
      </w:pPr>
      <w:r w:rsidRPr="00062DF6">
        <w:rPr>
          <w:rFonts w:ascii="Times New Roman" w:hAnsi="Times New Roman"/>
          <w:b/>
          <w:szCs w:val="24"/>
          <w:lang w:eastAsia="ja-JP"/>
        </w:rPr>
        <w:lastRenderedPageBreak/>
        <w:t>Commission reply</w:t>
      </w:r>
      <w:r w:rsidRPr="00062DF6">
        <w:rPr>
          <w:rFonts w:ascii="Times New Roman" w:hAnsi="Times New Roman"/>
          <w:bCs/>
          <w:szCs w:val="24"/>
          <w:lang w:eastAsia="ja-JP"/>
        </w:rPr>
        <w:t>:</w:t>
      </w:r>
    </w:p>
    <w:p w14:paraId="72628C87" w14:textId="1284F476" w:rsidR="00265B8A" w:rsidRPr="00F8339C" w:rsidRDefault="00FB608C" w:rsidP="00E21E26">
      <w:pPr>
        <w:keepNext/>
        <w:keepLines/>
        <w:spacing w:after="100" w:afterAutospacing="1"/>
        <w:rPr>
          <w:rFonts w:ascii="Times New Roman" w:hAnsi="Times New Roman"/>
          <w:szCs w:val="24"/>
          <w:lang w:val="en-IE" w:eastAsia="ja-JP"/>
        </w:rPr>
      </w:pPr>
      <w:r w:rsidRPr="00F8339C">
        <w:rPr>
          <w:rFonts w:ascii="Times New Roman" w:hAnsi="Times New Roman"/>
          <w:szCs w:val="24"/>
          <w:lang w:val="en-IE" w:eastAsia="ja-JP"/>
        </w:rPr>
        <w:t xml:space="preserve">The Commission recalls that the InvestEU Programme is </w:t>
      </w:r>
      <w:r w:rsidR="00791CE9" w:rsidRPr="00F8339C">
        <w:rPr>
          <w:rFonts w:ascii="Times New Roman" w:hAnsi="Times New Roman"/>
          <w:szCs w:val="24"/>
          <w:lang w:val="en-IE" w:eastAsia="ja-JP"/>
        </w:rPr>
        <w:t xml:space="preserve">implemented </w:t>
      </w:r>
      <w:r w:rsidRPr="00F8339C">
        <w:rPr>
          <w:rFonts w:ascii="Times New Roman" w:hAnsi="Times New Roman"/>
          <w:szCs w:val="24"/>
          <w:lang w:val="en-IE" w:eastAsia="ja-JP"/>
        </w:rPr>
        <w:t xml:space="preserve">through indirect management, </w:t>
      </w:r>
      <w:r w:rsidR="00791CE9" w:rsidRPr="00F8339C">
        <w:rPr>
          <w:rFonts w:ascii="Times New Roman" w:hAnsi="Times New Roman"/>
          <w:szCs w:val="24"/>
          <w:lang w:val="en-IE" w:eastAsia="ja-JP"/>
        </w:rPr>
        <w:t>via</w:t>
      </w:r>
      <w:r w:rsidRPr="00F8339C">
        <w:rPr>
          <w:rFonts w:ascii="Times New Roman" w:hAnsi="Times New Roman"/>
          <w:szCs w:val="24"/>
          <w:lang w:val="en-IE" w:eastAsia="ja-JP"/>
        </w:rPr>
        <w:t xml:space="preserve"> a network of implementing partners, including the EIB Group</w:t>
      </w:r>
      <w:r w:rsidR="004B62F5" w:rsidRPr="00F8339C">
        <w:rPr>
          <w:rFonts w:ascii="Times New Roman" w:hAnsi="Times New Roman"/>
          <w:szCs w:val="24"/>
          <w:lang w:val="en-IE" w:eastAsia="ja-JP"/>
        </w:rPr>
        <w:t xml:space="preserve"> as well as other International Financial Institutions</w:t>
      </w:r>
      <w:r w:rsidRPr="00F8339C">
        <w:rPr>
          <w:rFonts w:ascii="Times New Roman" w:hAnsi="Times New Roman"/>
          <w:szCs w:val="24"/>
          <w:lang w:val="en-IE" w:eastAsia="ja-JP"/>
        </w:rPr>
        <w:t xml:space="preserve"> and National Promotional Banks</w:t>
      </w:r>
      <w:r w:rsidR="00791CE9" w:rsidRPr="00F8339C">
        <w:rPr>
          <w:rFonts w:ascii="Times New Roman" w:hAnsi="Times New Roman"/>
          <w:szCs w:val="24"/>
          <w:lang w:val="en-IE" w:eastAsia="ja-JP"/>
        </w:rPr>
        <w:t xml:space="preserve">. This </w:t>
      </w:r>
      <w:r w:rsidR="001F79AF" w:rsidRPr="00F8339C">
        <w:rPr>
          <w:rFonts w:ascii="Times New Roman" w:hAnsi="Times New Roman"/>
          <w:szCs w:val="24"/>
          <w:lang w:val="en-IE" w:eastAsia="ja-JP"/>
        </w:rPr>
        <w:t xml:space="preserve">in particular contributes to ensuring </w:t>
      </w:r>
      <w:r w:rsidRPr="00F8339C">
        <w:rPr>
          <w:rFonts w:ascii="Times New Roman" w:hAnsi="Times New Roman"/>
          <w:szCs w:val="24"/>
          <w:lang w:val="en-IE" w:eastAsia="ja-JP"/>
        </w:rPr>
        <w:t xml:space="preserve">a wide geographical reach. </w:t>
      </w:r>
      <w:r w:rsidR="00265B8A" w:rsidRPr="00F8339C">
        <w:rPr>
          <w:rFonts w:ascii="Times New Roman" w:hAnsi="Times New Roman"/>
          <w:szCs w:val="24"/>
          <w:lang w:val="en-IE" w:eastAsia="ja-JP"/>
        </w:rPr>
        <w:t>The proposal</w:t>
      </w:r>
      <w:r w:rsidR="00C177D7" w:rsidRPr="00F8339C">
        <w:rPr>
          <w:rStyle w:val="FootnoteReference"/>
          <w:rFonts w:ascii="Times New Roman" w:hAnsi="Times New Roman"/>
          <w:szCs w:val="24"/>
          <w:lang w:val="en-IE" w:eastAsia="ja-JP"/>
        </w:rPr>
        <w:footnoteReference w:id="4"/>
      </w:r>
      <w:r w:rsidR="000B2FDD" w:rsidRPr="00F8339C">
        <w:rPr>
          <w:rFonts w:ascii="Times New Roman" w:hAnsi="Times New Roman"/>
          <w:szCs w:val="24"/>
          <w:lang w:val="en-IE" w:eastAsia="ja-JP"/>
        </w:rPr>
        <w:t xml:space="preserve"> </w:t>
      </w:r>
      <w:r w:rsidR="001370C4" w:rsidRPr="00F8339C">
        <w:rPr>
          <w:rFonts w:ascii="Times New Roman" w:hAnsi="Times New Roman"/>
          <w:szCs w:val="24"/>
          <w:lang w:val="en-IE" w:eastAsia="ja-JP"/>
        </w:rPr>
        <w:t xml:space="preserve">of the Commission </w:t>
      </w:r>
      <w:r w:rsidRPr="00F8339C">
        <w:rPr>
          <w:rFonts w:ascii="Times New Roman" w:hAnsi="Times New Roman"/>
          <w:szCs w:val="24"/>
          <w:lang w:val="en-IE" w:eastAsia="ja-JP"/>
        </w:rPr>
        <w:t>in t</w:t>
      </w:r>
      <w:r w:rsidRPr="00F8339C">
        <w:rPr>
          <w:rFonts w:ascii="Times New Roman" w:hAnsi="Times New Roman"/>
          <w:szCs w:val="24"/>
          <w:lang w:eastAsia="ja-JP"/>
        </w:rPr>
        <w:t xml:space="preserve">he Omnibus </w:t>
      </w:r>
      <w:r w:rsidR="00D72D6B" w:rsidRPr="00F8339C">
        <w:rPr>
          <w:rFonts w:ascii="Times New Roman" w:hAnsi="Times New Roman"/>
          <w:szCs w:val="24"/>
          <w:lang w:eastAsia="ja-JP"/>
        </w:rPr>
        <w:t xml:space="preserve">II </w:t>
      </w:r>
      <w:r w:rsidRPr="00F8339C">
        <w:rPr>
          <w:rFonts w:ascii="Times New Roman" w:hAnsi="Times New Roman"/>
          <w:szCs w:val="24"/>
          <w:lang w:eastAsia="ja-JP"/>
        </w:rPr>
        <w:t xml:space="preserve">package includes measures to simplify administrative requirements for financial intermediaries and final recipients, </w:t>
      </w:r>
      <w:r w:rsidR="00791CE9" w:rsidRPr="00F8339C">
        <w:rPr>
          <w:rFonts w:ascii="Times New Roman" w:hAnsi="Times New Roman"/>
          <w:szCs w:val="24"/>
          <w:lang w:eastAsia="ja-JP"/>
        </w:rPr>
        <w:t>particularly</w:t>
      </w:r>
      <w:r w:rsidRPr="00F8339C">
        <w:rPr>
          <w:rFonts w:ascii="Times New Roman" w:hAnsi="Times New Roman"/>
          <w:szCs w:val="24"/>
          <w:lang w:eastAsia="ja-JP"/>
        </w:rPr>
        <w:t xml:space="preserve"> SMEs</w:t>
      </w:r>
      <w:r w:rsidR="00D72D6B" w:rsidRPr="00F8339C">
        <w:rPr>
          <w:rFonts w:ascii="Times New Roman" w:hAnsi="Times New Roman"/>
          <w:szCs w:val="24"/>
          <w:lang w:eastAsia="ja-JP"/>
        </w:rPr>
        <w:t xml:space="preserve"> for easier</w:t>
      </w:r>
      <w:r w:rsidRPr="00F8339C">
        <w:rPr>
          <w:rFonts w:ascii="Times New Roman" w:hAnsi="Times New Roman"/>
          <w:szCs w:val="24"/>
          <w:lang w:eastAsia="ja-JP"/>
        </w:rPr>
        <w:t xml:space="preserve"> access </w:t>
      </w:r>
      <w:r w:rsidR="00D72D6B" w:rsidRPr="00F8339C">
        <w:rPr>
          <w:rFonts w:ascii="Times New Roman" w:hAnsi="Times New Roman"/>
          <w:szCs w:val="24"/>
          <w:lang w:eastAsia="ja-JP"/>
        </w:rPr>
        <w:t xml:space="preserve">to </w:t>
      </w:r>
      <w:r w:rsidRPr="00F8339C">
        <w:rPr>
          <w:rFonts w:ascii="Times New Roman" w:hAnsi="Times New Roman"/>
          <w:szCs w:val="24"/>
          <w:lang w:eastAsia="ja-JP"/>
        </w:rPr>
        <w:t>InvestEU support across different regions.</w:t>
      </w:r>
      <w:r w:rsidR="008E3A81" w:rsidRPr="00F8339C">
        <w:rPr>
          <w:rFonts w:ascii="Times New Roman" w:hAnsi="Times New Roman"/>
          <w:szCs w:val="24"/>
          <w:lang w:eastAsia="ja-JP"/>
        </w:rPr>
        <w:t xml:space="preserve"> </w:t>
      </w:r>
    </w:p>
    <w:p w14:paraId="1075096D" w14:textId="77777777" w:rsidR="002440A7" w:rsidRPr="00F8339C" w:rsidRDefault="002440A7" w:rsidP="002440A7">
      <w:pPr>
        <w:spacing w:after="100" w:afterAutospacing="1"/>
        <w:rPr>
          <w:rFonts w:ascii="Times New Roman" w:hAnsi="Times New Roman"/>
          <w:i/>
          <w:iCs/>
          <w:szCs w:val="24"/>
          <w:lang w:eastAsia="ja-JP"/>
        </w:rPr>
      </w:pPr>
      <w:r w:rsidRPr="00F8339C">
        <w:rPr>
          <w:rFonts w:ascii="Times New Roman" w:hAnsi="Times New Roman"/>
          <w:i/>
          <w:iCs/>
          <w:szCs w:val="24"/>
          <w:lang w:eastAsia="ja-JP"/>
        </w:rPr>
        <w:t>Para 18: Welcomes the continued expansion of the EIB’s network of European promotional banks and other international financial institutions to help to further leverage public and private investment, and to ensure broad geographical and sectoral coverage; recalls that InvestEU is 75 % implemented by the EIB;  calls for the financial instrument component of the Competitiveness Fund to make use of the expertise of national promotional banks and institutions (NPBIs), particularly their knowledge of local and regional actors; in that context, calls for the blending of instruments between the EIB and NPBIs to be explored further, ensuring that such instruments do not compromise the funds already dedicated to NPBIs;</w:t>
      </w:r>
    </w:p>
    <w:p w14:paraId="7ACD2974" w14:textId="2BBC361C" w:rsidR="00B11E29" w:rsidRPr="00F8339C" w:rsidRDefault="00B11E29" w:rsidP="002440A7">
      <w:pPr>
        <w:spacing w:after="100" w:afterAutospacing="1"/>
        <w:rPr>
          <w:rFonts w:ascii="Times New Roman" w:hAnsi="Times New Roman"/>
          <w:bCs/>
          <w:szCs w:val="24"/>
          <w:lang w:eastAsia="ja-JP"/>
        </w:rPr>
      </w:pPr>
      <w:r w:rsidRPr="00F8339C">
        <w:rPr>
          <w:rFonts w:ascii="Times New Roman" w:hAnsi="Times New Roman"/>
          <w:b/>
          <w:szCs w:val="24"/>
          <w:lang w:eastAsia="ja-JP"/>
        </w:rPr>
        <w:t>Commission reply</w:t>
      </w:r>
      <w:r w:rsidRPr="00F8339C">
        <w:rPr>
          <w:rFonts w:ascii="Times New Roman" w:hAnsi="Times New Roman"/>
          <w:bCs/>
          <w:szCs w:val="24"/>
          <w:lang w:eastAsia="ja-JP"/>
        </w:rPr>
        <w:t>:</w:t>
      </w:r>
    </w:p>
    <w:p w14:paraId="32CF2D90" w14:textId="4615DDB9" w:rsidR="004C6C5B" w:rsidRPr="00F8339C" w:rsidRDefault="00B0677E" w:rsidP="004C6C5B">
      <w:pPr>
        <w:spacing w:after="100" w:afterAutospacing="1"/>
        <w:rPr>
          <w:rFonts w:ascii="Times New Roman" w:hAnsi="Times New Roman"/>
          <w:szCs w:val="24"/>
          <w:lang w:eastAsia="ja-JP"/>
        </w:rPr>
      </w:pPr>
      <w:r w:rsidRPr="00F8339C">
        <w:rPr>
          <w:rFonts w:ascii="Times New Roman" w:hAnsi="Times New Roman"/>
          <w:szCs w:val="24"/>
          <w:lang w:val="en-IE" w:eastAsia="ja-JP"/>
        </w:rPr>
        <w:t xml:space="preserve">The Commission </w:t>
      </w:r>
      <w:r w:rsidR="00CB15EF" w:rsidRPr="00F8339C">
        <w:rPr>
          <w:rFonts w:ascii="Times New Roman" w:hAnsi="Times New Roman"/>
          <w:szCs w:val="24"/>
          <w:lang w:val="en-IE" w:eastAsia="ja-JP"/>
        </w:rPr>
        <w:t>has proposed</w:t>
      </w:r>
      <w:r w:rsidRPr="00F8339C">
        <w:rPr>
          <w:rFonts w:ascii="Times New Roman" w:hAnsi="Times New Roman"/>
          <w:szCs w:val="24"/>
          <w:lang w:val="en-IE" w:eastAsia="ja-JP"/>
        </w:rPr>
        <w:t xml:space="preserve"> that</w:t>
      </w:r>
      <w:r w:rsidR="006F4200" w:rsidRPr="00F8339C">
        <w:rPr>
          <w:rFonts w:ascii="Times New Roman" w:hAnsi="Times New Roman"/>
          <w:szCs w:val="24"/>
          <w:lang w:val="en-IE" w:eastAsia="ja-JP"/>
        </w:rPr>
        <w:t>,</w:t>
      </w:r>
      <w:r w:rsidRPr="00F8339C">
        <w:rPr>
          <w:rFonts w:ascii="Times New Roman" w:hAnsi="Times New Roman"/>
          <w:szCs w:val="24"/>
          <w:lang w:val="en-IE" w:eastAsia="ja-JP"/>
        </w:rPr>
        <w:t xml:space="preserve"> </w:t>
      </w:r>
      <w:r w:rsidR="003774C8" w:rsidRPr="00F8339C">
        <w:rPr>
          <w:rFonts w:ascii="Times New Roman" w:hAnsi="Times New Roman"/>
          <w:szCs w:val="24"/>
          <w:lang w:val="en-IE" w:eastAsia="ja-JP"/>
        </w:rPr>
        <w:t xml:space="preserve">in the next MFF 2028-2034, </w:t>
      </w:r>
      <w:r w:rsidRPr="00F8339C">
        <w:rPr>
          <w:rFonts w:ascii="Times New Roman" w:hAnsi="Times New Roman"/>
          <w:szCs w:val="24"/>
          <w:lang w:val="en-IE" w:eastAsia="ja-JP"/>
        </w:rPr>
        <w:t xml:space="preserve">the European Competitiveness Fund will </w:t>
      </w:r>
      <w:r w:rsidR="00D162E6" w:rsidRPr="00F8339C">
        <w:rPr>
          <w:rFonts w:ascii="Times New Roman" w:hAnsi="Times New Roman"/>
          <w:szCs w:val="24"/>
          <w:lang w:val="en-IE" w:eastAsia="ja-JP"/>
        </w:rPr>
        <w:t>provide</w:t>
      </w:r>
      <w:r w:rsidRPr="00F8339C">
        <w:rPr>
          <w:rFonts w:ascii="Times New Roman" w:hAnsi="Times New Roman"/>
          <w:szCs w:val="24"/>
          <w:lang w:val="en-IE" w:eastAsia="ja-JP"/>
        </w:rPr>
        <w:t xml:space="preserve"> a comprehensive </w:t>
      </w:r>
      <w:r w:rsidR="00D162E6" w:rsidRPr="00F8339C">
        <w:rPr>
          <w:rFonts w:ascii="Times New Roman" w:hAnsi="Times New Roman"/>
          <w:szCs w:val="24"/>
          <w:lang w:val="en-IE" w:eastAsia="ja-JP"/>
        </w:rPr>
        <w:t xml:space="preserve">range of </w:t>
      </w:r>
      <w:r w:rsidRPr="00F8339C">
        <w:rPr>
          <w:rFonts w:ascii="Times New Roman" w:hAnsi="Times New Roman"/>
          <w:szCs w:val="24"/>
          <w:lang w:val="en-IE" w:eastAsia="ja-JP"/>
        </w:rPr>
        <w:t xml:space="preserve">funding </w:t>
      </w:r>
      <w:r w:rsidR="00D162E6" w:rsidRPr="00F8339C">
        <w:rPr>
          <w:rFonts w:ascii="Times New Roman" w:hAnsi="Times New Roman"/>
          <w:szCs w:val="24"/>
          <w:lang w:val="en-IE" w:eastAsia="ja-JP"/>
        </w:rPr>
        <w:t>options</w:t>
      </w:r>
      <w:r w:rsidRPr="00F8339C">
        <w:rPr>
          <w:rFonts w:ascii="Times New Roman" w:hAnsi="Times New Roman"/>
          <w:szCs w:val="24"/>
          <w:lang w:val="en-IE" w:eastAsia="ja-JP"/>
        </w:rPr>
        <w:t xml:space="preserve"> for crowding in </w:t>
      </w:r>
      <w:r w:rsidR="000B2FDD" w:rsidRPr="00F8339C">
        <w:rPr>
          <w:rFonts w:ascii="Times New Roman" w:hAnsi="Times New Roman"/>
          <w:szCs w:val="24"/>
          <w:lang w:val="en-IE" w:eastAsia="ja-JP"/>
        </w:rPr>
        <w:t xml:space="preserve">public and </w:t>
      </w:r>
      <w:r w:rsidRPr="00F8339C">
        <w:rPr>
          <w:rFonts w:ascii="Times New Roman" w:hAnsi="Times New Roman"/>
          <w:szCs w:val="24"/>
          <w:lang w:val="en-IE" w:eastAsia="ja-JP"/>
        </w:rPr>
        <w:t xml:space="preserve">private investment, </w:t>
      </w:r>
      <w:r w:rsidR="004818B5" w:rsidRPr="00F8339C">
        <w:rPr>
          <w:rFonts w:ascii="Times New Roman" w:hAnsi="Times New Roman"/>
          <w:szCs w:val="24"/>
          <w:lang w:val="en-IE" w:eastAsia="ja-JP"/>
        </w:rPr>
        <w:t xml:space="preserve">which will </w:t>
      </w:r>
      <w:r w:rsidR="00D162E6" w:rsidRPr="00F8339C">
        <w:rPr>
          <w:rFonts w:ascii="Times New Roman" w:hAnsi="Times New Roman"/>
          <w:szCs w:val="24"/>
          <w:lang w:val="en-IE" w:eastAsia="ja-JP"/>
        </w:rPr>
        <w:t>enable</w:t>
      </w:r>
      <w:r w:rsidRPr="00F8339C">
        <w:rPr>
          <w:rFonts w:ascii="Times New Roman" w:hAnsi="Times New Roman"/>
          <w:szCs w:val="24"/>
          <w:lang w:val="en-IE" w:eastAsia="ja-JP"/>
        </w:rPr>
        <w:t xml:space="preserve"> project</w:t>
      </w:r>
      <w:r w:rsidR="00D72D6B" w:rsidRPr="00F8339C">
        <w:rPr>
          <w:rFonts w:ascii="Times New Roman" w:hAnsi="Times New Roman"/>
          <w:szCs w:val="24"/>
          <w:lang w:val="en-IE" w:eastAsia="ja-JP"/>
        </w:rPr>
        <w:t>s</w:t>
      </w:r>
      <w:r w:rsidRPr="00F8339C">
        <w:rPr>
          <w:rFonts w:ascii="Times New Roman" w:hAnsi="Times New Roman"/>
          <w:szCs w:val="24"/>
          <w:lang w:val="en-IE" w:eastAsia="ja-JP"/>
        </w:rPr>
        <w:t xml:space="preserve"> to access the most </w:t>
      </w:r>
      <w:r w:rsidR="00D162E6" w:rsidRPr="00F8339C">
        <w:rPr>
          <w:rFonts w:ascii="Times New Roman" w:hAnsi="Times New Roman"/>
          <w:szCs w:val="24"/>
          <w:lang w:val="en-IE" w:eastAsia="ja-JP"/>
        </w:rPr>
        <w:t>suitable</w:t>
      </w:r>
      <w:r w:rsidRPr="00F8339C">
        <w:rPr>
          <w:rFonts w:ascii="Times New Roman" w:hAnsi="Times New Roman"/>
          <w:szCs w:val="24"/>
          <w:lang w:val="en-IE" w:eastAsia="ja-JP"/>
        </w:rPr>
        <w:t xml:space="preserve"> form of support, including </w:t>
      </w:r>
      <w:r w:rsidR="00A926C1" w:rsidRPr="00F8339C">
        <w:rPr>
          <w:rFonts w:ascii="Times New Roman" w:hAnsi="Times New Roman"/>
          <w:szCs w:val="24"/>
          <w:lang w:val="en-IE" w:eastAsia="ja-JP"/>
        </w:rPr>
        <w:t xml:space="preserve">financial instruments, </w:t>
      </w:r>
      <w:r w:rsidRPr="00F8339C">
        <w:rPr>
          <w:rFonts w:ascii="Times New Roman" w:hAnsi="Times New Roman"/>
          <w:szCs w:val="24"/>
          <w:lang w:val="en-IE" w:eastAsia="ja-JP"/>
        </w:rPr>
        <w:t xml:space="preserve">grants, </w:t>
      </w:r>
      <w:r w:rsidR="00A926C1" w:rsidRPr="00F8339C">
        <w:rPr>
          <w:rFonts w:ascii="Times New Roman" w:hAnsi="Times New Roman"/>
          <w:szCs w:val="24"/>
          <w:lang w:val="en-IE" w:eastAsia="ja-JP"/>
        </w:rPr>
        <w:t>budgetary guarantees</w:t>
      </w:r>
      <w:r w:rsidRPr="00F8339C">
        <w:rPr>
          <w:rFonts w:ascii="Times New Roman" w:hAnsi="Times New Roman"/>
          <w:szCs w:val="24"/>
          <w:lang w:val="en-IE" w:eastAsia="ja-JP"/>
        </w:rPr>
        <w:t>,</w:t>
      </w:r>
      <w:r w:rsidR="00A926C1" w:rsidRPr="00F8339C">
        <w:rPr>
          <w:rFonts w:ascii="Times New Roman" w:hAnsi="Times New Roman"/>
          <w:szCs w:val="24"/>
        </w:rPr>
        <w:t xml:space="preserve"> </w:t>
      </w:r>
      <w:r w:rsidR="00A926C1" w:rsidRPr="00F8339C">
        <w:rPr>
          <w:rFonts w:ascii="Times New Roman" w:hAnsi="Times New Roman"/>
          <w:szCs w:val="24"/>
          <w:lang w:eastAsia="ja-JP"/>
        </w:rPr>
        <w:t>and blending mechanism</w:t>
      </w:r>
      <w:r w:rsidRPr="00F8339C">
        <w:rPr>
          <w:rStyle w:val="FootnoteReference"/>
          <w:rFonts w:ascii="Times New Roman" w:hAnsi="Times New Roman"/>
          <w:szCs w:val="24"/>
          <w:lang w:val="en-IE" w:eastAsia="ja-JP"/>
        </w:rPr>
        <w:footnoteReference w:id="5"/>
      </w:r>
      <w:r w:rsidRPr="00F8339C">
        <w:rPr>
          <w:rFonts w:ascii="Times New Roman" w:hAnsi="Times New Roman"/>
          <w:szCs w:val="24"/>
          <w:lang w:val="en-IE" w:eastAsia="ja-JP"/>
        </w:rPr>
        <w:t xml:space="preserve">. This approach </w:t>
      </w:r>
      <w:r w:rsidR="00D162E6" w:rsidRPr="00F8339C">
        <w:rPr>
          <w:rFonts w:ascii="Times New Roman" w:hAnsi="Times New Roman"/>
          <w:szCs w:val="24"/>
          <w:lang w:val="en-IE" w:eastAsia="ja-JP"/>
        </w:rPr>
        <w:t>aligns</w:t>
      </w:r>
      <w:r w:rsidRPr="00F8339C">
        <w:rPr>
          <w:rFonts w:ascii="Times New Roman" w:hAnsi="Times New Roman"/>
          <w:szCs w:val="24"/>
          <w:lang w:val="en-IE" w:eastAsia="ja-JP"/>
        </w:rPr>
        <w:t xml:space="preserve"> with the </w:t>
      </w:r>
      <w:r w:rsidR="00D162E6" w:rsidRPr="00F8339C">
        <w:rPr>
          <w:rFonts w:ascii="Times New Roman" w:hAnsi="Times New Roman"/>
          <w:szCs w:val="24"/>
          <w:lang w:val="en-IE" w:eastAsia="ja-JP"/>
        </w:rPr>
        <w:t>objective</w:t>
      </w:r>
      <w:r w:rsidRPr="00F8339C">
        <w:rPr>
          <w:rFonts w:ascii="Times New Roman" w:hAnsi="Times New Roman"/>
          <w:szCs w:val="24"/>
          <w:lang w:val="en-IE" w:eastAsia="ja-JP"/>
        </w:rPr>
        <w:t xml:space="preserve"> of</w:t>
      </w:r>
      <w:r w:rsidR="004818B5" w:rsidRPr="00F8339C">
        <w:rPr>
          <w:rFonts w:ascii="Times New Roman" w:hAnsi="Times New Roman"/>
          <w:szCs w:val="24"/>
          <w:lang w:val="en-IE" w:eastAsia="ja-JP"/>
        </w:rPr>
        <w:t xml:space="preserve"> </w:t>
      </w:r>
      <w:r w:rsidR="00D162E6" w:rsidRPr="00F8339C">
        <w:rPr>
          <w:rFonts w:ascii="Times New Roman" w:hAnsi="Times New Roman"/>
          <w:szCs w:val="24"/>
          <w:lang w:val="en-IE" w:eastAsia="ja-JP"/>
        </w:rPr>
        <w:t xml:space="preserve">leveraging public and private investment towards EU priority sectors </w:t>
      </w:r>
      <w:r w:rsidR="004818B5" w:rsidRPr="00F8339C">
        <w:rPr>
          <w:rFonts w:ascii="Times New Roman" w:hAnsi="Times New Roman"/>
          <w:szCs w:val="24"/>
          <w:lang w:val="en-IE" w:eastAsia="ja-JP"/>
        </w:rPr>
        <w:t>using the</w:t>
      </w:r>
      <w:r w:rsidRPr="00F8339C">
        <w:rPr>
          <w:rFonts w:ascii="Times New Roman" w:hAnsi="Times New Roman"/>
          <w:szCs w:val="24"/>
          <w:lang w:val="en-IE" w:eastAsia="ja-JP"/>
        </w:rPr>
        <w:t xml:space="preserve"> </w:t>
      </w:r>
      <w:r w:rsidR="004818B5" w:rsidRPr="00F8339C">
        <w:rPr>
          <w:rFonts w:ascii="Times New Roman" w:hAnsi="Times New Roman"/>
          <w:szCs w:val="24"/>
          <w:lang w:val="en-IE" w:eastAsia="ja-JP"/>
        </w:rPr>
        <w:t xml:space="preserve">EU budget strategically. </w:t>
      </w:r>
      <w:r w:rsidR="004818B5" w:rsidRPr="00F8339C">
        <w:rPr>
          <w:rFonts w:ascii="Times New Roman" w:hAnsi="Times New Roman"/>
          <w:szCs w:val="24"/>
          <w:lang w:eastAsia="ja-JP"/>
        </w:rPr>
        <w:t xml:space="preserve">Building on the success of </w:t>
      </w:r>
      <w:r w:rsidR="00D72D6B" w:rsidRPr="00F8339C">
        <w:rPr>
          <w:rFonts w:ascii="Times New Roman" w:hAnsi="Times New Roman"/>
          <w:szCs w:val="24"/>
          <w:lang w:eastAsia="ja-JP"/>
        </w:rPr>
        <w:t>programme</w:t>
      </w:r>
      <w:r w:rsidR="004818B5" w:rsidRPr="00F8339C">
        <w:rPr>
          <w:rFonts w:ascii="Times New Roman" w:hAnsi="Times New Roman"/>
          <w:szCs w:val="24"/>
          <w:lang w:eastAsia="ja-JP"/>
        </w:rPr>
        <w:t xml:space="preserve">s </w:t>
      </w:r>
      <w:r w:rsidR="00D162E6" w:rsidRPr="00F8339C">
        <w:rPr>
          <w:rFonts w:ascii="Times New Roman" w:hAnsi="Times New Roman"/>
          <w:szCs w:val="24"/>
          <w:lang w:eastAsia="ja-JP"/>
        </w:rPr>
        <w:t>such as</w:t>
      </w:r>
      <w:r w:rsidR="004818B5" w:rsidRPr="00F8339C">
        <w:rPr>
          <w:rFonts w:ascii="Times New Roman" w:hAnsi="Times New Roman"/>
          <w:szCs w:val="24"/>
          <w:lang w:eastAsia="ja-JP"/>
        </w:rPr>
        <w:t xml:space="preserve"> InvestEU, the Commission</w:t>
      </w:r>
      <w:r w:rsidR="004C6C5B" w:rsidRPr="00F8339C">
        <w:rPr>
          <w:rFonts w:ascii="Times New Roman" w:hAnsi="Times New Roman"/>
          <w:szCs w:val="24"/>
          <w:lang w:eastAsia="ja-JP"/>
        </w:rPr>
        <w:t xml:space="preserve"> </w:t>
      </w:r>
      <w:r w:rsidR="001F79AF" w:rsidRPr="00F8339C">
        <w:rPr>
          <w:rFonts w:ascii="Times New Roman" w:hAnsi="Times New Roman"/>
          <w:szCs w:val="24"/>
          <w:lang w:eastAsia="ja-JP"/>
        </w:rPr>
        <w:t xml:space="preserve">proposes to retain the open architecture and </w:t>
      </w:r>
      <w:r w:rsidR="004C6C5B" w:rsidRPr="00F8339C">
        <w:rPr>
          <w:rFonts w:ascii="Times New Roman" w:hAnsi="Times New Roman"/>
          <w:szCs w:val="24"/>
          <w:lang w:eastAsia="ja-JP"/>
        </w:rPr>
        <w:t>will continue to work closely with relevant implementing partners, including the EIB Group</w:t>
      </w:r>
      <w:r w:rsidR="004B62F5" w:rsidRPr="00F8339C">
        <w:rPr>
          <w:rFonts w:ascii="Times New Roman" w:hAnsi="Times New Roman"/>
          <w:szCs w:val="24"/>
          <w:lang w:eastAsia="ja-JP"/>
        </w:rPr>
        <w:t xml:space="preserve">, </w:t>
      </w:r>
      <w:r w:rsidR="004B62F5" w:rsidRPr="00F8339C">
        <w:rPr>
          <w:rFonts w:ascii="Times New Roman" w:hAnsi="Times New Roman"/>
          <w:szCs w:val="24"/>
          <w:lang w:val="en-IE" w:eastAsia="ja-JP"/>
        </w:rPr>
        <w:t xml:space="preserve">International Financial Institutions </w:t>
      </w:r>
      <w:r w:rsidR="004C6C5B" w:rsidRPr="00F8339C">
        <w:rPr>
          <w:rFonts w:ascii="Times New Roman" w:hAnsi="Times New Roman"/>
          <w:szCs w:val="24"/>
          <w:lang w:eastAsia="ja-JP"/>
        </w:rPr>
        <w:t xml:space="preserve">and National Promotional Banks and Institutions (NPBIs), particularly those </w:t>
      </w:r>
      <w:r w:rsidR="001F79AF" w:rsidRPr="00F8339C">
        <w:rPr>
          <w:rFonts w:ascii="Times New Roman" w:hAnsi="Times New Roman"/>
          <w:szCs w:val="24"/>
          <w:lang w:eastAsia="ja-JP"/>
        </w:rPr>
        <w:t>willing to</w:t>
      </w:r>
      <w:r w:rsidR="004C6C5B" w:rsidRPr="00F8339C">
        <w:rPr>
          <w:rFonts w:ascii="Times New Roman" w:hAnsi="Times New Roman"/>
          <w:szCs w:val="24"/>
          <w:lang w:eastAsia="ja-JP"/>
        </w:rPr>
        <w:t xml:space="preserve"> contribute to the EU's policy objectives. This collaboration is essential to effectively address the challenges within EU and to foster sustainable economic growth</w:t>
      </w:r>
      <w:r w:rsidR="001F79AF" w:rsidRPr="00F8339C">
        <w:rPr>
          <w:rFonts w:ascii="Times New Roman" w:hAnsi="Times New Roman"/>
          <w:szCs w:val="24"/>
          <w:lang w:eastAsia="ja-JP"/>
        </w:rPr>
        <w:t xml:space="preserve"> and </w:t>
      </w:r>
      <w:r w:rsidR="00AB3F95" w:rsidRPr="00F8339C">
        <w:rPr>
          <w:rFonts w:ascii="Times New Roman" w:hAnsi="Times New Roman"/>
          <w:szCs w:val="24"/>
          <w:lang w:eastAsia="ja-JP"/>
        </w:rPr>
        <w:t xml:space="preserve">strive for a </w:t>
      </w:r>
      <w:r w:rsidR="001F79AF" w:rsidRPr="00F8339C">
        <w:rPr>
          <w:rFonts w:ascii="Times New Roman" w:hAnsi="Times New Roman"/>
          <w:szCs w:val="24"/>
          <w:lang w:eastAsia="ja-JP"/>
        </w:rPr>
        <w:t>broad</w:t>
      </w:r>
      <w:r w:rsidR="00AB3F95" w:rsidRPr="00F8339C">
        <w:rPr>
          <w:rFonts w:ascii="Times New Roman" w:hAnsi="Times New Roman"/>
          <w:szCs w:val="24"/>
          <w:lang w:eastAsia="ja-JP"/>
        </w:rPr>
        <w:t>er</w:t>
      </w:r>
      <w:r w:rsidR="001F79AF" w:rsidRPr="00F8339C">
        <w:rPr>
          <w:rFonts w:ascii="Times New Roman" w:hAnsi="Times New Roman"/>
          <w:szCs w:val="24"/>
          <w:lang w:eastAsia="ja-JP"/>
        </w:rPr>
        <w:t xml:space="preserve"> geographical reach</w:t>
      </w:r>
      <w:r w:rsidR="004C6C5B" w:rsidRPr="00F8339C">
        <w:rPr>
          <w:rFonts w:ascii="Times New Roman" w:hAnsi="Times New Roman"/>
          <w:szCs w:val="24"/>
          <w:lang w:eastAsia="ja-JP"/>
        </w:rPr>
        <w:t>. By combining the strengths of each partner</w:t>
      </w:r>
      <w:r w:rsidR="00767954" w:rsidRPr="00F8339C">
        <w:rPr>
          <w:rFonts w:ascii="Times New Roman" w:hAnsi="Times New Roman"/>
          <w:szCs w:val="24"/>
          <w:lang w:eastAsia="ja-JP"/>
        </w:rPr>
        <w:t xml:space="preserve">, based </w:t>
      </w:r>
      <w:r w:rsidR="00767954" w:rsidRPr="00F8339C">
        <w:rPr>
          <w:rFonts w:ascii="Times New Roman" w:hAnsi="Times New Roman"/>
          <w:i/>
          <w:iCs/>
          <w:szCs w:val="24"/>
          <w:lang w:eastAsia="ja-JP"/>
        </w:rPr>
        <w:t>inter alia</w:t>
      </w:r>
      <w:r w:rsidR="00767954" w:rsidRPr="00F8339C">
        <w:rPr>
          <w:rFonts w:ascii="Times New Roman" w:hAnsi="Times New Roman"/>
          <w:szCs w:val="24"/>
          <w:lang w:eastAsia="ja-JP"/>
        </w:rPr>
        <w:t xml:space="preserve"> on their unique regional expertise</w:t>
      </w:r>
      <w:r w:rsidR="004C6C5B" w:rsidRPr="00F8339C">
        <w:rPr>
          <w:rFonts w:ascii="Times New Roman" w:hAnsi="Times New Roman"/>
          <w:szCs w:val="24"/>
          <w:lang w:eastAsia="ja-JP"/>
        </w:rPr>
        <w:t xml:space="preserve">, the Commission aims to enhance the impact of its initiatives, promote innovation, and support </w:t>
      </w:r>
      <w:r w:rsidR="00EC7D44" w:rsidRPr="00F8339C">
        <w:rPr>
          <w:rFonts w:ascii="Times New Roman" w:hAnsi="Times New Roman"/>
          <w:szCs w:val="24"/>
          <w:lang w:eastAsia="ja-JP"/>
        </w:rPr>
        <w:t xml:space="preserve">infrastructure </w:t>
      </w:r>
      <w:r w:rsidR="00B6150F" w:rsidRPr="00F8339C">
        <w:rPr>
          <w:rFonts w:ascii="Times New Roman" w:hAnsi="Times New Roman"/>
          <w:szCs w:val="24"/>
          <w:lang w:eastAsia="ja-JP"/>
        </w:rPr>
        <w:t xml:space="preserve">and </w:t>
      </w:r>
      <w:r w:rsidR="004C6C5B" w:rsidRPr="00F8339C">
        <w:rPr>
          <w:rFonts w:ascii="Times New Roman" w:hAnsi="Times New Roman"/>
          <w:szCs w:val="24"/>
          <w:lang w:eastAsia="ja-JP"/>
        </w:rPr>
        <w:t xml:space="preserve">environmental sustainability. </w:t>
      </w:r>
    </w:p>
    <w:p w14:paraId="123E96F1" w14:textId="5A93BFE0" w:rsidR="00B0677E" w:rsidRPr="00F8339C" w:rsidRDefault="00B0677E" w:rsidP="00B0677E">
      <w:pPr>
        <w:spacing w:after="100" w:afterAutospacing="1"/>
        <w:rPr>
          <w:rFonts w:ascii="Times New Roman" w:hAnsi="Times New Roman"/>
          <w:szCs w:val="24"/>
          <w:lang w:val="en-IE" w:eastAsia="ja-JP"/>
        </w:rPr>
      </w:pPr>
    </w:p>
    <w:p w14:paraId="74F75244" w14:textId="2307D35F" w:rsidR="002440A7" w:rsidRPr="00F8339C" w:rsidRDefault="002440A7" w:rsidP="002440A7">
      <w:pPr>
        <w:spacing w:after="100" w:afterAutospacing="1"/>
        <w:rPr>
          <w:rFonts w:ascii="Times New Roman" w:hAnsi="Times New Roman"/>
          <w:i/>
          <w:iCs/>
          <w:szCs w:val="24"/>
          <w:lang w:eastAsia="ja-JP"/>
        </w:rPr>
      </w:pPr>
      <w:r w:rsidRPr="00F8339C">
        <w:rPr>
          <w:rFonts w:ascii="Times New Roman" w:hAnsi="Times New Roman"/>
          <w:i/>
          <w:iCs/>
          <w:szCs w:val="24"/>
          <w:lang w:eastAsia="ja-JP"/>
        </w:rPr>
        <w:t>Para 2</w:t>
      </w:r>
      <w:r w:rsidR="00CA48E2" w:rsidRPr="00F8339C">
        <w:rPr>
          <w:rFonts w:ascii="Times New Roman" w:hAnsi="Times New Roman"/>
          <w:i/>
          <w:iCs/>
          <w:szCs w:val="24"/>
          <w:lang w:eastAsia="ja-JP"/>
        </w:rPr>
        <w:t>7</w:t>
      </w:r>
      <w:r w:rsidRPr="00F8339C">
        <w:rPr>
          <w:rFonts w:ascii="Times New Roman" w:hAnsi="Times New Roman"/>
          <w:i/>
          <w:iCs/>
          <w:szCs w:val="24"/>
          <w:lang w:eastAsia="ja-JP"/>
        </w:rPr>
        <w:t xml:space="preserve">: [..] </w:t>
      </w:r>
      <w:r w:rsidR="00B11E29" w:rsidRPr="00F8339C">
        <w:rPr>
          <w:rFonts w:ascii="Times New Roman" w:hAnsi="Times New Roman"/>
          <w:i/>
          <w:iCs/>
          <w:szCs w:val="24"/>
          <w:lang w:eastAsia="ja-JP"/>
        </w:rPr>
        <w:t xml:space="preserve">call on the Commission and the EIB to </w:t>
      </w:r>
      <w:r w:rsidRPr="00F8339C">
        <w:rPr>
          <w:rFonts w:ascii="Times New Roman" w:hAnsi="Times New Roman"/>
          <w:i/>
          <w:iCs/>
          <w:szCs w:val="24"/>
          <w:lang w:eastAsia="ja-JP"/>
        </w:rPr>
        <w:t>maintain the EU’s leadership in green and digital bonds</w:t>
      </w:r>
      <w:r w:rsidR="00B11E29" w:rsidRPr="00F8339C">
        <w:rPr>
          <w:rFonts w:ascii="Times New Roman" w:hAnsi="Times New Roman"/>
          <w:i/>
          <w:iCs/>
          <w:szCs w:val="24"/>
          <w:lang w:eastAsia="ja-JP"/>
        </w:rPr>
        <w:t>.</w:t>
      </w:r>
    </w:p>
    <w:p w14:paraId="5A578089" w14:textId="77777777" w:rsidR="00B11E29" w:rsidRPr="00F8339C" w:rsidRDefault="00B11E29" w:rsidP="00B11E29">
      <w:pPr>
        <w:spacing w:after="100" w:afterAutospacing="1"/>
        <w:rPr>
          <w:rFonts w:ascii="Times New Roman" w:hAnsi="Times New Roman"/>
          <w:bCs/>
          <w:szCs w:val="24"/>
          <w:lang w:eastAsia="ja-JP"/>
        </w:rPr>
      </w:pPr>
      <w:r w:rsidRPr="00F8339C">
        <w:rPr>
          <w:rFonts w:ascii="Times New Roman" w:hAnsi="Times New Roman"/>
          <w:b/>
          <w:szCs w:val="24"/>
          <w:lang w:eastAsia="ja-JP"/>
        </w:rPr>
        <w:t>Commission reply</w:t>
      </w:r>
      <w:r w:rsidRPr="00F8339C">
        <w:rPr>
          <w:rFonts w:ascii="Times New Roman" w:hAnsi="Times New Roman"/>
          <w:bCs/>
          <w:szCs w:val="24"/>
          <w:lang w:eastAsia="ja-JP"/>
        </w:rPr>
        <w:t>:</w:t>
      </w:r>
    </w:p>
    <w:p w14:paraId="0C015D4D" w14:textId="3765478E" w:rsidR="00661F3A" w:rsidRPr="00F8339C" w:rsidRDefault="00A11E6A" w:rsidP="00A11E6A">
      <w:pPr>
        <w:spacing w:after="100" w:afterAutospacing="1"/>
        <w:rPr>
          <w:rFonts w:ascii="Times New Roman" w:hAnsi="Times New Roman"/>
          <w:b/>
          <w:bCs/>
          <w:szCs w:val="24"/>
          <w:lang w:eastAsia="ja-JP"/>
        </w:rPr>
      </w:pPr>
      <w:r w:rsidRPr="00F8339C">
        <w:rPr>
          <w:rFonts w:ascii="Times New Roman" w:hAnsi="Times New Roman"/>
          <w:bCs/>
          <w:szCs w:val="24"/>
          <w:lang w:eastAsia="ja-JP"/>
        </w:rPr>
        <w:t xml:space="preserve">The EU has been </w:t>
      </w:r>
      <w:r w:rsidR="00552BDE" w:rsidRPr="00F8339C">
        <w:rPr>
          <w:rFonts w:ascii="Times New Roman" w:hAnsi="Times New Roman"/>
          <w:bCs/>
          <w:szCs w:val="24"/>
          <w:lang w:eastAsia="ja-JP"/>
        </w:rPr>
        <w:t xml:space="preserve">one of the largest green bond issuers in the world, with EUR </w:t>
      </w:r>
      <w:r w:rsidR="00D23C5D" w:rsidRPr="00F8339C">
        <w:rPr>
          <w:rFonts w:ascii="Times New Roman" w:hAnsi="Times New Roman"/>
          <w:bCs/>
          <w:szCs w:val="24"/>
          <w:lang w:eastAsia="ja-JP"/>
        </w:rPr>
        <w:t>68</w:t>
      </w:r>
      <w:r w:rsidR="00552BDE" w:rsidRPr="00F8339C">
        <w:rPr>
          <w:rFonts w:ascii="Times New Roman" w:hAnsi="Times New Roman"/>
          <w:bCs/>
          <w:szCs w:val="24"/>
          <w:lang w:eastAsia="ja-JP"/>
        </w:rPr>
        <w:t xml:space="preserve">.2 billion issued in the form of NGEU </w:t>
      </w:r>
      <w:r w:rsidR="00D72D6B" w:rsidRPr="00F8339C">
        <w:rPr>
          <w:rFonts w:ascii="Times New Roman" w:hAnsi="Times New Roman"/>
          <w:bCs/>
          <w:szCs w:val="24"/>
          <w:lang w:eastAsia="ja-JP"/>
        </w:rPr>
        <w:t>G</w:t>
      </w:r>
      <w:r w:rsidR="00552BDE" w:rsidRPr="00F8339C">
        <w:rPr>
          <w:rFonts w:ascii="Times New Roman" w:hAnsi="Times New Roman"/>
          <w:bCs/>
          <w:szCs w:val="24"/>
          <w:lang w:eastAsia="ja-JP"/>
        </w:rPr>
        <w:t xml:space="preserve">reen </w:t>
      </w:r>
      <w:r w:rsidR="00D72D6B" w:rsidRPr="00F8339C">
        <w:rPr>
          <w:rFonts w:ascii="Times New Roman" w:hAnsi="Times New Roman"/>
          <w:bCs/>
          <w:szCs w:val="24"/>
          <w:lang w:eastAsia="ja-JP"/>
        </w:rPr>
        <w:t>B</w:t>
      </w:r>
      <w:r w:rsidR="00552BDE" w:rsidRPr="00F8339C">
        <w:rPr>
          <w:rFonts w:ascii="Times New Roman" w:hAnsi="Times New Roman"/>
          <w:bCs/>
          <w:szCs w:val="24"/>
          <w:lang w:eastAsia="ja-JP"/>
        </w:rPr>
        <w:t>onds by end 2024</w:t>
      </w:r>
      <w:r w:rsidR="00D23C5D" w:rsidRPr="00F8339C">
        <w:rPr>
          <w:rFonts w:ascii="Times New Roman" w:hAnsi="Times New Roman"/>
          <w:bCs/>
          <w:szCs w:val="24"/>
          <w:lang w:eastAsia="ja-JP"/>
        </w:rPr>
        <w:t xml:space="preserve"> (EUR 75.1 billion as of end of July </w:t>
      </w:r>
      <w:r w:rsidR="00D23C5D" w:rsidRPr="00F8339C">
        <w:rPr>
          <w:rFonts w:ascii="Times New Roman" w:hAnsi="Times New Roman"/>
          <w:bCs/>
          <w:szCs w:val="24"/>
          <w:lang w:eastAsia="ja-JP"/>
        </w:rPr>
        <w:lastRenderedPageBreak/>
        <w:t>2025)</w:t>
      </w:r>
      <w:r w:rsidR="00552BDE" w:rsidRPr="00F8339C">
        <w:rPr>
          <w:rFonts w:ascii="Times New Roman" w:hAnsi="Times New Roman"/>
          <w:bCs/>
          <w:szCs w:val="24"/>
          <w:lang w:eastAsia="ja-JP"/>
        </w:rPr>
        <w:t xml:space="preserve">. </w:t>
      </w:r>
      <w:r w:rsidR="00661F3A" w:rsidRPr="00F8339C">
        <w:rPr>
          <w:rFonts w:ascii="Times New Roman" w:hAnsi="Times New Roman"/>
          <w:bCs/>
          <w:szCs w:val="24"/>
          <w:lang w:eastAsia="ja-JP"/>
        </w:rPr>
        <w:t xml:space="preserve">NGEU Green Bonds are expected to </w:t>
      </w:r>
      <w:r w:rsidR="00D23C5D" w:rsidRPr="00F8339C">
        <w:rPr>
          <w:rFonts w:ascii="Times New Roman" w:hAnsi="Times New Roman"/>
          <w:bCs/>
          <w:szCs w:val="24"/>
          <w:lang w:eastAsia="ja-JP"/>
        </w:rPr>
        <w:t xml:space="preserve">support the implementation </w:t>
      </w:r>
      <w:r w:rsidR="00661F3A" w:rsidRPr="00F8339C">
        <w:rPr>
          <w:rFonts w:ascii="Times New Roman" w:hAnsi="Times New Roman"/>
          <w:bCs/>
          <w:szCs w:val="24"/>
          <w:lang w:eastAsia="ja-JP"/>
        </w:rPr>
        <w:t xml:space="preserve">of green investments </w:t>
      </w:r>
      <w:r w:rsidR="00D23C5D" w:rsidRPr="00F8339C">
        <w:rPr>
          <w:rFonts w:ascii="Times New Roman" w:hAnsi="Times New Roman"/>
          <w:bCs/>
          <w:szCs w:val="24"/>
          <w:lang w:eastAsia="ja-JP"/>
        </w:rPr>
        <w:t xml:space="preserve">in total value of up to EUR 264.6 billion </w:t>
      </w:r>
      <w:r w:rsidR="00661F3A" w:rsidRPr="00F8339C">
        <w:rPr>
          <w:rFonts w:ascii="Times New Roman" w:hAnsi="Times New Roman"/>
          <w:bCs/>
          <w:szCs w:val="24"/>
          <w:lang w:eastAsia="ja-JP"/>
        </w:rPr>
        <w:t xml:space="preserve">in the nine </w:t>
      </w:r>
      <w:r w:rsidR="00D23C5D" w:rsidRPr="00F8339C">
        <w:rPr>
          <w:rFonts w:ascii="Times New Roman" w:hAnsi="Times New Roman"/>
          <w:bCs/>
          <w:szCs w:val="24"/>
          <w:lang w:eastAsia="ja-JP"/>
        </w:rPr>
        <w:t xml:space="preserve">expenditure categories </w:t>
      </w:r>
      <w:r w:rsidR="00661F3A" w:rsidRPr="00F8339C">
        <w:rPr>
          <w:rFonts w:ascii="Times New Roman" w:hAnsi="Times New Roman"/>
          <w:bCs/>
          <w:szCs w:val="24"/>
          <w:lang w:eastAsia="ja-JP"/>
        </w:rPr>
        <w:t>set out in the NGEU Green Bond Framework, including clean transport, clean energy and energy efficiency, confirming the EU's leading role in sustainable finance.</w:t>
      </w:r>
      <w:r w:rsidR="00661F3A" w:rsidRPr="00F8339C">
        <w:rPr>
          <w:rFonts w:ascii="Times New Roman" w:hAnsi="Times New Roman"/>
          <w:b/>
          <w:bCs/>
          <w:szCs w:val="24"/>
          <w:lang w:eastAsia="ja-JP"/>
        </w:rPr>
        <w:t xml:space="preserve"> </w:t>
      </w:r>
    </w:p>
    <w:p w14:paraId="7808222D" w14:textId="74F847AA" w:rsidR="002938CA" w:rsidRPr="00F8339C" w:rsidRDefault="00BA327A" w:rsidP="00A11E6A">
      <w:pPr>
        <w:spacing w:after="100" w:afterAutospacing="1"/>
        <w:rPr>
          <w:rFonts w:ascii="Times New Roman" w:hAnsi="Times New Roman"/>
          <w:bCs/>
          <w:szCs w:val="24"/>
          <w:lang w:eastAsia="ja-JP"/>
        </w:rPr>
      </w:pPr>
      <w:r w:rsidRPr="00F8339C">
        <w:rPr>
          <w:rFonts w:ascii="Times New Roman" w:hAnsi="Times New Roman"/>
          <w:bCs/>
          <w:szCs w:val="24"/>
          <w:lang w:eastAsia="ja-JP"/>
        </w:rPr>
        <w:t>T</w:t>
      </w:r>
      <w:r w:rsidR="00552BDE" w:rsidRPr="00F8339C">
        <w:rPr>
          <w:rFonts w:ascii="Times New Roman" w:hAnsi="Times New Roman"/>
          <w:bCs/>
          <w:szCs w:val="24"/>
          <w:lang w:eastAsia="ja-JP"/>
        </w:rPr>
        <w:t xml:space="preserve">he Commission </w:t>
      </w:r>
      <w:r w:rsidR="00A75FAB" w:rsidRPr="00F8339C">
        <w:rPr>
          <w:rFonts w:ascii="Times New Roman" w:hAnsi="Times New Roman"/>
          <w:bCs/>
          <w:szCs w:val="24"/>
          <w:lang w:eastAsia="ja-JP"/>
        </w:rPr>
        <w:t xml:space="preserve">has </w:t>
      </w:r>
      <w:r w:rsidRPr="00F8339C">
        <w:rPr>
          <w:rFonts w:ascii="Times New Roman" w:hAnsi="Times New Roman"/>
          <w:bCs/>
          <w:szCs w:val="24"/>
          <w:lang w:eastAsia="ja-JP"/>
        </w:rPr>
        <w:t xml:space="preserve">also </w:t>
      </w:r>
      <w:r w:rsidR="00A75FAB" w:rsidRPr="00F8339C">
        <w:rPr>
          <w:rFonts w:ascii="Times New Roman" w:hAnsi="Times New Roman"/>
          <w:bCs/>
          <w:szCs w:val="24"/>
          <w:lang w:eastAsia="ja-JP"/>
        </w:rPr>
        <w:t>been</w:t>
      </w:r>
      <w:r w:rsidR="00552BDE" w:rsidRPr="00F8339C">
        <w:rPr>
          <w:rFonts w:ascii="Times New Roman" w:hAnsi="Times New Roman"/>
          <w:bCs/>
          <w:szCs w:val="24"/>
          <w:lang w:eastAsia="ja-JP"/>
        </w:rPr>
        <w:t xml:space="preserve"> actively involved in promoting and supporting the development of digital finance</w:t>
      </w:r>
      <w:r w:rsidR="00453AB4" w:rsidRPr="00F8339C">
        <w:rPr>
          <w:rFonts w:ascii="Times New Roman" w:hAnsi="Times New Roman"/>
          <w:bCs/>
          <w:szCs w:val="24"/>
          <w:lang w:eastAsia="ja-JP"/>
        </w:rPr>
        <w:t xml:space="preserve">. In 2024, the Commission established a Digital Finance platform aimed at supporting innovation in finance and building a true single market for digital financial services. </w:t>
      </w:r>
      <w:r w:rsidR="00A11E6A" w:rsidRPr="00F8339C">
        <w:rPr>
          <w:rFonts w:ascii="Times New Roman" w:hAnsi="Times New Roman"/>
          <w:bCs/>
          <w:szCs w:val="24"/>
          <w:lang w:eastAsia="ja-JP"/>
        </w:rPr>
        <w:t>In the next MFF, t</w:t>
      </w:r>
      <w:r w:rsidR="002938CA" w:rsidRPr="00F8339C">
        <w:rPr>
          <w:rFonts w:ascii="Times New Roman" w:hAnsi="Times New Roman"/>
          <w:bCs/>
          <w:szCs w:val="24"/>
          <w:lang w:eastAsia="ja-JP"/>
        </w:rPr>
        <w:t xml:space="preserve">he </w:t>
      </w:r>
      <w:r w:rsidR="00552BDE" w:rsidRPr="00F8339C">
        <w:rPr>
          <w:rFonts w:ascii="Times New Roman" w:hAnsi="Times New Roman"/>
          <w:bCs/>
          <w:szCs w:val="24"/>
          <w:lang w:eastAsia="ja-JP"/>
        </w:rPr>
        <w:t xml:space="preserve">Commission aims to maintain the same </w:t>
      </w:r>
      <w:r w:rsidR="00661F3A" w:rsidRPr="00F8339C">
        <w:rPr>
          <w:rFonts w:ascii="Times New Roman" w:hAnsi="Times New Roman"/>
          <w:bCs/>
          <w:szCs w:val="24"/>
          <w:lang w:eastAsia="ja-JP"/>
        </w:rPr>
        <w:t xml:space="preserve">level of </w:t>
      </w:r>
      <w:r w:rsidR="00552BDE" w:rsidRPr="00F8339C">
        <w:rPr>
          <w:rFonts w:ascii="Times New Roman" w:hAnsi="Times New Roman"/>
          <w:bCs/>
          <w:szCs w:val="24"/>
          <w:lang w:eastAsia="ja-JP"/>
        </w:rPr>
        <w:t xml:space="preserve">ambition and proposed </w:t>
      </w:r>
      <w:r w:rsidR="00A165E8" w:rsidRPr="00F8339C">
        <w:rPr>
          <w:rFonts w:ascii="Times New Roman" w:hAnsi="Times New Roman"/>
          <w:bCs/>
          <w:szCs w:val="24"/>
          <w:lang w:eastAsia="ja-JP"/>
        </w:rPr>
        <w:t>a</w:t>
      </w:r>
      <w:r w:rsidR="00661F3A" w:rsidRPr="00F8339C">
        <w:rPr>
          <w:rFonts w:ascii="Times New Roman" w:hAnsi="Times New Roman"/>
          <w:bCs/>
          <w:szCs w:val="24"/>
          <w:lang w:eastAsia="ja-JP"/>
        </w:rPr>
        <w:t xml:space="preserve"> </w:t>
      </w:r>
      <w:r w:rsidR="002938CA" w:rsidRPr="00F8339C">
        <w:rPr>
          <w:rFonts w:ascii="Times New Roman" w:hAnsi="Times New Roman"/>
          <w:bCs/>
          <w:szCs w:val="24"/>
          <w:lang w:eastAsia="ja-JP"/>
        </w:rPr>
        <w:t xml:space="preserve">European Competitiveness Fund </w:t>
      </w:r>
      <w:r w:rsidR="00A165E8" w:rsidRPr="00F8339C">
        <w:rPr>
          <w:rFonts w:ascii="Times New Roman" w:hAnsi="Times New Roman"/>
          <w:bCs/>
          <w:szCs w:val="24"/>
          <w:lang w:eastAsia="ja-JP"/>
        </w:rPr>
        <w:t xml:space="preserve">worth EUR 409 billion which </w:t>
      </w:r>
      <w:r w:rsidR="00E7493C" w:rsidRPr="00F8339C">
        <w:rPr>
          <w:rFonts w:ascii="Times New Roman" w:hAnsi="Times New Roman"/>
          <w:bCs/>
          <w:szCs w:val="24"/>
          <w:lang w:eastAsia="ja-JP"/>
        </w:rPr>
        <w:t xml:space="preserve">would </w:t>
      </w:r>
      <w:r w:rsidR="002938CA" w:rsidRPr="00F8339C">
        <w:rPr>
          <w:rFonts w:ascii="Times New Roman" w:hAnsi="Times New Roman"/>
          <w:bCs/>
          <w:szCs w:val="24"/>
          <w:lang w:eastAsia="ja-JP"/>
        </w:rPr>
        <w:t>pool capacity at EU level for investment in strategic technology sectors, across four vertically integrated sectoral windows, which include digital leadership</w:t>
      </w:r>
      <w:r w:rsidR="002938CA" w:rsidRPr="00F8339C">
        <w:rPr>
          <w:rStyle w:val="FootnoteReference"/>
          <w:rFonts w:ascii="Times New Roman" w:hAnsi="Times New Roman"/>
          <w:szCs w:val="24"/>
          <w:lang w:val="en-IE" w:eastAsia="ja-JP"/>
        </w:rPr>
        <w:footnoteReference w:id="6"/>
      </w:r>
      <w:r w:rsidR="002938CA" w:rsidRPr="00F8339C">
        <w:rPr>
          <w:rFonts w:ascii="Times New Roman" w:hAnsi="Times New Roman"/>
          <w:bCs/>
          <w:szCs w:val="24"/>
          <w:lang w:eastAsia="ja-JP"/>
        </w:rPr>
        <w:t xml:space="preserve">. </w:t>
      </w:r>
    </w:p>
    <w:p w14:paraId="4A60E511" w14:textId="4C36C2B2" w:rsidR="002440A7" w:rsidRPr="00F8339C" w:rsidRDefault="002440A7" w:rsidP="002440A7">
      <w:pPr>
        <w:spacing w:after="100" w:afterAutospacing="1"/>
        <w:rPr>
          <w:rFonts w:ascii="Times New Roman" w:hAnsi="Times New Roman"/>
          <w:i/>
          <w:iCs/>
          <w:szCs w:val="24"/>
          <w:lang w:val="en-IE" w:eastAsia="ja-JP"/>
        </w:rPr>
      </w:pPr>
      <w:r w:rsidRPr="00F8339C">
        <w:rPr>
          <w:rFonts w:ascii="Times New Roman" w:hAnsi="Times New Roman"/>
          <w:i/>
          <w:iCs/>
          <w:szCs w:val="24"/>
          <w:lang w:val="en-IE" w:eastAsia="ja-JP"/>
        </w:rPr>
        <w:t xml:space="preserve">Para </w:t>
      </w:r>
      <w:r w:rsidR="00B11E29" w:rsidRPr="00F8339C">
        <w:rPr>
          <w:rFonts w:ascii="Times New Roman" w:hAnsi="Times New Roman"/>
          <w:i/>
          <w:iCs/>
          <w:szCs w:val="24"/>
          <w:lang w:val="en-IE" w:eastAsia="ja-JP"/>
        </w:rPr>
        <w:t>60</w:t>
      </w:r>
      <w:r w:rsidRPr="00F8339C">
        <w:rPr>
          <w:rFonts w:ascii="Times New Roman" w:hAnsi="Times New Roman"/>
          <w:i/>
          <w:iCs/>
          <w:szCs w:val="24"/>
          <w:lang w:val="en-IE" w:eastAsia="ja-JP"/>
        </w:rPr>
        <w:t xml:space="preserve">: </w:t>
      </w:r>
      <w:r w:rsidR="00B11E29" w:rsidRPr="00F8339C">
        <w:rPr>
          <w:rFonts w:ascii="Times New Roman" w:hAnsi="Times New Roman"/>
          <w:i/>
          <w:iCs/>
          <w:szCs w:val="24"/>
          <w:lang w:val="en-IE" w:eastAsia="ja-JP"/>
        </w:rPr>
        <w:t>[..]</w:t>
      </w:r>
      <w:r w:rsidR="00B11E29" w:rsidRPr="00F8339C">
        <w:rPr>
          <w:rFonts w:ascii="Times New Roman" w:hAnsi="Times New Roman"/>
          <w:i/>
          <w:iCs/>
          <w:szCs w:val="24"/>
          <w:lang w:eastAsia="ja-JP"/>
        </w:rPr>
        <w:t xml:space="preserve">Expresses concern over reports that some EU-funded projects outside the EU, including under the Global Gateway, are being built by Chinese companies, with Chinese firms at times winning more EIB-funded contracts than EU firms; urges the Commission to ensure a level playing field by working with the EIB to boost European company participation; recommends procurement practices that prioritise best price/quality ratio over lowest price to promote fair competition and align with EU values; </w:t>
      </w:r>
    </w:p>
    <w:p w14:paraId="63E4C6C3" w14:textId="77777777" w:rsidR="00B11E29" w:rsidRPr="00F8339C" w:rsidRDefault="00B11E29" w:rsidP="00B11E29">
      <w:pPr>
        <w:spacing w:after="100" w:afterAutospacing="1"/>
        <w:rPr>
          <w:rFonts w:ascii="Times New Roman" w:hAnsi="Times New Roman"/>
          <w:i/>
          <w:iCs/>
          <w:szCs w:val="24"/>
          <w:lang w:eastAsia="ja-JP"/>
        </w:rPr>
      </w:pPr>
      <w:r w:rsidRPr="00F8339C">
        <w:rPr>
          <w:rFonts w:ascii="Times New Roman" w:hAnsi="Times New Roman"/>
          <w:b/>
          <w:szCs w:val="24"/>
          <w:lang w:eastAsia="ja-JP"/>
        </w:rPr>
        <w:t>Commission reply</w:t>
      </w:r>
      <w:r w:rsidRPr="00F8339C">
        <w:rPr>
          <w:rFonts w:ascii="Times New Roman" w:hAnsi="Times New Roman"/>
          <w:bCs/>
          <w:szCs w:val="24"/>
          <w:lang w:eastAsia="ja-JP"/>
        </w:rPr>
        <w:t>:</w:t>
      </w:r>
    </w:p>
    <w:p w14:paraId="611255C0" w14:textId="2ABD4B3F" w:rsidR="006F3DE4" w:rsidRPr="00F8339C" w:rsidRDefault="00F769C2" w:rsidP="00F769C2">
      <w:pPr>
        <w:rPr>
          <w:rFonts w:ascii="Times New Roman" w:hAnsi="Times New Roman"/>
          <w:bCs/>
          <w:szCs w:val="24"/>
          <w:lang w:eastAsia="ja-JP"/>
        </w:rPr>
      </w:pPr>
      <w:r w:rsidRPr="00F8339C">
        <w:rPr>
          <w:rFonts w:ascii="Times New Roman" w:hAnsi="Times New Roman"/>
          <w:bCs/>
          <w:szCs w:val="24"/>
          <w:lang w:eastAsia="ja-JP"/>
        </w:rPr>
        <w:t>The Commission is committed to ensuring a level playing field for European companies in the context of projects</w:t>
      </w:r>
      <w:r w:rsidR="00C66830" w:rsidRPr="00F8339C">
        <w:rPr>
          <w:rFonts w:ascii="Times New Roman" w:hAnsi="Times New Roman"/>
          <w:bCs/>
          <w:szCs w:val="24"/>
          <w:lang w:eastAsia="ja-JP"/>
        </w:rPr>
        <w:t xml:space="preserve"> supported by the EIB</w:t>
      </w:r>
      <w:r w:rsidRPr="00F8339C">
        <w:rPr>
          <w:rFonts w:ascii="Times New Roman" w:hAnsi="Times New Roman"/>
          <w:bCs/>
          <w:szCs w:val="24"/>
          <w:lang w:eastAsia="ja-JP"/>
        </w:rPr>
        <w:t xml:space="preserve">. To this end, the Commission </w:t>
      </w:r>
      <w:r w:rsidR="00C31B80" w:rsidRPr="00F8339C">
        <w:rPr>
          <w:rFonts w:ascii="Times New Roman" w:hAnsi="Times New Roman"/>
          <w:bCs/>
          <w:szCs w:val="24"/>
          <w:lang w:eastAsia="ja-JP"/>
        </w:rPr>
        <w:t xml:space="preserve">is already </w:t>
      </w:r>
      <w:r w:rsidRPr="00F8339C">
        <w:rPr>
          <w:rFonts w:ascii="Times New Roman" w:hAnsi="Times New Roman"/>
          <w:bCs/>
          <w:szCs w:val="24"/>
          <w:lang w:eastAsia="ja-JP"/>
        </w:rPr>
        <w:t>work</w:t>
      </w:r>
      <w:r w:rsidR="00C31B80" w:rsidRPr="00F8339C">
        <w:rPr>
          <w:rFonts w:ascii="Times New Roman" w:hAnsi="Times New Roman"/>
          <w:bCs/>
          <w:szCs w:val="24"/>
          <w:lang w:eastAsia="ja-JP"/>
        </w:rPr>
        <w:t xml:space="preserve">ing </w:t>
      </w:r>
      <w:r w:rsidRPr="00F8339C">
        <w:rPr>
          <w:rFonts w:ascii="Times New Roman" w:hAnsi="Times New Roman"/>
          <w:bCs/>
          <w:szCs w:val="24"/>
          <w:lang w:eastAsia="ja-JP"/>
        </w:rPr>
        <w:t xml:space="preserve">closely with the EIB Group to </w:t>
      </w:r>
      <w:r w:rsidR="00876C82" w:rsidRPr="00F8339C">
        <w:rPr>
          <w:rFonts w:ascii="Times New Roman" w:hAnsi="Times New Roman"/>
          <w:bCs/>
          <w:szCs w:val="24"/>
          <w:lang w:eastAsia="ja-JP"/>
        </w:rPr>
        <w:t>increase the participation of</w:t>
      </w:r>
      <w:r w:rsidRPr="00F8339C">
        <w:rPr>
          <w:rFonts w:ascii="Times New Roman" w:hAnsi="Times New Roman"/>
          <w:bCs/>
          <w:szCs w:val="24"/>
          <w:lang w:eastAsia="ja-JP"/>
        </w:rPr>
        <w:t xml:space="preserve"> European compan</w:t>
      </w:r>
      <w:r w:rsidR="00C66830" w:rsidRPr="00F8339C">
        <w:rPr>
          <w:rFonts w:ascii="Times New Roman" w:hAnsi="Times New Roman"/>
          <w:bCs/>
          <w:szCs w:val="24"/>
          <w:lang w:eastAsia="ja-JP"/>
        </w:rPr>
        <w:t>ies</w:t>
      </w:r>
      <w:r w:rsidRPr="00F8339C">
        <w:rPr>
          <w:rFonts w:ascii="Times New Roman" w:hAnsi="Times New Roman"/>
          <w:bCs/>
          <w:szCs w:val="24"/>
          <w:lang w:eastAsia="ja-JP"/>
        </w:rPr>
        <w:t xml:space="preserve"> in </w:t>
      </w:r>
      <w:r w:rsidR="004B62F5" w:rsidRPr="00F8339C">
        <w:rPr>
          <w:rFonts w:ascii="Times New Roman" w:hAnsi="Times New Roman"/>
          <w:bCs/>
          <w:szCs w:val="24"/>
          <w:lang w:eastAsia="ja-JP"/>
        </w:rPr>
        <w:t xml:space="preserve">projects financed </w:t>
      </w:r>
      <w:r w:rsidRPr="00F8339C">
        <w:rPr>
          <w:rFonts w:ascii="Times New Roman" w:hAnsi="Times New Roman"/>
          <w:bCs/>
          <w:szCs w:val="24"/>
          <w:lang w:eastAsia="ja-JP"/>
        </w:rPr>
        <w:t>outside</w:t>
      </w:r>
      <w:r w:rsidR="00C66830" w:rsidRPr="00F8339C">
        <w:rPr>
          <w:rFonts w:ascii="Times New Roman" w:hAnsi="Times New Roman"/>
          <w:bCs/>
          <w:szCs w:val="24"/>
          <w:lang w:eastAsia="ja-JP"/>
        </w:rPr>
        <w:t xml:space="preserve"> </w:t>
      </w:r>
      <w:r w:rsidRPr="00F8339C">
        <w:rPr>
          <w:rFonts w:ascii="Times New Roman" w:hAnsi="Times New Roman"/>
          <w:bCs/>
          <w:szCs w:val="24"/>
          <w:lang w:eastAsia="ja-JP"/>
        </w:rPr>
        <w:t>EU and to promote fair competition</w:t>
      </w:r>
      <w:r w:rsidR="006D0D1D" w:rsidRPr="00F8339C">
        <w:rPr>
          <w:rFonts w:ascii="Times New Roman" w:hAnsi="Times New Roman"/>
          <w:bCs/>
          <w:szCs w:val="24"/>
          <w:lang w:eastAsia="ja-JP"/>
        </w:rPr>
        <w:t>,</w:t>
      </w:r>
      <w:r w:rsidR="006D0D1D" w:rsidRPr="00F8339C">
        <w:rPr>
          <w:rFonts w:ascii="Times New Roman" w:eastAsia="Times New Roman" w:hAnsi="Times New Roman"/>
          <w:szCs w:val="24"/>
          <w:lang w:val="en-IE"/>
        </w:rPr>
        <w:t xml:space="preserve"> </w:t>
      </w:r>
      <w:r w:rsidR="006D0D1D" w:rsidRPr="00F8339C">
        <w:rPr>
          <w:rFonts w:ascii="Times New Roman" w:hAnsi="Times New Roman"/>
          <w:bCs/>
          <w:szCs w:val="24"/>
          <w:lang w:val="en-IE" w:eastAsia="ja-JP"/>
        </w:rPr>
        <w:t xml:space="preserve">while maintaining consistency with international best practices </w:t>
      </w:r>
      <w:r w:rsidR="00876C82" w:rsidRPr="00F8339C">
        <w:rPr>
          <w:rFonts w:ascii="Times New Roman" w:hAnsi="Times New Roman"/>
          <w:bCs/>
          <w:szCs w:val="24"/>
          <w:lang w:val="en-IE" w:eastAsia="ja-JP"/>
        </w:rPr>
        <w:t>for</w:t>
      </w:r>
      <w:r w:rsidR="006D0D1D" w:rsidRPr="00F8339C">
        <w:rPr>
          <w:rFonts w:ascii="Times New Roman" w:hAnsi="Times New Roman"/>
          <w:bCs/>
          <w:szCs w:val="24"/>
          <w:lang w:val="en-IE" w:eastAsia="ja-JP"/>
        </w:rPr>
        <w:t xml:space="preserve"> open international tenders</w:t>
      </w:r>
      <w:r w:rsidRPr="00F8339C">
        <w:rPr>
          <w:rFonts w:ascii="Times New Roman" w:hAnsi="Times New Roman"/>
          <w:bCs/>
          <w:szCs w:val="24"/>
          <w:lang w:eastAsia="ja-JP"/>
        </w:rPr>
        <w:t xml:space="preserve">. </w:t>
      </w:r>
      <w:r w:rsidR="00767954" w:rsidRPr="00F8339C">
        <w:rPr>
          <w:rFonts w:ascii="Times New Roman" w:hAnsi="Times New Roman"/>
          <w:bCs/>
          <w:szCs w:val="24"/>
          <w:lang w:eastAsia="ja-JP"/>
        </w:rPr>
        <w:t xml:space="preserve">In particular, EIB Global will support EU companies when participating in tenders outside the EU by facilitating access to bid and </w:t>
      </w:r>
      <w:r w:rsidR="00E418D5" w:rsidRPr="00F8339C">
        <w:rPr>
          <w:rFonts w:ascii="Times New Roman" w:hAnsi="Times New Roman"/>
          <w:bCs/>
          <w:szCs w:val="24"/>
          <w:lang w:eastAsia="ja-JP"/>
        </w:rPr>
        <w:t>to its budgetary</w:t>
      </w:r>
      <w:r w:rsidR="00767954" w:rsidRPr="00F8339C">
        <w:rPr>
          <w:rFonts w:ascii="Times New Roman" w:hAnsi="Times New Roman"/>
          <w:bCs/>
          <w:szCs w:val="24"/>
          <w:lang w:eastAsia="ja-JP"/>
        </w:rPr>
        <w:t xml:space="preserve"> guarantees. </w:t>
      </w:r>
      <w:r w:rsidR="00AB3F95" w:rsidRPr="00F8339C">
        <w:rPr>
          <w:rFonts w:ascii="Times New Roman" w:hAnsi="Times New Roman"/>
          <w:bCs/>
          <w:szCs w:val="24"/>
          <w:lang w:eastAsia="ja-JP"/>
        </w:rPr>
        <w:t xml:space="preserve">The EU delegations will also play an increasing role in ensuring matchmaking. </w:t>
      </w:r>
      <w:r w:rsidR="0057440F" w:rsidRPr="00F8339C">
        <w:rPr>
          <w:rFonts w:ascii="Times New Roman" w:hAnsi="Times New Roman"/>
          <w:bCs/>
          <w:szCs w:val="24"/>
          <w:lang w:eastAsia="ja-JP"/>
        </w:rPr>
        <w:t>Moreover, t</w:t>
      </w:r>
      <w:r w:rsidR="006F3DE4" w:rsidRPr="00F8339C">
        <w:rPr>
          <w:rFonts w:ascii="Times New Roman" w:hAnsi="Times New Roman"/>
          <w:bCs/>
          <w:szCs w:val="24"/>
          <w:lang w:eastAsia="ja-JP"/>
        </w:rPr>
        <w:t xml:space="preserve">he EIB Group will develop a pan-European Trade and Investment Initiative, with the aim of channelling EU guarantees and funding to EU entities participating in international bids and projects through the network of national export credit agencies. </w:t>
      </w:r>
    </w:p>
    <w:p w14:paraId="467BDD0B" w14:textId="31A34EC9" w:rsidR="00F769C2" w:rsidRPr="00F8339C" w:rsidRDefault="00F769C2" w:rsidP="00F769C2">
      <w:pPr>
        <w:rPr>
          <w:rFonts w:ascii="Times New Roman" w:hAnsi="Times New Roman"/>
          <w:bCs/>
          <w:szCs w:val="24"/>
          <w:lang w:eastAsia="ja-JP"/>
        </w:rPr>
      </w:pPr>
      <w:r w:rsidRPr="00F8339C">
        <w:rPr>
          <w:rFonts w:ascii="Times New Roman" w:hAnsi="Times New Roman"/>
          <w:bCs/>
          <w:szCs w:val="24"/>
          <w:lang w:eastAsia="ja-JP"/>
        </w:rPr>
        <w:t>The Commission welcomes the EIB's efforts to develop its strategic procurement approach</w:t>
      </w:r>
      <w:r w:rsidR="004B62F5" w:rsidRPr="00F8339C">
        <w:rPr>
          <w:rFonts w:ascii="Times New Roman" w:hAnsi="Times New Roman"/>
          <w:bCs/>
          <w:szCs w:val="24"/>
          <w:lang w:eastAsia="ja-JP"/>
        </w:rPr>
        <w:t>, including</w:t>
      </w:r>
      <w:r w:rsidRPr="00F8339C">
        <w:rPr>
          <w:rFonts w:ascii="Times New Roman" w:hAnsi="Times New Roman"/>
          <w:bCs/>
          <w:szCs w:val="24"/>
          <w:lang w:eastAsia="ja-JP"/>
        </w:rPr>
        <w:t xml:space="preserve"> </w:t>
      </w:r>
      <w:r w:rsidR="00C66830" w:rsidRPr="00F8339C">
        <w:rPr>
          <w:rFonts w:ascii="Times New Roman" w:hAnsi="Times New Roman"/>
          <w:bCs/>
          <w:szCs w:val="24"/>
          <w:lang w:eastAsia="ja-JP"/>
        </w:rPr>
        <w:t>for projects</w:t>
      </w:r>
      <w:r w:rsidR="004B62F5" w:rsidRPr="00F8339C">
        <w:rPr>
          <w:rFonts w:ascii="Times New Roman" w:hAnsi="Times New Roman"/>
          <w:bCs/>
          <w:szCs w:val="24"/>
          <w:lang w:eastAsia="ja-JP"/>
        </w:rPr>
        <w:t xml:space="preserve"> financed outside the EU</w:t>
      </w:r>
      <w:r w:rsidRPr="00F8339C">
        <w:rPr>
          <w:rFonts w:ascii="Times New Roman" w:hAnsi="Times New Roman"/>
          <w:bCs/>
          <w:szCs w:val="24"/>
          <w:lang w:eastAsia="ja-JP"/>
        </w:rPr>
        <w:t xml:space="preserve">. </w:t>
      </w:r>
      <w:r w:rsidR="00C66830" w:rsidRPr="00F8339C">
        <w:rPr>
          <w:rFonts w:ascii="Times New Roman" w:hAnsi="Times New Roman"/>
          <w:bCs/>
          <w:szCs w:val="24"/>
          <w:lang w:eastAsia="ja-JP"/>
        </w:rPr>
        <w:t>A</w:t>
      </w:r>
      <w:r w:rsidRPr="00F8339C">
        <w:rPr>
          <w:rFonts w:ascii="Times New Roman" w:hAnsi="Times New Roman"/>
          <w:bCs/>
          <w:szCs w:val="24"/>
          <w:lang w:eastAsia="ja-JP"/>
        </w:rPr>
        <w:t>chiev</w:t>
      </w:r>
      <w:r w:rsidR="00C66830" w:rsidRPr="00F8339C">
        <w:rPr>
          <w:rFonts w:ascii="Times New Roman" w:hAnsi="Times New Roman"/>
          <w:bCs/>
          <w:szCs w:val="24"/>
          <w:lang w:eastAsia="ja-JP"/>
        </w:rPr>
        <w:t>ing</w:t>
      </w:r>
      <w:r w:rsidRPr="00F8339C">
        <w:rPr>
          <w:rFonts w:ascii="Times New Roman" w:hAnsi="Times New Roman"/>
          <w:bCs/>
          <w:szCs w:val="24"/>
          <w:lang w:eastAsia="ja-JP"/>
        </w:rPr>
        <w:t xml:space="preserve"> EU</w:t>
      </w:r>
      <w:r w:rsidR="00C66830" w:rsidRPr="00F8339C">
        <w:rPr>
          <w:rFonts w:ascii="Times New Roman" w:hAnsi="Times New Roman"/>
          <w:bCs/>
          <w:szCs w:val="24"/>
          <w:lang w:eastAsia="ja-JP"/>
        </w:rPr>
        <w:t>’s</w:t>
      </w:r>
      <w:r w:rsidRPr="00F8339C">
        <w:rPr>
          <w:rFonts w:ascii="Times New Roman" w:hAnsi="Times New Roman"/>
          <w:bCs/>
          <w:szCs w:val="24"/>
          <w:lang w:eastAsia="ja-JP"/>
        </w:rPr>
        <w:t xml:space="preserve"> strategic goals will </w:t>
      </w:r>
      <w:r w:rsidR="00876C82" w:rsidRPr="00F8339C">
        <w:rPr>
          <w:rFonts w:ascii="Times New Roman" w:hAnsi="Times New Roman"/>
          <w:bCs/>
          <w:szCs w:val="24"/>
          <w:lang w:eastAsia="ja-JP"/>
        </w:rPr>
        <w:t>require</w:t>
      </w:r>
      <w:r w:rsidRPr="00F8339C">
        <w:rPr>
          <w:rFonts w:ascii="Times New Roman" w:hAnsi="Times New Roman"/>
          <w:bCs/>
          <w:szCs w:val="24"/>
          <w:lang w:eastAsia="ja-JP"/>
        </w:rPr>
        <w:t xml:space="preserve"> </w:t>
      </w:r>
      <w:r w:rsidR="006D0D1D" w:rsidRPr="00F8339C">
        <w:rPr>
          <w:rFonts w:ascii="Times New Roman" w:hAnsi="Times New Roman"/>
          <w:bCs/>
          <w:szCs w:val="24"/>
          <w:lang w:eastAsia="ja-JP"/>
        </w:rPr>
        <w:t>increased outreach to EU private sector actors to ensure a better level playing field for EU companies</w:t>
      </w:r>
      <w:r w:rsidR="00876C82" w:rsidRPr="00F8339C">
        <w:rPr>
          <w:rFonts w:ascii="Times New Roman" w:hAnsi="Times New Roman"/>
          <w:bCs/>
          <w:szCs w:val="24"/>
          <w:lang w:eastAsia="ja-JP"/>
        </w:rPr>
        <w:t>. C</w:t>
      </w:r>
      <w:r w:rsidRPr="00F8339C">
        <w:rPr>
          <w:rFonts w:ascii="Times New Roman" w:hAnsi="Times New Roman"/>
          <w:bCs/>
          <w:szCs w:val="24"/>
          <w:lang w:eastAsia="ja-JP"/>
        </w:rPr>
        <w:t xml:space="preserve">oordination </w:t>
      </w:r>
      <w:r w:rsidR="00257531" w:rsidRPr="00F8339C">
        <w:rPr>
          <w:rFonts w:ascii="Times New Roman" w:hAnsi="Times New Roman"/>
          <w:bCs/>
          <w:szCs w:val="24"/>
          <w:lang w:eastAsia="ja-JP"/>
        </w:rPr>
        <w:t>between</w:t>
      </w:r>
      <w:r w:rsidRPr="00F8339C">
        <w:rPr>
          <w:rFonts w:ascii="Times New Roman" w:hAnsi="Times New Roman"/>
          <w:bCs/>
          <w:szCs w:val="24"/>
          <w:lang w:eastAsia="ja-JP"/>
        </w:rPr>
        <w:t xml:space="preserve"> the Commission, </w:t>
      </w:r>
      <w:r w:rsidR="006D0D1D" w:rsidRPr="00F8339C">
        <w:rPr>
          <w:rFonts w:ascii="Times New Roman" w:hAnsi="Times New Roman"/>
          <w:bCs/>
          <w:szCs w:val="24"/>
          <w:lang w:eastAsia="ja-JP"/>
        </w:rPr>
        <w:t xml:space="preserve">EU Delegations, </w:t>
      </w:r>
      <w:r w:rsidR="00C66830" w:rsidRPr="00F8339C">
        <w:rPr>
          <w:rFonts w:ascii="Times New Roman" w:hAnsi="Times New Roman"/>
          <w:bCs/>
          <w:szCs w:val="24"/>
          <w:lang w:eastAsia="ja-JP"/>
        </w:rPr>
        <w:t xml:space="preserve">the EIB, </w:t>
      </w:r>
      <w:r w:rsidR="006D0D1D" w:rsidRPr="00F8339C">
        <w:rPr>
          <w:rFonts w:ascii="Times New Roman" w:hAnsi="Times New Roman"/>
          <w:bCs/>
          <w:szCs w:val="24"/>
          <w:lang w:eastAsia="ja-JP"/>
        </w:rPr>
        <w:t>M</w:t>
      </w:r>
      <w:r w:rsidRPr="00F8339C">
        <w:rPr>
          <w:rFonts w:ascii="Times New Roman" w:hAnsi="Times New Roman"/>
          <w:bCs/>
          <w:szCs w:val="24"/>
          <w:lang w:eastAsia="ja-JP"/>
        </w:rPr>
        <w:t xml:space="preserve">ultilateral </w:t>
      </w:r>
      <w:r w:rsidR="006D0D1D" w:rsidRPr="00F8339C">
        <w:rPr>
          <w:rFonts w:ascii="Times New Roman" w:hAnsi="Times New Roman"/>
          <w:bCs/>
          <w:szCs w:val="24"/>
          <w:lang w:eastAsia="ja-JP"/>
        </w:rPr>
        <w:t>D</w:t>
      </w:r>
      <w:r w:rsidRPr="00F8339C">
        <w:rPr>
          <w:rFonts w:ascii="Times New Roman" w:hAnsi="Times New Roman"/>
          <w:bCs/>
          <w:szCs w:val="24"/>
          <w:lang w:eastAsia="ja-JP"/>
        </w:rPr>
        <w:t xml:space="preserve">evelopment </w:t>
      </w:r>
      <w:r w:rsidR="006D0D1D" w:rsidRPr="00F8339C">
        <w:rPr>
          <w:rFonts w:ascii="Times New Roman" w:hAnsi="Times New Roman"/>
          <w:bCs/>
          <w:szCs w:val="24"/>
          <w:lang w:eastAsia="ja-JP"/>
        </w:rPr>
        <w:t>B</w:t>
      </w:r>
      <w:r w:rsidRPr="00F8339C">
        <w:rPr>
          <w:rFonts w:ascii="Times New Roman" w:hAnsi="Times New Roman"/>
          <w:bCs/>
          <w:szCs w:val="24"/>
          <w:lang w:eastAsia="ja-JP"/>
        </w:rPr>
        <w:t xml:space="preserve">anks, and European development finance institutions </w:t>
      </w:r>
      <w:r w:rsidR="00876C82" w:rsidRPr="00F8339C">
        <w:rPr>
          <w:rFonts w:ascii="Times New Roman" w:hAnsi="Times New Roman"/>
          <w:bCs/>
          <w:szCs w:val="24"/>
          <w:lang w:eastAsia="ja-JP"/>
        </w:rPr>
        <w:t>will also be crucial</w:t>
      </w:r>
      <w:r w:rsidRPr="00F8339C">
        <w:rPr>
          <w:rFonts w:ascii="Times New Roman" w:hAnsi="Times New Roman"/>
          <w:bCs/>
          <w:szCs w:val="24"/>
          <w:lang w:eastAsia="ja-JP"/>
        </w:rPr>
        <w:t xml:space="preserve">.  </w:t>
      </w:r>
    </w:p>
    <w:p w14:paraId="6C151D45" w14:textId="77777777" w:rsidR="00D23C5D" w:rsidRPr="00F8339C" w:rsidRDefault="00D23C5D" w:rsidP="00D23C5D">
      <w:pPr>
        <w:rPr>
          <w:rFonts w:ascii="Times New Roman" w:eastAsia="Arial" w:hAnsi="Times New Roman"/>
          <w:szCs w:val="24"/>
        </w:rPr>
      </w:pPr>
      <w:r w:rsidRPr="00F8339C">
        <w:rPr>
          <w:rFonts w:ascii="Times New Roman" w:eastAsia="Arial" w:hAnsi="Times New Roman"/>
          <w:szCs w:val="24"/>
        </w:rPr>
        <w:t xml:space="preserve">The European Commission will continue playing a crucial role in protecting the financial interests of the European Union to ensure that EU funds are used correctly and efficiently. This will include among other things, specific rules regarding the eligibility of individuals and entities to participate in procurement, grant, and prize award procedures under a specific programme. </w:t>
      </w:r>
    </w:p>
    <w:p w14:paraId="57DF8F53" w14:textId="77777777" w:rsidR="00D23C5D" w:rsidRPr="00F8339C" w:rsidRDefault="00D23C5D" w:rsidP="00D23C5D">
      <w:pPr>
        <w:rPr>
          <w:rFonts w:ascii="Times New Roman" w:hAnsi="Times New Roman"/>
          <w:bCs/>
          <w:szCs w:val="24"/>
          <w:lang w:eastAsia="ja-JP"/>
        </w:rPr>
      </w:pPr>
    </w:p>
    <w:sectPr w:rsidR="00D23C5D" w:rsidRPr="00F8339C" w:rsidSect="00812321">
      <w:footerReference w:type="even" r:id="rId11"/>
      <w:footerReference w:type="default" r:id="rId12"/>
      <w:footerReference w:type="first" r:id="rId13"/>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93A2E" w14:textId="77777777" w:rsidR="009C44EE" w:rsidRDefault="009C44EE">
      <w:r>
        <w:separator/>
      </w:r>
    </w:p>
  </w:endnote>
  <w:endnote w:type="continuationSeparator" w:id="0">
    <w:p w14:paraId="4BF5C870" w14:textId="77777777" w:rsidR="009C44EE" w:rsidRDefault="009C44EE">
      <w:r>
        <w:continuationSeparator/>
      </w:r>
    </w:p>
  </w:endnote>
  <w:endnote w:type="continuationNotice" w:id="1">
    <w:p w14:paraId="2E111202" w14:textId="77777777" w:rsidR="009C44EE" w:rsidRDefault="009C44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2F22"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1CE8F934"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9ED6"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14:paraId="76797D1D"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EE69" w14:textId="77777777"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14:paraId="244C2131"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966CB" w14:textId="77777777" w:rsidR="009C44EE" w:rsidRDefault="009C44EE">
      <w:r>
        <w:separator/>
      </w:r>
    </w:p>
  </w:footnote>
  <w:footnote w:type="continuationSeparator" w:id="0">
    <w:p w14:paraId="57C31098" w14:textId="77777777" w:rsidR="009C44EE" w:rsidRDefault="009C44EE">
      <w:r>
        <w:continuationSeparator/>
      </w:r>
    </w:p>
  </w:footnote>
  <w:footnote w:type="continuationNotice" w:id="1">
    <w:p w14:paraId="1BF23D38" w14:textId="77777777" w:rsidR="009C44EE" w:rsidRDefault="009C44EE">
      <w:pPr>
        <w:spacing w:after="0"/>
      </w:pPr>
    </w:p>
  </w:footnote>
  <w:footnote w:id="2">
    <w:p w14:paraId="3406275C" w14:textId="16DA8EC1" w:rsidR="007C75BA" w:rsidRPr="007C75BA" w:rsidRDefault="007C75BA">
      <w:pPr>
        <w:pStyle w:val="FootnoteText"/>
        <w:rPr>
          <w:sz w:val="16"/>
          <w:szCs w:val="16"/>
          <w:lang w:eastAsia="ja-JP"/>
        </w:rPr>
      </w:pPr>
      <w:r w:rsidRPr="007C75BA">
        <w:rPr>
          <w:rFonts w:ascii="Times New Roman" w:hAnsi="Times New Roman"/>
          <w:sz w:val="24"/>
          <w:szCs w:val="24"/>
          <w:vertAlign w:val="superscript"/>
        </w:rPr>
        <w:footnoteRef/>
      </w:r>
      <w:r w:rsidRPr="007C75BA">
        <w:rPr>
          <w:rFonts w:ascii="Times New Roman" w:hAnsi="Times New Roman"/>
          <w:sz w:val="24"/>
          <w:szCs w:val="24"/>
          <w:vertAlign w:val="superscript"/>
        </w:rPr>
        <w:t xml:space="preserve"> </w:t>
      </w:r>
      <w:hyperlink r:id="rId1" w:history="1">
        <w:r w:rsidRPr="00D86460">
          <w:rPr>
            <w:rStyle w:val="Hyperlink"/>
            <w:rFonts w:ascii="Times New Roman" w:hAnsi="Times New Roman"/>
            <w:sz w:val="21"/>
            <w:szCs w:val="21"/>
          </w:rPr>
          <w:t>https://www.europarl.europa.eu/doceo/document/TA-10-2025-0145_EN.html</w:t>
        </w:r>
      </w:hyperlink>
      <w:r>
        <w:rPr>
          <w:rFonts w:ascii="Times New Roman" w:hAnsi="Times New Roman" w:hint="eastAsia"/>
          <w:sz w:val="21"/>
          <w:szCs w:val="21"/>
          <w:lang w:eastAsia="ja-JP"/>
        </w:rPr>
        <w:t xml:space="preserve"> </w:t>
      </w:r>
    </w:p>
  </w:footnote>
  <w:footnote w:id="3">
    <w:p w14:paraId="46541706" w14:textId="7832EE61" w:rsidR="00A557E2" w:rsidRPr="006A03DD" w:rsidRDefault="00A557E2">
      <w:pPr>
        <w:pStyle w:val="FootnoteText"/>
        <w:rPr>
          <w:rFonts w:ascii="Times New Roman" w:hAnsi="Times New Roman"/>
          <w:sz w:val="21"/>
          <w:szCs w:val="21"/>
          <w:lang w:val="en-US"/>
        </w:rPr>
      </w:pPr>
      <w:r w:rsidRPr="00D21ACB">
        <w:rPr>
          <w:rStyle w:val="FootnoteReference"/>
          <w:rFonts w:ascii="Times New Roman" w:hAnsi="Times New Roman"/>
          <w:sz w:val="21"/>
          <w:szCs w:val="21"/>
        </w:rPr>
        <w:footnoteRef/>
      </w:r>
      <w:r w:rsidRPr="00D21ACB">
        <w:rPr>
          <w:rFonts w:ascii="Times New Roman" w:hAnsi="Times New Roman"/>
          <w:sz w:val="21"/>
          <w:szCs w:val="21"/>
        </w:rPr>
        <w:t xml:space="preserve"> </w:t>
      </w:r>
      <w:r w:rsidRPr="006A03DD">
        <w:rPr>
          <w:rFonts w:ascii="Times New Roman" w:hAnsi="Times New Roman"/>
          <w:sz w:val="21"/>
          <w:szCs w:val="21"/>
          <w:lang w:val="en-US"/>
        </w:rPr>
        <w:t>COM(2025)84 final.</w:t>
      </w:r>
    </w:p>
  </w:footnote>
  <w:footnote w:id="4">
    <w:p w14:paraId="12520713" w14:textId="76E5EE60" w:rsidR="00C177D7" w:rsidRPr="00062DF6" w:rsidRDefault="00C177D7">
      <w:pPr>
        <w:pStyle w:val="FootnoteText"/>
        <w:rPr>
          <w:rFonts w:ascii="Arial" w:hAnsi="Arial" w:cs="Arial"/>
          <w:lang w:eastAsia="ja-JP"/>
        </w:rPr>
      </w:pPr>
      <w:r w:rsidRPr="00062DF6">
        <w:rPr>
          <w:rStyle w:val="FootnoteReference"/>
          <w:rFonts w:ascii="Arial" w:hAnsi="Arial" w:cs="Arial"/>
        </w:rPr>
        <w:footnoteRef/>
      </w:r>
      <w:r w:rsidRPr="00062DF6">
        <w:rPr>
          <w:rFonts w:ascii="Arial" w:hAnsi="Arial" w:cs="Arial"/>
        </w:rPr>
        <w:t xml:space="preserve"> </w:t>
      </w:r>
      <w:r w:rsidRPr="00062DF6">
        <w:rPr>
          <w:rFonts w:ascii="Arial" w:hAnsi="Arial" w:cs="Arial"/>
          <w:lang w:eastAsia="ja-JP"/>
        </w:rPr>
        <w:t>COM(2025) 84 final</w:t>
      </w:r>
    </w:p>
  </w:footnote>
  <w:footnote w:id="5">
    <w:p w14:paraId="0BD1BE97" w14:textId="13243222" w:rsidR="00B0677E" w:rsidRDefault="00B0677E">
      <w:pPr>
        <w:pStyle w:val="FootnoteText"/>
        <w:rPr>
          <w:lang w:eastAsia="ja-JP"/>
        </w:rPr>
      </w:pPr>
      <w:r w:rsidRPr="00062DF6">
        <w:rPr>
          <w:rStyle w:val="FootnoteReference"/>
        </w:rPr>
        <w:footnoteRef/>
      </w:r>
      <w:r w:rsidRPr="00062DF6">
        <w:t xml:space="preserve"> </w:t>
      </w:r>
      <w:r w:rsidRPr="00062DF6">
        <w:rPr>
          <w:rFonts w:ascii="Arial" w:hAnsi="Arial" w:cs="Arial"/>
          <w:lang w:val="en-IE" w:eastAsia="ja-JP"/>
        </w:rPr>
        <w:t>COM</w:t>
      </w:r>
      <w:r w:rsidRPr="00062DF6">
        <w:rPr>
          <w:rFonts w:ascii="Arial" w:hAnsi="Arial" w:cs="Arial" w:hint="eastAsia"/>
          <w:lang w:val="en-IE" w:eastAsia="ja-JP"/>
        </w:rPr>
        <w:t>(</w:t>
      </w:r>
      <w:r w:rsidRPr="00062DF6">
        <w:rPr>
          <w:rFonts w:ascii="Arial" w:hAnsi="Arial" w:cs="Arial"/>
          <w:lang w:val="en-IE" w:eastAsia="ja-JP"/>
        </w:rPr>
        <w:t>2025</w:t>
      </w:r>
      <w:r w:rsidRPr="00062DF6">
        <w:rPr>
          <w:rFonts w:ascii="Arial" w:hAnsi="Arial" w:cs="Arial" w:hint="eastAsia"/>
          <w:lang w:val="en-IE" w:eastAsia="ja-JP"/>
        </w:rPr>
        <w:t>)</w:t>
      </w:r>
      <w:r w:rsidRPr="00062DF6">
        <w:rPr>
          <w:rFonts w:ascii="Arial" w:hAnsi="Arial" w:cs="Arial"/>
          <w:lang w:val="en-IE" w:eastAsia="ja-JP"/>
        </w:rPr>
        <w:t>570</w:t>
      </w:r>
      <w:r w:rsidRPr="00062DF6">
        <w:rPr>
          <w:rFonts w:ascii="Arial" w:hAnsi="Arial" w:cs="Arial" w:hint="eastAsia"/>
          <w:lang w:val="en-IE" w:eastAsia="ja-JP"/>
        </w:rPr>
        <w:t xml:space="preserve"> final</w:t>
      </w:r>
    </w:p>
  </w:footnote>
  <w:footnote w:id="6">
    <w:p w14:paraId="4D3F8787" w14:textId="77777777" w:rsidR="002938CA" w:rsidRDefault="002938CA" w:rsidP="002938CA">
      <w:pPr>
        <w:pStyle w:val="FootnoteText"/>
        <w:rPr>
          <w:lang w:eastAsia="ja-JP"/>
        </w:rPr>
      </w:pPr>
      <w:r>
        <w:rPr>
          <w:rStyle w:val="FootnoteReference"/>
        </w:rPr>
        <w:footnoteRef/>
      </w:r>
      <w:r>
        <w:t xml:space="preserve"> </w:t>
      </w:r>
      <w:r w:rsidRPr="00062DF6">
        <w:rPr>
          <w:rFonts w:ascii="Arial" w:hAnsi="Arial" w:cs="Arial"/>
          <w:lang w:val="en-IE" w:eastAsia="ja-JP"/>
        </w:rPr>
        <w:t>COM</w:t>
      </w:r>
      <w:r w:rsidRPr="00062DF6">
        <w:rPr>
          <w:rFonts w:ascii="Arial" w:hAnsi="Arial" w:cs="Arial" w:hint="eastAsia"/>
          <w:lang w:val="en-IE" w:eastAsia="ja-JP"/>
        </w:rPr>
        <w:t>(</w:t>
      </w:r>
      <w:r w:rsidRPr="00062DF6">
        <w:rPr>
          <w:rFonts w:ascii="Arial" w:hAnsi="Arial" w:cs="Arial"/>
          <w:lang w:val="en-IE" w:eastAsia="ja-JP"/>
        </w:rPr>
        <w:t>2025</w:t>
      </w:r>
      <w:r w:rsidRPr="00062DF6">
        <w:rPr>
          <w:rFonts w:ascii="Arial" w:hAnsi="Arial" w:cs="Arial" w:hint="eastAsia"/>
          <w:lang w:val="en-IE" w:eastAsia="ja-JP"/>
        </w:rPr>
        <w:t>)</w:t>
      </w:r>
      <w:r w:rsidRPr="00062DF6">
        <w:rPr>
          <w:rFonts w:ascii="Arial" w:hAnsi="Arial" w:cs="Arial"/>
          <w:lang w:val="en-IE" w:eastAsia="ja-JP"/>
        </w:rPr>
        <w:t>570</w:t>
      </w:r>
      <w:r w:rsidRPr="00062DF6">
        <w:rPr>
          <w:rFonts w:ascii="Arial" w:hAnsi="Arial" w:cs="Arial" w:hint="eastAsia"/>
          <w:lang w:val="en-IE" w:eastAsia="ja-JP"/>
        </w:rPr>
        <w:t xml:space="preserve"> final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907920"/>
    <w:multiLevelType w:val="hybridMultilevel"/>
    <w:tmpl w:val="2148193A"/>
    <w:lvl w:ilvl="0" w:tplc="1F02ED66">
      <w:start w:val="1"/>
      <w:numFmt w:val="bullet"/>
      <w:lvlText w:val="·"/>
      <w:lvlJc w:val="left"/>
      <w:pPr>
        <w:ind w:left="720" w:hanging="360"/>
      </w:pPr>
      <w:rPr>
        <w:rFonts w:ascii="Symbol" w:hAnsi="Symbol" w:hint="default"/>
      </w:rPr>
    </w:lvl>
    <w:lvl w:ilvl="1" w:tplc="28BAD2F0">
      <w:start w:val="1"/>
      <w:numFmt w:val="bullet"/>
      <w:lvlText w:val="o"/>
      <w:lvlJc w:val="left"/>
      <w:pPr>
        <w:ind w:left="1440" w:hanging="360"/>
      </w:pPr>
      <w:rPr>
        <w:rFonts w:ascii="Courier New" w:hAnsi="Courier New" w:hint="default"/>
      </w:rPr>
    </w:lvl>
    <w:lvl w:ilvl="2" w:tplc="C3C270A0">
      <w:start w:val="1"/>
      <w:numFmt w:val="bullet"/>
      <w:lvlText w:val=""/>
      <w:lvlJc w:val="left"/>
      <w:pPr>
        <w:ind w:left="2160" w:hanging="360"/>
      </w:pPr>
      <w:rPr>
        <w:rFonts w:ascii="Wingdings" w:hAnsi="Wingdings" w:hint="default"/>
      </w:rPr>
    </w:lvl>
    <w:lvl w:ilvl="3" w:tplc="4984AADC">
      <w:start w:val="1"/>
      <w:numFmt w:val="bullet"/>
      <w:lvlText w:val=""/>
      <w:lvlJc w:val="left"/>
      <w:pPr>
        <w:ind w:left="2880" w:hanging="360"/>
      </w:pPr>
      <w:rPr>
        <w:rFonts w:ascii="Symbol" w:hAnsi="Symbol" w:hint="default"/>
      </w:rPr>
    </w:lvl>
    <w:lvl w:ilvl="4" w:tplc="318066D2">
      <w:start w:val="1"/>
      <w:numFmt w:val="bullet"/>
      <w:lvlText w:val="o"/>
      <w:lvlJc w:val="left"/>
      <w:pPr>
        <w:ind w:left="3600" w:hanging="360"/>
      </w:pPr>
      <w:rPr>
        <w:rFonts w:ascii="Courier New" w:hAnsi="Courier New" w:hint="default"/>
      </w:rPr>
    </w:lvl>
    <w:lvl w:ilvl="5" w:tplc="071ADC66">
      <w:start w:val="1"/>
      <w:numFmt w:val="bullet"/>
      <w:lvlText w:val=""/>
      <w:lvlJc w:val="left"/>
      <w:pPr>
        <w:ind w:left="4320" w:hanging="360"/>
      </w:pPr>
      <w:rPr>
        <w:rFonts w:ascii="Wingdings" w:hAnsi="Wingdings" w:hint="default"/>
      </w:rPr>
    </w:lvl>
    <w:lvl w:ilvl="6" w:tplc="E49A986A">
      <w:start w:val="1"/>
      <w:numFmt w:val="bullet"/>
      <w:lvlText w:val=""/>
      <w:lvlJc w:val="left"/>
      <w:pPr>
        <w:ind w:left="5040" w:hanging="360"/>
      </w:pPr>
      <w:rPr>
        <w:rFonts w:ascii="Symbol" w:hAnsi="Symbol" w:hint="default"/>
      </w:rPr>
    </w:lvl>
    <w:lvl w:ilvl="7" w:tplc="94C4BE34">
      <w:start w:val="1"/>
      <w:numFmt w:val="bullet"/>
      <w:lvlText w:val="o"/>
      <w:lvlJc w:val="left"/>
      <w:pPr>
        <w:ind w:left="5760" w:hanging="360"/>
      </w:pPr>
      <w:rPr>
        <w:rFonts w:ascii="Courier New" w:hAnsi="Courier New" w:hint="default"/>
      </w:rPr>
    </w:lvl>
    <w:lvl w:ilvl="8" w:tplc="414A1F72">
      <w:start w:val="1"/>
      <w:numFmt w:val="bullet"/>
      <w:lvlText w:val=""/>
      <w:lvlJc w:val="left"/>
      <w:pPr>
        <w:ind w:left="6480" w:hanging="360"/>
      </w:pPr>
      <w:rPr>
        <w:rFonts w:ascii="Wingdings" w:hAnsi="Wingdings" w:hint="default"/>
      </w:rPr>
    </w:lvl>
  </w:abstractNum>
  <w:abstractNum w:abstractNumId="7"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8"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9"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92973D2"/>
    <w:multiLevelType w:val="hybridMultilevel"/>
    <w:tmpl w:val="419A2060"/>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3"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0854C8"/>
    <w:multiLevelType w:val="hybridMultilevel"/>
    <w:tmpl w:val="97A0732A"/>
    <w:lvl w:ilvl="0" w:tplc="808E6FE0">
      <w:start w:val="1"/>
      <w:numFmt w:val="bullet"/>
      <w:lvlText w:val=""/>
      <w:lvlJc w:val="left"/>
      <w:pPr>
        <w:ind w:left="720" w:hanging="360"/>
      </w:pPr>
      <w:rPr>
        <w:rFonts w:ascii="Symbol" w:hAnsi="Symbol" w:hint="default"/>
      </w:rPr>
    </w:lvl>
    <w:lvl w:ilvl="1" w:tplc="69847E22">
      <w:start w:val="1"/>
      <w:numFmt w:val="bullet"/>
      <w:lvlText w:val="o"/>
      <w:lvlJc w:val="left"/>
      <w:pPr>
        <w:ind w:left="1440" w:hanging="360"/>
      </w:pPr>
      <w:rPr>
        <w:rFonts w:ascii="Courier New" w:hAnsi="Courier New" w:hint="default"/>
      </w:rPr>
    </w:lvl>
    <w:lvl w:ilvl="2" w:tplc="5164DFC2" w:tentative="1">
      <w:start w:val="1"/>
      <w:numFmt w:val="bullet"/>
      <w:lvlText w:val=""/>
      <w:lvlJc w:val="left"/>
      <w:pPr>
        <w:ind w:left="2160" w:hanging="360"/>
      </w:pPr>
      <w:rPr>
        <w:rFonts w:ascii="Wingdings" w:hAnsi="Wingdings" w:hint="default"/>
      </w:rPr>
    </w:lvl>
    <w:lvl w:ilvl="3" w:tplc="AD8ECE9E" w:tentative="1">
      <w:start w:val="1"/>
      <w:numFmt w:val="bullet"/>
      <w:lvlText w:val=""/>
      <w:lvlJc w:val="left"/>
      <w:pPr>
        <w:ind w:left="2880" w:hanging="360"/>
      </w:pPr>
      <w:rPr>
        <w:rFonts w:ascii="Symbol" w:hAnsi="Symbol" w:hint="default"/>
      </w:rPr>
    </w:lvl>
    <w:lvl w:ilvl="4" w:tplc="F96A20F8" w:tentative="1">
      <w:start w:val="1"/>
      <w:numFmt w:val="bullet"/>
      <w:lvlText w:val="o"/>
      <w:lvlJc w:val="left"/>
      <w:pPr>
        <w:ind w:left="3600" w:hanging="360"/>
      </w:pPr>
      <w:rPr>
        <w:rFonts w:ascii="Courier New" w:hAnsi="Courier New" w:hint="default"/>
      </w:rPr>
    </w:lvl>
    <w:lvl w:ilvl="5" w:tplc="51266D54" w:tentative="1">
      <w:start w:val="1"/>
      <w:numFmt w:val="bullet"/>
      <w:lvlText w:val=""/>
      <w:lvlJc w:val="left"/>
      <w:pPr>
        <w:ind w:left="4320" w:hanging="360"/>
      </w:pPr>
      <w:rPr>
        <w:rFonts w:ascii="Wingdings" w:hAnsi="Wingdings" w:hint="default"/>
      </w:rPr>
    </w:lvl>
    <w:lvl w:ilvl="6" w:tplc="B62AD62C" w:tentative="1">
      <w:start w:val="1"/>
      <w:numFmt w:val="bullet"/>
      <w:lvlText w:val=""/>
      <w:lvlJc w:val="left"/>
      <w:pPr>
        <w:ind w:left="5040" w:hanging="360"/>
      </w:pPr>
      <w:rPr>
        <w:rFonts w:ascii="Symbol" w:hAnsi="Symbol" w:hint="default"/>
      </w:rPr>
    </w:lvl>
    <w:lvl w:ilvl="7" w:tplc="CEAC51B0" w:tentative="1">
      <w:start w:val="1"/>
      <w:numFmt w:val="bullet"/>
      <w:lvlText w:val="o"/>
      <w:lvlJc w:val="left"/>
      <w:pPr>
        <w:ind w:left="5760" w:hanging="360"/>
      </w:pPr>
      <w:rPr>
        <w:rFonts w:ascii="Courier New" w:hAnsi="Courier New" w:hint="default"/>
      </w:rPr>
    </w:lvl>
    <w:lvl w:ilvl="8" w:tplc="1D92CA30" w:tentative="1">
      <w:start w:val="1"/>
      <w:numFmt w:val="bullet"/>
      <w:lvlText w:val=""/>
      <w:lvlJc w:val="left"/>
      <w:pPr>
        <w:ind w:left="6480" w:hanging="360"/>
      </w:pPr>
      <w:rPr>
        <w:rFonts w:ascii="Wingdings" w:hAnsi="Wingdings" w:hint="default"/>
      </w:rPr>
    </w:lvl>
  </w:abstractNum>
  <w:abstractNum w:abstractNumId="15"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7"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9"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E0309B"/>
    <w:multiLevelType w:val="hybridMultilevel"/>
    <w:tmpl w:val="D0469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4"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9"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06352"/>
    <w:multiLevelType w:val="hybridMultilevel"/>
    <w:tmpl w:val="BFFEF860"/>
    <w:lvl w:ilvl="0" w:tplc="8E305336">
      <w:start w:val="4"/>
      <w:numFmt w:val="decimal"/>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5"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8"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9"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8"/>
  </w:num>
  <w:num w:numId="2" w16cid:durableId="148182179">
    <w:abstractNumId w:val="1"/>
  </w:num>
  <w:num w:numId="3" w16cid:durableId="505511010">
    <w:abstractNumId w:val="38"/>
  </w:num>
  <w:num w:numId="4" w16cid:durableId="580018736">
    <w:abstractNumId w:val="16"/>
  </w:num>
  <w:num w:numId="5" w16cid:durableId="221647625">
    <w:abstractNumId w:val="34"/>
  </w:num>
  <w:num w:numId="6" w16cid:durableId="298344620">
    <w:abstractNumId w:val="12"/>
  </w:num>
  <w:num w:numId="7" w16cid:durableId="58093387">
    <w:abstractNumId w:val="7"/>
  </w:num>
  <w:num w:numId="8" w16cid:durableId="1122530581">
    <w:abstractNumId w:val="18"/>
  </w:num>
  <w:num w:numId="9" w16cid:durableId="1479684095">
    <w:abstractNumId w:val="37"/>
  </w:num>
  <w:num w:numId="10" w16cid:durableId="340007303">
    <w:abstractNumId w:val="28"/>
  </w:num>
  <w:num w:numId="11" w16cid:durableId="346519941">
    <w:abstractNumId w:val="31"/>
  </w:num>
  <w:num w:numId="12" w16cid:durableId="691036718">
    <w:abstractNumId w:val="15"/>
  </w:num>
  <w:num w:numId="13" w16cid:durableId="1452093781">
    <w:abstractNumId w:val="19"/>
  </w:num>
  <w:num w:numId="14" w16cid:durableId="906961314">
    <w:abstractNumId w:val="35"/>
  </w:num>
  <w:num w:numId="15" w16cid:durableId="1388455259">
    <w:abstractNumId w:val="17"/>
  </w:num>
  <w:num w:numId="16" w16cid:durableId="1677533267">
    <w:abstractNumId w:val="41"/>
  </w:num>
  <w:num w:numId="17" w16cid:durableId="961619330">
    <w:abstractNumId w:val="36"/>
  </w:num>
  <w:num w:numId="18" w16cid:durableId="1095638383">
    <w:abstractNumId w:val="26"/>
  </w:num>
  <w:num w:numId="19" w16cid:durableId="357776219">
    <w:abstractNumId w:val="27"/>
  </w:num>
  <w:num w:numId="20" w16cid:durableId="1481578588">
    <w:abstractNumId w:val="33"/>
  </w:num>
  <w:num w:numId="21" w16cid:durableId="1812137613">
    <w:abstractNumId w:val="3"/>
  </w:num>
  <w:num w:numId="22" w16cid:durableId="370300677">
    <w:abstractNumId w:val="4"/>
  </w:num>
  <w:num w:numId="23" w16cid:durableId="1948660650">
    <w:abstractNumId w:val="5"/>
  </w:num>
  <w:num w:numId="24" w16cid:durableId="1221136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9"/>
  </w:num>
  <w:num w:numId="26" w16cid:durableId="1203983393">
    <w:abstractNumId w:val="29"/>
  </w:num>
  <w:num w:numId="27" w16cid:durableId="1149204463">
    <w:abstractNumId w:val="20"/>
  </w:num>
  <w:num w:numId="28" w16cid:durableId="614867515">
    <w:abstractNumId w:val="40"/>
  </w:num>
  <w:num w:numId="29" w16cid:durableId="1513490821">
    <w:abstractNumId w:val="2"/>
  </w:num>
  <w:num w:numId="30" w16cid:durableId="1269506392">
    <w:abstractNumId w:val="25"/>
  </w:num>
  <w:num w:numId="31" w16cid:durableId="160509948">
    <w:abstractNumId w:val="24"/>
  </w:num>
  <w:num w:numId="32" w16cid:durableId="146094414">
    <w:abstractNumId w:val="10"/>
  </w:num>
  <w:num w:numId="33" w16cid:durableId="2145806991">
    <w:abstractNumId w:val="13"/>
  </w:num>
  <w:num w:numId="34" w16cid:durableId="1322079617">
    <w:abstractNumId w:val="23"/>
  </w:num>
  <w:num w:numId="35" w16cid:durableId="1661734410">
    <w:abstractNumId w:val="21"/>
  </w:num>
  <w:num w:numId="36" w16cid:durableId="306253165">
    <w:abstractNumId w:val="11"/>
  </w:num>
  <w:num w:numId="37" w16cid:durableId="428160121">
    <w:abstractNumId w:val="30"/>
  </w:num>
  <w:num w:numId="38" w16cid:durableId="1100875517">
    <w:abstractNumId w:val="22"/>
  </w:num>
  <w:num w:numId="39" w16cid:durableId="47343970">
    <w:abstractNumId w:val="14"/>
  </w:num>
  <w:num w:numId="40" w16cid:durableId="1761828239">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PKit_DocumentHasBeenSaved" w:val="true"/>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3DA2"/>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BA8"/>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605"/>
    <w:rsid w:val="00055DF6"/>
    <w:rsid w:val="00055ED8"/>
    <w:rsid w:val="000568D7"/>
    <w:rsid w:val="000568F4"/>
    <w:rsid w:val="00056C02"/>
    <w:rsid w:val="00057006"/>
    <w:rsid w:val="00057285"/>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2DF6"/>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0F"/>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2B6"/>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752"/>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2FDD"/>
    <w:rsid w:val="000B307A"/>
    <w:rsid w:val="000B30CD"/>
    <w:rsid w:val="000B3373"/>
    <w:rsid w:val="000B343D"/>
    <w:rsid w:val="000B3478"/>
    <w:rsid w:val="000B36A5"/>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6A4"/>
    <w:rsid w:val="000B58B6"/>
    <w:rsid w:val="000B595A"/>
    <w:rsid w:val="000B5C5B"/>
    <w:rsid w:val="000B5FF0"/>
    <w:rsid w:val="000B607D"/>
    <w:rsid w:val="000B6139"/>
    <w:rsid w:val="000B61F1"/>
    <w:rsid w:val="000B641A"/>
    <w:rsid w:val="000B64EA"/>
    <w:rsid w:val="000B66DF"/>
    <w:rsid w:val="000B67EE"/>
    <w:rsid w:val="000B6A5E"/>
    <w:rsid w:val="000B6D6D"/>
    <w:rsid w:val="000B6F9B"/>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4015"/>
    <w:rsid w:val="000C405D"/>
    <w:rsid w:val="000C4440"/>
    <w:rsid w:val="000C45D5"/>
    <w:rsid w:val="000C4733"/>
    <w:rsid w:val="000C4791"/>
    <w:rsid w:val="000C4804"/>
    <w:rsid w:val="000C486E"/>
    <w:rsid w:val="000C4BDB"/>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5CF9"/>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2CE"/>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500"/>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68"/>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83F"/>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1D4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ADC"/>
    <w:rsid w:val="00120BD1"/>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169"/>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0C4"/>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2B2B"/>
    <w:rsid w:val="00143061"/>
    <w:rsid w:val="00143335"/>
    <w:rsid w:val="00143391"/>
    <w:rsid w:val="0014367F"/>
    <w:rsid w:val="001438FC"/>
    <w:rsid w:val="00143DDE"/>
    <w:rsid w:val="00143F3D"/>
    <w:rsid w:val="001440D2"/>
    <w:rsid w:val="0014413D"/>
    <w:rsid w:val="00144F48"/>
    <w:rsid w:val="00145AB8"/>
    <w:rsid w:val="00145BBD"/>
    <w:rsid w:val="00145D7D"/>
    <w:rsid w:val="00145F7E"/>
    <w:rsid w:val="001463CA"/>
    <w:rsid w:val="00146572"/>
    <w:rsid w:val="00146971"/>
    <w:rsid w:val="0014708A"/>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40E"/>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404"/>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9F"/>
    <w:rsid w:val="001807A9"/>
    <w:rsid w:val="00180812"/>
    <w:rsid w:val="0018082C"/>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6EE"/>
    <w:rsid w:val="0019484D"/>
    <w:rsid w:val="00194A0F"/>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580F"/>
    <w:rsid w:val="001C58C0"/>
    <w:rsid w:val="001C5ADD"/>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0ED"/>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C46"/>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9AF"/>
    <w:rsid w:val="001F7CC6"/>
    <w:rsid w:val="001F7DD5"/>
    <w:rsid w:val="00200026"/>
    <w:rsid w:val="0020021A"/>
    <w:rsid w:val="00200333"/>
    <w:rsid w:val="002003F9"/>
    <w:rsid w:val="0020057E"/>
    <w:rsid w:val="00200D57"/>
    <w:rsid w:val="00200EC8"/>
    <w:rsid w:val="00200FF9"/>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465"/>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5ED5"/>
    <w:rsid w:val="0022613D"/>
    <w:rsid w:val="002263AF"/>
    <w:rsid w:val="0022658F"/>
    <w:rsid w:val="00226668"/>
    <w:rsid w:val="002267B2"/>
    <w:rsid w:val="002268EA"/>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CDF"/>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0A7"/>
    <w:rsid w:val="0024424B"/>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531"/>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8A"/>
    <w:rsid w:val="00265BA7"/>
    <w:rsid w:val="00265CD1"/>
    <w:rsid w:val="00266140"/>
    <w:rsid w:val="0026615E"/>
    <w:rsid w:val="002664D5"/>
    <w:rsid w:val="00266567"/>
    <w:rsid w:val="00266588"/>
    <w:rsid w:val="0026689A"/>
    <w:rsid w:val="002668EB"/>
    <w:rsid w:val="00266A1A"/>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3EE4"/>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3B1"/>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8CA"/>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132"/>
    <w:rsid w:val="002A4221"/>
    <w:rsid w:val="002A466C"/>
    <w:rsid w:val="002A46B9"/>
    <w:rsid w:val="002A4EA4"/>
    <w:rsid w:val="002A5068"/>
    <w:rsid w:val="002A512D"/>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B7FF5"/>
    <w:rsid w:val="002C0046"/>
    <w:rsid w:val="002C00E0"/>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498"/>
    <w:rsid w:val="002E090F"/>
    <w:rsid w:val="002E0967"/>
    <w:rsid w:val="002E0F16"/>
    <w:rsid w:val="002E0FA2"/>
    <w:rsid w:val="002E13A0"/>
    <w:rsid w:val="002E185A"/>
    <w:rsid w:val="002E1C42"/>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60A"/>
    <w:rsid w:val="002E6799"/>
    <w:rsid w:val="002E6C40"/>
    <w:rsid w:val="002E6CCF"/>
    <w:rsid w:val="002E6E72"/>
    <w:rsid w:val="002E706B"/>
    <w:rsid w:val="002E7523"/>
    <w:rsid w:val="002E7AA9"/>
    <w:rsid w:val="002E7ABC"/>
    <w:rsid w:val="002E7BCD"/>
    <w:rsid w:val="002F0567"/>
    <w:rsid w:val="002F0719"/>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B7B"/>
    <w:rsid w:val="00311F51"/>
    <w:rsid w:val="003122E8"/>
    <w:rsid w:val="00312635"/>
    <w:rsid w:val="00312B28"/>
    <w:rsid w:val="00312B96"/>
    <w:rsid w:val="00313B7C"/>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ED9"/>
    <w:rsid w:val="00322FA3"/>
    <w:rsid w:val="00323450"/>
    <w:rsid w:val="00323BC5"/>
    <w:rsid w:val="00323BEB"/>
    <w:rsid w:val="00324673"/>
    <w:rsid w:val="00324B9B"/>
    <w:rsid w:val="00324C83"/>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4DDE"/>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2D4"/>
    <w:rsid w:val="003543DA"/>
    <w:rsid w:val="00354514"/>
    <w:rsid w:val="0035483F"/>
    <w:rsid w:val="00354B65"/>
    <w:rsid w:val="00354B6B"/>
    <w:rsid w:val="00354B7A"/>
    <w:rsid w:val="00355439"/>
    <w:rsid w:val="003555F5"/>
    <w:rsid w:val="00355B3F"/>
    <w:rsid w:val="0035616C"/>
    <w:rsid w:val="00356450"/>
    <w:rsid w:val="00356A2D"/>
    <w:rsid w:val="00356ADE"/>
    <w:rsid w:val="00356DB8"/>
    <w:rsid w:val="00356EF5"/>
    <w:rsid w:val="00357357"/>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C8"/>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2AE"/>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27D09"/>
    <w:rsid w:val="00430012"/>
    <w:rsid w:val="004302B7"/>
    <w:rsid w:val="0043054F"/>
    <w:rsid w:val="00430567"/>
    <w:rsid w:val="0043063B"/>
    <w:rsid w:val="004308E5"/>
    <w:rsid w:val="004309E8"/>
    <w:rsid w:val="00430DFD"/>
    <w:rsid w:val="00431096"/>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AB4"/>
    <w:rsid w:val="00453B7D"/>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89D"/>
    <w:rsid w:val="00466AB7"/>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8B5"/>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2F5"/>
    <w:rsid w:val="004B6485"/>
    <w:rsid w:val="004B6618"/>
    <w:rsid w:val="004B6819"/>
    <w:rsid w:val="004B6840"/>
    <w:rsid w:val="004B6B02"/>
    <w:rsid w:val="004B6C88"/>
    <w:rsid w:val="004B6D63"/>
    <w:rsid w:val="004B71A4"/>
    <w:rsid w:val="004C0571"/>
    <w:rsid w:val="004C093C"/>
    <w:rsid w:val="004C0AC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C5B"/>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323C"/>
    <w:rsid w:val="004D32B4"/>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4E0"/>
    <w:rsid w:val="005308E1"/>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EA9"/>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EB0"/>
    <w:rsid w:val="00551FED"/>
    <w:rsid w:val="00552BDE"/>
    <w:rsid w:val="00552C21"/>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359"/>
    <w:rsid w:val="00557827"/>
    <w:rsid w:val="00557B9E"/>
    <w:rsid w:val="00557DE4"/>
    <w:rsid w:val="00557F82"/>
    <w:rsid w:val="00560102"/>
    <w:rsid w:val="005606DA"/>
    <w:rsid w:val="005609D2"/>
    <w:rsid w:val="00560A3D"/>
    <w:rsid w:val="00560F3B"/>
    <w:rsid w:val="005610A0"/>
    <w:rsid w:val="005612D0"/>
    <w:rsid w:val="00561631"/>
    <w:rsid w:val="0056185C"/>
    <w:rsid w:val="00561E6D"/>
    <w:rsid w:val="00561F9C"/>
    <w:rsid w:val="00561FED"/>
    <w:rsid w:val="005621A6"/>
    <w:rsid w:val="005623E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921"/>
    <w:rsid w:val="00565D02"/>
    <w:rsid w:val="00565F56"/>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C15"/>
    <w:rsid w:val="00570F91"/>
    <w:rsid w:val="005712A4"/>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40F"/>
    <w:rsid w:val="00574D66"/>
    <w:rsid w:val="00574E2E"/>
    <w:rsid w:val="00575284"/>
    <w:rsid w:val="0057546D"/>
    <w:rsid w:val="0057554A"/>
    <w:rsid w:val="00575822"/>
    <w:rsid w:val="00575E87"/>
    <w:rsid w:val="0057604C"/>
    <w:rsid w:val="00576147"/>
    <w:rsid w:val="00576383"/>
    <w:rsid w:val="00576436"/>
    <w:rsid w:val="00576564"/>
    <w:rsid w:val="005767C0"/>
    <w:rsid w:val="00576DD5"/>
    <w:rsid w:val="00576E83"/>
    <w:rsid w:val="00576EAA"/>
    <w:rsid w:val="00576FFD"/>
    <w:rsid w:val="005773DC"/>
    <w:rsid w:val="00577441"/>
    <w:rsid w:val="00577618"/>
    <w:rsid w:val="005776CB"/>
    <w:rsid w:val="00577812"/>
    <w:rsid w:val="005779D6"/>
    <w:rsid w:val="00577DE7"/>
    <w:rsid w:val="00577F15"/>
    <w:rsid w:val="0058007E"/>
    <w:rsid w:val="0058019F"/>
    <w:rsid w:val="00580408"/>
    <w:rsid w:val="00580664"/>
    <w:rsid w:val="00580CC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3D7"/>
    <w:rsid w:val="00585537"/>
    <w:rsid w:val="005855E7"/>
    <w:rsid w:val="00585692"/>
    <w:rsid w:val="00585CF3"/>
    <w:rsid w:val="00585F57"/>
    <w:rsid w:val="00586025"/>
    <w:rsid w:val="005860DE"/>
    <w:rsid w:val="00586302"/>
    <w:rsid w:val="005864D9"/>
    <w:rsid w:val="0058654F"/>
    <w:rsid w:val="0058662C"/>
    <w:rsid w:val="0058693D"/>
    <w:rsid w:val="00586ACB"/>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6D"/>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315"/>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0C59"/>
    <w:rsid w:val="005F1311"/>
    <w:rsid w:val="005F14F7"/>
    <w:rsid w:val="005F1558"/>
    <w:rsid w:val="005F188D"/>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CC9"/>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E8"/>
    <w:rsid w:val="006051F3"/>
    <w:rsid w:val="00605261"/>
    <w:rsid w:val="0060548A"/>
    <w:rsid w:val="006054D2"/>
    <w:rsid w:val="006055B8"/>
    <w:rsid w:val="0060563D"/>
    <w:rsid w:val="00605BE0"/>
    <w:rsid w:val="00605BE6"/>
    <w:rsid w:val="00605E3A"/>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0F13"/>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A9"/>
    <w:rsid w:val="006307DF"/>
    <w:rsid w:val="00630A60"/>
    <w:rsid w:val="00630EB3"/>
    <w:rsid w:val="00630F9E"/>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67B"/>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1F3A"/>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38A"/>
    <w:rsid w:val="00665A2E"/>
    <w:rsid w:val="00665AD4"/>
    <w:rsid w:val="00665C42"/>
    <w:rsid w:val="00665C96"/>
    <w:rsid w:val="00665CEA"/>
    <w:rsid w:val="00666084"/>
    <w:rsid w:val="006661EA"/>
    <w:rsid w:val="00666215"/>
    <w:rsid w:val="00666499"/>
    <w:rsid w:val="0066655F"/>
    <w:rsid w:val="006665CB"/>
    <w:rsid w:val="0066661F"/>
    <w:rsid w:val="00666B67"/>
    <w:rsid w:val="00666B90"/>
    <w:rsid w:val="00666C1E"/>
    <w:rsid w:val="006675B0"/>
    <w:rsid w:val="00667961"/>
    <w:rsid w:val="00667D30"/>
    <w:rsid w:val="0067002B"/>
    <w:rsid w:val="00670047"/>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CD3"/>
    <w:rsid w:val="00672FF6"/>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307"/>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3D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1D"/>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183"/>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3AD"/>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3DE4"/>
    <w:rsid w:val="006F40BA"/>
    <w:rsid w:val="006F4200"/>
    <w:rsid w:val="006F42AE"/>
    <w:rsid w:val="006F4507"/>
    <w:rsid w:val="006F5608"/>
    <w:rsid w:val="006F560B"/>
    <w:rsid w:val="006F604B"/>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88F"/>
    <w:rsid w:val="00704F73"/>
    <w:rsid w:val="00705306"/>
    <w:rsid w:val="007053A6"/>
    <w:rsid w:val="007054E5"/>
    <w:rsid w:val="00705812"/>
    <w:rsid w:val="00705AD7"/>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954"/>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39D"/>
    <w:rsid w:val="007914C4"/>
    <w:rsid w:val="00791536"/>
    <w:rsid w:val="007915C8"/>
    <w:rsid w:val="007915DD"/>
    <w:rsid w:val="00791AC8"/>
    <w:rsid w:val="00791CE9"/>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D0B"/>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971"/>
    <w:rsid w:val="007A6E4C"/>
    <w:rsid w:val="007A6ED6"/>
    <w:rsid w:val="007A71D7"/>
    <w:rsid w:val="007A7600"/>
    <w:rsid w:val="007A7960"/>
    <w:rsid w:val="007B0002"/>
    <w:rsid w:val="007B017D"/>
    <w:rsid w:val="007B01AF"/>
    <w:rsid w:val="007B035F"/>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592"/>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5BA"/>
    <w:rsid w:val="007C7680"/>
    <w:rsid w:val="007C7D92"/>
    <w:rsid w:val="007D00FA"/>
    <w:rsid w:val="007D014E"/>
    <w:rsid w:val="007D022D"/>
    <w:rsid w:val="007D0527"/>
    <w:rsid w:val="007D0846"/>
    <w:rsid w:val="007D0C47"/>
    <w:rsid w:val="007D0D50"/>
    <w:rsid w:val="007D0DD4"/>
    <w:rsid w:val="007D0EF7"/>
    <w:rsid w:val="007D1013"/>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16"/>
    <w:rsid w:val="007F10FC"/>
    <w:rsid w:val="007F142B"/>
    <w:rsid w:val="007F190C"/>
    <w:rsid w:val="007F19AA"/>
    <w:rsid w:val="007F2272"/>
    <w:rsid w:val="007F2306"/>
    <w:rsid w:val="007F26DB"/>
    <w:rsid w:val="007F2C18"/>
    <w:rsid w:val="007F2DF4"/>
    <w:rsid w:val="007F2F43"/>
    <w:rsid w:val="007F2F4D"/>
    <w:rsid w:val="007F37AD"/>
    <w:rsid w:val="007F37AE"/>
    <w:rsid w:val="007F38D3"/>
    <w:rsid w:val="007F3C73"/>
    <w:rsid w:val="007F42CF"/>
    <w:rsid w:val="007F4331"/>
    <w:rsid w:val="007F48BB"/>
    <w:rsid w:val="007F48ED"/>
    <w:rsid w:val="007F4D56"/>
    <w:rsid w:val="007F4D74"/>
    <w:rsid w:val="007F4F16"/>
    <w:rsid w:val="007F53A9"/>
    <w:rsid w:val="007F55F1"/>
    <w:rsid w:val="007F57EE"/>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156"/>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E10"/>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26"/>
    <w:rsid w:val="00846069"/>
    <w:rsid w:val="008460AE"/>
    <w:rsid w:val="008462C7"/>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0D5"/>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1CF"/>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B44"/>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C82"/>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FA5"/>
    <w:rsid w:val="00882260"/>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B1F"/>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66D"/>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08B"/>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A8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228"/>
    <w:rsid w:val="008F55E8"/>
    <w:rsid w:val="008F56EA"/>
    <w:rsid w:val="008F596E"/>
    <w:rsid w:val="008F5F8F"/>
    <w:rsid w:val="008F68DC"/>
    <w:rsid w:val="008F6AFF"/>
    <w:rsid w:val="008F7036"/>
    <w:rsid w:val="008F71E8"/>
    <w:rsid w:val="008F725B"/>
    <w:rsid w:val="008F726F"/>
    <w:rsid w:val="008F73C6"/>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7CB"/>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512"/>
    <w:rsid w:val="009157B2"/>
    <w:rsid w:val="00915874"/>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069"/>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B67"/>
    <w:rsid w:val="00955DDE"/>
    <w:rsid w:val="009561E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45E"/>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656"/>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A9A"/>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614"/>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DA1"/>
    <w:rsid w:val="009B6F81"/>
    <w:rsid w:val="009B7003"/>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2FE1"/>
    <w:rsid w:val="009C3222"/>
    <w:rsid w:val="009C33D9"/>
    <w:rsid w:val="009C34D0"/>
    <w:rsid w:val="009C3526"/>
    <w:rsid w:val="009C3623"/>
    <w:rsid w:val="009C3A20"/>
    <w:rsid w:val="009C3CD6"/>
    <w:rsid w:val="009C3D3D"/>
    <w:rsid w:val="009C3E2F"/>
    <w:rsid w:val="009C3E87"/>
    <w:rsid w:val="009C40AA"/>
    <w:rsid w:val="009C40EF"/>
    <w:rsid w:val="009C44EE"/>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A08"/>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4F1F"/>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1E6A"/>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3F26"/>
    <w:rsid w:val="00A141BA"/>
    <w:rsid w:val="00A14210"/>
    <w:rsid w:val="00A142AE"/>
    <w:rsid w:val="00A148BF"/>
    <w:rsid w:val="00A14A24"/>
    <w:rsid w:val="00A15108"/>
    <w:rsid w:val="00A1521B"/>
    <w:rsid w:val="00A159F7"/>
    <w:rsid w:val="00A15C50"/>
    <w:rsid w:val="00A15CF5"/>
    <w:rsid w:val="00A15F89"/>
    <w:rsid w:val="00A1649C"/>
    <w:rsid w:val="00A165E8"/>
    <w:rsid w:val="00A1660F"/>
    <w:rsid w:val="00A16616"/>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97A"/>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0AF"/>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7E2"/>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E8D"/>
    <w:rsid w:val="00A75F81"/>
    <w:rsid w:val="00A75FAB"/>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6C1"/>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757"/>
    <w:rsid w:val="00AA181B"/>
    <w:rsid w:val="00AA1907"/>
    <w:rsid w:val="00AA2221"/>
    <w:rsid w:val="00AA2801"/>
    <w:rsid w:val="00AA29BD"/>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3F95"/>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9C9"/>
    <w:rsid w:val="00AD6C00"/>
    <w:rsid w:val="00AD6C74"/>
    <w:rsid w:val="00AD6CD7"/>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4AE"/>
    <w:rsid w:val="00B00879"/>
    <w:rsid w:val="00B00938"/>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1DA"/>
    <w:rsid w:val="00B052F6"/>
    <w:rsid w:val="00B05423"/>
    <w:rsid w:val="00B058D8"/>
    <w:rsid w:val="00B05D68"/>
    <w:rsid w:val="00B05FEC"/>
    <w:rsid w:val="00B0627F"/>
    <w:rsid w:val="00B062B1"/>
    <w:rsid w:val="00B064DB"/>
    <w:rsid w:val="00B066FD"/>
    <w:rsid w:val="00B0677E"/>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E29"/>
    <w:rsid w:val="00B11F81"/>
    <w:rsid w:val="00B121CA"/>
    <w:rsid w:val="00B12290"/>
    <w:rsid w:val="00B12319"/>
    <w:rsid w:val="00B12598"/>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670"/>
    <w:rsid w:val="00B60950"/>
    <w:rsid w:val="00B609BB"/>
    <w:rsid w:val="00B60D86"/>
    <w:rsid w:val="00B60DEB"/>
    <w:rsid w:val="00B6114D"/>
    <w:rsid w:val="00B612DE"/>
    <w:rsid w:val="00B6132E"/>
    <w:rsid w:val="00B613EC"/>
    <w:rsid w:val="00B6150F"/>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3FA7"/>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743"/>
    <w:rsid w:val="00B76966"/>
    <w:rsid w:val="00B76E0E"/>
    <w:rsid w:val="00B76EBD"/>
    <w:rsid w:val="00B76ECE"/>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2652"/>
    <w:rsid w:val="00BA2914"/>
    <w:rsid w:val="00BA2B6F"/>
    <w:rsid w:val="00BA2DD7"/>
    <w:rsid w:val="00BA3072"/>
    <w:rsid w:val="00BA30C7"/>
    <w:rsid w:val="00BA327A"/>
    <w:rsid w:val="00BA35C5"/>
    <w:rsid w:val="00BA3857"/>
    <w:rsid w:val="00BA3A00"/>
    <w:rsid w:val="00BA3CB8"/>
    <w:rsid w:val="00BA3CFD"/>
    <w:rsid w:val="00BA3D55"/>
    <w:rsid w:val="00BA409C"/>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55E"/>
    <w:rsid w:val="00BC575C"/>
    <w:rsid w:val="00BC5923"/>
    <w:rsid w:val="00BC5A95"/>
    <w:rsid w:val="00BC5AD6"/>
    <w:rsid w:val="00BC61C4"/>
    <w:rsid w:val="00BC6512"/>
    <w:rsid w:val="00BC65D9"/>
    <w:rsid w:val="00BC683D"/>
    <w:rsid w:val="00BC69AA"/>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610"/>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C21"/>
    <w:rsid w:val="00BF4EE4"/>
    <w:rsid w:val="00BF4F5D"/>
    <w:rsid w:val="00BF5122"/>
    <w:rsid w:val="00BF5455"/>
    <w:rsid w:val="00BF5B8E"/>
    <w:rsid w:val="00BF5ED0"/>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703"/>
    <w:rsid w:val="00C16AB2"/>
    <w:rsid w:val="00C16C05"/>
    <w:rsid w:val="00C17036"/>
    <w:rsid w:val="00C17215"/>
    <w:rsid w:val="00C173AD"/>
    <w:rsid w:val="00C1758F"/>
    <w:rsid w:val="00C176CB"/>
    <w:rsid w:val="00C177D7"/>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B80"/>
    <w:rsid w:val="00C31D95"/>
    <w:rsid w:val="00C31DE4"/>
    <w:rsid w:val="00C31FBA"/>
    <w:rsid w:val="00C323D1"/>
    <w:rsid w:val="00C32576"/>
    <w:rsid w:val="00C325F9"/>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695"/>
    <w:rsid w:val="00C41B04"/>
    <w:rsid w:val="00C41D69"/>
    <w:rsid w:val="00C41F7A"/>
    <w:rsid w:val="00C42042"/>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797"/>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4F82"/>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30"/>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A9C"/>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BF0"/>
    <w:rsid w:val="00C82540"/>
    <w:rsid w:val="00C82624"/>
    <w:rsid w:val="00C82EBF"/>
    <w:rsid w:val="00C82ED3"/>
    <w:rsid w:val="00C82FB5"/>
    <w:rsid w:val="00C83405"/>
    <w:rsid w:val="00C83613"/>
    <w:rsid w:val="00C83958"/>
    <w:rsid w:val="00C83F9A"/>
    <w:rsid w:val="00C84324"/>
    <w:rsid w:val="00C8434D"/>
    <w:rsid w:val="00C84606"/>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318"/>
    <w:rsid w:val="00C875F0"/>
    <w:rsid w:val="00C8771A"/>
    <w:rsid w:val="00C87C1D"/>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1E"/>
    <w:rsid w:val="00CA07B2"/>
    <w:rsid w:val="00CA09D3"/>
    <w:rsid w:val="00CA0C34"/>
    <w:rsid w:val="00CA0D7E"/>
    <w:rsid w:val="00CA0E1E"/>
    <w:rsid w:val="00CA0FA1"/>
    <w:rsid w:val="00CA114E"/>
    <w:rsid w:val="00CA19B2"/>
    <w:rsid w:val="00CA1B6B"/>
    <w:rsid w:val="00CA1C94"/>
    <w:rsid w:val="00CA23ED"/>
    <w:rsid w:val="00CA24D9"/>
    <w:rsid w:val="00CA2EE2"/>
    <w:rsid w:val="00CA326D"/>
    <w:rsid w:val="00CA3AD1"/>
    <w:rsid w:val="00CA3CDD"/>
    <w:rsid w:val="00CA3DCC"/>
    <w:rsid w:val="00CA404F"/>
    <w:rsid w:val="00CA463C"/>
    <w:rsid w:val="00CA474B"/>
    <w:rsid w:val="00CA4760"/>
    <w:rsid w:val="00CA4863"/>
    <w:rsid w:val="00CA48E2"/>
    <w:rsid w:val="00CA4C2D"/>
    <w:rsid w:val="00CA4C6A"/>
    <w:rsid w:val="00CA51C3"/>
    <w:rsid w:val="00CA5B28"/>
    <w:rsid w:val="00CA5CEA"/>
    <w:rsid w:val="00CA5D19"/>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5EF"/>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48A"/>
    <w:rsid w:val="00CB78B6"/>
    <w:rsid w:val="00CB7B22"/>
    <w:rsid w:val="00CB7C5C"/>
    <w:rsid w:val="00CB7DE0"/>
    <w:rsid w:val="00CC0486"/>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33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B65"/>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1E"/>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B3A"/>
    <w:rsid w:val="00D14E4A"/>
    <w:rsid w:val="00D1520E"/>
    <w:rsid w:val="00D154B4"/>
    <w:rsid w:val="00D15578"/>
    <w:rsid w:val="00D158A2"/>
    <w:rsid w:val="00D15E75"/>
    <w:rsid w:val="00D160C6"/>
    <w:rsid w:val="00D161E6"/>
    <w:rsid w:val="00D162E6"/>
    <w:rsid w:val="00D16440"/>
    <w:rsid w:val="00D166A4"/>
    <w:rsid w:val="00D16B2F"/>
    <w:rsid w:val="00D16C40"/>
    <w:rsid w:val="00D16E07"/>
    <w:rsid w:val="00D1788B"/>
    <w:rsid w:val="00D178EB"/>
    <w:rsid w:val="00D17923"/>
    <w:rsid w:val="00D179CA"/>
    <w:rsid w:val="00D17DB7"/>
    <w:rsid w:val="00D202EB"/>
    <w:rsid w:val="00D205CA"/>
    <w:rsid w:val="00D20878"/>
    <w:rsid w:val="00D2089A"/>
    <w:rsid w:val="00D208BA"/>
    <w:rsid w:val="00D20933"/>
    <w:rsid w:val="00D209FF"/>
    <w:rsid w:val="00D20C9E"/>
    <w:rsid w:val="00D21913"/>
    <w:rsid w:val="00D2193A"/>
    <w:rsid w:val="00D2196A"/>
    <w:rsid w:val="00D21ACB"/>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C5D"/>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2D6B"/>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70"/>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12"/>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172"/>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0CEF"/>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ABC"/>
    <w:rsid w:val="00DD6C24"/>
    <w:rsid w:val="00DD70F4"/>
    <w:rsid w:val="00DD786C"/>
    <w:rsid w:val="00DD7F30"/>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3C9F"/>
    <w:rsid w:val="00DE4462"/>
    <w:rsid w:val="00DE4561"/>
    <w:rsid w:val="00DE4976"/>
    <w:rsid w:val="00DE4C64"/>
    <w:rsid w:val="00DE4ED8"/>
    <w:rsid w:val="00DE5337"/>
    <w:rsid w:val="00DE534B"/>
    <w:rsid w:val="00DE5DAE"/>
    <w:rsid w:val="00DE5F9A"/>
    <w:rsid w:val="00DE6233"/>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C29"/>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5CD"/>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59"/>
    <w:rsid w:val="00E12D6F"/>
    <w:rsid w:val="00E12FDB"/>
    <w:rsid w:val="00E13074"/>
    <w:rsid w:val="00E13076"/>
    <w:rsid w:val="00E1308A"/>
    <w:rsid w:val="00E130F9"/>
    <w:rsid w:val="00E13188"/>
    <w:rsid w:val="00E131C3"/>
    <w:rsid w:val="00E1320F"/>
    <w:rsid w:val="00E13319"/>
    <w:rsid w:val="00E133C5"/>
    <w:rsid w:val="00E13455"/>
    <w:rsid w:val="00E1360C"/>
    <w:rsid w:val="00E136BE"/>
    <w:rsid w:val="00E13869"/>
    <w:rsid w:val="00E139C9"/>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26"/>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06"/>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D5"/>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0EA"/>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93C"/>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1C1"/>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8D5"/>
    <w:rsid w:val="00EA49CD"/>
    <w:rsid w:val="00EA4A6D"/>
    <w:rsid w:val="00EA4AAC"/>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1C4"/>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D44"/>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AE4"/>
    <w:rsid w:val="00F00B17"/>
    <w:rsid w:val="00F0135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BEE"/>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10EE"/>
    <w:rsid w:val="00F11159"/>
    <w:rsid w:val="00F11195"/>
    <w:rsid w:val="00F11230"/>
    <w:rsid w:val="00F11A18"/>
    <w:rsid w:val="00F11C38"/>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72D"/>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409"/>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562"/>
    <w:rsid w:val="00F765D2"/>
    <w:rsid w:val="00F769C2"/>
    <w:rsid w:val="00F76BDA"/>
    <w:rsid w:val="00F76D01"/>
    <w:rsid w:val="00F770BE"/>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39C"/>
    <w:rsid w:val="00F834DC"/>
    <w:rsid w:val="00F835CA"/>
    <w:rsid w:val="00F83BAB"/>
    <w:rsid w:val="00F840B5"/>
    <w:rsid w:val="00F8419D"/>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39D"/>
    <w:rsid w:val="00FB3ED3"/>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8C"/>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06EB"/>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CC3"/>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2CE"/>
    <w:rsid w:val="00FF231A"/>
    <w:rsid w:val="00FF24A7"/>
    <w:rsid w:val="00FF26E3"/>
    <w:rsid w:val="00FF2774"/>
    <w:rsid w:val="00FF28C7"/>
    <w:rsid w:val="00FF2953"/>
    <w:rsid w:val="00FF30F1"/>
    <w:rsid w:val="00FF3130"/>
    <w:rsid w:val="00FF313B"/>
    <w:rsid w:val="00FF3150"/>
    <w:rsid w:val="00FF31F7"/>
    <w:rsid w:val="00FF359D"/>
    <w:rsid w:val="00FF3C3C"/>
    <w:rsid w:val="00FF3DF5"/>
    <w:rsid w:val="00FF3F26"/>
    <w:rsid w:val="00FF3F55"/>
    <w:rsid w:val="00FF3FC7"/>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18CE7B0D-E5C9-4DC6-BC8A-71DE2014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lang w:val="en-GB"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1">
    <w:name w:val="Char Char Char1"/>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1">
    <w:name w:val="Char1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Bullet List,FooterText,List Paragraph compact,Dot pt,F5 List Paragraph,List Paragraph1,List Paragraph Char Char Char,Indicator Text,Numbered Para 1,Bullet 1,Bullet Points,MAIN CONTENT,List Paragraph11"/>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GB"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1">
    <w:name w:val="Znak Znak1"/>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en-GB"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GB" w:eastAsia="en-GB"/>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lang w:val="en-GB" w:eastAsia="en-GB"/>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en-GB"/>
    </w:rPr>
  </w:style>
  <w:style w:type="character" w:styleId="UnresolvedMention">
    <w:name w:val="Unresolved Mention"/>
    <w:uiPriority w:val="99"/>
    <w:semiHidden/>
    <w:unhideWhenUsed/>
    <w:rsid w:val="00CB7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33074">
      <w:bodyDiv w:val="1"/>
      <w:marLeft w:val="0"/>
      <w:marRight w:val="0"/>
      <w:marTop w:val="0"/>
      <w:marBottom w:val="0"/>
      <w:divBdr>
        <w:top w:val="none" w:sz="0" w:space="0" w:color="auto"/>
        <w:left w:val="none" w:sz="0" w:space="0" w:color="auto"/>
        <w:bottom w:val="none" w:sz="0" w:space="0" w:color="auto"/>
        <w:right w:val="none" w:sz="0" w:space="0" w:color="auto"/>
      </w:divBdr>
    </w:div>
    <w:div w:id="804351240">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1812595911">
      <w:bodyDiv w:val="1"/>
      <w:marLeft w:val="0"/>
      <w:marRight w:val="0"/>
      <w:marTop w:val="0"/>
      <w:marBottom w:val="0"/>
      <w:divBdr>
        <w:top w:val="none" w:sz="0" w:space="0" w:color="auto"/>
        <w:left w:val="none" w:sz="0" w:space="0" w:color="auto"/>
        <w:bottom w:val="none" w:sz="0" w:space="0" w:color="auto"/>
        <w:right w:val="none" w:sz="0" w:space="0" w:color="auto"/>
      </w:divBdr>
    </w:div>
    <w:div w:id="20803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uroparl.europa.eu/doceo/document/TA-10-2025-0145_E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ée un document." ma:contentTypeScope="" ma:versionID="f2250d5a0013ece5a82ffd93022b729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f1a4cbba4d81f83eb257be55dd8c7ab"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25EA9A7F-AAB7-497A-B99C-C7765D134C16}"/>
</file>

<file path=customXml/itemProps2.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3.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4.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TEL.DOTM</Template>
  <TotalTime>9</TotalTime>
  <Pages>4</Pages>
  <Words>1730</Words>
  <Characters>9983</Characters>
  <Application>Microsoft Office Word</Application>
  <DocSecurity>0</DocSecurity>
  <PresentationFormat>Microsoft Word 8.0b</PresentationFormat>
  <Lines>155</Lines>
  <Paragraphs>39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11674</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DODEKOVA Gabriela (SG)</cp:lastModifiedBy>
  <cp:revision>3</cp:revision>
  <cp:lastPrinted>2017-11-23T17:27:00Z</cp:lastPrinted>
  <dcterms:created xsi:type="dcterms:W3CDTF">2025-10-24T09:40:00Z</dcterms:created>
  <dcterms:modified xsi:type="dcterms:W3CDTF">2025-11-13T10:13:00Z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2023-03-06T16:57:17Z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fed4ca29-9366-4f08-a0f8-47b4b7a2a3a2</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