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64C01CC4" w:rsidR="00963420" w:rsidRPr="00E33B06" w:rsidRDefault="00963420" w:rsidP="00CB748A">
      <w:pPr>
        <w:spacing w:after="720"/>
        <w:jc w:val="center"/>
        <w:rPr>
          <w:rFonts w:ascii="Times New Roman" w:hAnsi="Times New Roman"/>
          <w:b/>
          <w:szCs w:val="24"/>
        </w:rPr>
      </w:pPr>
      <w:r>
        <w:rPr>
          <w:rFonts w:ascii="Times New Roman" w:hAnsi="Times New Roman"/>
          <w:b/>
        </w:rPr>
        <w:t>Suite donnée à la résolution non législative du Parlement européen sur les activités financières de la Banque européenne d’investissement</w:t>
      </w:r>
      <w:r w:rsidR="001A5DC9">
        <w:rPr>
          <w:rFonts w:ascii="Times New Roman" w:hAnsi="Times New Roman"/>
          <w:b/>
        </w:rPr>
        <w:t xml:space="preserve"> </w:t>
      </w:r>
      <w:r>
        <w:rPr>
          <w:rFonts w:ascii="Times New Roman" w:hAnsi="Times New Roman"/>
          <w:b/>
        </w:rPr>
        <w:t>–</w:t>
      </w:r>
      <w:r w:rsidR="00F06B31">
        <w:rPr>
          <w:rFonts w:ascii="Times New Roman" w:hAnsi="Times New Roman"/>
          <w:b/>
        </w:rPr>
        <w:t xml:space="preserve"> </w:t>
      </w:r>
      <w:r>
        <w:rPr>
          <w:rFonts w:ascii="Times New Roman" w:hAnsi="Times New Roman"/>
          <w:b/>
        </w:rPr>
        <w:t>rapport annuel</w:t>
      </w:r>
    </w:p>
    <w:p w14:paraId="222E65B7" w14:textId="7307454F" w:rsidR="00963420" w:rsidRPr="00E33B06" w:rsidRDefault="00963420" w:rsidP="0084310E">
      <w:pPr>
        <w:numPr>
          <w:ilvl w:val="0"/>
          <w:numId w:val="34"/>
        </w:numPr>
        <w:ind w:left="567" w:hanging="567"/>
        <w:rPr>
          <w:rFonts w:ascii="Times New Roman" w:hAnsi="Times New Roman"/>
          <w:i/>
          <w:szCs w:val="24"/>
        </w:rPr>
      </w:pPr>
      <w:r>
        <w:rPr>
          <w:rFonts w:ascii="Times New Roman" w:hAnsi="Times New Roman"/>
          <w:b/>
        </w:rPr>
        <w:t>Rapporteur[e</w:t>
      </w:r>
      <w:proofErr w:type="gramStart"/>
      <w:r>
        <w:rPr>
          <w:rFonts w:ascii="Times New Roman" w:hAnsi="Times New Roman"/>
          <w:b/>
        </w:rPr>
        <w:t>]:</w:t>
      </w:r>
      <w:proofErr w:type="gramEnd"/>
      <w:r>
        <w:rPr>
          <w:rFonts w:ascii="Times New Roman" w:hAnsi="Times New Roman"/>
        </w:rPr>
        <w:t xml:space="preserve"> Francisco ASSIS (S&amp;D / PT)</w:t>
      </w:r>
    </w:p>
    <w:p w14:paraId="3021C497" w14:textId="1728BBBA" w:rsidR="00563F16" w:rsidRPr="00164404" w:rsidRDefault="00063DCE" w:rsidP="00F06B31">
      <w:pPr>
        <w:pStyle w:val="Default"/>
        <w:numPr>
          <w:ilvl w:val="0"/>
          <w:numId w:val="34"/>
        </w:numPr>
        <w:spacing w:before="120" w:after="240"/>
        <w:ind w:left="567" w:hanging="567"/>
        <w:rPr>
          <w:bCs/>
        </w:rPr>
      </w:pPr>
      <w:proofErr w:type="gramStart"/>
      <w:r>
        <w:rPr>
          <w:b/>
          <w:color w:val="auto"/>
        </w:rPr>
        <w:t>Références:</w:t>
      </w:r>
      <w:proofErr w:type="gramEnd"/>
      <w:r>
        <w:rPr>
          <w:b/>
          <w:color w:val="auto"/>
        </w:rPr>
        <w:t xml:space="preserve"> </w:t>
      </w:r>
      <w:r>
        <w:t xml:space="preserve">2024/2053(INI) </w:t>
      </w:r>
      <w:r>
        <w:rPr>
          <w:color w:val="auto"/>
        </w:rPr>
        <w:t>/ A10-0112/2025 / P10_TA(2025)0145</w:t>
      </w:r>
    </w:p>
    <w:p w14:paraId="61D85C18" w14:textId="3C16C848" w:rsidR="001F0B89" w:rsidRPr="00E33B06" w:rsidRDefault="00963420" w:rsidP="0084310E">
      <w:pPr>
        <w:numPr>
          <w:ilvl w:val="0"/>
          <w:numId w:val="34"/>
        </w:numPr>
        <w:ind w:left="567" w:hanging="567"/>
        <w:rPr>
          <w:rFonts w:ascii="Times New Roman" w:hAnsi="Times New Roman"/>
          <w:szCs w:val="24"/>
        </w:rPr>
      </w:pP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rPr>
        <w:t xml:space="preserve"> 8 juillet 2025</w:t>
      </w:r>
    </w:p>
    <w:p w14:paraId="7F6CC3DA" w14:textId="7E6A9899" w:rsidR="00CB748A" w:rsidRPr="00E33B06" w:rsidRDefault="00963420" w:rsidP="00E971C1">
      <w:pPr>
        <w:numPr>
          <w:ilvl w:val="0"/>
          <w:numId w:val="34"/>
        </w:numPr>
        <w:ind w:left="567" w:hanging="567"/>
        <w:rPr>
          <w:rFonts w:ascii="Times New Roman" w:hAnsi="Times New Roman"/>
          <w:szCs w:val="24"/>
        </w:rPr>
      </w:pP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b/>
        </w:rPr>
        <w:t xml:space="preserve"> </w:t>
      </w:r>
      <w:r>
        <w:rPr>
          <w:rFonts w:ascii="Times New Roman" w:hAnsi="Times New Roman"/>
        </w:rPr>
        <w:t>commission des affaires économiques et monétaires (ECON)</w:t>
      </w:r>
    </w:p>
    <w:p w14:paraId="3282659C" w14:textId="14F1546E" w:rsidR="00CB748A" w:rsidRPr="00062DF6" w:rsidRDefault="00963420" w:rsidP="00CB748A">
      <w:pPr>
        <w:numPr>
          <w:ilvl w:val="0"/>
          <w:numId w:val="34"/>
        </w:numPr>
        <w:ind w:left="567" w:hanging="567"/>
        <w:rPr>
          <w:rFonts w:ascii="Times New Roman" w:hAnsi="Times New Roman"/>
          <w:szCs w:val="24"/>
        </w:rPr>
      </w:pPr>
      <w:r>
        <w:rPr>
          <w:rFonts w:ascii="Times New Roman" w:hAnsi="Times New Roman"/>
          <w:b/>
        </w:rPr>
        <w:t xml:space="preserve">Analyse/évaluation succincte de la résolution et des demandes qu’elle </w:t>
      </w:r>
      <w:proofErr w:type="gramStart"/>
      <w:r>
        <w:rPr>
          <w:rFonts w:ascii="Times New Roman" w:hAnsi="Times New Roman"/>
          <w:b/>
        </w:rPr>
        <w:t>contient:</w:t>
      </w:r>
      <w:proofErr w:type="gramEnd"/>
    </w:p>
    <w:p w14:paraId="386621E5" w14:textId="0D65F15E" w:rsidR="007B7592" w:rsidRPr="00062DF6" w:rsidRDefault="001F3C46" w:rsidP="007B7592">
      <w:pPr>
        <w:rPr>
          <w:rFonts w:ascii="Times New Roman" w:hAnsi="Times New Roman"/>
        </w:rPr>
      </w:pPr>
      <w:r>
        <w:rPr>
          <w:rFonts w:ascii="Times New Roman" w:hAnsi="Times New Roman"/>
        </w:rPr>
        <w:t>La résolution du Parlement européen (PE)</w:t>
      </w:r>
      <w:r>
        <w:rPr>
          <w:rStyle w:val="FootnoteReference"/>
          <w:rFonts w:ascii="Times New Roman" w:hAnsi="Times New Roman"/>
        </w:rPr>
        <w:footnoteReference w:id="2"/>
      </w:r>
      <w:r>
        <w:rPr>
          <w:rFonts w:ascii="Times New Roman" w:hAnsi="Times New Roman"/>
        </w:rPr>
        <w:t xml:space="preserve"> souligne le rôle crucial que joue la BEI dans la réduction du déficit d’investissement de l’Europe, le soutien aux politiques de l’Union et la promotion d’une croissance durable. Elle insiste sur la nécessité de renforcer la transparence, l’obligation de rendre des comptes et la surveillance, tout en encourageant la BEI à tirer parti de son potentiel pour soutenir les priorités de l’UE. La résolution souligne également l’importance du rôle que joue le Groupe BEI dans l’action pour le climat, les infrastructures sociales et la politique de cohésion, et appelle à une répartition géographique plus équilibrée des investissements afin de promouvoir une croissance inclusive dans l’ensemble de l’Union.</w:t>
      </w:r>
    </w:p>
    <w:p w14:paraId="2E0FB015" w14:textId="0AA62232" w:rsidR="00CC0486" w:rsidRPr="00062DF6" w:rsidRDefault="00CC0486" w:rsidP="00CC0486">
      <w:pPr>
        <w:rPr>
          <w:rFonts w:ascii="Times New Roman" w:hAnsi="Times New Roman"/>
        </w:rPr>
      </w:pPr>
      <w:r>
        <w:rPr>
          <w:rFonts w:ascii="Times New Roman" w:hAnsi="Times New Roman"/>
        </w:rPr>
        <w:t>En particulier, le Parlement se félicite de la proposition de la Commission du 26 février 2025</w:t>
      </w:r>
      <w:r>
        <w:rPr>
          <w:rStyle w:val="FootnoteReference"/>
          <w:rFonts w:ascii="Times New Roman" w:hAnsi="Times New Roman"/>
          <w:lang w:eastAsia="ja-JP"/>
        </w:rPr>
        <w:footnoteReference w:id="3"/>
      </w:r>
      <w:r>
        <w:rPr>
          <w:rFonts w:ascii="Times New Roman" w:hAnsi="Times New Roman"/>
        </w:rPr>
        <w:t xml:space="preserve"> qui vise à prévoir un financement supplémentaire en faveur d’</w:t>
      </w:r>
      <w:proofErr w:type="spellStart"/>
      <w:r>
        <w:rPr>
          <w:rFonts w:ascii="Times New Roman" w:hAnsi="Times New Roman"/>
        </w:rPr>
        <w:t>InvestEU</w:t>
      </w:r>
      <w:proofErr w:type="spellEnd"/>
      <w:r>
        <w:rPr>
          <w:rFonts w:ascii="Times New Roman" w:hAnsi="Times New Roman"/>
        </w:rPr>
        <w:t>, permettant d’éviter le risque qu’en l’absence de renforts budgétaires, les enveloppes pour de nombreux produits financiers soient épuisées d’ici la fin de 2025. Le Parlement salue également l’initiative commune de la Commission et du Groupe BEI visant à constituer un</w:t>
      </w:r>
      <w:proofErr w:type="gramStart"/>
      <w:r>
        <w:rPr>
          <w:rFonts w:ascii="Times New Roman" w:hAnsi="Times New Roman"/>
        </w:rPr>
        <w:t xml:space="preserve"> «mécanisme</w:t>
      </w:r>
      <w:proofErr w:type="gramEnd"/>
      <w:r>
        <w:rPr>
          <w:rFonts w:ascii="Times New Roman" w:hAnsi="Times New Roman"/>
        </w:rPr>
        <w:t xml:space="preserve"> de fonds propres pour la défense», doté d’un budget de 175 millions d’EUR entre 2024 et</w:t>
      </w:r>
      <w:r w:rsidR="001A5DC9">
        <w:rPr>
          <w:rFonts w:ascii="Times New Roman" w:hAnsi="Times New Roman"/>
        </w:rPr>
        <w:t> </w:t>
      </w:r>
      <w:r>
        <w:rPr>
          <w:rFonts w:ascii="Times New Roman" w:hAnsi="Times New Roman"/>
        </w:rPr>
        <w:t>2027, afin de soutenir les investissements privés dans les PME européennes qui développent des technologies de défense à double usage innovantes.</w:t>
      </w:r>
    </w:p>
    <w:p w14:paraId="083ADD88" w14:textId="68F4752C" w:rsidR="00283EE4" w:rsidRPr="00062DF6" w:rsidRDefault="00963420" w:rsidP="00283EE4">
      <w:pPr>
        <w:numPr>
          <w:ilvl w:val="0"/>
          <w:numId w:val="34"/>
        </w:numPr>
        <w:ind w:left="567" w:hanging="567"/>
        <w:rPr>
          <w:rFonts w:ascii="Times New Roman" w:hAnsi="Times New Roman"/>
          <w:szCs w:val="24"/>
        </w:rPr>
      </w:pPr>
      <w:r>
        <w:rPr>
          <w:rFonts w:ascii="Times New Roman" w:hAnsi="Times New Roman"/>
          <w:b/>
        </w:rPr>
        <w:t xml:space="preserve">Réponse à ces demandes et aperçu des mesures que la Commission a prises ou envisage de </w:t>
      </w:r>
      <w:proofErr w:type="gramStart"/>
      <w:r>
        <w:rPr>
          <w:rFonts w:ascii="Times New Roman" w:hAnsi="Times New Roman"/>
          <w:b/>
        </w:rPr>
        <w:t>prendre:</w:t>
      </w:r>
      <w:proofErr w:type="gramEnd"/>
      <w:r>
        <w:rPr>
          <w:rFonts w:ascii="Times New Roman" w:hAnsi="Times New Roman"/>
          <w:b/>
        </w:rPr>
        <w:t xml:space="preserve"> </w:t>
      </w:r>
    </w:p>
    <w:p w14:paraId="3A5B05A1" w14:textId="668695AA" w:rsidR="00283EE4" w:rsidRPr="00062DF6" w:rsidRDefault="000C4BDB" w:rsidP="00283EE4">
      <w:pPr>
        <w:keepNext/>
        <w:keepLines/>
        <w:spacing w:after="120"/>
        <w:rPr>
          <w:rFonts w:ascii="Times New Roman" w:hAnsi="Times New Roman"/>
          <w:szCs w:val="24"/>
        </w:rPr>
      </w:pPr>
      <w:r>
        <w:rPr>
          <w:rFonts w:ascii="Times New Roman" w:hAnsi="Times New Roman"/>
        </w:rPr>
        <w:t xml:space="preserve">Des demandes spécifiques faites à la Commission sont mentionnées dans la résolution, à </w:t>
      </w:r>
      <w:proofErr w:type="gramStart"/>
      <w:r>
        <w:rPr>
          <w:rFonts w:ascii="Times New Roman" w:hAnsi="Times New Roman"/>
        </w:rPr>
        <w:t>savoir:</w:t>
      </w:r>
      <w:proofErr w:type="gramEnd"/>
    </w:p>
    <w:p w14:paraId="15BECD63" w14:textId="5B14D744" w:rsidR="00B11E29" w:rsidRPr="00062DF6" w:rsidRDefault="002440A7" w:rsidP="002440A7">
      <w:pPr>
        <w:spacing w:after="100" w:afterAutospacing="1"/>
        <w:rPr>
          <w:rFonts w:ascii="Times New Roman" w:hAnsi="Times New Roman"/>
          <w:i/>
          <w:iCs/>
        </w:rPr>
      </w:pPr>
      <w:r>
        <w:rPr>
          <w:rFonts w:ascii="Times New Roman" w:hAnsi="Times New Roman"/>
          <w:i/>
        </w:rPr>
        <w:t>Paragraphe </w:t>
      </w:r>
      <w:proofErr w:type="gramStart"/>
      <w:r>
        <w:rPr>
          <w:rFonts w:ascii="Times New Roman" w:hAnsi="Times New Roman"/>
          <w:i/>
        </w:rPr>
        <w:t>2:</w:t>
      </w:r>
      <w:proofErr w:type="gramEnd"/>
      <w:r>
        <w:rPr>
          <w:rFonts w:ascii="Times New Roman" w:hAnsi="Times New Roman"/>
          <w:i/>
        </w:rPr>
        <w:t xml:space="preserve"> [...] invite la Commission et la BEI à tirer pleinement parti du potentiel de la BEI pour apporter un soutien financier aux priorités communes de l’Union et à remplir son rôle essentiel en stimulant les investissements nécessaires à une croissance durable équitable et inclusive, tout en maximisant les gains d’innovation dans les domaines d’action clés de l’Union.</w:t>
      </w:r>
    </w:p>
    <w:p w14:paraId="1B755201" w14:textId="7ED79E71" w:rsidR="00B11E29" w:rsidRPr="00062DF6" w:rsidRDefault="00B11E29" w:rsidP="002440A7">
      <w:pPr>
        <w:spacing w:after="100" w:afterAutospacing="1"/>
        <w:rPr>
          <w:rFonts w:ascii="Times New Roman" w:hAnsi="Times New Roman"/>
          <w:bCs/>
          <w:szCs w:val="24"/>
        </w:rPr>
      </w:pPr>
      <w:r>
        <w:rPr>
          <w:rFonts w:ascii="Times New Roman" w:hAnsi="Times New Roman"/>
          <w:b/>
        </w:rPr>
        <w:t xml:space="preserve">Réponse de la </w:t>
      </w:r>
      <w:proofErr w:type="gramStart"/>
      <w:r>
        <w:rPr>
          <w:rFonts w:ascii="Times New Roman" w:hAnsi="Times New Roman"/>
          <w:b/>
        </w:rPr>
        <w:t>Commission:</w:t>
      </w:r>
      <w:proofErr w:type="gramEnd"/>
    </w:p>
    <w:p w14:paraId="19831D7C" w14:textId="182B1EAC" w:rsidR="005F6CC9" w:rsidRPr="00062DF6" w:rsidRDefault="005F6CC9" w:rsidP="00CE1333">
      <w:pPr>
        <w:spacing w:after="100" w:afterAutospacing="1"/>
        <w:rPr>
          <w:rFonts w:ascii="Times New Roman" w:hAnsi="Times New Roman"/>
        </w:rPr>
      </w:pPr>
      <w:r>
        <w:rPr>
          <w:rFonts w:ascii="Times New Roman" w:hAnsi="Times New Roman"/>
        </w:rPr>
        <w:lastRenderedPageBreak/>
        <w:t>La Commission continuera de travailler en étroite collaboration avec le Groupe BEI en vue d’assurer une approche coordonnée du financement de l’innovation, de l’action pour le climat et de la compétitivité, ainsi que de réduire les inégalités et de favoriser une croissance inclusive, conformément aux objectifs climatiques à long terme et aux priorités stratégiques de l’UE. La Commission reconnaît pleinement le rôle essentiel que joue le Groupe BEI dans le soutien à divers objectifs de l’UE, grâce à des réalisations majeures telles que la mobilisation de financements publics et privés pour catalyser les investissements verts et numériques, les investissements dans la sécurité et la défense et la rapidité de réaction face aux crises.</w:t>
      </w:r>
    </w:p>
    <w:p w14:paraId="3CF186A0" w14:textId="507675BE" w:rsidR="002440A7" w:rsidRPr="00062DF6" w:rsidRDefault="002440A7" w:rsidP="002440A7">
      <w:pPr>
        <w:spacing w:after="100" w:afterAutospacing="1"/>
        <w:rPr>
          <w:rFonts w:ascii="Times New Roman" w:hAnsi="Times New Roman"/>
          <w:i/>
          <w:iCs/>
        </w:rPr>
      </w:pPr>
      <w:r>
        <w:rPr>
          <w:rFonts w:ascii="Times New Roman" w:hAnsi="Times New Roman"/>
          <w:i/>
        </w:rPr>
        <w:t>Paragraphe </w:t>
      </w:r>
      <w:proofErr w:type="gramStart"/>
      <w:r>
        <w:rPr>
          <w:rFonts w:ascii="Times New Roman" w:hAnsi="Times New Roman"/>
          <w:i/>
        </w:rPr>
        <w:t>7:</w:t>
      </w:r>
      <w:proofErr w:type="gramEnd"/>
      <w:r>
        <w:rPr>
          <w:rFonts w:ascii="Times New Roman" w:hAnsi="Times New Roman"/>
          <w:i/>
        </w:rPr>
        <w:t xml:space="preserve"> [...] invite la Commission et la BEI à continuer à réfléchir aux moyens d’accélérer le délai de mise sur le marché de la BEI (par exemple le délai de décaissement) ainsi que de simplifier les mandats de financement sans mettre en péril les normes d’audit ou la transparence</w:t>
      </w:r>
    </w:p>
    <w:p w14:paraId="7B7DB5F5" w14:textId="20BA8313" w:rsidR="00B11E29" w:rsidRPr="00062DF6" w:rsidRDefault="00B11E29" w:rsidP="002440A7">
      <w:pPr>
        <w:spacing w:after="100" w:afterAutospacing="1"/>
        <w:rPr>
          <w:rFonts w:ascii="Times New Roman" w:hAnsi="Times New Roman"/>
          <w:bCs/>
          <w:szCs w:val="24"/>
        </w:rPr>
      </w:pPr>
      <w:r>
        <w:rPr>
          <w:rFonts w:ascii="Times New Roman" w:hAnsi="Times New Roman"/>
          <w:b/>
        </w:rPr>
        <w:t xml:space="preserve">Réponse de la </w:t>
      </w:r>
      <w:proofErr w:type="gramStart"/>
      <w:r>
        <w:rPr>
          <w:rFonts w:ascii="Times New Roman" w:hAnsi="Times New Roman"/>
          <w:b/>
        </w:rPr>
        <w:t>Commission:</w:t>
      </w:r>
      <w:proofErr w:type="gramEnd"/>
    </w:p>
    <w:p w14:paraId="71D1CC65" w14:textId="485F619C" w:rsidR="000B2FDD" w:rsidRPr="00F8339C" w:rsidRDefault="00225ED5" w:rsidP="00F8339C">
      <w:pPr>
        <w:pStyle w:val="ListParagraph"/>
        <w:spacing w:after="240" w:line="240" w:lineRule="auto"/>
        <w:ind w:left="0"/>
        <w:jc w:val="both"/>
        <w:rPr>
          <w:rFonts w:ascii="Times New Roman" w:eastAsia="MS Mincho" w:hAnsi="Times New Roman"/>
          <w:sz w:val="24"/>
          <w:szCs w:val="20"/>
        </w:rPr>
      </w:pPr>
      <w:r>
        <w:rPr>
          <w:rFonts w:ascii="Times New Roman" w:hAnsi="Times New Roman"/>
          <w:sz w:val="24"/>
        </w:rPr>
        <w:t>La Commission salue les efforts que le groupe BEI a déjà accomplis pour réduire le délai de mise sur le marché et, en particulier, l’engagement qu’il a pris récemment, dans le cadre du nouveau programme de technologies stratégiques de l’UE (Tech-EU), de rendre le soutien de la BEI plus rapide, plus simple et plus efficace. La Commission a déjà présenté des propositions législatives visant à rationaliser et à optimiser les mandats (qu’il s’agisse des mandats relevant d’</w:t>
      </w:r>
      <w:proofErr w:type="spellStart"/>
      <w:r>
        <w:rPr>
          <w:rFonts w:ascii="Times New Roman" w:hAnsi="Times New Roman"/>
          <w:sz w:val="24"/>
        </w:rPr>
        <w:t>InvestEU</w:t>
      </w:r>
      <w:proofErr w:type="spellEnd"/>
      <w:r>
        <w:rPr>
          <w:rFonts w:ascii="Times New Roman" w:hAnsi="Times New Roman"/>
          <w:sz w:val="24"/>
        </w:rPr>
        <w:t xml:space="preserve"> ou de ceux relevant du règlement IVCDCI). La Commission se félicite du récent accord politique sur le train de mesures</w:t>
      </w:r>
      <w:proofErr w:type="gramStart"/>
      <w:r>
        <w:rPr>
          <w:rFonts w:ascii="Times New Roman" w:hAnsi="Times New Roman"/>
          <w:sz w:val="24"/>
        </w:rPr>
        <w:t xml:space="preserve"> «omnibus</w:t>
      </w:r>
      <w:proofErr w:type="gramEnd"/>
      <w:r>
        <w:rPr>
          <w:rFonts w:ascii="Times New Roman" w:hAnsi="Times New Roman"/>
          <w:sz w:val="24"/>
        </w:rPr>
        <w:t>» en matière d’investissements et espère qu’il sera rapidement officialisé dans l’intérêt des entreprises et des citoyens de l’ensemble de l’UE. La Commission s’attend à ce que les propositions présentées pour le prochain CFP permettent également une simplification et, en fin de compte, réduisent le délai de mise sur le marché. Parallèlement, la Commission collabore avec le Groupe BEI pour simplifier encore les mandats de l’UE, y compris ceux relatifs aux services de conseil, pour lesquels des propositions législatives ne sont pas nécessaires, dans le but de rationaliser les procédures et de simplifier l’établissement de rapports. Enfin, la Commission suivra de près et aidera le Groupe BEI à assurer dans leur intégralité les décaissements aux bénéficiaires finaux et à les accélérer, ainsi qu’à renforcer la compétitivité de l’UE tout en promouvant des financements ayant un impact et une valeur ajoutée dans les pays partenaires.</w:t>
      </w:r>
    </w:p>
    <w:p w14:paraId="65936E4A" w14:textId="189B2426" w:rsidR="00915874" w:rsidRDefault="00915874" w:rsidP="00915874">
      <w:pPr>
        <w:pStyle w:val="ListParagraph"/>
        <w:spacing w:after="160" w:line="278" w:lineRule="auto"/>
        <w:ind w:left="0"/>
        <w:jc w:val="both"/>
        <w:rPr>
          <w:rFonts w:ascii="Times New Roman" w:eastAsia="MS Mincho" w:hAnsi="Times New Roman"/>
          <w:lang w:eastAsia="ja-JP"/>
        </w:rPr>
      </w:pPr>
    </w:p>
    <w:p w14:paraId="18C674A1" w14:textId="3E0B9D9A" w:rsidR="002440A7" w:rsidRPr="00062DF6" w:rsidRDefault="002440A7" w:rsidP="002440A7">
      <w:pPr>
        <w:spacing w:after="100" w:afterAutospacing="1"/>
        <w:rPr>
          <w:rFonts w:ascii="Times New Roman" w:hAnsi="Times New Roman"/>
          <w:i/>
          <w:iCs/>
        </w:rPr>
      </w:pPr>
      <w:r>
        <w:rPr>
          <w:rFonts w:ascii="Times New Roman" w:hAnsi="Times New Roman"/>
          <w:i/>
        </w:rPr>
        <w:t>Paragraphe 11: [...] invite la Commission et le Groupe BEI à redoubler d’efforts pour mettre en œuvre le programme de la boussole pour la compétitivité et réaliser l’union de l’épargne et des investissements en mobilisant des capitaux privés en faveur d’investissements productifs, en soutenant l’innovation tout au long du cycle de vie des entreprises, le financement par capital-risque et le financement sur fonds propres présentant un risque plus élevé pour les jeunes pousses et les entreprises en expansion</w:t>
      </w:r>
    </w:p>
    <w:p w14:paraId="4EB20C0C" w14:textId="025E3039" w:rsidR="00B11E29" w:rsidRPr="00062DF6" w:rsidRDefault="00B11E29" w:rsidP="002440A7">
      <w:pPr>
        <w:spacing w:after="100" w:afterAutospacing="1"/>
        <w:rPr>
          <w:rFonts w:ascii="Times New Roman" w:hAnsi="Times New Roman"/>
          <w:bCs/>
          <w:szCs w:val="24"/>
        </w:rPr>
      </w:pPr>
      <w:r>
        <w:rPr>
          <w:rFonts w:ascii="Times New Roman" w:hAnsi="Times New Roman"/>
          <w:b/>
        </w:rPr>
        <w:t xml:space="preserve">Réponse de la </w:t>
      </w:r>
      <w:proofErr w:type="gramStart"/>
      <w:r>
        <w:rPr>
          <w:rFonts w:ascii="Times New Roman" w:hAnsi="Times New Roman"/>
          <w:b/>
        </w:rPr>
        <w:t>Commission:</w:t>
      </w:r>
      <w:proofErr w:type="gramEnd"/>
    </w:p>
    <w:p w14:paraId="76296681" w14:textId="541D8F4C" w:rsidR="00610F13" w:rsidRPr="00F8339C" w:rsidRDefault="00610F13" w:rsidP="00610F13">
      <w:pPr>
        <w:spacing w:after="100" w:afterAutospacing="1"/>
        <w:rPr>
          <w:rFonts w:ascii="Times New Roman" w:hAnsi="Times New Roman"/>
          <w:szCs w:val="24"/>
        </w:rPr>
      </w:pPr>
      <w:r>
        <w:rPr>
          <w:rFonts w:ascii="Times New Roman" w:hAnsi="Times New Roman"/>
        </w:rPr>
        <w:t xml:space="preserve">La Commission s’est engagée à promouvoir la compétitivité et les investissements dans l’UE. Elle continuera de soutenir les entreprises innovantes tout au long de leur cycle de vie, en facilitant l’accès au capital-risque et au financement par fonds propres. Par exemple, le programme </w:t>
      </w:r>
      <w:proofErr w:type="spellStart"/>
      <w:r>
        <w:rPr>
          <w:rFonts w:ascii="Times New Roman" w:hAnsi="Times New Roman"/>
        </w:rPr>
        <w:t>InvestEU</w:t>
      </w:r>
      <w:proofErr w:type="spellEnd"/>
      <w:r>
        <w:rPr>
          <w:rFonts w:ascii="Times New Roman" w:hAnsi="Times New Roman"/>
        </w:rPr>
        <w:t xml:space="preserve"> — au moyen d’un partage des risques entre la Commission et le Groupe BEI — soutient les objectifs de la boussole pour la compétitivité et de l’union de l’épargne et des investissements. En outre, la stratégie de l’UE en faveur </w:t>
      </w:r>
      <w:proofErr w:type="gramStart"/>
      <w:r>
        <w:rPr>
          <w:rFonts w:ascii="Times New Roman" w:hAnsi="Times New Roman"/>
        </w:rPr>
        <w:t>des start-up</w:t>
      </w:r>
      <w:proofErr w:type="gramEnd"/>
      <w:r>
        <w:rPr>
          <w:rFonts w:ascii="Times New Roman" w:hAnsi="Times New Roman"/>
        </w:rPr>
        <w:t xml:space="preserve"> et des scale-up, adoptée en mai</w:t>
      </w:r>
      <w:r w:rsidR="001A5DC9">
        <w:rPr>
          <w:rFonts w:ascii="Times New Roman" w:hAnsi="Times New Roman"/>
        </w:rPr>
        <w:t> </w:t>
      </w:r>
      <w:r>
        <w:rPr>
          <w:rFonts w:ascii="Times New Roman" w:hAnsi="Times New Roman"/>
        </w:rPr>
        <w:t xml:space="preserve">2025, est alignée sur la stratégie pour le marché unique et sur </w:t>
      </w:r>
      <w:r>
        <w:rPr>
          <w:rFonts w:ascii="Times New Roman" w:hAnsi="Times New Roman"/>
        </w:rPr>
        <w:lastRenderedPageBreak/>
        <w:t xml:space="preserve">l’union de l’épargne et des investissements, dans le but de faire de l’UE la première destination pour l’innovation, de donner aux start-up et aux scale-up les moyens de se développer et de réussir en Europe et d’attirer celles qui sont à l’étranger. Cette stratégie permettra de créer, avec la collaboration du Groupe BEI, des possibilités, pour </w:t>
      </w:r>
      <w:proofErr w:type="gramStart"/>
      <w:r>
        <w:rPr>
          <w:rFonts w:ascii="Times New Roman" w:hAnsi="Times New Roman"/>
        </w:rPr>
        <w:t>les start-up</w:t>
      </w:r>
      <w:proofErr w:type="gramEnd"/>
      <w:r>
        <w:rPr>
          <w:rFonts w:ascii="Times New Roman" w:hAnsi="Times New Roman"/>
        </w:rPr>
        <w:t xml:space="preserve"> et les scale-up, d’avoir accès également à des financements en capitaux à haut risque, ce qui stimulera l’innovation et la création d’emplois.</w:t>
      </w:r>
    </w:p>
    <w:p w14:paraId="014D460B" w14:textId="7D28F90B" w:rsidR="00B11E29" w:rsidRPr="00062DF6" w:rsidRDefault="00B11E29" w:rsidP="00B11E29">
      <w:pPr>
        <w:spacing w:after="100" w:afterAutospacing="1"/>
        <w:rPr>
          <w:rFonts w:ascii="Times New Roman" w:hAnsi="Times New Roman"/>
          <w:i/>
          <w:iCs/>
        </w:rPr>
      </w:pPr>
      <w:r>
        <w:rPr>
          <w:rFonts w:ascii="Times New Roman" w:hAnsi="Times New Roman"/>
          <w:i/>
        </w:rPr>
        <w:t>Paragraphe </w:t>
      </w:r>
      <w:proofErr w:type="gramStart"/>
      <w:r>
        <w:rPr>
          <w:rFonts w:ascii="Times New Roman" w:hAnsi="Times New Roman"/>
          <w:i/>
        </w:rPr>
        <w:t>16:</w:t>
      </w:r>
      <w:proofErr w:type="gramEnd"/>
      <w:r>
        <w:rPr>
          <w:rFonts w:ascii="Times New Roman" w:hAnsi="Times New Roman"/>
          <w:i/>
        </w:rPr>
        <w:t xml:space="preserve"> salue, à cet égard, la proposition de la Commission du 26 février 2025 visant à prévoir un financement supplémentaire en faveur d’</w:t>
      </w:r>
      <w:proofErr w:type="spellStart"/>
      <w:r>
        <w:rPr>
          <w:rFonts w:ascii="Times New Roman" w:hAnsi="Times New Roman"/>
          <w:i/>
        </w:rPr>
        <w:t>InvestEU</w:t>
      </w:r>
      <w:proofErr w:type="spellEnd"/>
      <w:r>
        <w:rPr>
          <w:rFonts w:ascii="Times New Roman" w:hAnsi="Times New Roman"/>
          <w:i/>
        </w:rPr>
        <w:t>; demande une répartition géographique équilibrée des financements au titre d’</w:t>
      </w:r>
      <w:proofErr w:type="spellStart"/>
      <w:r>
        <w:rPr>
          <w:rFonts w:ascii="Times New Roman" w:hAnsi="Times New Roman"/>
          <w:i/>
        </w:rPr>
        <w:t>InvestEU</w:t>
      </w:r>
      <w:proofErr w:type="spellEnd"/>
      <w:r>
        <w:rPr>
          <w:rFonts w:ascii="Times New Roman" w:hAnsi="Times New Roman"/>
          <w:i/>
        </w:rPr>
        <w:t>, en particulier en ce qui concerne les petits États membres.</w:t>
      </w:r>
    </w:p>
    <w:p w14:paraId="0C84BB90" w14:textId="77777777" w:rsidR="00B11E29" w:rsidRPr="00062DF6" w:rsidRDefault="00B11E29" w:rsidP="00E21E26">
      <w:pPr>
        <w:keepNext/>
        <w:keepLines/>
        <w:spacing w:after="100" w:afterAutospacing="1"/>
        <w:rPr>
          <w:rFonts w:ascii="Times New Roman" w:hAnsi="Times New Roman"/>
          <w:bCs/>
          <w:szCs w:val="24"/>
        </w:rPr>
      </w:pPr>
      <w:r>
        <w:rPr>
          <w:rFonts w:ascii="Times New Roman" w:hAnsi="Times New Roman"/>
          <w:b/>
        </w:rPr>
        <w:t xml:space="preserve">Réponse de la </w:t>
      </w:r>
      <w:proofErr w:type="gramStart"/>
      <w:r>
        <w:rPr>
          <w:rFonts w:ascii="Times New Roman" w:hAnsi="Times New Roman"/>
          <w:b/>
        </w:rPr>
        <w:t>Commission:</w:t>
      </w:r>
      <w:proofErr w:type="gramEnd"/>
    </w:p>
    <w:p w14:paraId="72628C87" w14:textId="53C10F44" w:rsidR="00265B8A" w:rsidRPr="00F8339C" w:rsidRDefault="00FB608C" w:rsidP="00E21E26">
      <w:pPr>
        <w:keepNext/>
        <w:keepLines/>
        <w:spacing w:after="100" w:afterAutospacing="1"/>
        <w:rPr>
          <w:rFonts w:ascii="Times New Roman" w:hAnsi="Times New Roman"/>
          <w:szCs w:val="24"/>
        </w:rPr>
      </w:pPr>
      <w:r>
        <w:rPr>
          <w:rFonts w:ascii="Times New Roman" w:hAnsi="Times New Roman"/>
        </w:rPr>
        <w:t xml:space="preserve">La Commission rappelle que le programme </w:t>
      </w:r>
      <w:proofErr w:type="spellStart"/>
      <w:r>
        <w:rPr>
          <w:rFonts w:ascii="Times New Roman" w:hAnsi="Times New Roman"/>
        </w:rPr>
        <w:t>InvestEU</w:t>
      </w:r>
      <w:proofErr w:type="spellEnd"/>
      <w:r>
        <w:rPr>
          <w:rFonts w:ascii="Times New Roman" w:hAnsi="Times New Roman"/>
        </w:rPr>
        <w:t xml:space="preserve"> est mis en œuvre en gestion indirecte, par l’intermédiaire d’un réseau de partenaires chargés de la mise en œuvre, dont font partie le Groupe BEI ainsi que d’autres institutions financières internationales et banques nationales de développement. Une large portée géographique est ainsi assurée. La proposition</w:t>
      </w:r>
      <w:r>
        <w:rPr>
          <w:rStyle w:val="FootnoteReference"/>
          <w:rFonts w:ascii="Times New Roman" w:hAnsi="Times New Roman"/>
          <w:szCs w:val="24"/>
          <w:lang w:val="en-IE" w:eastAsia="ja-JP"/>
        </w:rPr>
        <w:footnoteReference w:id="4"/>
      </w:r>
      <w:r>
        <w:rPr>
          <w:rFonts w:ascii="Times New Roman" w:hAnsi="Times New Roman"/>
        </w:rPr>
        <w:t xml:space="preserve"> présentée par la Commission dans le cadre du train de mesures</w:t>
      </w:r>
      <w:proofErr w:type="gramStart"/>
      <w:r>
        <w:rPr>
          <w:rFonts w:ascii="Times New Roman" w:hAnsi="Times New Roman"/>
        </w:rPr>
        <w:t xml:space="preserve"> «Omnibus</w:t>
      </w:r>
      <w:proofErr w:type="gramEnd"/>
      <w:r>
        <w:rPr>
          <w:rFonts w:ascii="Times New Roman" w:hAnsi="Times New Roman"/>
        </w:rPr>
        <w:t xml:space="preserve"> II» comprend des mesures destinées à simplifier les exigences administratives imposées aux intermédiaires financiers et aux bénéficiaires finaux, en particulier aux PME, afin de faciliter l’accès au soutien offert par </w:t>
      </w:r>
      <w:proofErr w:type="spellStart"/>
      <w:r>
        <w:rPr>
          <w:rFonts w:ascii="Times New Roman" w:hAnsi="Times New Roman"/>
        </w:rPr>
        <w:t>InvestEU</w:t>
      </w:r>
      <w:proofErr w:type="spellEnd"/>
      <w:r>
        <w:rPr>
          <w:rFonts w:ascii="Times New Roman" w:hAnsi="Times New Roman"/>
        </w:rPr>
        <w:t xml:space="preserve"> dans les différentes régions.</w:t>
      </w:r>
    </w:p>
    <w:p w14:paraId="1075096D" w14:textId="77777777" w:rsidR="002440A7" w:rsidRPr="00F8339C" w:rsidRDefault="002440A7" w:rsidP="002440A7">
      <w:pPr>
        <w:spacing w:after="100" w:afterAutospacing="1"/>
        <w:rPr>
          <w:rFonts w:ascii="Times New Roman" w:hAnsi="Times New Roman"/>
          <w:i/>
          <w:iCs/>
          <w:szCs w:val="24"/>
        </w:rPr>
      </w:pPr>
      <w:r>
        <w:rPr>
          <w:rFonts w:ascii="Times New Roman" w:hAnsi="Times New Roman"/>
          <w:i/>
        </w:rPr>
        <w:t xml:space="preserve">Paragraphe 18: salue la poursuite de l’expansion du réseau des banques européennes de développement de la BEI et d’autres institutions financières internationales afin de contribuer à mobiliser davantage les investissements publics et privés et d’assurer une vaste couverture géographique et sectorielle; rappelle que le programme </w:t>
      </w:r>
      <w:proofErr w:type="spellStart"/>
      <w:r>
        <w:rPr>
          <w:rFonts w:ascii="Times New Roman" w:hAnsi="Times New Roman"/>
          <w:i/>
        </w:rPr>
        <w:t>InvestEU</w:t>
      </w:r>
      <w:proofErr w:type="spellEnd"/>
      <w:r>
        <w:rPr>
          <w:rFonts w:ascii="Times New Roman" w:hAnsi="Times New Roman"/>
          <w:i/>
        </w:rPr>
        <w:t xml:space="preserve"> est mis en œuvre à 75 % par la BEI;  demande que la composante «instrument financier» du Fonds pour la compétitivité ait recours à l’expertise des banques et institutions nationales de développement (BDN), et notamment à leur connaissance des acteurs locaux et régionaux; demande, dans ce contexte, d’examiner davantage les possibilités de combiner les instruments entre la BEI et les BDN en veillant à ce que ces instruments ne portent pas préjudice aux fonds déjà affectés aux BDN;</w:t>
      </w:r>
    </w:p>
    <w:p w14:paraId="7ACD2974" w14:textId="2BBC361C" w:rsidR="00B11E29" w:rsidRPr="00F8339C" w:rsidRDefault="00B11E29" w:rsidP="002440A7">
      <w:pPr>
        <w:spacing w:after="100" w:afterAutospacing="1"/>
        <w:rPr>
          <w:rFonts w:ascii="Times New Roman" w:hAnsi="Times New Roman"/>
          <w:bCs/>
          <w:szCs w:val="24"/>
        </w:rPr>
      </w:pPr>
      <w:r>
        <w:rPr>
          <w:rFonts w:ascii="Times New Roman" w:hAnsi="Times New Roman"/>
          <w:b/>
        </w:rPr>
        <w:t xml:space="preserve">Réponse de la </w:t>
      </w:r>
      <w:proofErr w:type="gramStart"/>
      <w:r>
        <w:rPr>
          <w:rFonts w:ascii="Times New Roman" w:hAnsi="Times New Roman"/>
          <w:b/>
        </w:rPr>
        <w:t>Commission:</w:t>
      </w:r>
      <w:proofErr w:type="gramEnd"/>
    </w:p>
    <w:p w14:paraId="32CF2D90" w14:textId="30738B8E" w:rsidR="004C6C5B" w:rsidRPr="00F8339C" w:rsidRDefault="00B0677E" w:rsidP="004C6C5B">
      <w:pPr>
        <w:spacing w:after="100" w:afterAutospacing="1"/>
        <w:rPr>
          <w:rFonts w:ascii="Times New Roman" w:hAnsi="Times New Roman"/>
          <w:szCs w:val="24"/>
        </w:rPr>
      </w:pPr>
      <w:r>
        <w:rPr>
          <w:rFonts w:ascii="Times New Roman" w:hAnsi="Times New Roman"/>
        </w:rPr>
        <w:t>La Commission a proposé que, dans le prochain CFP 2028-2034, le Fonds européen pour la compétitivité prévoie un large éventail d’options de financement pour attirer les investissements publics et privés, ce qui permettra aux projets d’avoir accès à la forme de soutien la plus adaptée, y compris les instruments financiers, les subventions, les garanties budgétaires et le mécanisme de financement mixte</w:t>
      </w:r>
      <w:r>
        <w:rPr>
          <w:rStyle w:val="FootnoteReference"/>
          <w:rFonts w:ascii="Times New Roman" w:hAnsi="Times New Roman"/>
          <w:szCs w:val="24"/>
          <w:lang w:val="en-IE" w:eastAsia="ja-JP"/>
        </w:rPr>
        <w:footnoteReference w:id="5"/>
      </w:r>
      <w:r>
        <w:rPr>
          <w:rFonts w:ascii="Times New Roman" w:hAnsi="Times New Roman"/>
        </w:rPr>
        <w:t>. Cette approche est conforme à l’objectif consistant à mobiliser des investissements publics et privés en faveur des secteurs prioritaires de l’UE grâce à une utilisation stratégique du budget de l’UE. S’appuyant sur le succès de programmes tels qu’</w:t>
      </w:r>
      <w:proofErr w:type="spellStart"/>
      <w:r>
        <w:rPr>
          <w:rFonts w:ascii="Times New Roman" w:hAnsi="Times New Roman"/>
        </w:rPr>
        <w:t>InvestEU</w:t>
      </w:r>
      <w:proofErr w:type="spellEnd"/>
      <w:r>
        <w:rPr>
          <w:rFonts w:ascii="Times New Roman" w:hAnsi="Times New Roman"/>
        </w:rPr>
        <w:t xml:space="preserve">, la Commission propose de conserver cette architecture ouverte et elle continuera de travailler en étroite collaboration avec les partenaires chargés de la mise en œuvre concernés, notamment le Groupe BEI, les institutions financières internationales et les banques et institutions nationales de </w:t>
      </w:r>
      <w:r>
        <w:rPr>
          <w:rFonts w:ascii="Times New Roman" w:hAnsi="Times New Roman"/>
        </w:rPr>
        <w:lastRenderedPageBreak/>
        <w:t>développement, en particulier celles qui sont disposées à contribuer aux objectifs stratégiques de l’UE. Cette collaboration est essentielle pour affronter efficacement les défis au sein de l’UE, favoriser une croissance économique durable et parvenir à une portée géographique plus large. En combinant les points forts de chaque partenaire, qui reposent notamment sur leur expertise régionale unique, la Commission entend renforcer l’impact de ses initiatives, promouvoir l’innovation et soutenir les infrastructures et la durabilité environnementale.</w:t>
      </w:r>
    </w:p>
    <w:p w14:paraId="123E96F1" w14:textId="5A93BFE0" w:rsidR="00B0677E" w:rsidRPr="001A5DC9" w:rsidRDefault="00B0677E" w:rsidP="00B0677E">
      <w:pPr>
        <w:spacing w:after="100" w:afterAutospacing="1"/>
        <w:rPr>
          <w:rFonts w:ascii="Times New Roman" w:hAnsi="Times New Roman"/>
          <w:szCs w:val="24"/>
          <w:lang w:val="fr-BE" w:eastAsia="ja-JP"/>
        </w:rPr>
      </w:pPr>
    </w:p>
    <w:p w14:paraId="74F75244" w14:textId="2307D35F" w:rsidR="002440A7" w:rsidRPr="00F8339C" w:rsidRDefault="002440A7" w:rsidP="002440A7">
      <w:pPr>
        <w:spacing w:after="100" w:afterAutospacing="1"/>
        <w:rPr>
          <w:rFonts w:ascii="Times New Roman" w:hAnsi="Times New Roman"/>
          <w:i/>
          <w:iCs/>
          <w:szCs w:val="24"/>
        </w:rPr>
      </w:pPr>
      <w:r>
        <w:rPr>
          <w:rFonts w:ascii="Times New Roman" w:hAnsi="Times New Roman"/>
          <w:i/>
        </w:rPr>
        <w:t>Paragraphe </w:t>
      </w:r>
      <w:proofErr w:type="gramStart"/>
      <w:r>
        <w:rPr>
          <w:rFonts w:ascii="Times New Roman" w:hAnsi="Times New Roman"/>
          <w:i/>
        </w:rPr>
        <w:t>27:</w:t>
      </w:r>
      <w:proofErr w:type="gramEnd"/>
      <w:r>
        <w:rPr>
          <w:rFonts w:ascii="Times New Roman" w:hAnsi="Times New Roman"/>
          <w:i/>
        </w:rPr>
        <w:t xml:space="preserve"> [...] invite la Commission et la BEI à maintenir le rôle de premier plan qu’occupe l’Union européenne en ce qui concerne les obligations vertes et numériques.</w:t>
      </w:r>
    </w:p>
    <w:p w14:paraId="5A578089" w14:textId="77777777" w:rsidR="00B11E29" w:rsidRPr="00F8339C" w:rsidRDefault="00B11E29" w:rsidP="00B11E29">
      <w:pPr>
        <w:spacing w:after="100" w:afterAutospacing="1"/>
        <w:rPr>
          <w:rFonts w:ascii="Times New Roman" w:hAnsi="Times New Roman"/>
          <w:bCs/>
          <w:szCs w:val="24"/>
        </w:rPr>
      </w:pPr>
      <w:r>
        <w:rPr>
          <w:rFonts w:ascii="Times New Roman" w:hAnsi="Times New Roman"/>
          <w:b/>
        </w:rPr>
        <w:t xml:space="preserve">Réponse de la </w:t>
      </w:r>
      <w:proofErr w:type="gramStart"/>
      <w:r>
        <w:rPr>
          <w:rFonts w:ascii="Times New Roman" w:hAnsi="Times New Roman"/>
          <w:b/>
        </w:rPr>
        <w:t>Commission:</w:t>
      </w:r>
      <w:proofErr w:type="gramEnd"/>
    </w:p>
    <w:p w14:paraId="0C015D4D" w14:textId="1E20D6A7" w:rsidR="00661F3A" w:rsidRPr="00F8339C" w:rsidRDefault="00A11E6A" w:rsidP="00A11E6A">
      <w:pPr>
        <w:spacing w:after="100" w:afterAutospacing="1"/>
        <w:rPr>
          <w:rFonts w:ascii="Times New Roman" w:hAnsi="Times New Roman"/>
          <w:b/>
          <w:bCs/>
          <w:szCs w:val="24"/>
        </w:rPr>
      </w:pPr>
      <w:r>
        <w:rPr>
          <w:rFonts w:ascii="Times New Roman" w:hAnsi="Times New Roman"/>
        </w:rPr>
        <w:t xml:space="preserve">L’UE a été l’un des plus grands émetteurs d’obligations vertes au monde, avec 68,2 milliards d’EUR émis sous la forme d’obligations vertes </w:t>
      </w:r>
      <w:proofErr w:type="spellStart"/>
      <w:r>
        <w:rPr>
          <w:rFonts w:ascii="Times New Roman" w:hAnsi="Times New Roman"/>
        </w:rPr>
        <w:t>NextGenerationEU</w:t>
      </w:r>
      <w:proofErr w:type="spellEnd"/>
      <w:r>
        <w:rPr>
          <w:rFonts w:ascii="Times New Roman" w:hAnsi="Times New Roman"/>
        </w:rPr>
        <w:t xml:space="preserve"> à fin 2024 (75,1 milliards d’EUR à fin juillet</w:t>
      </w:r>
      <w:r w:rsidR="001A5DC9">
        <w:rPr>
          <w:rFonts w:ascii="Times New Roman" w:hAnsi="Times New Roman"/>
        </w:rPr>
        <w:t> </w:t>
      </w:r>
      <w:r>
        <w:rPr>
          <w:rFonts w:ascii="Times New Roman" w:hAnsi="Times New Roman"/>
        </w:rPr>
        <w:t xml:space="preserve">2025). Les obligations vertes </w:t>
      </w:r>
      <w:proofErr w:type="spellStart"/>
      <w:r>
        <w:rPr>
          <w:rFonts w:ascii="Times New Roman" w:hAnsi="Times New Roman"/>
        </w:rPr>
        <w:t>NextGenerationEU</w:t>
      </w:r>
      <w:proofErr w:type="spellEnd"/>
      <w:r>
        <w:rPr>
          <w:rFonts w:ascii="Times New Roman" w:hAnsi="Times New Roman"/>
        </w:rPr>
        <w:t xml:space="preserve"> devraient permettre de soutenir la mise en œuvre d’investissements verts d’une valeur totale de 264,6 milliards d’EUR dans les neuf catégories de dépenses définies par le cadre régissant ces obligations, dont les transports propres, les énergies propres et l’efficacité énergétique, ce qui confirme le rôle de premier plan de l’UE dans la finance durable.</w:t>
      </w:r>
    </w:p>
    <w:p w14:paraId="7808222D" w14:textId="13561791" w:rsidR="002938CA" w:rsidRPr="00F8339C" w:rsidRDefault="00BA327A" w:rsidP="00A11E6A">
      <w:pPr>
        <w:spacing w:after="100" w:afterAutospacing="1"/>
        <w:rPr>
          <w:rFonts w:ascii="Times New Roman" w:hAnsi="Times New Roman"/>
          <w:bCs/>
          <w:szCs w:val="24"/>
        </w:rPr>
      </w:pPr>
      <w:r>
        <w:rPr>
          <w:rFonts w:ascii="Times New Roman" w:hAnsi="Times New Roman"/>
        </w:rPr>
        <w:t>La Commission a également joué un rôle actif pour promouvoir et soutenir le développement de la finance numérique. En 2024, la Commission a mis en place une plateforme pour la finance numérique destinée à soutenir l’innovation dans le domaine de la finance et à créer un véritable marché unique pour les services financiers numériques. Dans le prochain CFP, la Commission entend maintenir le même niveau d’ambition et a proposé un Fonds européen pour la compétitivité doté d’une enveloppe de 409 milliards d’EUR, qui permettrait de mutualiser, au niveau de l’UE, les capacités d’investissement dans les secteurs technologiques stratégiques, selon quatre volets sectoriels intégrés verticalement, dont le leadership numérique</w:t>
      </w:r>
      <w:r>
        <w:rPr>
          <w:rStyle w:val="FootnoteReference"/>
          <w:rFonts w:ascii="Times New Roman" w:hAnsi="Times New Roman"/>
          <w:szCs w:val="24"/>
          <w:lang w:val="en-IE" w:eastAsia="ja-JP"/>
        </w:rPr>
        <w:footnoteReference w:id="6"/>
      </w:r>
      <w:r>
        <w:rPr>
          <w:rFonts w:ascii="Times New Roman" w:hAnsi="Times New Roman"/>
        </w:rPr>
        <w:t>.</w:t>
      </w:r>
    </w:p>
    <w:p w14:paraId="4A60E511" w14:textId="4C36C2B2" w:rsidR="002440A7" w:rsidRPr="00F8339C" w:rsidRDefault="002440A7" w:rsidP="002440A7">
      <w:pPr>
        <w:spacing w:after="100" w:afterAutospacing="1"/>
        <w:rPr>
          <w:rFonts w:ascii="Times New Roman" w:hAnsi="Times New Roman"/>
          <w:i/>
          <w:iCs/>
          <w:szCs w:val="24"/>
        </w:rPr>
      </w:pPr>
      <w:r>
        <w:rPr>
          <w:rFonts w:ascii="Times New Roman" w:hAnsi="Times New Roman"/>
          <w:i/>
        </w:rPr>
        <w:t xml:space="preserve">Paragraphe 60: [...] se déclare préoccupé par les informations selon lesquelles certains projets financés par l’Union en dehors de l’Union, notamment dans le cadre de la stratégie «Global Gateway», sont exécutés par des entreprises chinoises qui, parfois, se voient adjuger davantage de contrats financés par la BEI que les entreprises de l’Union; demande instamment à la Commission d’assurer des conditions de concurrence équitables en collaborant avec la BEI pour renforcer la participation des entreprises européennes; recommande de suivre des pratiques de passation de marchés qui accordent la priorité au meilleur rapport qualité-prix plutôt qu’au prix le plus bas afin de favoriser une concurrence loyale et de s’aligner sur les valeurs de l’Union; </w:t>
      </w:r>
    </w:p>
    <w:p w14:paraId="63E4C6C3" w14:textId="77777777" w:rsidR="00B11E29" w:rsidRPr="00F8339C" w:rsidRDefault="00B11E29" w:rsidP="00B11E29">
      <w:pPr>
        <w:spacing w:after="100" w:afterAutospacing="1"/>
        <w:rPr>
          <w:rFonts w:ascii="Times New Roman" w:hAnsi="Times New Roman"/>
          <w:i/>
          <w:iCs/>
          <w:szCs w:val="24"/>
        </w:rPr>
      </w:pPr>
      <w:r>
        <w:rPr>
          <w:rFonts w:ascii="Times New Roman" w:hAnsi="Times New Roman"/>
          <w:b/>
        </w:rPr>
        <w:t xml:space="preserve">Réponse de la </w:t>
      </w:r>
      <w:proofErr w:type="gramStart"/>
      <w:r>
        <w:rPr>
          <w:rFonts w:ascii="Times New Roman" w:hAnsi="Times New Roman"/>
          <w:b/>
        </w:rPr>
        <w:t>Commission:</w:t>
      </w:r>
      <w:proofErr w:type="gramEnd"/>
    </w:p>
    <w:p w14:paraId="611255C0" w14:textId="68D2DD3B" w:rsidR="006F3DE4" w:rsidRPr="00F8339C" w:rsidRDefault="00F769C2" w:rsidP="00F769C2">
      <w:pPr>
        <w:rPr>
          <w:rFonts w:ascii="Times New Roman" w:hAnsi="Times New Roman"/>
          <w:bCs/>
          <w:szCs w:val="24"/>
        </w:rPr>
      </w:pPr>
      <w:r>
        <w:rPr>
          <w:rFonts w:ascii="Times New Roman" w:hAnsi="Times New Roman"/>
        </w:rPr>
        <w:t xml:space="preserve">La Commission s’est engagée à assurer des conditions de concurrence équitables aux entreprises européennes dans le cadre des projets soutenus par la BEI. À cette fin, la Commission travaille déjà en étroite collaboration avec le Groupe BEI afin d’accroître la </w:t>
      </w:r>
      <w:r>
        <w:rPr>
          <w:rFonts w:ascii="Times New Roman" w:hAnsi="Times New Roman"/>
        </w:rPr>
        <w:lastRenderedPageBreak/>
        <w:t>participation des entreprises européennes aux projets financés en dehors de l’UE et de promouvoir une concurrence loyale, tout en préservant la conformité avec les bonnes pratiques internationales en matière d’appels d’offres internationaux ouverts. En particulier, BEI Monde soutiendra les entreprises de l’UE qui participent à des appels d’offres en dehors de l’UE en facilitant leur accès à la soumission d’offres et à ses garanties budgétaires. Les délégations de l’UE joueront également un rôle croissant dans la mise en relation. En outre, le Groupe BEI élaborera une initiative paneuropéenne en matière de commerce et d’investissement, dans le but de flécher les garanties et les financements de l’UE vers les entités de l’UE participant à des appels d’offres internationaux et à des projets internationaux, par l’intermédiaire du réseau d’organismes nationaux de crédit à l’exportation.</w:t>
      </w:r>
    </w:p>
    <w:p w14:paraId="467BDD0B" w14:textId="31A34EC9" w:rsidR="00F769C2" w:rsidRPr="00F8339C" w:rsidRDefault="00F769C2" w:rsidP="00F769C2">
      <w:pPr>
        <w:rPr>
          <w:rFonts w:ascii="Times New Roman" w:hAnsi="Times New Roman"/>
          <w:bCs/>
          <w:szCs w:val="24"/>
        </w:rPr>
      </w:pPr>
      <w:r>
        <w:rPr>
          <w:rFonts w:ascii="Times New Roman" w:hAnsi="Times New Roman"/>
        </w:rPr>
        <w:t xml:space="preserve">La Commission salue les efforts déployés par la BEI pour développer son approche stratégique en matière de passation de marchés, y compris pour les projets financés en dehors de l’UE. La réalisation des objectifs stratégiques de l’UE nécessitera une sensibilisation accrue des acteurs du secteur privé de l’UE afin de garantir des conditions de concurrence plus équitables pour les entreprises de l’UE. La coordination entre la Commission, les délégations de l’UE, la BEI, les banques multilatérales de développement et les institutions européennes de financement du développement sera également essentielle.  </w:t>
      </w:r>
    </w:p>
    <w:p w14:paraId="6C151D45" w14:textId="6CD7955D" w:rsidR="00D23C5D" w:rsidRPr="00F8339C" w:rsidRDefault="00D23C5D" w:rsidP="00D23C5D">
      <w:pPr>
        <w:rPr>
          <w:rFonts w:ascii="Times New Roman" w:eastAsia="Arial" w:hAnsi="Times New Roman"/>
          <w:szCs w:val="24"/>
        </w:rPr>
      </w:pPr>
      <w:r>
        <w:rPr>
          <w:rFonts w:ascii="Times New Roman" w:hAnsi="Times New Roman"/>
        </w:rPr>
        <w:t>La Commission européenne continuera de jouer un rôle crucial dans la protection des intérêts financiers de l’Union européenne afin de veiller à ce que les fonds de l’UE soient utilisés correctement et efficacement. Cela comprendra notamment des règles spécifiques concernant l’admissibilité des personnes et entités à participer aux procédures de passation de marchés ou d’octroi de subventions ou de prix au titre d’un programme spécifique.</w:t>
      </w:r>
    </w:p>
    <w:p w14:paraId="57DF8F53" w14:textId="77777777" w:rsidR="00D23C5D" w:rsidRPr="00F8339C" w:rsidRDefault="00D23C5D" w:rsidP="00D23C5D">
      <w:pPr>
        <w:rPr>
          <w:rFonts w:ascii="Times New Roman" w:hAnsi="Times New Roman"/>
          <w:bCs/>
          <w:szCs w:val="24"/>
          <w:lang w:eastAsia="ja-JP"/>
        </w:rPr>
      </w:pPr>
    </w:p>
    <w:sectPr w:rsidR="00D23C5D" w:rsidRPr="00F8339C"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F651" w14:textId="77777777" w:rsidR="000B343D" w:rsidRDefault="000B343D">
      <w:r>
        <w:separator/>
      </w:r>
    </w:p>
  </w:endnote>
  <w:endnote w:type="continuationSeparator" w:id="0">
    <w:p w14:paraId="16CAFB98" w14:textId="77777777" w:rsidR="000B343D" w:rsidRDefault="000B343D">
      <w:r>
        <w:continuationSeparator/>
      </w:r>
    </w:p>
  </w:endnote>
  <w:endnote w:type="continuationNotice" w:id="1">
    <w:p w14:paraId="438F63E9" w14:textId="77777777" w:rsidR="000B343D" w:rsidRDefault="000B3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66B1" w14:textId="77777777" w:rsidR="000B343D" w:rsidRDefault="000B343D">
      <w:r>
        <w:separator/>
      </w:r>
    </w:p>
  </w:footnote>
  <w:footnote w:type="continuationSeparator" w:id="0">
    <w:p w14:paraId="712AC30C" w14:textId="77777777" w:rsidR="000B343D" w:rsidRDefault="000B343D">
      <w:r>
        <w:continuationSeparator/>
      </w:r>
    </w:p>
  </w:footnote>
  <w:footnote w:type="continuationNotice" w:id="1">
    <w:p w14:paraId="0AF00184" w14:textId="77777777" w:rsidR="000B343D" w:rsidRDefault="000B343D">
      <w:pPr>
        <w:spacing w:after="0"/>
      </w:pPr>
    </w:p>
  </w:footnote>
  <w:footnote w:id="2">
    <w:p w14:paraId="3406275C" w14:textId="258A02AE" w:rsidR="007C75BA" w:rsidRPr="007C75BA" w:rsidRDefault="007C75BA">
      <w:pPr>
        <w:pStyle w:val="FootnoteText"/>
        <w:rPr>
          <w:sz w:val="16"/>
          <w:szCs w:val="16"/>
        </w:rPr>
      </w:pPr>
      <w:r>
        <w:rPr>
          <w:rFonts w:ascii="Times New Roman" w:hAnsi="Times New Roman"/>
          <w:sz w:val="24"/>
          <w:szCs w:val="24"/>
          <w:vertAlign w:val="superscript"/>
        </w:rPr>
        <w:footnoteRef/>
      </w:r>
      <w:r>
        <w:rPr>
          <w:rFonts w:ascii="Times New Roman" w:hAnsi="Times New Roman"/>
          <w:sz w:val="24"/>
          <w:vertAlign w:val="superscript"/>
        </w:rPr>
        <w:t xml:space="preserve"> </w:t>
      </w:r>
      <w:hyperlink r:id="rId1" w:history="1">
        <w:r>
          <w:rPr>
            <w:rStyle w:val="Hyperlink"/>
            <w:rFonts w:ascii="Times New Roman" w:hAnsi="Times New Roman"/>
            <w:sz w:val="21"/>
          </w:rPr>
          <w:t>https://www.europarl.europa.eu/doceo/document/TA-10-2025-0145_FR.html</w:t>
        </w:r>
      </w:hyperlink>
    </w:p>
  </w:footnote>
  <w:footnote w:id="3">
    <w:p w14:paraId="46541706" w14:textId="7832EE61" w:rsidR="00A557E2" w:rsidRPr="001A5DC9" w:rsidRDefault="00A557E2">
      <w:pPr>
        <w:pStyle w:val="FootnoteText"/>
        <w:rPr>
          <w:rFonts w:ascii="Times New Roman" w:hAnsi="Times New Roman"/>
          <w:sz w:val="21"/>
          <w:szCs w:val="21"/>
          <w:lang w:val="en-IE"/>
        </w:rPr>
      </w:pPr>
      <w:r>
        <w:rPr>
          <w:rStyle w:val="FootnoteReference"/>
          <w:rFonts w:ascii="Times New Roman" w:hAnsi="Times New Roman"/>
          <w:sz w:val="21"/>
          <w:szCs w:val="21"/>
        </w:rPr>
        <w:footnoteRef/>
      </w:r>
      <w:r w:rsidRPr="001A5DC9">
        <w:rPr>
          <w:rFonts w:ascii="Times New Roman" w:hAnsi="Times New Roman"/>
          <w:sz w:val="21"/>
          <w:lang w:val="en-IE"/>
        </w:rPr>
        <w:t xml:space="preserve"> </w:t>
      </w:r>
      <w:proofErr w:type="gramStart"/>
      <w:r w:rsidRPr="001A5DC9">
        <w:rPr>
          <w:rFonts w:ascii="Times New Roman" w:hAnsi="Times New Roman"/>
          <w:sz w:val="21"/>
          <w:lang w:val="en-IE"/>
        </w:rPr>
        <w:t>COM(</w:t>
      </w:r>
      <w:proofErr w:type="gramEnd"/>
      <w:r w:rsidRPr="001A5DC9">
        <w:rPr>
          <w:rFonts w:ascii="Times New Roman" w:hAnsi="Times New Roman"/>
          <w:sz w:val="21"/>
          <w:lang w:val="en-IE"/>
        </w:rPr>
        <w:t>2025)84 final.</w:t>
      </w:r>
    </w:p>
  </w:footnote>
  <w:footnote w:id="4">
    <w:p w14:paraId="12520713" w14:textId="76E5EE60" w:rsidR="00C177D7" w:rsidRPr="001A5DC9" w:rsidRDefault="00C177D7">
      <w:pPr>
        <w:pStyle w:val="FootnoteText"/>
        <w:rPr>
          <w:rFonts w:ascii="Arial" w:hAnsi="Arial" w:cs="Arial"/>
          <w:lang w:val="en-IE"/>
        </w:rPr>
      </w:pPr>
      <w:r>
        <w:rPr>
          <w:rStyle w:val="FootnoteReference"/>
          <w:rFonts w:ascii="Arial" w:hAnsi="Arial" w:cs="Arial"/>
        </w:rPr>
        <w:footnoteRef/>
      </w:r>
      <w:r w:rsidRPr="001A5DC9">
        <w:rPr>
          <w:rFonts w:ascii="Arial" w:hAnsi="Arial"/>
          <w:lang w:val="en-IE"/>
        </w:rPr>
        <w:t xml:space="preserve"> </w:t>
      </w:r>
      <w:proofErr w:type="gramStart"/>
      <w:r w:rsidRPr="001A5DC9">
        <w:rPr>
          <w:rFonts w:ascii="Arial" w:hAnsi="Arial"/>
          <w:lang w:val="en-IE"/>
        </w:rPr>
        <w:t>COM(</w:t>
      </w:r>
      <w:proofErr w:type="gramEnd"/>
      <w:r w:rsidRPr="001A5DC9">
        <w:rPr>
          <w:rFonts w:ascii="Arial" w:hAnsi="Arial"/>
          <w:lang w:val="en-IE"/>
        </w:rPr>
        <w:t>2025)84 final.</w:t>
      </w:r>
    </w:p>
  </w:footnote>
  <w:footnote w:id="5">
    <w:p w14:paraId="0BD1BE97" w14:textId="13243222" w:rsidR="00B0677E" w:rsidRPr="001A5DC9" w:rsidRDefault="00B0677E">
      <w:pPr>
        <w:pStyle w:val="FootnoteText"/>
        <w:rPr>
          <w:lang w:val="en-IE"/>
        </w:rPr>
      </w:pPr>
      <w:r>
        <w:rPr>
          <w:rStyle w:val="FootnoteReference"/>
        </w:rPr>
        <w:footnoteRef/>
      </w:r>
      <w:r w:rsidRPr="001A5DC9">
        <w:rPr>
          <w:lang w:val="en-IE"/>
        </w:rPr>
        <w:t xml:space="preserve"> </w:t>
      </w:r>
      <w:proofErr w:type="gramStart"/>
      <w:r w:rsidRPr="001A5DC9">
        <w:rPr>
          <w:rFonts w:ascii="Arial" w:hAnsi="Arial"/>
          <w:lang w:val="en-IE"/>
        </w:rPr>
        <w:t>COM(</w:t>
      </w:r>
      <w:proofErr w:type="gramEnd"/>
      <w:r w:rsidRPr="001A5DC9">
        <w:rPr>
          <w:rFonts w:ascii="Arial" w:hAnsi="Arial"/>
          <w:lang w:val="en-IE"/>
        </w:rPr>
        <w:t>2025) 570 final.</w:t>
      </w:r>
    </w:p>
  </w:footnote>
  <w:footnote w:id="6">
    <w:p w14:paraId="4D3F8787" w14:textId="77777777" w:rsidR="002938CA" w:rsidRDefault="002938CA" w:rsidP="002938CA">
      <w:pPr>
        <w:pStyle w:val="FootnoteText"/>
      </w:pPr>
      <w:r>
        <w:rPr>
          <w:rStyle w:val="FootnoteReference"/>
        </w:rPr>
        <w:footnoteRef/>
      </w:r>
      <w:r>
        <w:t xml:space="preserve"> </w:t>
      </w:r>
      <w:proofErr w:type="gramStart"/>
      <w:r>
        <w:rPr>
          <w:rFonts w:ascii="Arial" w:hAnsi="Arial"/>
        </w:rPr>
        <w:t>COM(</w:t>
      </w:r>
      <w:proofErr w:type="gramEnd"/>
      <w:r>
        <w:rPr>
          <w:rFonts w:ascii="Arial" w:hAnsi="Arial"/>
        </w:rPr>
        <w:t>2025) 570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07920"/>
    <w:multiLevelType w:val="hybridMultilevel"/>
    <w:tmpl w:val="2148193A"/>
    <w:lvl w:ilvl="0" w:tplc="1F02ED66">
      <w:start w:val="1"/>
      <w:numFmt w:val="bullet"/>
      <w:lvlText w:val="·"/>
      <w:lvlJc w:val="left"/>
      <w:pPr>
        <w:ind w:left="720" w:hanging="360"/>
      </w:pPr>
      <w:rPr>
        <w:rFonts w:ascii="Symbol" w:hAnsi="Symbol" w:hint="default"/>
      </w:rPr>
    </w:lvl>
    <w:lvl w:ilvl="1" w:tplc="28BAD2F0">
      <w:start w:val="1"/>
      <w:numFmt w:val="bullet"/>
      <w:lvlText w:val="o"/>
      <w:lvlJc w:val="left"/>
      <w:pPr>
        <w:ind w:left="1440" w:hanging="360"/>
      </w:pPr>
      <w:rPr>
        <w:rFonts w:ascii="Courier New" w:hAnsi="Courier New" w:hint="default"/>
      </w:rPr>
    </w:lvl>
    <w:lvl w:ilvl="2" w:tplc="C3C270A0">
      <w:start w:val="1"/>
      <w:numFmt w:val="bullet"/>
      <w:lvlText w:val=""/>
      <w:lvlJc w:val="left"/>
      <w:pPr>
        <w:ind w:left="2160" w:hanging="360"/>
      </w:pPr>
      <w:rPr>
        <w:rFonts w:ascii="Wingdings" w:hAnsi="Wingdings" w:hint="default"/>
      </w:rPr>
    </w:lvl>
    <w:lvl w:ilvl="3" w:tplc="4984AADC">
      <w:start w:val="1"/>
      <w:numFmt w:val="bullet"/>
      <w:lvlText w:val=""/>
      <w:lvlJc w:val="left"/>
      <w:pPr>
        <w:ind w:left="2880" w:hanging="360"/>
      </w:pPr>
      <w:rPr>
        <w:rFonts w:ascii="Symbol" w:hAnsi="Symbol" w:hint="default"/>
      </w:rPr>
    </w:lvl>
    <w:lvl w:ilvl="4" w:tplc="318066D2">
      <w:start w:val="1"/>
      <w:numFmt w:val="bullet"/>
      <w:lvlText w:val="o"/>
      <w:lvlJc w:val="left"/>
      <w:pPr>
        <w:ind w:left="3600" w:hanging="360"/>
      </w:pPr>
      <w:rPr>
        <w:rFonts w:ascii="Courier New" w:hAnsi="Courier New" w:hint="default"/>
      </w:rPr>
    </w:lvl>
    <w:lvl w:ilvl="5" w:tplc="071ADC66">
      <w:start w:val="1"/>
      <w:numFmt w:val="bullet"/>
      <w:lvlText w:val=""/>
      <w:lvlJc w:val="left"/>
      <w:pPr>
        <w:ind w:left="4320" w:hanging="360"/>
      </w:pPr>
      <w:rPr>
        <w:rFonts w:ascii="Wingdings" w:hAnsi="Wingdings" w:hint="default"/>
      </w:rPr>
    </w:lvl>
    <w:lvl w:ilvl="6" w:tplc="E49A986A">
      <w:start w:val="1"/>
      <w:numFmt w:val="bullet"/>
      <w:lvlText w:val=""/>
      <w:lvlJc w:val="left"/>
      <w:pPr>
        <w:ind w:left="5040" w:hanging="360"/>
      </w:pPr>
      <w:rPr>
        <w:rFonts w:ascii="Symbol" w:hAnsi="Symbol" w:hint="default"/>
      </w:rPr>
    </w:lvl>
    <w:lvl w:ilvl="7" w:tplc="94C4BE34">
      <w:start w:val="1"/>
      <w:numFmt w:val="bullet"/>
      <w:lvlText w:val="o"/>
      <w:lvlJc w:val="left"/>
      <w:pPr>
        <w:ind w:left="5760" w:hanging="360"/>
      </w:pPr>
      <w:rPr>
        <w:rFonts w:ascii="Courier New" w:hAnsi="Courier New" w:hint="default"/>
      </w:rPr>
    </w:lvl>
    <w:lvl w:ilvl="8" w:tplc="414A1F72">
      <w:start w:val="1"/>
      <w:numFmt w:val="bullet"/>
      <w:lvlText w:val=""/>
      <w:lvlJc w:val="left"/>
      <w:pPr>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854C8"/>
    <w:multiLevelType w:val="hybridMultilevel"/>
    <w:tmpl w:val="97A0732A"/>
    <w:lvl w:ilvl="0" w:tplc="808E6FE0">
      <w:start w:val="1"/>
      <w:numFmt w:val="bullet"/>
      <w:lvlText w:val=""/>
      <w:lvlJc w:val="left"/>
      <w:pPr>
        <w:ind w:left="720" w:hanging="360"/>
      </w:pPr>
      <w:rPr>
        <w:rFonts w:ascii="Symbol" w:hAnsi="Symbol" w:hint="default"/>
      </w:rPr>
    </w:lvl>
    <w:lvl w:ilvl="1" w:tplc="69847E22">
      <w:start w:val="1"/>
      <w:numFmt w:val="bullet"/>
      <w:lvlText w:val="o"/>
      <w:lvlJc w:val="left"/>
      <w:pPr>
        <w:ind w:left="1440" w:hanging="360"/>
      </w:pPr>
      <w:rPr>
        <w:rFonts w:ascii="Courier New" w:hAnsi="Courier New" w:hint="default"/>
      </w:rPr>
    </w:lvl>
    <w:lvl w:ilvl="2" w:tplc="5164DFC2" w:tentative="1">
      <w:start w:val="1"/>
      <w:numFmt w:val="bullet"/>
      <w:lvlText w:val=""/>
      <w:lvlJc w:val="left"/>
      <w:pPr>
        <w:ind w:left="2160" w:hanging="360"/>
      </w:pPr>
      <w:rPr>
        <w:rFonts w:ascii="Wingdings" w:hAnsi="Wingdings" w:hint="default"/>
      </w:rPr>
    </w:lvl>
    <w:lvl w:ilvl="3" w:tplc="AD8ECE9E" w:tentative="1">
      <w:start w:val="1"/>
      <w:numFmt w:val="bullet"/>
      <w:lvlText w:val=""/>
      <w:lvlJc w:val="left"/>
      <w:pPr>
        <w:ind w:left="2880" w:hanging="360"/>
      </w:pPr>
      <w:rPr>
        <w:rFonts w:ascii="Symbol" w:hAnsi="Symbol" w:hint="default"/>
      </w:rPr>
    </w:lvl>
    <w:lvl w:ilvl="4" w:tplc="F96A20F8" w:tentative="1">
      <w:start w:val="1"/>
      <w:numFmt w:val="bullet"/>
      <w:lvlText w:val="o"/>
      <w:lvlJc w:val="left"/>
      <w:pPr>
        <w:ind w:left="3600" w:hanging="360"/>
      </w:pPr>
      <w:rPr>
        <w:rFonts w:ascii="Courier New" w:hAnsi="Courier New" w:hint="default"/>
      </w:rPr>
    </w:lvl>
    <w:lvl w:ilvl="5" w:tplc="51266D54" w:tentative="1">
      <w:start w:val="1"/>
      <w:numFmt w:val="bullet"/>
      <w:lvlText w:val=""/>
      <w:lvlJc w:val="left"/>
      <w:pPr>
        <w:ind w:left="4320" w:hanging="360"/>
      </w:pPr>
      <w:rPr>
        <w:rFonts w:ascii="Wingdings" w:hAnsi="Wingdings" w:hint="default"/>
      </w:rPr>
    </w:lvl>
    <w:lvl w:ilvl="6" w:tplc="B62AD62C" w:tentative="1">
      <w:start w:val="1"/>
      <w:numFmt w:val="bullet"/>
      <w:lvlText w:val=""/>
      <w:lvlJc w:val="left"/>
      <w:pPr>
        <w:ind w:left="5040" w:hanging="360"/>
      </w:pPr>
      <w:rPr>
        <w:rFonts w:ascii="Symbol" w:hAnsi="Symbol" w:hint="default"/>
      </w:rPr>
    </w:lvl>
    <w:lvl w:ilvl="7" w:tplc="CEAC51B0" w:tentative="1">
      <w:start w:val="1"/>
      <w:numFmt w:val="bullet"/>
      <w:lvlText w:val="o"/>
      <w:lvlJc w:val="left"/>
      <w:pPr>
        <w:ind w:left="5760" w:hanging="360"/>
      </w:pPr>
      <w:rPr>
        <w:rFonts w:ascii="Courier New" w:hAnsi="Courier New" w:hint="default"/>
      </w:rPr>
    </w:lvl>
    <w:lvl w:ilvl="8" w:tplc="1D92CA30" w:tentative="1">
      <w:start w:val="1"/>
      <w:numFmt w:val="bullet"/>
      <w:lvlText w:val=""/>
      <w:lvlJc w:val="left"/>
      <w:pPr>
        <w:ind w:left="6480" w:hanging="360"/>
      </w:pPr>
      <w:rPr>
        <w:rFonts w:ascii="Wingdings" w:hAnsi="Wingdings" w:hint="default"/>
      </w:rPr>
    </w:lvl>
  </w:abstractNum>
  <w:abstractNum w:abstractNumId="15"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0309B"/>
    <w:multiLevelType w:val="hybridMultilevel"/>
    <w:tmpl w:val="D046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06352"/>
    <w:multiLevelType w:val="hybridMultilevel"/>
    <w:tmpl w:val="BFFEF860"/>
    <w:lvl w:ilvl="0" w:tplc="8E305336">
      <w:start w:val="4"/>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9"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8"/>
  </w:num>
  <w:num w:numId="2" w16cid:durableId="148182179">
    <w:abstractNumId w:val="1"/>
  </w:num>
  <w:num w:numId="3" w16cid:durableId="505511010">
    <w:abstractNumId w:val="38"/>
  </w:num>
  <w:num w:numId="4" w16cid:durableId="580018736">
    <w:abstractNumId w:val="16"/>
  </w:num>
  <w:num w:numId="5" w16cid:durableId="221647625">
    <w:abstractNumId w:val="34"/>
  </w:num>
  <w:num w:numId="6" w16cid:durableId="298344620">
    <w:abstractNumId w:val="12"/>
  </w:num>
  <w:num w:numId="7" w16cid:durableId="58093387">
    <w:abstractNumId w:val="7"/>
  </w:num>
  <w:num w:numId="8" w16cid:durableId="1122530581">
    <w:abstractNumId w:val="18"/>
  </w:num>
  <w:num w:numId="9" w16cid:durableId="1479684095">
    <w:abstractNumId w:val="37"/>
  </w:num>
  <w:num w:numId="10" w16cid:durableId="340007303">
    <w:abstractNumId w:val="28"/>
  </w:num>
  <w:num w:numId="11" w16cid:durableId="346519941">
    <w:abstractNumId w:val="31"/>
  </w:num>
  <w:num w:numId="12" w16cid:durableId="691036718">
    <w:abstractNumId w:val="15"/>
  </w:num>
  <w:num w:numId="13" w16cid:durableId="1452093781">
    <w:abstractNumId w:val="19"/>
  </w:num>
  <w:num w:numId="14" w16cid:durableId="906961314">
    <w:abstractNumId w:val="35"/>
  </w:num>
  <w:num w:numId="15" w16cid:durableId="1388455259">
    <w:abstractNumId w:val="17"/>
  </w:num>
  <w:num w:numId="16" w16cid:durableId="1677533267">
    <w:abstractNumId w:val="41"/>
  </w:num>
  <w:num w:numId="17" w16cid:durableId="961619330">
    <w:abstractNumId w:val="36"/>
  </w:num>
  <w:num w:numId="18" w16cid:durableId="1095638383">
    <w:abstractNumId w:val="26"/>
  </w:num>
  <w:num w:numId="19" w16cid:durableId="357776219">
    <w:abstractNumId w:val="27"/>
  </w:num>
  <w:num w:numId="20" w16cid:durableId="1481578588">
    <w:abstractNumId w:val="33"/>
  </w:num>
  <w:num w:numId="21" w16cid:durableId="1812137613">
    <w:abstractNumId w:val="3"/>
  </w:num>
  <w:num w:numId="22" w16cid:durableId="370300677">
    <w:abstractNumId w:val="4"/>
  </w:num>
  <w:num w:numId="23" w16cid:durableId="1948660650">
    <w:abstractNumId w:val="5"/>
  </w:num>
  <w:num w:numId="24" w16cid:durableId="122113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9"/>
  </w:num>
  <w:num w:numId="26" w16cid:durableId="1203983393">
    <w:abstractNumId w:val="29"/>
  </w:num>
  <w:num w:numId="27" w16cid:durableId="1149204463">
    <w:abstractNumId w:val="20"/>
  </w:num>
  <w:num w:numId="28" w16cid:durableId="614867515">
    <w:abstractNumId w:val="40"/>
  </w:num>
  <w:num w:numId="29" w16cid:durableId="1513490821">
    <w:abstractNumId w:val="2"/>
  </w:num>
  <w:num w:numId="30" w16cid:durableId="1269506392">
    <w:abstractNumId w:val="25"/>
  </w:num>
  <w:num w:numId="31" w16cid:durableId="160509948">
    <w:abstractNumId w:val="24"/>
  </w:num>
  <w:num w:numId="32" w16cid:durableId="146094414">
    <w:abstractNumId w:val="10"/>
  </w:num>
  <w:num w:numId="33" w16cid:durableId="2145806991">
    <w:abstractNumId w:val="13"/>
  </w:num>
  <w:num w:numId="34" w16cid:durableId="1322079617">
    <w:abstractNumId w:val="23"/>
  </w:num>
  <w:num w:numId="35" w16cid:durableId="1661734410">
    <w:abstractNumId w:val="21"/>
  </w:num>
  <w:num w:numId="36" w16cid:durableId="306253165">
    <w:abstractNumId w:val="11"/>
  </w:num>
  <w:num w:numId="37" w16cid:durableId="428160121">
    <w:abstractNumId w:val="30"/>
  </w:num>
  <w:num w:numId="38" w16cid:durableId="1100875517">
    <w:abstractNumId w:val="22"/>
  </w:num>
  <w:num w:numId="39" w16cid:durableId="47343970">
    <w:abstractNumId w:val="14"/>
  </w:num>
  <w:num w:numId="40" w16cid:durableId="1761828239">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3DA2"/>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605"/>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2DF6"/>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0F"/>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2B6"/>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752"/>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2FDD"/>
    <w:rsid w:val="000B307A"/>
    <w:rsid w:val="000B30CD"/>
    <w:rsid w:val="000B3373"/>
    <w:rsid w:val="000B343D"/>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6A4"/>
    <w:rsid w:val="000B58B6"/>
    <w:rsid w:val="000B595A"/>
    <w:rsid w:val="000B5C5B"/>
    <w:rsid w:val="000B5FF0"/>
    <w:rsid w:val="000B607D"/>
    <w:rsid w:val="000B6139"/>
    <w:rsid w:val="000B61F1"/>
    <w:rsid w:val="000B641A"/>
    <w:rsid w:val="000B64EA"/>
    <w:rsid w:val="000B66DF"/>
    <w:rsid w:val="000B67EE"/>
    <w:rsid w:val="000B6A5E"/>
    <w:rsid w:val="000B6D6D"/>
    <w:rsid w:val="000B6F9B"/>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DB"/>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2CE"/>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500"/>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68"/>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83F"/>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1D4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169"/>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0C4"/>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2B2B"/>
    <w:rsid w:val="00143061"/>
    <w:rsid w:val="00143335"/>
    <w:rsid w:val="00143391"/>
    <w:rsid w:val="0014367F"/>
    <w:rsid w:val="001438FC"/>
    <w:rsid w:val="00143DDE"/>
    <w:rsid w:val="00143F3D"/>
    <w:rsid w:val="001440D2"/>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40E"/>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404"/>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9F"/>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EA0"/>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DC9"/>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0ED"/>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C46"/>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9AF"/>
    <w:rsid w:val="001F7CC6"/>
    <w:rsid w:val="001F7DD5"/>
    <w:rsid w:val="00200026"/>
    <w:rsid w:val="0020021A"/>
    <w:rsid w:val="00200333"/>
    <w:rsid w:val="002003F9"/>
    <w:rsid w:val="0020057E"/>
    <w:rsid w:val="00200D57"/>
    <w:rsid w:val="00200EC8"/>
    <w:rsid w:val="00200FF9"/>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465"/>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5ED5"/>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CDF"/>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0A7"/>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531"/>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8A"/>
    <w:rsid w:val="00265BA7"/>
    <w:rsid w:val="00265CD1"/>
    <w:rsid w:val="00266140"/>
    <w:rsid w:val="0026615E"/>
    <w:rsid w:val="002664D5"/>
    <w:rsid w:val="00266567"/>
    <w:rsid w:val="00266588"/>
    <w:rsid w:val="0026689A"/>
    <w:rsid w:val="002668EB"/>
    <w:rsid w:val="00266A1A"/>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3EE4"/>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3B1"/>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8CA"/>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B7FF5"/>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498"/>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19"/>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C83"/>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4DDE"/>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357"/>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C8"/>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AB4"/>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8B5"/>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2F5"/>
    <w:rsid w:val="004B6485"/>
    <w:rsid w:val="004B6618"/>
    <w:rsid w:val="004B6819"/>
    <w:rsid w:val="004B6840"/>
    <w:rsid w:val="004B6B02"/>
    <w:rsid w:val="004B6C88"/>
    <w:rsid w:val="004B6D63"/>
    <w:rsid w:val="004B71A4"/>
    <w:rsid w:val="004C0571"/>
    <w:rsid w:val="004C093C"/>
    <w:rsid w:val="004C0AC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C5B"/>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2B4"/>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EA9"/>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BDE"/>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0F3B"/>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C15"/>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40F"/>
    <w:rsid w:val="00574D66"/>
    <w:rsid w:val="00574E2E"/>
    <w:rsid w:val="00575284"/>
    <w:rsid w:val="0057546D"/>
    <w:rsid w:val="0057554A"/>
    <w:rsid w:val="00575822"/>
    <w:rsid w:val="00575E87"/>
    <w:rsid w:val="0057604C"/>
    <w:rsid w:val="00576147"/>
    <w:rsid w:val="00576383"/>
    <w:rsid w:val="00576436"/>
    <w:rsid w:val="00576564"/>
    <w:rsid w:val="005767C0"/>
    <w:rsid w:val="00576DD5"/>
    <w:rsid w:val="00576E83"/>
    <w:rsid w:val="00576EAA"/>
    <w:rsid w:val="00576FFD"/>
    <w:rsid w:val="005773DC"/>
    <w:rsid w:val="00577441"/>
    <w:rsid w:val="00577618"/>
    <w:rsid w:val="005776CB"/>
    <w:rsid w:val="00577812"/>
    <w:rsid w:val="005779D6"/>
    <w:rsid w:val="00577DE7"/>
    <w:rsid w:val="00577F15"/>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3D7"/>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6D"/>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0C59"/>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CC9"/>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E3A"/>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0F13"/>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67B"/>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1F3A"/>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38A"/>
    <w:rsid w:val="00665A2E"/>
    <w:rsid w:val="00665AD4"/>
    <w:rsid w:val="00665C42"/>
    <w:rsid w:val="00665C96"/>
    <w:rsid w:val="00665CEA"/>
    <w:rsid w:val="00666084"/>
    <w:rsid w:val="006661EA"/>
    <w:rsid w:val="00666215"/>
    <w:rsid w:val="00666499"/>
    <w:rsid w:val="0066655F"/>
    <w:rsid w:val="006665CB"/>
    <w:rsid w:val="0066661F"/>
    <w:rsid w:val="00666B67"/>
    <w:rsid w:val="00666B90"/>
    <w:rsid w:val="00666C1E"/>
    <w:rsid w:val="006675B0"/>
    <w:rsid w:val="00667961"/>
    <w:rsid w:val="00667D30"/>
    <w:rsid w:val="0067002B"/>
    <w:rsid w:val="00670047"/>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2FF6"/>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307"/>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3D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1D"/>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183"/>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3AD"/>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3DE4"/>
    <w:rsid w:val="006F40BA"/>
    <w:rsid w:val="006F4200"/>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5AD7"/>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954"/>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4C4"/>
    <w:rsid w:val="00791536"/>
    <w:rsid w:val="007915C8"/>
    <w:rsid w:val="007915DD"/>
    <w:rsid w:val="00791AC8"/>
    <w:rsid w:val="00791CE9"/>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D0B"/>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971"/>
    <w:rsid w:val="007A6E4C"/>
    <w:rsid w:val="007A6ED6"/>
    <w:rsid w:val="007A71D7"/>
    <w:rsid w:val="007A7600"/>
    <w:rsid w:val="007A7960"/>
    <w:rsid w:val="007B0002"/>
    <w:rsid w:val="007B017D"/>
    <w:rsid w:val="007B01AF"/>
    <w:rsid w:val="007B035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592"/>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5BA"/>
    <w:rsid w:val="007C7680"/>
    <w:rsid w:val="007C7D92"/>
    <w:rsid w:val="007D00FA"/>
    <w:rsid w:val="007D014E"/>
    <w:rsid w:val="007D022D"/>
    <w:rsid w:val="007D0527"/>
    <w:rsid w:val="007D0846"/>
    <w:rsid w:val="007D0C47"/>
    <w:rsid w:val="007D0D50"/>
    <w:rsid w:val="007D0DD4"/>
    <w:rsid w:val="007D0EF7"/>
    <w:rsid w:val="007D1013"/>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7EE"/>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156"/>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10"/>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0D5"/>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1CF"/>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B44"/>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C82"/>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60"/>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B1F"/>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66D"/>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08B"/>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A8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228"/>
    <w:rsid w:val="008F55E8"/>
    <w:rsid w:val="008F56EA"/>
    <w:rsid w:val="008F596E"/>
    <w:rsid w:val="008F5F8F"/>
    <w:rsid w:val="008F68DC"/>
    <w:rsid w:val="008F6AFF"/>
    <w:rsid w:val="008F7036"/>
    <w:rsid w:val="008F71E8"/>
    <w:rsid w:val="008F725B"/>
    <w:rsid w:val="008F726F"/>
    <w:rsid w:val="008F73C6"/>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7CB"/>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512"/>
    <w:rsid w:val="009157B2"/>
    <w:rsid w:val="00915874"/>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069"/>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B67"/>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45E"/>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656"/>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A9A"/>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614"/>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2FE1"/>
    <w:rsid w:val="009C3222"/>
    <w:rsid w:val="009C33D9"/>
    <w:rsid w:val="009C34D0"/>
    <w:rsid w:val="009C3526"/>
    <w:rsid w:val="009C3623"/>
    <w:rsid w:val="009C3A20"/>
    <w:rsid w:val="009C3CD6"/>
    <w:rsid w:val="009C3D3D"/>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A08"/>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1E6A"/>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3F26"/>
    <w:rsid w:val="00A141BA"/>
    <w:rsid w:val="00A14210"/>
    <w:rsid w:val="00A142AE"/>
    <w:rsid w:val="00A148BF"/>
    <w:rsid w:val="00A14A24"/>
    <w:rsid w:val="00A15108"/>
    <w:rsid w:val="00A1521B"/>
    <w:rsid w:val="00A159F7"/>
    <w:rsid w:val="00A15C50"/>
    <w:rsid w:val="00A15CF5"/>
    <w:rsid w:val="00A15F89"/>
    <w:rsid w:val="00A1649C"/>
    <w:rsid w:val="00A165E8"/>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97A"/>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0AF"/>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7E2"/>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0FC8"/>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5FAB"/>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6C1"/>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3F95"/>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6CD7"/>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4A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1DA"/>
    <w:rsid w:val="00B052F6"/>
    <w:rsid w:val="00B05423"/>
    <w:rsid w:val="00B058D8"/>
    <w:rsid w:val="00B05D68"/>
    <w:rsid w:val="00B05FEC"/>
    <w:rsid w:val="00B0627F"/>
    <w:rsid w:val="00B062B1"/>
    <w:rsid w:val="00B064DB"/>
    <w:rsid w:val="00B066FD"/>
    <w:rsid w:val="00B0677E"/>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E29"/>
    <w:rsid w:val="00B11F81"/>
    <w:rsid w:val="00B121CA"/>
    <w:rsid w:val="00B12290"/>
    <w:rsid w:val="00B12319"/>
    <w:rsid w:val="00B12598"/>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5ED"/>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0F"/>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3FA7"/>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743"/>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27A"/>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12"/>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610"/>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C21"/>
    <w:rsid w:val="00BF4EE4"/>
    <w:rsid w:val="00BF4F5D"/>
    <w:rsid w:val="00BF5122"/>
    <w:rsid w:val="00BF5455"/>
    <w:rsid w:val="00BF5B8E"/>
    <w:rsid w:val="00BF5ED0"/>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7D7"/>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B80"/>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797"/>
    <w:rsid w:val="00C62853"/>
    <w:rsid w:val="00C62975"/>
    <w:rsid w:val="00C629C6"/>
    <w:rsid w:val="00C62E15"/>
    <w:rsid w:val="00C62E42"/>
    <w:rsid w:val="00C62F90"/>
    <w:rsid w:val="00C63051"/>
    <w:rsid w:val="00C630A4"/>
    <w:rsid w:val="00C632C3"/>
    <w:rsid w:val="00C632F1"/>
    <w:rsid w:val="00C636CC"/>
    <w:rsid w:val="00C6371E"/>
    <w:rsid w:val="00C6376F"/>
    <w:rsid w:val="00C6386F"/>
    <w:rsid w:val="00C63F0A"/>
    <w:rsid w:val="00C641E9"/>
    <w:rsid w:val="00C646E0"/>
    <w:rsid w:val="00C646F0"/>
    <w:rsid w:val="00C6492D"/>
    <w:rsid w:val="00C64AF1"/>
    <w:rsid w:val="00C64B75"/>
    <w:rsid w:val="00C64CA8"/>
    <w:rsid w:val="00C64E07"/>
    <w:rsid w:val="00C64F82"/>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30"/>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A9C"/>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606"/>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1E"/>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8E2"/>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5EF"/>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48A"/>
    <w:rsid w:val="00CB78B6"/>
    <w:rsid w:val="00CB7B22"/>
    <w:rsid w:val="00CB7C5C"/>
    <w:rsid w:val="00CB7DE0"/>
    <w:rsid w:val="00CC0486"/>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33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B65"/>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1E"/>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B3A"/>
    <w:rsid w:val="00D14E4A"/>
    <w:rsid w:val="00D1520E"/>
    <w:rsid w:val="00D154B4"/>
    <w:rsid w:val="00D15578"/>
    <w:rsid w:val="00D158A2"/>
    <w:rsid w:val="00D15E75"/>
    <w:rsid w:val="00D160C6"/>
    <w:rsid w:val="00D161E6"/>
    <w:rsid w:val="00D162E6"/>
    <w:rsid w:val="00D16440"/>
    <w:rsid w:val="00D166A4"/>
    <w:rsid w:val="00D16B2F"/>
    <w:rsid w:val="00D16C40"/>
    <w:rsid w:val="00D16E07"/>
    <w:rsid w:val="00D1788B"/>
    <w:rsid w:val="00D178EB"/>
    <w:rsid w:val="00D17923"/>
    <w:rsid w:val="00D179CA"/>
    <w:rsid w:val="00D17DB7"/>
    <w:rsid w:val="00D202EB"/>
    <w:rsid w:val="00D205CA"/>
    <w:rsid w:val="00D20878"/>
    <w:rsid w:val="00D2089A"/>
    <w:rsid w:val="00D208BA"/>
    <w:rsid w:val="00D20933"/>
    <w:rsid w:val="00D209FF"/>
    <w:rsid w:val="00D20C9E"/>
    <w:rsid w:val="00D21913"/>
    <w:rsid w:val="00D2193A"/>
    <w:rsid w:val="00D2196A"/>
    <w:rsid w:val="00D21ACB"/>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C5D"/>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2D6B"/>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70"/>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172"/>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CEF"/>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ABC"/>
    <w:rsid w:val="00DD6C24"/>
    <w:rsid w:val="00DD70F4"/>
    <w:rsid w:val="00DD786C"/>
    <w:rsid w:val="00DD7F30"/>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3C9F"/>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C29"/>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5CD"/>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59"/>
    <w:rsid w:val="00E12D6F"/>
    <w:rsid w:val="00E12FDB"/>
    <w:rsid w:val="00E13074"/>
    <w:rsid w:val="00E13076"/>
    <w:rsid w:val="00E1308A"/>
    <w:rsid w:val="00E130F9"/>
    <w:rsid w:val="00E13188"/>
    <w:rsid w:val="00E131C3"/>
    <w:rsid w:val="00E1320F"/>
    <w:rsid w:val="00E13319"/>
    <w:rsid w:val="00E133C5"/>
    <w:rsid w:val="00E13455"/>
    <w:rsid w:val="00E1360C"/>
    <w:rsid w:val="00E136BE"/>
    <w:rsid w:val="00E13869"/>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26"/>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06"/>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D5"/>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0EA"/>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93C"/>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1C1"/>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8D5"/>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1C4"/>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D44"/>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AE4"/>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BEE"/>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B31"/>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72D"/>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409"/>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9C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39C"/>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39D"/>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8C"/>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CC3"/>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2CE"/>
    <w:rsid w:val="00FF231A"/>
    <w:rsid w:val="00FF24A7"/>
    <w:rsid w:val="00FF26E3"/>
    <w:rsid w:val="00FF2774"/>
    <w:rsid w:val="00FF28C7"/>
    <w:rsid w:val="00FF2953"/>
    <w:rsid w:val="00FF30F1"/>
    <w:rsid w:val="00FF3130"/>
    <w:rsid w:val="00FF313B"/>
    <w:rsid w:val="00FF3150"/>
    <w:rsid w:val="00FF31F7"/>
    <w:rsid w:val="00FF359D"/>
    <w:rsid w:val="00FF3C3C"/>
    <w:rsid w:val="00FF3DF5"/>
    <w:rsid w:val="00FF3F26"/>
    <w:rsid w:val="00FF3F55"/>
    <w:rsid w:val="00FF3FC7"/>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8CE7B0D-E5C9-4DC6-BC8A-71DE201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Bullet List,FooterText,List Paragraph compact,Dot pt,F5 List Paragraph,List Paragraph1,List Paragraph Char Char Char,Indicator Text,Numbered Para 1,Bullet 1,Bullet Points,MAIN CONTENT,List Paragraph11"/>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uiPriority w:val="99"/>
    <w:semiHidden/>
    <w:unhideWhenUsed/>
    <w:rsid w:val="00CB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3074">
      <w:bodyDiv w:val="1"/>
      <w:marLeft w:val="0"/>
      <w:marRight w:val="0"/>
      <w:marTop w:val="0"/>
      <w:marBottom w:val="0"/>
      <w:divBdr>
        <w:top w:val="none" w:sz="0" w:space="0" w:color="auto"/>
        <w:left w:val="none" w:sz="0" w:space="0" w:color="auto"/>
        <w:bottom w:val="none" w:sz="0" w:space="0" w:color="auto"/>
        <w:right w:val="none" w:sz="0" w:space="0" w:color="auto"/>
      </w:divBdr>
    </w:div>
    <w:div w:id="804351240">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812595911">
      <w:bodyDiv w:val="1"/>
      <w:marLeft w:val="0"/>
      <w:marRight w:val="0"/>
      <w:marTop w:val="0"/>
      <w:marBottom w:val="0"/>
      <w:divBdr>
        <w:top w:val="none" w:sz="0" w:space="0" w:color="auto"/>
        <w:left w:val="none" w:sz="0" w:space="0" w:color="auto"/>
        <w:bottom w:val="none" w:sz="0" w:space="0" w:color="auto"/>
        <w:right w:val="none" w:sz="0" w:space="0" w:color="auto"/>
      </w:divBdr>
    </w:div>
    <w:div w:id="20803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doceo/document/TA-10-2025-0145_F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2f7a1b070784ad07a273cb79b2e0bff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efdbc7de6c019c70dd2b077576fdba83"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Props1.xml><?xml version="1.0" encoding="utf-8"?>
<ds:datastoreItem xmlns:ds="http://schemas.openxmlformats.org/officeDocument/2006/customXml" ds:itemID="{811F9BB3-36C3-409A-BE08-DC5C23C5B8F3}"/>
</file>

<file path=customXml/itemProps2.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5</Pages>
  <Words>2169</Words>
  <Characters>12518</Characters>
  <Application>Microsoft Office Word</Application>
  <DocSecurity>0</DocSecurity>
  <PresentationFormat>Microsoft Word 8.0b</PresentationFormat>
  <Lines>195</Lines>
  <Paragraphs>49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14638</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DODEKOVA Gabriela (SG)</cp:lastModifiedBy>
  <cp:revision>2</cp:revision>
  <cp:lastPrinted>2017-11-23T17:27:00Z</cp:lastPrinted>
  <dcterms:created xsi:type="dcterms:W3CDTF">2025-11-13T10:14:00Z</dcterms:created>
  <dcterms:modified xsi:type="dcterms:W3CDTF">2025-11-13T10:14:00Z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