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56EC" w14:textId="7351FEA7" w:rsidR="005C392C" w:rsidRPr="005C392C" w:rsidRDefault="005C392C" w:rsidP="005C392C">
      <w:pPr>
        <w:jc w:val="center"/>
        <w:rPr>
          <w:b/>
          <w:bCs/>
          <w:sz w:val="24"/>
          <w:szCs w:val="24"/>
          <w:lang w:val="en-IE"/>
        </w:rPr>
      </w:pPr>
      <w:r w:rsidRPr="4D8B5786">
        <w:rPr>
          <w:b/>
          <w:bCs/>
          <w:sz w:val="24"/>
          <w:szCs w:val="24"/>
          <w:lang w:val="en-IE"/>
        </w:rPr>
        <w:t xml:space="preserve">Follow-up to the European Parliament </w:t>
      </w:r>
      <w:r w:rsidR="00E247C1">
        <w:rPr>
          <w:b/>
          <w:bCs/>
          <w:sz w:val="24"/>
          <w:szCs w:val="24"/>
          <w:lang w:val="en-IE"/>
        </w:rPr>
        <w:t xml:space="preserve">non-legislative resolution </w:t>
      </w:r>
    </w:p>
    <w:p w14:paraId="5D8FF544" w14:textId="53C42341" w:rsidR="00920C66" w:rsidRDefault="005C392C" w:rsidP="005C392C">
      <w:pPr>
        <w:jc w:val="center"/>
        <w:rPr>
          <w:b/>
          <w:bCs/>
          <w:sz w:val="24"/>
          <w:szCs w:val="24"/>
          <w:lang w:val="en-IE"/>
        </w:rPr>
      </w:pPr>
      <w:r w:rsidRPr="005C392C">
        <w:rPr>
          <w:b/>
          <w:bCs/>
          <w:sz w:val="24"/>
          <w:szCs w:val="24"/>
          <w:lang w:val="en-IE"/>
        </w:rPr>
        <w:t xml:space="preserve">on </w:t>
      </w:r>
      <w:r w:rsidRPr="00A23092">
        <w:rPr>
          <w:b/>
          <w:bCs/>
          <w:caps/>
          <w:sz w:val="24"/>
          <w:szCs w:val="24"/>
          <w:lang w:val="en-IE"/>
        </w:rPr>
        <w:t>e</w:t>
      </w:r>
      <w:r w:rsidRPr="005C392C">
        <w:rPr>
          <w:b/>
          <w:bCs/>
          <w:sz w:val="24"/>
          <w:szCs w:val="24"/>
          <w:lang w:val="en-IE"/>
        </w:rPr>
        <w:t>lectricity grids: the backbone of the EU energy system</w:t>
      </w:r>
    </w:p>
    <w:p w14:paraId="62E2BC3F" w14:textId="77777777" w:rsidR="005C392C" w:rsidRPr="005C392C" w:rsidRDefault="005C392C" w:rsidP="00356B13">
      <w:pPr>
        <w:spacing w:line="480" w:lineRule="auto"/>
        <w:rPr>
          <w:b/>
          <w:bCs/>
          <w:sz w:val="24"/>
          <w:szCs w:val="24"/>
          <w:lang w:val="en-IE"/>
        </w:rPr>
      </w:pPr>
    </w:p>
    <w:p w14:paraId="022FCC80" w14:textId="55192D99" w:rsidR="005C392C" w:rsidRPr="00512F4E" w:rsidRDefault="005C392C" w:rsidP="005C392C">
      <w:pPr>
        <w:numPr>
          <w:ilvl w:val="0"/>
          <w:numId w:val="2"/>
        </w:numPr>
        <w:spacing w:after="240"/>
        <w:ind w:left="567" w:hanging="567"/>
        <w:jc w:val="both"/>
        <w:rPr>
          <w:sz w:val="24"/>
          <w:szCs w:val="24"/>
          <w:lang w:val="en-US"/>
        </w:rPr>
      </w:pPr>
      <w:r w:rsidRPr="005C392C">
        <w:rPr>
          <w:b/>
          <w:sz w:val="24"/>
          <w:szCs w:val="24"/>
          <w:lang w:val="fr-BE"/>
        </w:rPr>
        <w:t>Rapporteur:</w:t>
      </w:r>
      <w:r w:rsidRPr="005C392C">
        <w:rPr>
          <w:sz w:val="24"/>
          <w:szCs w:val="24"/>
          <w:lang w:val="fr-BE"/>
        </w:rPr>
        <w:t xml:space="preserve"> </w:t>
      </w:r>
      <w:r w:rsidRPr="00537190">
        <w:rPr>
          <w:sz w:val="24"/>
          <w:szCs w:val="24"/>
          <w:lang w:val="en-IE"/>
        </w:rPr>
        <w:t xml:space="preserve">Anna </w:t>
      </w:r>
      <w:r w:rsidRPr="00A23092">
        <w:rPr>
          <w:caps/>
          <w:sz w:val="24"/>
          <w:szCs w:val="24"/>
          <w:lang w:val="en-IE"/>
        </w:rPr>
        <w:t>Stürgkh</w:t>
      </w:r>
      <w:r w:rsidRPr="005C392C">
        <w:rPr>
          <w:sz w:val="24"/>
          <w:szCs w:val="24"/>
          <w:lang w:val="fr-FR"/>
        </w:rPr>
        <w:t xml:space="preserve"> (</w:t>
      </w:r>
      <w:r w:rsidRPr="005C392C">
        <w:rPr>
          <w:sz w:val="24"/>
          <w:szCs w:val="24"/>
        </w:rPr>
        <w:t>Renew</w:t>
      </w:r>
      <w:r w:rsidR="00C02DEB">
        <w:rPr>
          <w:sz w:val="24"/>
          <w:szCs w:val="24"/>
        </w:rPr>
        <w:t xml:space="preserve"> </w:t>
      </w:r>
      <w:r>
        <w:rPr>
          <w:sz w:val="24"/>
          <w:szCs w:val="24"/>
        </w:rPr>
        <w:t>/</w:t>
      </w:r>
      <w:r w:rsidR="00C02DEB">
        <w:rPr>
          <w:sz w:val="24"/>
          <w:szCs w:val="24"/>
        </w:rPr>
        <w:t xml:space="preserve"> </w:t>
      </w:r>
      <w:r w:rsidRPr="005C392C">
        <w:rPr>
          <w:sz w:val="24"/>
          <w:szCs w:val="24"/>
        </w:rPr>
        <w:t>AT</w:t>
      </w:r>
      <w:r w:rsidRPr="005C392C">
        <w:rPr>
          <w:sz w:val="24"/>
          <w:szCs w:val="24"/>
          <w:lang w:val="fr-FR"/>
        </w:rPr>
        <w:t>)</w:t>
      </w:r>
    </w:p>
    <w:p w14:paraId="7EC4EEC3" w14:textId="54C6AE79" w:rsidR="005C392C" w:rsidRPr="00FD4204" w:rsidRDefault="2064E8FB" w:rsidP="71127A81">
      <w:pPr>
        <w:pStyle w:val="Default"/>
        <w:numPr>
          <w:ilvl w:val="0"/>
          <w:numId w:val="2"/>
        </w:numPr>
        <w:spacing w:after="240"/>
        <w:ind w:left="567" w:hanging="567"/>
        <w:jc w:val="both"/>
        <w:rPr>
          <w:lang w:val="en-IE"/>
        </w:rPr>
      </w:pPr>
      <w:r w:rsidRPr="00FD4204">
        <w:rPr>
          <w:b/>
          <w:bCs/>
          <w:color w:val="auto"/>
          <w:lang w:val="en-GB"/>
        </w:rPr>
        <w:t xml:space="preserve">Reference numbers: </w:t>
      </w:r>
      <w:r w:rsidR="0C98D5C7" w:rsidRPr="00FD4204">
        <w:rPr>
          <w:lang w:val="en-IE"/>
        </w:rPr>
        <w:t>2025/2006(INI)</w:t>
      </w:r>
      <w:r w:rsidR="21EFA569" w:rsidRPr="00FD4204">
        <w:rPr>
          <w:lang w:val="en-IE"/>
        </w:rPr>
        <w:t xml:space="preserve"> / A10-0091/2025</w:t>
      </w:r>
      <w:r w:rsidR="25533FA4" w:rsidRPr="00FD4204">
        <w:rPr>
          <w:lang w:val="en-IE"/>
        </w:rPr>
        <w:t xml:space="preserve"> </w:t>
      </w:r>
      <w:r w:rsidR="009421D2">
        <w:rPr>
          <w:lang w:val="en-IE"/>
        </w:rPr>
        <w:t>/</w:t>
      </w:r>
      <w:r w:rsidR="002F54C4" w:rsidRPr="00A23092">
        <w:rPr>
          <w:lang w:val="en-US"/>
        </w:rPr>
        <w:t xml:space="preserve"> P10_TA(2025)136</w:t>
      </w:r>
    </w:p>
    <w:p w14:paraId="6408ABBF" w14:textId="1E5CD9B5" w:rsidR="005C392C" w:rsidRPr="005C392C" w:rsidRDefault="005C392C" w:rsidP="005C392C">
      <w:pPr>
        <w:pStyle w:val="Default"/>
        <w:numPr>
          <w:ilvl w:val="0"/>
          <w:numId w:val="2"/>
        </w:numPr>
        <w:spacing w:after="240"/>
        <w:ind w:left="567" w:hanging="567"/>
        <w:jc w:val="both"/>
        <w:rPr>
          <w:lang w:val="en-IE"/>
        </w:rPr>
      </w:pPr>
      <w:r w:rsidRPr="005C392C">
        <w:rPr>
          <w:b/>
          <w:lang w:val="en-IE"/>
        </w:rPr>
        <w:t>Date of adoption of the resolution:</w:t>
      </w:r>
      <w:r w:rsidRPr="005C392C">
        <w:rPr>
          <w:lang w:val="en-IE"/>
        </w:rPr>
        <w:t xml:space="preserve"> </w:t>
      </w:r>
      <w:r w:rsidR="00537190">
        <w:rPr>
          <w:lang w:val="en-IE"/>
        </w:rPr>
        <w:t>19</w:t>
      </w:r>
      <w:r w:rsidRPr="005C392C">
        <w:rPr>
          <w:iCs/>
          <w:lang w:val="en-IE"/>
        </w:rPr>
        <w:t xml:space="preserve"> </w:t>
      </w:r>
      <w:r w:rsidR="00FF4B57">
        <w:rPr>
          <w:iCs/>
          <w:lang w:val="en-IE"/>
        </w:rPr>
        <w:t>June</w:t>
      </w:r>
      <w:r w:rsidR="00FF4B57" w:rsidRPr="005C392C">
        <w:rPr>
          <w:iCs/>
          <w:lang w:val="en-IE"/>
        </w:rPr>
        <w:t xml:space="preserve"> </w:t>
      </w:r>
      <w:r w:rsidRPr="005C392C">
        <w:rPr>
          <w:iCs/>
          <w:lang w:val="en-IE"/>
        </w:rPr>
        <w:t>202</w:t>
      </w:r>
      <w:r w:rsidR="00537190">
        <w:rPr>
          <w:iCs/>
          <w:lang w:val="en-IE"/>
        </w:rPr>
        <w:t>5</w:t>
      </w:r>
    </w:p>
    <w:p w14:paraId="3BB1A75D" w14:textId="65A22661" w:rsidR="005C392C" w:rsidRPr="005C392C" w:rsidRDefault="005C392C" w:rsidP="005C392C">
      <w:pPr>
        <w:widowControl w:val="0"/>
        <w:numPr>
          <w:ilvl w:val="0"/>
          <w:numId w:val="2"/>
        </w:numPr>
        <w:spacing w:after="240"/>
        <w:ind w:left="567" w:hanging="567"/>
        <w:jc w:val="both"/>
        <w:rPr>
          <w:b/>
          <w:sz w:val="24"/>
          <w:szCs w:val="24"/>
        </w:rPr>
      </w:pPr>
      <w:r w:rsidRPr="005C392C">
        <w:rPr>
          <w:b/>
          <w:sz w:val="24"/>
          <w:szCs w:val="24"/>
        </w:rPr>
        <w:t xml:space="preserve">Competent Parliamentary Committee: </w:t>
      </w:r>
      <w:r w:rsidRPr="005C392C">
        <w:rPr>
          <w:sz w:val="24"/>
          <w:szCs w:val="24"/>
        </w:rPr>
        <w:t>Committee on Industry, Research and Energy (ITRE)</w:t>
      </w:r>
    </w:p>
    <w:p w14:paraId="296E609F" w14:textId="77777777" w:rsidR="005C392C" w:rsidRPr="005C392C" w:rsidRDefault="005C392C" w:rsidP="005C392C">
      <w:pPr>
        <w:widowControl w:val="0"/>
        <w:numPr>
          <w:ilvl w:val="0"/>
          <w:numId w:val="2"/>
        </w:numPr>
        <w:spacing w:after="240"/>
        <w:ind w:left="567" w:hanging="567"/>
        <w:jc w:val="both"/>
        <w:rPr>
          <w:b/>
          <w:sz w:val="24"/>
          <w:szCs w:val="24"/>
        </w:rPr>
      </w:pPr>
      <w:r w:rsidRPr="005C392C">
        <w:rPr>
          <w:b/>
          <w:sz w:val="24"/>
          <w:szCs w:val="24"/>
        </w:rPr>
        <w:t>Brief analysis/ assessment of the resolution and requests made in it:</w:t>
      </w:r>
    </w:p>
    <w:p w14:paraId="0A7D7255" w14:textId="19CBFDDD" w:rsidR="005C392C" w:rsidRPr="005C392C" w:rsidRDefault="00F54B71" w:rsidP="00F54B71">
      <w:pPr>
        <w:widowControl w:val="0"/>
        <w:spacing w:after="120"/>
        <w:jc w:val="both"/>
        <w:rPr>
          <w:sz w:val="24"/>
          <w:szCs w:val="24"/>
        </w:rPr>
      </w:pPr>
      <w:r w:rsidRPr="00F54B71">
        <w:rPr>
          <w:sz w:val="24"/>
          <w:szCs w:val="24"/>
        </w:rPr>
        <w:t>The report emphasi</w:t>
      </w:r>
      <w:r w:rsidR="00393078">
        <w:rPr>
          <w:sz w:val="24"/>
          <w:szCs w:val="24"/>
        </w:rPr>
        <w:t>s</w:t>
      </w:r>
      <w:r w:rsidRPr="00F54B71">
        <w:rPr>
          <w:sz w:val="24"/>
          <w:szCs w:val="24"/>
        </w:rPr>
        <w:t>es the crucial role of electricity grids in the EU's transition to a competitive, net-zero economy by 2050. It calls for the full exploration, optimi</w:t>
      </w:r>
      <w:r w:rsidR="00FA5419">
        <w:rPr>
          <w:sz w:val="24"/>
          <w:szCs w:val="24"/>
        </w:rPr>
        <w:t>s</w:t>
      </w:r>
      <w:r w:rsidRPr="00F54B71">
        <w:rPr>
          <w:sz w:val="24"/>
          <w:szCs w:val="24"/>
        </w:rPr>
        <w:t>ation, moderni</w:t>
      </w:r>
      <w:r w:rsidR="00FA5419">
        <w:rPr>
          <w:sz w:val="24"/>
          <w:szCs w:val="24"/>
        </w:rPr>
        <w:t>s</w:t>
      </w:r>
      <w:r w:rsidRPr="00F54B71">
        <w:rPr>
          <w:sz w:val="24"/>
          <w:szCs w:val="24"/>
        </w:rPr>
        <w:t>ation and expansion of electricity grids, including transmission and distribution, to accommodate renewable energy sources and increased electrification</w:t>
      </w:r>
      <w:r>
        <w:rPr>
          <w:sz w:val="24"/>
          <w:szCs w:val="24"/>
        </w:rPr>
        <w:t>.</w:t>
      </w:r>
    </w:p>
    <w:p w14:paraId="6865F801" w14:textId="77777777" w:rsidR="00C30EF7" w:rsidRDefault="00C30EF7" w:rsidP="005C392C">
      <w:pPr>
        <w:widowControl w:val="0"/>
        <w:spacing w:after="120"/>
        <w:rPr>
          <w:sz w:val="24"/>
          <w:szCs w:val="24"/>
        </w:rPr>
      </w:pPr>
    </w:p>
    <w:p w14:paraId="0997CDB2" w14:textId="5AD99640" w:rsidR="005C392C" w:rsidRDefault="005C392C" w:rsidP="005C392C">
      <w:pPr>
        <w:widowControl w:val="0"/>
        <w:spacing w:after="120"/>
        <w:rPr>
          <w:sz w:val="24"/>
          <w:szCs w:val="24"/>
        </w:rPr>
      </w:pPr>
      <w:r w:rsidRPr="005C392C">
        <w:rPr>
          <w:sz w:val="24"/>
          <w:szCs w:val="24"/>
        </w:rPr>
        <w:t>Among its main requests, the resolution calls on the Commission to:</w:t>
      </w:r>
    </w:p>
    <w:p w14:paraId="274579EC" w14:textId="77777777" w:rsidR="00C30EF7" w:rsidRPr="005C392C" w:rsidRDefault="00C30EF7" w:rsidP="005C392C">
      <w:pPr>
        <w:widowControl w:val="0"/>
        <w:spacing w:after="120"/>
        <w:rPr>
          <w:sz w:val="24"/>
          <w:szCs w:val="24"/>
        </w:rPr>
      </w:pPr>
    </w:p>
    <w:p w14:paraId="5E0D9FB1" w14:textId="10655844" w:rsidR="00F0006C" w:rsidRDefault="7D3B9A1D" w:rsidP="00C30154">
      <w:pPr>
        <w:pStyle w:val="ListParagraph"/>
        <w:widowControl w:val="0"/>
        <w:numPr>
          <w:ilvl w:val="0"/>
          <w:numId w:val="12"/>
        </w:numPr>
        <w:spacing w:after="120"/>
        <w:ind w:left="426"/>
        <w:jc w:val="both"/>
        <w:rPr>
          <w:b/>
          <w:bCs/>
          <w:sz w:val="24"/>
          <w:szCs w:val="24"/>
        </w:rPr>
      </w:pPr>
      <w:r w:rsidRPr="0E43A9AF">
        <w:rPr>
          <w:b/>
          <w:bCs/>
          <w:sz w:val="24"/>
          <w:szCs w:val="24"/>
        </w:rPr>
        <w:t xml:space="preserve">Upcoming Grid Package </w:t>
      </w:r>
      <w:r w:rsidR="205E081F" w:rsidRPr="0E43A9AF">
        <w:rPr>
          <w:b/>
          <w:bCs/>
          <w:sz w:val="24"/>
          <w:szCs w:val="24"/>
        </w:rPr>
        <w:t xml:space="preserve">and streamlining of permitting procedures </w:t>
      </w:r>
      <w:r w:rsidRPr="0E43A9AF">
        <w:rPr>
          <w:b/>
          <w:bCs/>
          <w:sz w:val="24"/>
          <w:szCs w:val="24"/>
        </w:rPr>
        <w:t xml:space="preserve">(Paragraphs </w:t>
      </w:r>
      <w:r w:rsidR="52DAA81F" w:rsidRPr="0E43A9AF">
        <w:rPr>
          <w:b/>
          <w:bCs/>
          <w:sz w:val="24"/>
          <w:szCs w:val="24"/>
        </w:rPr>
        <w:t>7,</w:t>
      </w:r>
      <w:r w:rsidR="1F1F3F76" w:rsidRPr="0E43A9AF">
        <w:rPr>
          <w:b/>
          <w:bCs/>
          <w:sz w:val="24"/>
          <w:szCs w:val="24"/>
        </w:rPr>
        <w:t xml:space="preserve"> </w:t>
      </w:r>
      <w:r w:rsidR="52DAA81F" w:rsidRPr="0E43A9AF">
        <w:rPr>
          <w:b/>
          <w:bCs/>
          <w:sz w:val="24"/>
          <w:szCs w:val="24"/>
        </w:rPr>
        <w:t>12, 13, 15, 18, 24, 26, 48, 69, 72, 73</w:t>
      </w:r>
      <w:r w:rsidRPr="0E43A9AF">
        <w:rPr>
          <w:b/>
          <w:bCs/>
          <w:sz w:val="24"/>
          <w:szCs w:val="24"/>
        </w:rPr>
        <w:t>)</w:t>
      </w:r>
    </w:p>
    <w:p w14:paraId="4F61AB6D" w14:textId="77777777" w:rsidR="00E82796" w:rsidRPr="00523BF4" w:rsidRDefault="00E82796" w:rsidP="00E82796">
      <w:pPr>
        <w:pStyle w:val="ListParagraph"/>
        <w:widowControl w:val="0"/>
        <w:spacing w:after="120"/>
        <w:jc w:val="both"/>
        <w:rPr>
          <w:b/>
          <w:bCs/>
          <w:sz w:val="24"/>
          <w:szCs w:val="24"/>
        </w:rPr>
      </w:pPr>
    </w:p>
    <w:p w14:paraId="4BB42B75" w14:textId="714C9F7D" w:rsidR="00F0006C" w:rsidRPr="00D22517" w:rsidRDefault="00F0006C" w:rsidP="00C30154">
      <w:pPr>
        <w:pStyle w:val="ListParagraph"/>
        <w:widowControl w:val="0"/>
        <w:numPr>
          <w:ilvl w:val="1"/>
          <w:numId w:val="12"/>
        </w:numPr>
        <w:spacing w:after="120"/>
        <w:ind w:left="851"/>
        <w:jc w:val="both"/>
        <w:rPr>
          <w:sz w:val="24"/>
          <w:szCs w:val="24"/>
        </w:rPr>
      </w:pPr>
      <w:r w:rsidRPr="00D22517">
        <w:rPr>
          <w:sz w:val="24"/>
          <w:szCs w:val="24"/>
        </w:rPr>
        <w:t>Ensure integrated</w:t>
      </w:r>
      <w:r w:rsidR="004674B8">
        <w:rPr>
          <w:sz w:val="24"/>
          <w:szCs w:val="24"/>
        </w:rPr>
        <w:t xml:space="preserve">, coordinated and </w:t>
      </w:r>
      <w:r w:rsidR="00DC4BAF">
        <w:rPr>
          <w:sz w:val="24"/>
          <w:szCs w:val="24"/>
        </w:rPr>
        <w:t>cross-sectorial</w:t>
      </w:r>
      <w:r w:rsidRPr="00D22517">
        <w:rPr>
          <w:sz w:val="24"/>
          <w:szCs w:val="24"/>
        </w:rPr>
        <w:t xml:space="preserve"> planning and alignment of electricity network development plans with national energy and climate plans (NECPs) for all voltage levels</w:t>
      </w:r>
      <w:r>
        <w:rPr>
          <w:sz w:val="24"/>
          <w:szCs w:val="24"/>
        </w:rPr>
        <w:t xml:space="preserve"> and s</w:t>
      </w:r>
      <w:r w:rsidRPr="00D22517">
        <w:rPr>
          <w:sz w:val="24"/>
          <w:szCs w:val="24"/>
        </w:rPr>
        <w:t>et out an EU strategy to reduce the dispatch-down of renewable electricity</w:t>
      </w:r>
      <w:r>
        <w:rPr>
          <w:sz w:val="24"/>
          <w:szCs w:val="24"/>
        </w:rPr>
        <w:t>;</w:t>
      </w:r>
    </w:p>
    <w:p w14:paraId="0099A202" w14:textId="0C7E7EFC" w:rsidR="00F0006C" w:rsidRPr="00D22517" w:rsidRDefault="00F0006C" w:rsidP="00C30154">
      <w:pPr>
        <w:pStyle w:val="ListParagraph"/>
        <w:widowControl w:val="0"/>
        <w:numPr>
          <w:ilvl w:val="1"/>
          <w:numId w:val="12"/>
        </w:numPr>
        <w:spacing w:after="120"/>
        <w:ind w:left="851"/>
        <w:jc w:val="both"/>
        <w:rPr>
          <w:sz w:val="24"/>
          <w:szCs w:val="24"/>
        </w:rPr>
      </w:pPr>
      <w:r w:rsidRPr="00D22517">
        <w:rPr>
          <w:sz w:val="24"/>
          <w:szCs w:val="24"/>
        </w:rPr>
        <w:t>Propose a targeted revision of the TEN-E Regulation to introduce a robust planning process with a strengthened role for</w:t>
      </w:r>
      <w:r w:rsidR="001947C3">
        <w:rPr>
          <w:sz w:val="24"/>
          <w:szCs w:val="24"/>
        </w:rPr>
        <w:t xml:space="preserve"> the</w:t>
      </w:r>
      <w:r w:rsidRPr="00D22517">
        <w:rPr>
          <w:sz w:val="24"/>
          <w:szCs w:val="24"/>
        </w:rPr>
        <w:t xml:space="preserve"> </w:t>
      </w:r>
      <w:r w:rsidR="001947C3" w:rsidRPr="001947C3">
        <w:rPr>
          <w:sz w:val="24"/>
          <w:szCs w:val="24"/>
        </w:rPr>
        <w:t xml:space="preserve">Agency for the Cooperation of Energy Regulators </w:t>
      </w:r>
      <w:r w:rsidR="001947C3">
        <w:rPr>
          <w:sz w:val="24"/>
          <w:szCs w:val="24"/>
        </w:rPr>
        <w:t>(</w:t>
      </w:r>
      <w:r w:rsidRPr="00D22517">
        <w:rPr>
          <w:sz w:val="24"/>
          <w:szCs w:val="24"/>
        </w:rPr>
        <w:t>ACER</w:t>
      </w:r>
      <w:r w:rsidR="001947C3">
        <w:rPr>
          <w:sz w:val="24"/>
          <w:szCs w:val="24"/>
        </w:rPr>
        <w:t>)</w:t>
      </w:r>
      <w:r w:rsidRPr="00D22517">
        <w:rPr>
          <w:sz w:val="24"/>
          <w:szCs w:val="24"/>
        </w:rPr>
        <w:t>, ensure scenarios are drawn up in line with the decarbonisation agenda and simplify the application process for small and medium-sized distribution system operators</w:t>
      </w:r>
      <w:r w:rsidR="008D10A3">
        <w:rPr>
          <w:sz w:val="24"/>
          <w:szCs w:val="24"/>
        </w:rPr>
        <w:t xml:space="preserve"> </w:t>
      </w:r>
      <w:r>
        <w:rPr>
          <w:sz w:val="24"/>
          <w:szCs w:val="24"/>
        </w:rPr>
        <w:t>and easier access for smart electricity grid projects</w:t>
      </w:r>
      <w:r w:rsidRPr="00D22517">
        <w:rPr>
          <w:sz w:val="24"/>
          <w:szCs w:val="24"/>
        </w:rPr>
        <w:t>;</w:t>
      </w:r>
    </w:p>
    <w:p w14:paraId="20E8D1D0" w14:textId="44D9D406" w:rsidR="00F0006C" w:rsidRPr="00D22517" w:rsidRDefault="00F0006C" w:rsidP="00C30154">
      <w:pPr>
        <w:pStyle w:val="ListParagraph"/>
        <w:widowControl w:val="0"/>
        <w:numPr>
          <w:ilvl w:val="1"/>
          <w:numId w:val="12"/>
        </w:numPr>
        <w:spacing w:after="120"/>
        <w:ind w:left="851"/>
        <w:jc w:val="both"/>
        <w:rPr>
          <w:sz w:val="24"/>
          <w:szCs w:val="24"/>
        </w:rPr>
      </w:pPr>
      <w:r w:rsidRPr="00D22517">
        <w:rPr>
          <w:sz w:val="24"/>
          <w:szCs w:val="24"/>
        </w:rPr>
        <w:t xml:space="preserve">Enhance cooperation with neighbouring countries through </w:t>
      </w:r>
      <w:r w:rsidR="00483E38">
        <w:rPr>
          <w:sz w:val="24"/>
          <w:szCs w:val="24"/>
        </w:rPr>
        <w:t>Projects of Mutual Interest (</w:t>
      </w:r>
      <w:r w:rsidRPr="00D22517">
        <w:rPr>
          <w:sz w:val="24"/>
          <w:szCs w:val="24"/>
        </w:rPr>
        <w:t>PMI</w:t>
      </w:r>
      <w:r w:rsidR="00483E38">
        <w:rPr>
          <w:sz w:val="24"/>
          <w:szCs w:val="24"/>
        </w:rPr>
        <w:t>)</w:t>
      </w:r>
      <w:r w:rsidR="001438CE">
        <w:rPr>
          <w:sz w:val="24"/>
          <w:szCs w:val="24"/>
        </w:rPr>
        <w:t xml:space="preserve"> and w</w:t>
      </w:r>
      <w:r w:rsidR="001438CE" w:rsidRPr="00D22517">
        <w:rPr>
          <w:sz w:val="24"/>
          <w:szCs w:val="24"/>
        </w:rPr>
        <w:t>ork closely with the UK to agree on a mutually beneficial trading arrangement</w:t>
      </w:r>
      <w:r>
        <w:rPr>
          <w:sz w:val="24"/>
          <w:szCs w:val="24"/>
        </w:rPr>
        <w:t>;</w:t>
      </w:r>
    </w:p>
    <w:p w14:paraId="1EC5DD0D" w14:textId="25A3D7A0" w:rsidR="00F0006C" w:rsidRPr="00D22517" w:rsidRDefault="00F0006C" w:rsidP="00C30154">
      <w:pPr>
        <w:pStyle w:val="ListParagraph"/>
        <w:widowControl w:val="0"/>
        <w:numPr>
          <w:ilvl w:val="1"/>
          <w:numId w:val="12"/>
        </w:numPr>
        <w:spacing w:after="120"/>
        <w:ind w:left="851"/>
        <w:jc w:val="both"/>
        <w:rPr>
          <w:sz w:val="24"/>
          <w:szCs w:val="24"/>
        </w:rPr>
      </w:pPr>
      <w:r w:rsidRPr="00D22517">
        <w:rPr>
          <w:sz w:val="24"/>
          <w:szCs w:val="24"/>
        </w:rPr>
        <w:t>Develop guidelines to harmonise and increase transparency of national development planning for distribution grids and require transmission</w:t>
      </w:r>
      <w:r w:rsidR="00850A0F">
        <w:rPr>
          <w:sz w:val="24"/>
          <w:szCs w:val="24"/>
        </w:rPr>
        <w:t xml:space="preserve"> (TSO)</w:t>
      </w:r>
      <w:r w:rsidRPr="00D22517">
        <w:rPr>
          <w:sz w:val="24"/>
          <w:szCs w:val="24"/>
        </w:rPr>
        <w:t xml:space="preserve"> and distribution </w:t>
      </w:r>
      <w:r w:rsidR="00E841CB">
        <w:rPr>
          <w:sz w:val="24"/>
          <w:szCs w:val="24"/>
        </w:rPr>
        <w:t xml:space="preserve">(DSO) </w:t>
      </w:r>
      <w:r w:rsidRPr="00D22517">
        <w:rPr>
          <w:sz w:val="24"/>
          <w:szCs w:val="24"/>
        </w:rPr>
        <w:t>operators to provide energy regulators with necessary data</w:t>
      </w:r>
      <w:r>
        <w:rPr>
          <w:sz w:val="24"/>
          <w:szCs w:val="24"/>
        </w:rPr>
        <w:t>;</w:t>
      </w:r>
    </w:p>
    <w:p w14:paraId="3E64440E" w14:textId="0BF64AFC" w:rsidR="00F0006C" w:rsidRPr="004B6BF4" w:rsidRDefault="00F0006C" w:rsidP="00C30154">
      <w:pPr>
        <w:pStyle w:val="ListParagraph"/>
        <w:widowControl w:val="0"/>
        <w:numPr>
          <w:ilvl w:val="1"/>
          <w:numId w:val="12"/>
        </w:numPr>
        <w:spacing w:after="120"/>
        <w:ind w:left="851"/>
        <w:jc w:val="both"/>
        <w:rPr>
          <w:sz w:val="24"/>
          <w:szCs w:val="24"/>
        </w:rPr>
      </w:pPr>
      <w:r w:rsidRPr="004B6BF4">
        <w:rPr>
          <w:sz w:val="24"/>
          <w:szCs w:val="24"/>
        </w:rPr>
        <w:t>Closely monitor the implementation of the Renewable Energy Directive</w:t>
      </w:r>
      <w:r w:rsidR="00EF62BF" w:rsidRPr="004B6BF4">
        <w:rPr>
          <w:sz w:val="24"/>
          <w:szCs w:val="24"/>
        </w:rPr>
        <w:t xml:space="preserve"> (RED)</w:t>
      </w:r>
      <w:r w:rsidRPr="004B6BF4">
        <w:rPr>
          <w:sz w:val="24"/>
          <w:szCs w:val="24"/>
        </w:rPr>
        <w:t xml:space="preserve"> and assess if revised permitting provisions are sufficient to deliver on EU objectives</w:t>
      </w:r>
      <w:r w:rsidR="004B6BF4" w:rsidRPr="004B6BF4">
        <w:rPr>
          <w:sz w:val="24"/>
          <w:szCs w:val="24"/>
        </w:rPr>
        <w:t>,</w:t>
      </w:r>
      <w:r w:rsidRPr="004B6BF4">
        <w:rPr>
          <w:sz w:val="24"/>
          <w:szCs w:val="24"/>
        </w:rPr>
        <w:t xml:space="preserve"> introduce mandatory digital application, submission and processing requirements</w:t>
      </w:r>
      <w:r w:rsidR="007F3458">
        <w:rPr>
          <w:sz w:val="24"/>
          <w:szCs w:val="24"/>
        </w:rPr>
        <w:t>,</w:t>
      </w:r>
      <w:r w:rsidR="004B6BF4" w:rsidRPr="00C177C4">
        <w:rPr>
          <w:sz w:val="24"/>
          <w:szCs w:val="24"/>
        </w:rPr>
        <w:t xml:space="preserve"> and </w:t>
      </w:r>
      <w:r w:rsidR="00376F4D">
        <w:rPr>
          <w:sz w:val="24"/>
          <w:szCs w:val="24"/>
        </w:rPr>
        <w:t>s</w:t>
      </w:r>
      <w:r w:rsidRPr="004B6BF4">
        <w:rPr>
          <w:sz w:val="24"/>
          <w:szCs w:val="24"/>
        </w:rPr>
        <w:t>et out guidelines for Member States to include a principle of tacit approval in their national planning systems;</w:t>
      </w:r>
    </w:p>
    <w:p w14:paraId="2793A40B" w14:textId="5B435747" w:rsidR="00F0006C" w:rsidRPr="00D22517" w:rsidRDefault="3B57D207" w:rsidP="00C30154">
      <w:pPr>
        <w:pStyle w:val="ListParagraph"/>
        <w:widowControl w:val="0"/>
        <w:numPr>
          <w:ilvl w:val="1"/>
          <w:numId w:val="12"/>
        </w:numPr>
        <w:spacing w:after="120"/>
        <w:ind w:left="851"/>
        <w:jc w:val="both"/>
        <w:rPr>
          <w:sz w:val="24"/>
          <w:szCs w:val="24"/>
        </w:rPr>
      </w:pPr>
      <w:r w:rsidRPr="0E43A9AF">
        <w:rPr>
          <w:sz w:val="24"/>
          <w:szCs w:val="24"/>
        </w:rPr>
        <w:t>R</w:t>
      </w:r>
      <w:r w:rsidR="4F999001" w:rsidRPr="0E43A9AF">
        <w:rPr>
          <w:sz w:val="24"/>
          <w:szCs w:val="24"/>
        </w:rPr>
        <w:t>eview and improve existing cost-sharing mechanisms to ensure they reflect the shared benefits of infrastructure and address the diversity of electricity flows;</w:t>
      </w:r>
    </w:p>
    <w:p w14:paraId="1FF8CB5F" w14:textId="76CE5478" w:rsidR="00F0006C" w:rsidRPr="001438CE" w:rsidRDefault="00F0006C" w:rsidP="00C30154">
      <w:pPr>
        <w:pStyle w:val="ListParagraph"/>
        <w:widowControl w:val="0"/>
        <w:numPr>
          <w:ilvl w:val="1"/>
          <w:numId w:val="12"/>
        </w:numPr>
        <w:spacing w:after="120"/>
        <w:ind w:left="851"/>
        <w:jc w:val="both"/>
        <w:rPr>
          <w:sz w:val="24"/>
          <w:szCs w:val="24"/>
        </w:rPr>
      </w:pPr>
      <w:r w:rsidRPr="00D22517">
        <w:rPr>
          <w:sz w:val="24"/>
          <w:szCs w:val="24"/>
        </w:rPr>
        <w:t xml:space="preserve">Strengthen regional cooperation on grid planning and energy cooperation across all sea basins with neighbouring countries, particularly in offshore wind energy </w:t>
      </w:r>
      <w:r w:rsidRPr="00D22517">
        <w:rPr>
          <w:sz w:val="24"/>
          <w:szCs w:val="24"/>
        </w:rPr>
        <w:lastRenderedPageBreak/>
        <w:t>development</w:t>
      </w:r>
      <w:r>
        <w:rPr>
          <w:sz w:val="24"/>
          <w:szCs w:val="24"/>
        </w:rPr>
        <w:t>;</w:t>
      </w:r>
    </w:p>
    <w:p w14:paraId="269EB596" w14:textId="52E2B88B" w:rsidR="00F0006C" w:rsidRDefault="00F0006C" w:rsidP="00C30154">
      <w:pPr>
        <w:pStyle w:val="ListParagraph"/>
        <w:widowControl w:val="0"/>
        <w:numPr>
          <w:ilvl w:val="1"/>
          <w:numId w:val="12"/>
        </w:numPr>
        <w:spacing w:after="120"/>
        <w:ind w:left="851"/>
        <w:jc w:val="both"/>
        <w:rPr>
          <w:sz w:val="24"/>
          <w:szCs w:val="24"/>
        </w:rPr>
      </w:pPr>
      <w:r w:rsidRPr="00D22517">
        <w:rPr>
          <w:sz w:val="24"/>
          <w:szCs w:val="24"/>
        </w:rPr>
        <w:t>Address the specific needs of EU's outermost regions and propose additional financial support to improve their energy system autonomy and interconnection.</w:t>
      </w:r>
    </w:p>
    <w:p w14:paraId="31A8F1B4" w14:textId="77777777" w:rsidR="00F0006C" w:rsidRPr="00D22517" w:rsidRDefault="00F0006C" w:rsidP="00E82796">
      <w:pPr>
        <w:widowControl w:val="0"/>
        <w:spacing w:after="120"/>
        <w:ind w:left="1080"/>
        <w:jc w:val="both"/>
        <w:rPr>
          <w:sz w:val="24"/>
          <w:szCs w:val="24"/>
        </w:rPr>
      </w:pPr>
    </w:p>
    <w:p w14:paraId="394D5D0C" w14:textId="0B110C57" w:rsidR="00F0006C" w:rsidRPr="0039041B" w:rsidRDefault="3980D762" w:rsidP="00C30154">
      <w:pPr>
        <w:pStyle w:val="ListParagraph"/>
        <w:widowControl w:val="0"/>
        <w:numPr>
          <w:ilvl w:val="0"/>
          <w:numId w:val="12"/>
        </w:numPr>
        <w:spacing w:after="120"/>
        <w:ind w:left="426"/>
        <w:jc w:val="both"/>
        <w:rPr>
          <w:b/>
          <w:bCs/>
          <w:sz w:val="24"/>
          <w:szCs w:val="24"/>
        </w:rPr>
      </w:pPr>
      <w:r w:rsidRPr="0E43A9AF">
        <w:rPr>
          <w:b/>
          <w:bCs/>
          <w:sz w:val="24"/>
          <w:szCs w:val="24"/>
        </w:rPr>
        <w:t>F</w:t>
      </w:r>
      <w:r w:rsidR="4F999001" w:rsidRPr="0E43A9AF">
        <w:rPr>
          <w:b/>
          <w:bCs/>
          <w:sz w:val="24"/>
          <w:szCs w:val="24"/>
        </w:rPr>
        <w:t>inancing</w:t>
      </w:r>
      <w:r w:rsidR="0989F80A" w:rsidRPr="0E43A9AF">
        <w:rPr>
          <w:b/>
          <w:bCs/>
          <w:sz w:val="24"/>
          <w:szCs w:val="24"/>
        </w:rPr>
        <w:t xml:space="preserve"> (paragraphs </w:t>
      </w:r>
      <w:r w:rsidR="0A957674" w:rsidRPr="0E43A9AF">
        <w:rPr>
          <w:b/>
          <w:bCs/>
          <w:sz w:val="24"/>
          <w:szCs w:val="24"/>
          <w:lang w:val="en-IE"/>
        </w:rPr>
        <w:t>35, 37, 39, 42 &amp; 50)</w:t>
      </w:r>
      <w:r w:rsidR="4F999001" w:rsidRPr="0E43A9AF">
        <w:rPr>
          <w:b/>
          <w:bCs/>
          <w:sz w:val="24"/>
          <w:szCs w:val="24"/>
        </w:rPr>
        <w:t>:</w:t>
      </w:r>
    </w:p>
    <w:p w14:paraId="67F75E9A" w14:textId="2825F7C6" w:rsidR="00F0006C" w:rsidRPr="003170ED" w:rsidRDefault="00F0006C" w:rsidP="00C30154">
      <w:pPr>
        <w:pStyle w:val="ListParagraph"/>
        <w:widowControl w:val="0"/>
        <w:numPr>
          <w:ilvl w:val="1"/>
          <w:numId w:val="12"/>
        </w:numPr>
        <w:spacing w:after="120"/>
        <w:ind w:left="851"/>
        <w:jc w:val="both"/>
        <w:rPr>
          <w:sz w:val="24"/>
          <w:szCs w:val="24"/>
        </w:rPr>
      </w:pPr>
      <w:r w:rsidRPr="003170ED">
        <w:rPr>
          <w:sz w:val="24"/>
          <w:szCs w:val="24"/>
        </w:rPr>
        <w:t xml:space="preserve">Increase </w:t>
      </w:r>
      <w:r w:rsidR="009F5F02">
        <w:rPr>
          <w:sz w:val="24"/>
          <w:szCs w:val="24"/>
        </w:rPr>
        <w:t>Connecting Europe Facility (</w:t>
      </w:r>
      <w:r w:rsidRPr="003170ED">
        <w:rPr>
          <w:sz w:val="24"/>
          <w:szCs w:val="24"/>
        </w:rPr>
        <w:t>CEF</w:t>
      </w:r>
      <w:r w:rsidR="009F5F02">
        <w:rPr>
          <w:sz w:val="24"/>
          <w:szCs w:val="24"/>
        </w:rPr>
        <w:t>)</w:t>
      </w:r>
      <w:r w:rsidRPr="003170ED">
        <w:rPr>
          <w:sz w:val="24"/>
          <w:szCs w:val="24"/>
        </w:rPr>
        <w:t xml:space="preserve"> </w:t>
      </w:r>
      <w:r w:rsidR="00BA12B4">
        <w:rPr>
          <w:sz w:val="24"/>
          <w:szCs w:val="24"/>
        </w:rPr>
        <w:t>financing for</w:t>
      </w:r>
      <w:r w:rsidRPr="003170ED">
        <w:rPr>
          <w:sz w:val="24"/>
          <w:szCs w:val="24"/>
        </w:rPr>
        <w:t xml:space="preserve"> electricity infrastructure in the next Multiannual </w:t>
      </w:r>
      <w:r w:rsidR="00BA12B4">
        <w:rPr>
          <w:sz w:val="24"/>
          <w:szCs w:val="24"/>
        </w:rPr>
        <w:t>F</w:t>
      </w:r>
      <w:r w:rsidRPr="003170ED">
        <w:rPr>
          <w:sz w:val="24"/>
          <w:szCs w:val="24"/>
        </w:rPr>
        <w:t xml:space="preserve">inancial </w:t>
      </w:r>
      <w:r w:rsidR="00BA12B4">
        <w:rPr>
          <w:sz w:val="24"/>
          <w:szCs w:val="24"/>
        </w:rPr>
        <w:t>F</w:t>
      </w:r>
      <w:r w:rsidRPr="003170ED">
        <w:rPr>
          <w:sz w:val="24"/>
          <w:szCs w:val="24"/>
        </w:rPr>
        <w:t>ramework</w:t>
      </w:r>
      <w:r w:rsidR="00BA12B4">
        <w:rPr>
          <w:sz w:val="24"/>
          <w:szCs w:val="24"/>
        </w:rPr>
        <w:t xml:space="preserve"> (MFF)</w:t>
      </w:r>
      <w:r w:rsidRPr="003170ED">
        <w:rPr>
          <w:sz w:val="24"/>
          <w:szCs w:val="24"/>
        </w:rPr>
        <w:t xml:space="preserve"> while ensuring that projects at distribution level are eligible;</w:t>
      </w:r>
    </w:p>
    <w:p w14:paraId="17F515CF" w14:textId="769C7217" w:rsidR="00F0006C" w:rsidRPr="003170ED" w:rsidRDefault="00F0006C" w:rsidP="00C30154">
      <w:pPr>
        <w:pStyle w:val="ListParagraph"/>
        <w:widowControl w:val="0"/>
        <w:numPr>
          <w:ilvl w:val="1"/>
          <w:numId w:val="12"/>
        </w:numPr>
        <w:spacing w:after="120"/>
        <w:ind w:left="851"/>
        <w:jc w:val="both"/>
        <w:rPr>
          <w:sz w:val="24"/>
          <w:szCs w:val="24"/>
        </w:rPr>
      </w:pPr>
      <w:r w:rsidRPr="003170ED">
        <w:rPr>
          <w:sz w:val="24"/>
          <w:szCs w:val="24"/>
        </w:rPr>
        <w:t>Explore co-financing possibilities between CEF and the Renewable Energy Financing Mechanism;</w:t>
      </w:r>
    </w:p>
    <w:p w14:paraId="30527433" w14:textId="77777777" w:rsidR="00F0006C" w:rsidRPr="003170ED" w:rsidRDefault="00F0006C" w:rsidP="00C30154">
      <w:pPr>
        <w:pStyle w:val="ListParagraph"/>
        <w:widowControl w:val="0"/>
        <w:numPr>
          <w:ilvl w:val="1"/>
          <w:numId w:val="12"/>
        </w:numPr>
        <w:spacing w:after="120"/>
        <w:ind w:left="851"/>
        <w:jc w:val="both"/>
        <w:rPr>
          <w:sz w:val="24"/>
          <w:szCs w:val="24"/>
        </w:rPr>
      </w:pPr>
      <w:r w:rsidRPr="003170ED">
        <w:rPr>
          <w:sz w:val="24"/>
          <w:szCs w:val="24"/>
        </w:rPr>
        <w:t>Propose a dedicated funding instrument to support decentralised and innovative grid projects;</w:t>
      </w:r>
    </w:p>
    <w:p w14:paraId="6640A5BC" w14:textId="436B30F7" w:rsidR="00F0006C" w:rsidRDefault="4F999001" w:rsidP="00C30154">
      <w:pPr>
        <w:pStyle w:val="ListParagraph"/>
        <w:widowControl w:val="0"/>
        <w:numPr>
          <w:ilvl w:val="1"/>
          <w:numId w:val="12"/>
        </w:numPr>
        <w:spacing w:after="120"/>
        <w:ind w:left="851"/>
        <w:jc w:val="both"/>
        <w:rPr>
          <w:sz w:val="24"/>
          <w:szCs w:val="24"/>
        </w:rPr>
      </w:pPr>
      <w:r w:rsidRPr="0E43A9AF">
        <w:rPr>
          <w:sz w:val="24"/>
          <w:szCs w:val="24"/>
        </w:rPr>
        <w:t>Strengthen financing and de-risking initiatives and tools (with the EIB) to support electricity grid expansion and modernisation.</w:t>
      </w:r>
    </w:p>
    <w:p w14:paraId="59231C00" w14:textId="77777777" w:rsidR="00175AB8" w:rsidRPr="00175AB8" w:rsidRDefault="00175AB8" w:rsidP="00175AB8">
      <w:pPr>
        <w:widowControl w:val="0"/>
        <w:spacing w:after="120"/>
        <w:jc w:val="both"/>
        <w:rPr>
          <w:sz w:val="24"/>
          <w:szCs w:val="24"/>
        </w:rPr>
      </w:pPr>
    </w:p>
    <w:p w14:paraId="32F60BC2" w14:textId="25DCABC7" w:rsidR="00F0006C" w:rsidRPr="00175AB8" w:rsidRDefault="00F0006C" w:rsidP="00C30154">
      <w:pPr>
        <w:pStyle w:val="ListParagraph"/>
        <w:widowControl w:val="0"/>
        <w:numPr>
          <w:ilvl w:val="0"/>
          <w:numId w:val="12"/>
        </w:numPr>
        <w:spacing w:after="120"/>
        <w:ind w:left="426"/>
        <w:jc w:val="both"/>
        <w:rPr>
          <w:b/>
          <w:bCs/>
          <w:sz w:val="24"/>
          <w:szCs w:val="24"/>
        </w:rPr>
      </w:pPr>
      <w:r w:rsidRPr="00175AB8">
        <w:rPr>
          <w:b/>
          <w:bCs/>
          <w:sz w:val="24"/>
          <w:szCs w:val="24"/>
        </w:rPr>
        <w:t>Energy security</w:t>
      </w:r>
      <w:r w:rsidR="00175AB8" w:rsidRPr="00175AB8">
        <w:rPr>
          <w:b/>
          <w:bCs/>
          <w:sz w:val="24"/>
          <w:szCs w:val="24"/>
        </w:rPr>
        <w:t xml:space="preserve"> </w:t>
      </w:r>
      <w:r w:rsidR="00C836DA">
        <w:rPr>
          <w:b/>
          <w:bCs/>
          <w:sz w:val="24"/>
          <w:szCs w:val="24"/>
        </w:rPr>
        <w:t xml:space="preserve">and environmental solutions </w:t>
      </w:r>
      <w:r w:rsidR="00175AB8" w:rsidRPr="00175AB8">
        <w:rPr>
          <w:b/>
          <w:bCs/>
          <w:sz w:val="24"/>
          <w:szCs w:val="24"/>
        </w:rPr>
        <w:t>(paragraphs 54, 55, 56, 62)</w:t>
      </w:r>
      <w:r w:rsidRPr="00175AB8">
        <w:rPr>
          <w:b/>
          <w:bCs/>
          <w:sz w:val="24"/>
          <w:szCs w:val="24"/>
        </w:rPr>
        <w:t>:</w:t>
      </w:r>
    </w:p>
    <w:p w14:paraId="242DF090" w14:textId="52DDF894" w:rsidR="00F0006C" w:rsidRDefault="00F0006C" w:rsidP="00C30154">
      <w:pPr>
        <w:pStyle w:val="ListParagraph"/>
        <w:widowControl w:val="0"/>
        <w:numPr>
          <w:ilvl w:val="1"/>
          <w:numId w:val="13"/>
        </w:numPr>
        <w:spacing w:after="120"/>
        <w:ind w:left="851"/>
        <w:jc w:val="both"/>
        <w:rPr>
          <w:sz w:val="24"/>
          <w:szCs w:val="24"/>
        </w:rPr>
      </w:pPr>
      <w:r w:rsidRPr="0039041B">
        <w:rPr>
          <w:sz w:val="24"/>
          <w:szCs w:val="24"/>
        </w:rPr>
        <w:t>Develop guidelines for National Regulatory Authorities (NRA) to ensure initial grid project planning includes additional security measures and environmental solutions</w:t>
      </w:r>
      <w:r>
        <w:rPr>
          <w:sz w:val="24"/>
          <w:szCs w:val="24"/>
        </w:rPr>
        <w:t>;</w:t>
      </w:r>
    </w:p>
    <w:p w14:paraId="11728B0C" w14:textId="77777777" w:rsidR="00F0006C" w:rsidRPr="0039041B" w:rsidRDefault="00F0006C" w:rsidP="00C30154">
      <w:pPr>
        <w:pStyle w:val="ListParagraph"/>
        <w:widowControl w:val="0"/>
        <w:numPr>
          <w:ilvl w:val="1"/>
          <w:numId w:val="13"/>
        </w:numPr>
        <w:spacing w:after="120"/>
        <w:ind w:left="851"/>
        <w:jc w:val="both"/>
        <w:rPr>
          <w:sz w:val="24"/>
          <w:szCs w:val="24"/>
        </w:rPr>
      </w:pPr>
      <w:r w:rsidRPr="0039041B">
        <w:rPr>
          <w:sz w:val="24"/>
          <w:szCs w:val="24"/>
        </w:rPr>
        <w:t>Support Member States in finding solutions to increase the protection and resilience of critical infrastructure</w:t>
      </w:r>
      <w:r>
        <w:rPr>
          <w:sz w:val="24"/>
          <w:szCs w:val="24"/>
        </w:rPr>
        <w:t xml:space="preserve"> (including cybersecurity)</w:t>
      </w:r>
      <w:r w:rsidRPr="0039041B">
        <w:rPr>
          <w:sz w:val="24"/>
          <w:szCs w:val="24"/>
        </w:rPr>
        <w:t>, including financing measures and technologies</w:t>
      </w:r>
      <w:r>
        <w:rPr>
          <w:sz w:val="24"/>
          <w:szCs w:val="24"/>
        </w:rPr>
        <w:t>;</w:t>
      </w:r>
    </w:p>
    <w:p w14:paraId="724D10D1" w14:textId="77777777" w:rsidR="00F0006C" w:rsidRDefault="00F0006C" w:rsidP="00C30154">
      <w:pPr>
        <w:pStyle w:val="ListParagraph"/>
        <w:widowControl w:val="0"/>
        <w:numPr>
          <w:ilvl w:val="1"/>
          <w:numId w:val="13"/>
        </w:numPr>
        <w:spacing w:after="120"/>
        <w:ind w:left="851"/>
        <w:jc w:val="both"/>
        <w:rPr>
          <w:sz w:val="24"/>
          <w:szCs w:val="24"/>
        </w:rPr>
      </w:pPr>
      <w:r w:rsidRPr="0039041B">
        <w:rPr>
          <w:sz w:val="24"/>
          <w:szCs w:val="24"/>
        </w:rPr>
        <w:t xml:space="preserve">Enhance recycling of critical raw materials and support strategic partnerships and trade agreements to secure access to these key materials </w:t>
      </w:r>
      <w:r>
        <w:rPr>
          <w:sz w:val="24"/>
          <w:szCs w:val="24"/>
        </w:rPr>
        <w:t>while</w:t>
      </w:r>
      <w:r w:rsidRPr="0039041B">
        <w:rPr>
          <w:sz w:val="24"/>
          <w:szCs w:val="24"/>
        </w:rPr>
        <w:t xml:space="preserve"> diversify</w:t>
      </w:r>
      <w:r>
        <w:rPr>
          <w:sz w:val="24"/>
          <w:szCs w:val="24"/>
        </w:rPr>
        <w:t>ing</w:t>
      </w:r>
      <w:r w:rsidRPr="0039041B">
        <w:rPr>
          <w:sz w:val="24"/>
          <w:szCs w:val="24"/>
        </w:rPr>
        <w:t xml:space="preserve"> sources of supply</w:t>
      </w:r>
      <w:r>
        <w:rPr>
          <w:sz w:val="24"/>
          <w:szCs w:val="24"/>
        </w:rPr>
        <w:t>.</w:t>
      </w:r>
    </w:p>
    <w:p w14:paraId="32A146B2" w14:textId="77777777" w:rsidR="00C30154" w:rsidRDefault="00C30154" w:rsidP="00C30154">
      <w:pPr>
        <w:pStyle w:val="ListParagraph"/>
        <w:widowControl w:val="0"/>
        <w:spacing w:after="120" w:line="259" w:lineRule="auto"/>
        <w:ind w:left="426"/>
        <w:jc w:val="both"/>
        <w:rPr>
          <w:b/>
          <w:bCs/>
          <w:sz w:val="24"/>
          <w:szCs w:val="24"/>
          <w:lang w:val="en-IE"/>
        </w:rPr>
      </w:pPr>
    </w:p>
    <w:p w14:paraId="1E19E6CF" w14:textId="1A2C5ABA" w:rsidR="00F0006C" w:rsidRDefault="00F0006C" w:rsidP="00C30154">
      <w:pPr>
        <w:pStyle w:val="ListParagraph"/>
        <w:widowControl w:val="0"/>
        <w:numPr>
          <w:ilvl w:val="0"/>
          <w:numId w:val="13"/>
        </w:numPr>
        <w:spacing w:after="120" w:line="259" w:lineRule="auto"/>
        <w:ind w:left="426"/>
        <w:jc w:val="both"/>
        <w:rPr>
          <w:b/>
          <w:bCs/>
          <w:sz w:val="24"/>
          <w:szCs w:val="24"/>
          <w:lang w:val="en-IE"/>
        </w:rPr>
      </w:pPr>
      <w:r>
        <w:rPr>
          <w:b/>
          <w:bCs/>
          <w:sz w:val="24"/>
          <w:szCs w:val="24"/>
          <w:lang w:val="en-IE"/>
        </w:rPr>
        <w:t>Implementation of Grid Action Plan</w:t>
      </w:r>
      <w:r w:rsidR="002A58AE">
        <w:rPr>
          <w:b/>
          <w:bCs/>
          <w:sz w:val="24"/>
          <w:szCs w:val="24"/>
          <w:lang w:val="en-IE"/>
        </w:rPr>
        <w:t xml:space="preserve"> (paragraphs 27, 41 &amp; 51)</w:t>
      </w:r>
      <w:r w:rsidR="007152C6">
        <w:rPr>
          <w:b/>
          <w:bCs/>
          <w:sz w:val="24"/>
          <w:szCs w:val="24"/>
          <w:lang w:val="en-IE"/>
        </w:rPr>
        <w:t>:</w:t>
      </w:r>
    </w:p>
    <w:p w14:paraId="62B8562F" w14:textId="77777777" w:rsidR="00F0006C" w:rsidRPr="006426AE" w:rsidRDefault="00F0006C" w:rsidP="00C30154">
      <w:pPr>
        <w:pStyle w:val="ListParagraph"/>
        <w:widowControl w:val="0"/>
        <w:numPr>
          <w:ilvl w:val="1"/>
          <w:numId w:val="13"/>
        </w:numPr>
        <w:spacing w:after="120" w:line="259" w:lineRule="auto"/>
        <w:ind w:left="851"/>
        <w:jc w:val="both"/>
        <w:rPr>
          <w:sz w:val="24"/>
          <w:szCs w:val="24"/>
          <w:lang w:val="en-IE"/>
        </w:rPr>
      </w:pPr>
      <w:r w:rsidRPr="006426AE">
        <w:rPr>
          <w:sz w:val="24"/>
          <w:szCs w:val="24"/>
          <w:lang w:val="en-IE"/>
        </w:rPr>
        <w:t>Develop a set of best practices for public acceptance and public engagement to be shared among Member States when developing new grid projects;</w:t>
      </w:r>
    </w:p>
    <w:p w14:paraId="54CF31C0" w14:textId="77777777" w:rsidR="00F0006C" w:rsidRPr="006426AE" w:rsidRDefault="00F0006C" w:rsidP="00C30154">
      <w:pPr>
        <w:pStyle w:val="ListParagraph"/>
        <w:widowControl w:val="0"/>
        <w:numPr>
          <w:ilvl w:val="1"/>
          <w:numId w:val="13"/>
        </w:numPr>
        <w:spacing w:after="120" w:line="259" w:lineRule="auto"/>
        <w:ind w:left="851"/>
        <w:jc w:val="both"/>
        <w:rPr>
          <w:sz w:val="24"/>
          <w:szCs w:val="24"/>
          <w:lang w:val="en-IE"/>
        </w:rPr>
      </w:pPr>
      <w:r w:rsidRPr="006426AE">
        <w:rPr>
          <w:sz w:val="24"/>
          <w:szCs w:val="24"/>
        </w:rPr>
        <w:t>Provide guidance on the approval of anticipatory investments</w:t>
      </w:r>
      <w:r>
        <w:rPr>
          <w:sz w:val="24"/>
          <w:szCs w:val="24"/>
        </w:rPr>
        <w:t>;</w:t>
      </w:r>
    </w:p>
    <w:p w14:paraId="2BB46313" w14:textId="77777777" w:rsidR="00F0006C" w:rsidRDefault="00F0006C" w:rsidP="00C30154">
      <w:pPr>
        <w:pStyle w:val="ListParagraph"/>
        <w:widowControl w:val="0"/>
        <w:numPr>
          <w:ilvl w:val="1"/>
          <w:numId w:val="13"/>
        </w:numPr>
        <w:spacing w:after="120" w:line="259" w:lineRule="auto"/>
        <w:ind w:left="851"/>
        <w:jc w:val="both"/>
        <w:rPr>
          <w:sz w:val="24"/>
          <w:szCs w:val="24"/>
          <w:lang w:val="en-IE"/>
        </w:rPr>
      </w:pPr>
      <w:r w:rsidRPr="006426AE">
        <w:rPr>
          <w:sz w:val="24"/>
          <w:szCs w:val="24"/>
          <w:lang w:val="en-IE"/>
        </w:rPr>
        <w:t>Mandate the biannual updating of the Technopedia to ensure accurate reflection of technology readiness levels of included technologies</w:t>
      </w:r>
      <w:r>
        <w:rPr>
          <w:sz w:val="24"/>
          <w:szCs w:val="24"/>
          <w:lang w:val="en-IE"/>
        </w:rPr>
        <w:t>.</w:t>
      </w:r>
    </w:p>
    <w:p w14:paraId="4E6AD5C9" w14:textId="77777777" w:rsidR="002A58AE" w:rsidRPr="002A58AE" w:rsidRDefault="002A58AE" w:rsidP="00FD4204">
      <w:pPr>
        <w:pStyle w:val="ListParagraph"/>
        <w:widowControl w:val="0"/>
        <w:spacing w:after="120" w:line="259" w:lineRule="auto"/>
        <w:ind w:left="426"/>
        <w:jc w:val="both"/>
        <w:rPr>
          <w:sz w:val="24"/>
          <w:szCs w:val="24"/>
          <w:lang w:val="en-IE"/>
        </w:rPr>
      </w:pPr>
    </w:p>
    <w:p w14:paraId="7DBE3C6D" w14:textId="74895079" w:rsidR="002A58AE" w:rsidRDefault="002A58AE" w:rsidP="00C30154">
      <w:pPr>
        <w:pStyle w:val="ListParagraph"/>
        <w:widowControl w:val="0"/>
        <w:numPr>
          <w:ilvl w:val="0"/>
          <w:numId w:val="13"/>
        </w:numPr>
        <w:spacing w:after="120" w:line="259" w:lineRule="auto"/>
        <w:ind w:left="426"/>
        <w:jc w:val="both"/>
        <w:rPr>
          <w:b/>
          <w:bCs/>
          <w:sz w:val="24"/>
          <w:szCs w:val="24"/>
          <w:lang w:val="en-IE"/>
        </w:rPr>
      </w:pPr>
      <w:r>
        <w:rPr>
          <w:b/>
          <w:bCs/>
          <w:sz w:val="24"/>
          <w:szCs w:val="24"/>
          <w:lang w:val="en-IE"/>
        </w:rPr>
        <w:t xml:space="preserve">Digitalisation of European Grids </w:t>
      </w:r>
      <w:r w:rsidRPr="002A58AE">
        <w:rPr>
          <w:b/>
          <w:bCs/>
          <w:sz w:val="24"/>
          <w:szCs w:val="24"/>
          <w:lang w:val="en-IE"/>
        </w:rPr>
        <w:t>(paragraphs 52 and 57)</w:t>
      </w:r>
      <w:r>
        <w:rPr>
          <w:b/>
          <w:bCs/>
          <w:sz w:val="24"/>
          <w:szCs w:val="24"/>
          <w:lang w:val="en-IE"/>
        </w:rPr>
        <w:t>:</w:t>
      </w:r>
    </w:p>
    <w:p w14:paraId="58BAD9C5" w14:textId="77777777" w:rsidR="00FA4005" w:rsidRPr="00D22517" w:rsidRDefault="00FA4005" w:rsidP="00C30154">
      <w:pPr>
        <w:pStyle w:val="ListParagraph"/>
        <w:widowControl w:val="0"/>
        <w:numPr>
          <w:ilvl w:val="1"/>
          <w:numId w:val="13"/>
        </w:numPr>
        <w:spacing w:after="120"/>
        <w:ind w:left="851"/>
        <w:jc w:val="both"/>
        <w:rPr>
          <w:sz w:val="24"/>
          <w:szCs w:val="24"/>
        </w:rPr>
      </w:pPr>
      <w:r w:rsidRPr="00D22517">
        <w:rPr>
          <w:sz w:val="24"/>
          <w:szCs w:val="24"/>
        </w:rPr>
        <w:t>Enable and increase the digitalisation of the European electricity system, including data sharing and interoperability for grid planning and optimisation</w:t>
      </w:r>
      <w:r>
        <w:rPr>
          <w:sz w:val="24"/>
          <w:szCs w:val="24"/>
        </w:rPr>
        <w:t>;</w:t>
      </w:r>
    </w:p>
    <w:p w14:paraId="47D2C1DB" w14:textId="0B95539D" w:rsidR="002A58AE" w:rsidRPr="0025011F" w:rsidRDefault="007507CB" w:rsidP="00C30154">
      <w:pPr>
        <w:pStyle w:val="ListParagraph"/>
        <w:widowControl w:val="0"/>
        <w:numPr>
          <w:ilvl w:val="1"/>
          <w:numId w:val="13"/>
        </w:numPr>
        <w:spacing w:after="120" w:line="259" w:lineRule="auto"/>
        <w:ind w:left="851"/>
        <w:jc w:val="both"/>
        <w:rPr>
          <w:sz w:val="24"/>
          <w:szCs w:val="24"/>
          <w:lang w:val="en-IE"/>
        </w:rPr>
      </w:pPr>
      <w:r w:rsidRPr="0007216F">
        <w:rPr>
          <w:sz w:val="24"/>
          <w:szCs w:val="24"/>
          <w:lang w:val="en-IE"/>
        </w:rPr>
        <w:t>Develop an EU-owned Common European Energy Data Space, in cooperation with DSOs and TSOs, to ensure secure, transparent, and interoperable energy data management, exchange, and storage in the EU.</w:t>
      </w:r>
    </w:p>
    <w:p w14:paraId="42499EF4" w14:textId="77777777" w:rsidR="00F0006C" w:rsidRDefault="00F0006C" w:rsidP="00FD4204">
      <w:pPr>
        <w:pStyle w:val="ListParagraph"/>
        <w:widowControl w:val="0"/>
        <w:spacing w:after="120" w:line="259" w:lineRule="auto"/>
        <w:ind w:left="426"/>
        <w:jc w:val="both"/>
        <w:rPr>
          <w:sz w:val="24"/>
          <w:szCs w:val="24"/>
          <w:lang w:val="en-IE"/>
        </w:rPr>
      </w:pPr>
    </w:p>
    <w:p w14:paraId="1D63C252" w14:textId="4B79E446" w:rsidR="00F0006C" w:rsidRPr="00CB38C5" w:rsidRDefault="00F0006C" w:rsidP="00C30154">
      <w:pPr>
        <w:pStyle w:val="ListParagraph"/>
        <w:widowControl w:val="0"/>
        <w:numPr>
          <w:ilvl w:val="0"/>
          <w:numId w:val="14"/>
        </w:numPr>
        <w:spacing w:after="120" w:line="259" w:lineRule="auto"/>
        <w:ind w:left="426"/>
        <w:jc w:val="both"/>
        <w:rPr>
          <w:b/>
          <w:bCs/>
          <w:sz w:val="24"/>
          <w:szCs w:val="24"/>
          <w:lang w:val="en-IE"/>
        </w:rPr>
      </w:pPr>
      <w:r w:rsidRPr="00CB38C5">
        <w:rPr>
          <w:b/>
          <w:bCs/>
          <w:sz w:val="24"/>
          <w:szCs w:val="24"/>
          <w:lang w:val="en-IE"/>
        </w:rPr>
        <w:t>E</w:t>
      </w:r>
      <w:r w:rsidR="00C30154">
        <w:rPr>
          <w:b/>
          <w:bCs/>
          <w:sz w:val="24"/>
          <w:szCs w:val="24"/>
          <w:lang w:val="en-IE"/>
        </w:rPr>
        <w:t>lectricity Market Design</w:t>
      </w:r>
      <w:r w:rsidR="002A58AE">
        <w:rPr>
          <w:b/>
          <w:bCs/>
          <w:sz w:val="24"/>
          <w:szCs w:val="24"/>
          <w:lang w:val="en-IE"/>
        </w:rPr>
        <w:t xml:space="preserve"> (paragraphs 21, 43, 44 &amp; 47):</w:t>
      </w:r>
    </w:p>
    <w:p w14:paraId="172288CD" w14:textId="730B75BB" w:rsidR="00F0006C" w:rsidRDefault="00F0006C" w:rsidP="00C30154">
      <w:pPr>
        <w:pStyle w:val="ListParagraph"/>
        <w:widowControl w:val="0"/>
        <w:numPr>
          <w:ilvl w:val="1"/>
          <w:numId w:val="14"/>
        </w:numPr>
        <w:spacing w:after="120" w:line="259" w:lineRule="auto"/>
        <w:ind w:left="851"/>
        <w:jc w:val="both"/>
        <w:rPr>
          <w:sz w:val="24"/>
          <w:szCs w:val="24"/>
          <w:lang w:val="en-IE"/>
        </w:rPr>
      </w:pPr>
      <w:r w:rsidRPr="00757E06">
        <w:rPr>
          <w:sz w:val="24"/>
          <w:szCs w:val="24"/>
          <w:lang w:val="en-IE"/>
        </w:rPr>
        <w:t>Amend Art</w:t>
      </w:r>
      <w:r w:rsidR="00E841CB">
        <w:rPr>
          <w:sz w:val="24"/>
          <w:szCs w:val="24"/>
          <w:lang w:val="en-IE"/>
        </w:rPr>
        <w:t>.</w:t>
      </w:r>
      <w:r w:rsidRPr="00757E06">
        <w:rPr>
          <w:sz w:val="24"/>
          <w:szCs w:val="24"/>
          <w:lang w:val="en-IE"/>
        </w:rPr>
        <w:t xml:space="preserve"> 6 of Directive (EU) 2019/944 on the internal market for electricity to introduce transparent priority connection criteria for</w:t>
      </w:r>
      <w:r>
        <w:rPr>
          <w:sz w:val="24"/>
          <w:szCs w:val="24"/>
          <w:lang w:val="en-IE"/>
        </w:rPr>
        <w:t xml:space="preserve"> generation and consumer connections;</w:t>
      </w:r>
    </w:p>
    <w:p w14:paraId="22E6DF1D" w14:textId="77777777" w:rsidR="00F0006C" w:rsidRDefault="00F0006C" w:rsidP="00C30154">
      <w:pPr>
        <w:pStyle w:val="ListParagraph"/>
        <w:widowControl w:val="0"/>
        <w:numPr>
          <w:ilvl w:val="1"/>
          <w:numId w:val="14"/>
        </w:numPr>
        <w:spacing w:after="120" w:line="259" w:lineRule="auto"/>
        <w:ind w:left="851"/>
        <w:jc w:val="both"/>
        <w:rPr>
          <w:sz w:val="24"/>
          <w:szCs w:val="24"/>
          <w:lang w:val="en-IE"/>
        </w:rPr>
      </w:pPr>
      <w:r w:rsidRPr="00E16249">
        <w:rPr>
          <w:sz w:val="24"/>
          <w:szCs w:val="24"/>
          <w:lang w:val="en-IE"/>
        </w:rPr>
        <w:t>Implement the provisions of the Electricity Market Design (EMD) and ensure fair and timely compensation to system operators for costs borne by them</w:t>
      </w:r>
      <w:r>
        <w:rPr>
          <w:sz w:val="24"/>
          <w:szCs w:val="24"/>
          <w:lang w:val="en-IE"/>
        </w:rPr>
        <w:t>;</w:t>
      </w:r>
    </w:p>
    <w:p w14:paraId="0E0A2FAF" w14:textId="77777777" w:rsidR="00F0006C" w:rsidRDefault="00F0006C" w:rsidP="00C30154">
      <w:pPr>
        <w:pStyle w:val="ListParagraph"/>
        <w:widowControl w:val="0"/>
        <w:numPr>
          <w:ilvl w:val="1"/>
          <w:numId w:val="14"/>
        </w:numPr>
        <w:spacing w:after="120" w:line="259" w:lineRule="auto"/>
        <w:ind w:left="851"/>
        <w:jc w:val="both"/>
        <w:rPr>
          <w:sz w:val="24"/>
          <w:szCs w:val="24"/>
          <w:lang w:val="en-IE"/>
        </w:rPr>
      </w:pPr>
      <w:r w:rsidRPr="00E16249">
        <w:rPr>
          <w:sz w:val="24"/>
          <w:szCs w:val="24"/>
          <w:lang w:val="en-IE"/>
        </w:rPr>
        <w:t>Address bottlenecks in tariffs, connection fees, and regulations to facilitate cross-border and offshore hybrid grid investment</w:t>
      </w:r>
      <w:r>
        <w:rPr>
          <w:sz w:val="24"/>
          <w:szCs w:val="24"/>
          <w:lang w:val="en-IE"/>
        </w:rPr>
        <w:t>;</w:t>
      </w:r>
    </w:p>
    <w:p w14:paraId="37D3FF60" w14:textId="77777777" w:rsidR="00F0006C" w:rsidRPr="00CB38C5" w:rsidRDefault="00F0006C" w:rsidP="00C30154">
      <w:pPr>
        <w:pStyle w:val="ListParagraph"/>
        <w:widowControl w:val="0"/>
        <w:numPr>
          <w:ilvl w:val="1"/>
          <w:numId w:val="14"/>
        </w:numPr>
        <w:spacing w:after="120" w:line="259" w:lineRule="auto"/>
        <w:ind w:left="851"/>
        <w:jc w:val="both"/>
        <w:rPr>
          <w:sz w:val="24"/>
          <w:szCs w:val="24"/>
          <w:lang w:val="en-IE"/>
        </w:rPr>
      </w:pPr>
      <w:r w:rsidRPr="00CB38C5">
        <w:rPr>
          <w:sz w:val="24"/>
          <w:szCs w:val="24"/>
        </w:rPr>
        <w:lastRenderedPageBreak/>
        <w:t>Develop a coordinated set of best practices for investments and equitable network tariff composition, with a focus on</w:t>
      </w:r>
      <w:r>
        <w:rPr>
          <w:sz w:val="24"/>
          <w:szCs w:val="24"/>
        </w:rPr>
        <w:t xml:space="preserve"> increased transparency, collaboration with Member States and removing non-energy related charges from tariffs.</w:t>
      </w:r>
    </w:p>
    <w:p w14:paraId="5AF8E58F" w14:textId="77777777" w:rsidR="00F0006C" w:rsidRDefault="00F0006C" w:rsidP="00FD4204">
      <w:pPr>
        <w:pStyle w:val="ListParagraph"/>
        <w:widowControl w:val="0"/>
        <w:spacing w:after="120" w:line="259" w:lineRule="auto"/>
        <w:ind w:left="426"/>
        <w:jc w:val="both"/>
        <w:rPr>
          <w:sz w:val="24"/>
          <w:szCs w:val="24"/>
          <w:lang w:val="en-IE"/>
        </w:rPr>
      </w:pPr>
    </w:p>
    <w:p w14:paraId="40E7D136" w14:textId="16559794" w:rsidR="002A58AE" w:rsidRPr="002A58AE" w:rsidRDefault="00F0006C" w:rsidP="008042B0">
      <w:pPr>
        <w:pStyle w:val="ListParagraph"/>
        <w:widowControl w:val="0"/>
        <w:numPr>
          <w:ilvl w:val="0"/>
          <w:numId w:val="14"/>
        </w:numPr>
        <w:spacing w:after="120" w:line="259" w:lineRule="auto"/>
        <w:ind w:left="360"/>
        <w:jc w:val="both"/>
        <w:rPr>
          <w:b/>
          <w:bCs/>
          <w:sz w:val="24"/>
          <w:szCs w:val="24"/>
          <w:lang w:val="en-IE"/>
        </w:rPr>
      </w:pPr>
      <w:r w:rsidRPr="002A58AE">
        <w:rPr>
          <w:b/>
          <w:bCs/>
          <w:sz w:val="24"/>
          <w:szCs w:val="24"/>
          <w:lang w:val="en-IE"/>
        </w:rPr>
        <w:t>Other</w:t>
      </w:r>
      <w:r w:rsidR="002A58AE" w:rsidRPr="002A58AE">
        <w:rPr>
          <w:b/>
          <w:bCs/>
          <w:sz w:val="24"/>
          <w:szCs w:val="24"/>
          <w:lang w:val="en-IE"/>
        </w:rPr>
        <w:t xml:space="preserve"> (paragraphs 2, 23, 29, 30):</w:t>
      </w:r>
    </w:p>
    <w:p w14:paraId="16639208" w14:textId="78D81711" w:rsidR="00F0006C" w:rsidRPr="0007216F" w:rsidRDefault="00F0006C" w:rsidP="00C30154">
      <w:pPr>
        <w:pStyle w:val="ListParagraph"/>
        <w:widowControl w:val="0"/>
        <w:numPr>
          <w:ilvl w:val="1"/>
          <w:numId w:val="14"/>
        </w:numPr>
        <w:spacing w:after="120" w:line="259" w:lineRule="auto"/>
        <w:ind w:left="709"/>
        <w:jc w:val="both"/>
        <w:rPr>
          <w:sz w:val="24"/>
          <w:szCs w:val="24"/>
          <w:lang w:val="en-IE"/>
        </w:rPr>
      </w:pPr>
      <w:r w:rsidRPr="0007216F">
        <w:rPr>
          <w:sz w:val="24"/>
          <w:szCs w:val="24"/>
          <w:lang w:val="en-IE"/>
        </w:rPr>
        <w:t xml:space="preserve">Implement the EU </w:t>
      </w:r>
      <w:r w:rsidR="002D78A5">
        <w:rPr>
          <w:sz w:val="24"/>
          <w:szCs w:val="24"/>
          <w:lang w:val="en-IE"/>
        </w:rPr>
        <w:t>G</w:t>
      </w:r>
      <w:r w:rsidRPr="0007216F">
        <w:rPr>
          <w:sz w:val="24"/>
          <w:szCs w:val="24"/>
          <w:lang w:val="en-IE"/>
        </w:rPr>
        <w:t xml:space="preserve">rid </w:t>
      </w:r>
      <w:r w:rsidR="002D78A5">
        <w:rPr>
          <w:sz w:val="24"/>
          <w:szCs w:val="24"/>
          <w:lang w:val="en-IE"/>
        </w:rPr>
        <w:t>A</w:t>
      </w:r>
      <w:r w:rsidRPr="0007216F">
        <w:rPr>
          <w:sz w:val="24"/>
          <w:szCs w:val="24"/>
          <w:lang w:val="en-IE"/>
        </w:rPr>
        <w:t xml:space="preserve">ction </w:t>
      </w:r>
      <w:r w:rsidR="002D78A5">
        <w:rPr>
          <w:sz w:val="24"/>
          <w:szCs w:val="24"/>
          <w:lang w:val="en-IE"/>
        </w:rPr>
        <w:t>P</w:t>
      </w:r>
      <w:r w:rsidRPr="0007216F">
        <w:rPr>
          <w:sz w:val="24"/>
          <w:szCs w:val="24"/>
          <w:lang w:val="en-IE"/>
        </w:rPr>
        <w:t xml:space="preserve">lan, the </w:t>
      </w:r>
      <w:r w:rsidR="002D78A5">
        <w:rPr>
          <w:sz w:val="24"/>
          <w:szCs w:val="24"/>
          <w:lang w:val="en-IE"/>
        </w:rPr>
        <w:t>A</w:t>
      </w:r>
      <w:r w:rsidRPr="0007216F">
        <w:rPr>
          <w:sz w:val="24"/>
          <w:szCs w:val="24"/>
          <w:lang w:val="en-IE"/>
        </w:rPr>
        <w:t xml:space="preserve">ction </w:t>
      </w:r>
      <w:r w:rsidR="002D78A5">
        <w:rPr>
          <w:sz w:val="24"/>
          <w:szCs w:val="24"/>
          <w:lang w:val="en-IE"/>
        </w:rPr>
        <w:t>P</w:t>
      </w:r>
      <w:r w:rsidRPr="0007216F">
        <w:rPr>
          <w:sz w:val="24"/>
          <w:szCs w:val="24"/>
          <w:lang w:val="en-IE"/>
        </w:rPr>
        <w:t xml:space="preserve">lan for </w:t>
      </w:r>
      <w:r w:rsidR="002D78A5">
        <w:rPr>
          <w:sz w:val="24"/>
          <w:szCs w:val="24"/>
          <w:lang w:val="en-IE"/>
        </w:rPr>
        <w:t>A</w:t>
      </w:r>
      <w:r w:rsidRPr="0007216F">
        <w:rPr>
          <w:sz w:val="24"/>
          <w:szCs w:val="24"/>
          <w:lang w:val="en-IE"/>
        </w:rPr>
        <w:t xml:space="preserve">ffordable </w:t>
      </w:r>
      <w:r w:rsidR="002D78A5">
        <w:rPr>
          <w:sz w:val="24"/>
          <w:szCs w:val="24"/>
          <w:lang w:val="en-IE"/>
        </w:rPr>
        <w:t>E</w:t>
      </w:r>
      <w:r w:rsidRPr="0007216F">
        <w:rPr>
          <w:sz w:val="24"/>
          <w:szCs w:val="24"/>
          <w:lang w:val="en-IE"/>
        </w:rPr>
        <w:t xml:space="preserve">nergy, the </w:t>
      </w:r>
      <w:r w:rsidR="000C5A01">
        <w:rPr>
          <w:sz w:val="24"/>
          <w:szCs w:val="24"/>
          <w:lang w:val="en-IE"/>
        </w:rPr>
        <w:t>EMD</w:t>
      </w:r>
      <w:r w:rsidRPr="0007216F">
        <w:rPr>
          <w:sz w:val="24"/>
          <w:szCs w:val="24"/>
          <w:lang w:val="en-IE"/>
        </w:rPr>
        <w:t xml:space="preserve">, and </w:t>
      </w:r>
      <w:r w:rsidR="000C5A01">
        <w:rPr>
          <w:sz w:val="24"/>
          <w:szCs w:val="24"/>
          <w:lang w:val="en-IE"/>
        </w:rPr>
        <w:t>RED</w:t>
      </w:r>
      <w:r w:rsidRPr="0007216F">
        <w:rPr>
          <w:sz w:val="24"/>
          <w:szCs w:val="24"/>
          <w:lang w:val="en-IE"/>
        </w:rPr>
        <w:t xml:space="preserve"> without delay</w:t>
      </w:r>
      <w:r>
        <w:rPr>
          <w:sz w:val="24"/>
          <w:szCs w:val="24"/>
          <w:lang w:val="en-IE"/>
        </w:rPr>
        <w:t>;</w:t>
      </w:r>
    </w:p>
    <w:p w14:paraId="04E601FE" w14:textId="1EE76D6A" w:rsidR="00F0006C" w:rsidRPr="0007216F" w:rsidRDefault="00F0006C" w:rsidP="00C30154">
      <w:pPr>
        <w:pStyle w:val="ListParagraph"/>
        <w:widowControl w:val="0"/>
        <w:numPr>
          <w:ilvl w:val="1"/>
          <w:numId w:val="14"/>
        </w:numPr>
        <w:spacing w:after="120" w:line="259" w:lineRule="auto"/>
        <w:ind w:left="709"/>
        <w:jc w:val="both"/>
        <w:rPr>
          <w:sz w:val="24"/>
          <w:szCs w:val="24"/>
          <w:lang w:val="en-IE"/>
        </w:rPr>
      </w:pPr>
      <w:r w:rsidRPr="0007216F">
        <w:rPr>
          <w:sz w:val="24"/>
          <w:szCs w:val="24"/>
          <w:lang w:val="en-IE"/>
        </w:rPr>
        <w:t>Extend the 'tripartite contract for affordable energy for Europe's industry' to smaller energy producers, including energy communities, SMEs and businesses, and link the outcome of these cooperation structures with grid planning processes</w:t>
      </w:r>
      <w:r>
        <w:rPr>
          <w:sz w:val="24"/>
          <w:szCs w:val="24"/>
          <w:lang w:val="en-IE"/>
        </w:rPr>
        <w:t>;</w:t>
      </w:r>
    </w:p>
    <w:p w14:paraId="06E732E3" w14:textId="77777777" w:rsidR="00F0006C" w:rsidRPr="0007216F" w:rsidRDefault="00F0006C" w:rsidP="00C30154">
      <w:pPr>
        <w:pStyle w:val="ListParagraph"/>
        <w:widowControl w:val="0"/>
        <w:numPr>
          <w:ilvl w:val="1"/>
          <w:numId w:val="14"/>
        </w:numPr>
        <w:spacing w:after="120" w:line="259" w:lineRule="auto"/>
        <w:ind w:left="709"/>
        <w:jc w:val="both"/>
        <w:rPr>
          <w:sz w:val="24"/>
          <w:szCs w:val="24"/>
          <w:lang w:val="en-IE"/>
        </w:rPr>
      </w:pPr>
      <w:r w:rsidRPr="0007216F">
        <w:rPr>
          <w:sz w:val="24"/>
          <w:szCs w:val="24"/>
          <w:lang w:val="en-IE"/>
        </w:rPr>
        <w:t>Propose a binding interconnection target for 2036 by June 2026, based on a needs assessment, and ensure cooperation with non-hosting Member States and neighbouring countries</w:t>
      </w:r>
      <w:r>
        <w:rPr>
          <w:sz w:val="24"/>
          <w:szCs w:val="24"/>
          <w:lang w:val="en-IE"/>
        </w:rPr>
        <w:t>;</w:t>
      </w:r>
    </w:p>
    <w:p w14:paraId="6E97D81F" w14:textId="6C052F7C" w:rsidR="00F0006C" w:rsidRPr="0007216F" w:rsidRDefault="00F0006C" w:rsidP="00C30154">
      <w:pPr>
        <w:pStyle w:val="ListParagraph"/>
        <w:widowControl w:val="0"/>
        <w:numPr>
          <w:ilvl w:val="1"/>
          <w:numId w:val="14"/>
        </w:numPr>
        <w:spacing w:after="120" w:line="259" w:lineRule="auto"/>
        <w:ind w:left="709"/>
        <w:jc w:val="both"/>
        <w:rPr>
          <w:sz w:val="24"/>
          <w:szCs w:val="24"/>
          <w:lang w:val="en-IE"/>
        </w:rPr>
      </w:pPr>
      <w:r w:rsidRPr="0007216F">
        <w:rPr>
          <w:sz w:val="24"/>
          <w:szCs w:val="24"/>
          <w:lang w:val="en-IE"/>
        </w:rPr>
        <w:t xml:space="preserve">Promote resilience, sustainability and security in public procurement procedures for grid operators and adapt EU rules on public procurement to harmonise and simplify functional tendering specifications and </w:t>
      </w:r>
      <w:r>
        <w:rPr>
          <w:sz w:val="24"/>
          <w:szCs w:val="24"/>
          <w:lang w:val="en-IE"/>
        </w:rPr>
        <w:t>r</w:t>
      </w:r>
      <w:r w:rsidRPr="0007216F">
        <w:rPr>
          <w:sz w:val="24"/>
          <w:szCs w:val="24"/>
          <w:lang w:val="en-IE"/>
        </w:rPr>
        <w:t>amp up production capacities of grid components</w:t>
      </w:r>
      <w:r w:rsidR="008042B0">
        <w:rPr>
          <w:sz w:val="24"/>
          <w:szCs w:val="24"/>
          <w:lang w:val="en-IE"/>
        </w:rPr>
        <w:t>.</w:t>
      </w:r>
    </w:p>
    <w:p w14:paraId="5538C252" w14:textId="77777777" w:rsidR="002E3A23" w:rsidRDefault="002E3A23" w:rsidP="002E3A23">
      <w:pPr>
        <w:widowControl w:val="0"/>
        <w:spacing w:after="120"/>
        <w:jc w:val="both"/>
        <w:rPr>
          <w:sz w:val="24"/>
          <w:szCs w:val="24"/>
          <w:lang w:val="en-IE"/>
        </w:rPr>
      </w:pPr>
    </w:p>
    <w:p w14:paraId="09CBEF4E" w14:textId="03DF5BFB" w:rsidR="002B7CB5" w:rsidRPr="002B7CB5" w:rsidRDefault="002B7CB5" w:rsidP="002B7CB5">
      <w:pPr>
        <w:widowControl w:val="0"/>
        <w:numPr>
          <w:ilvl w:val="0"/>
          <w:numId w:val="2"/>
        </w:numPr>
        <w:spacing w:after="240"/>
        <w:ind w:left="567" w:hanging="567"/>
        <w:jc w:val="both"/>
        <w:rPr>
          <w:b/>
          <w:sz w:val="24"/>
          <w:szCs w:val="24"/>
        </w:rPr>
      </w:pPr>
      <w:r w:rsidRPr="002B7CB5">
        <w:rPr>
          <w:b/>
          <w:sz w:val="24"/>
          <w:szCs w:val="24"/>
        </w:rPr>
        <w:t>Response to requests and overview of actions taken or intended to be taken by the Commission</w:t>
      </w:r>
    </w:p>
    <w:p w14:paraId="40EEF0DF" w14:textId="02EBC495" w:rsidR="002E3A23" w:rsidRDefault="00B73FAF" w:rsidP="002E3A23">
      <w:pPr>
        <w:widowControl w:val="0"/>
        <w:spacing w:after="120"/>
        <w:jc w:val="both"/>
        <w:rPr>
          <w:sz w:val="24"/>
          <w:szCs w:val="24"/>
        </w:rPr>
      </w:pPr>
      <w:r w:rsidRPr="00B73FAF">
        <w:rPr>
          <w:sz w:val="24"/>
          <w:szCs w:val="24"/>
        </w:rPr>
        <w:t>The re</w:t>
      </w:r>
      <w:r>
        <w:rPr>
          <w:sz w:val="24"/>
          <w:szCs w:val="24"/>
        </w:rPr>
        <w:t>port</w:t>
      </w:r>
      <w:r w:rsidRPr="00B73FAF">
        <w:rPr>
          <w:sz w:val="24"/>
          <w:szCs w:val="24"/>
        </w:rPr>
        <w:t xml:space="preserve"> is </w:t>
      </w:r>
      <w:r w:rsidR="380D88F6" w:rsidRPr="59BF21AC">
        <w:rPr>
          <w:sz w:val="24"/>
          <w:szCs w:val="24"/>
        </w:rPr>
        <w:t>mostly</w:t>
      </w:r>
      <w:r w:rsidRPr="59BF21AC">
        <w:rPr>
          <w:sz w:val="24"/>
          <w:szCs w:val="24"/>
        </w:rPr>
        <w:t xml:space="preserve"> </w:t>
      </w:r>
      <w:r w:rsidRPr="00B73FAF">
        <w:rPr>
          <w:sz w:val="24"/>
          <w:szCs w:val="24"/>
        </w:rPr>
        <w:t>in line with the Commission’s own analys</w:t>
      </w:r>
      <w:r w:rsidR="002C23B3">
        <w:rPr>
          <w:sz w:val="24"/>
          <w:szCs w:val="24"/>
        </w:rPr>
        <w:t>i</w:t>
      </w:r>
      <w:r w:rsidRPr="00B73FAF">
        <w:rPr>
          <w:sz w:val="24"/>
          <w:szCs w:val="24"/>
        </w:rPr>
        <w:t>s. It is also to be viewed in the light of future developments as regards the regulatory framework on EU energy systems, the next MFF and the overall geopolitical context.</w:t>
      </w:r>
    </w:p>
    <w:p w14:paraId="79A0861B" w14:textId="77777777" w:rsidR="00FD4204" w:rsidRDefault="00FD4204" w:rsidP="002E3A23">
      <w:pPr>
        <w:widowControl w:val="0"/>
        <w:spacing w:after="120"/>
        <w:jc w:val="both"/>
        <w:rPr>
          <w:sz w:val="24"/>
          <w:szCs w:val="24"/>
        </w:rPr>
      </w:pPr>
    </w:p>
    <w:p w14:paraId="0D939FBE" w14:textId="31EDE587" w:rsidR="001957A8" w:rsidRDefault="00E7637F" w:rsidP="00291308">
      <w:pPr>
        <w:widowControl w:val="0"/>
        <w:spacing w:after="120"/>
        <w:jc w:val="both"/>
        <w:rPr>
          <w:sz w:val="24"/>
          <w:szCs w:val="24"/>
        </w:rPr>
      </w:pPr>
      <w:r>
        <w:rPr>
          <w:sz w:val="24"/>
          <w:szCs w:val="24"/>
        </w:rPr>
        <w:t>Response to concrete requests by the European Parliament:</w:t>
      </w:r>
    </w:p>
    <w:p w14:paraId="0F610456" w14:textId="6B1A0B97" w:rsidR="00C67E64" w:rsidRDefault="00C67E64" w:rsidP="005F2AC1">
      <w:pPr>
        <w:rPr>
          <w:sz w:val="24"/>
          <w:szCs w:val="24"/>
        </w:rPr>
      </w:pPr>
    </w:p>
    <w:p w14:paraId="38F67392" w14:textId="3D7CD7BC" w:rsidR="00063278" w:rsidRDefault="00C67E64" w:rsidP="00C30154">
      <w:pPr>
        <w:pStyle w:val="ListParagraph"/>
        <w:widowControl w:val="0"/>
        <w:numPr>
          <w:ilvl w:val="0"/>
          <w:numId w:val="15"/>
        </w:numPr>
        <w:spacing w:after="120" w:line="259" w:lineRule="auto"/>
        <w:ind w:left="426"/>
        <w:jc w:val="both"/>
        <w:rPr>
          <w:b/>
          <w:bCs/>
          <w:sz w:val="24"/>
          <w:szCs w:val="24"/>
        </w:rPr>
      </w:pPr>
      <w:r w:rsidRPr="00620591">
        <w:rPr>
          <w:b/>
          <w:bCs/>
          <w:sz w:val="24"/>
          <w:szCs w:val="24"/>
        </w:rPr>
        <w:t>Upcoming Grid Package</w:t>
      </w:r>
      <w:r w:rsidR="00D60A6C">
        <w:rPr>
          <w:b/>
          <w:bCs/>
          <w:sz w:val="24"/>
          <w:szCs w:val="24"/>
        </w:rPr>
        <w:t xml:space="preserve"> </w:t>
      </w:r>
      <w:r w:rsidR="004B383C">
        <w:rPr>
          <w:b/>
          <w:bCs/>
          <w:sz w:val="24"/>
          <w:szCs w:val="24"/>
        </w:rPr>
        <w:t xml:space="preserve">and </w:t>
      </w:r>
      <w:r w:rsidR="00ED71D0">
        <w:rPr>
          <w:b/>
          <w:bCs/>
          <w:sz w:val="24"/>
          <w:szCs w:val="24"/>
        </w:rPr>
        <w:t>streamli</w:t>
      </w:r>
      <w:r w:rsidR="00893BAC">
        <w:rPr>
          <w:b/>
          <w:bCs/>
          <w:sz w:val="24"/>
          <w:szCs w:val="24"/>
        </w:rPr>
        <w:t>ning of permitting procedures</w:t>
      </w:r>
      <w:r w:rsidR="004B383C">
        <w:rPr>
          <w:b/>
          <w:bCs/>
          <w:sz w:val="24"/>
          <w:szCs w:val="24"/>
        </w:rPr>
        <w:t xml:space="preserve"> </w:t>
      </w:r>
      <w:r w:rsidR="007A594D" w:rsidRPr="00D60A6C">
        <w:rPr>
          <w:b/>
          <w:bCs/>
          <w:sz w:val="24"/>
          <w:szCs w:val="24"/>
        </w:rPr>
        <w:t xml:space="preserve">(paragraphs </w:t>
      </w:r>
      <w:r w:rsidR="00BB71AF" w:rsidRPr="00D60A6C">
        <w:rPr>
          <w:b/>
          <w:bCs/>
          <w:sz w:val="24"/>
          <w:szCs w:val="24"/>
        </w:rPr>
        <w:t>7, 12, 13, 15, 18, 24, 26, 48, 69</w:t>
      </w:r>
      <w:r w:rsidR="007B678E" w:rsidRPr="00D60A6C">
        <w:rPr>
          <w:b/>
          <w:bCs/>
          <w:sz w:val="24"/>
          <w:szCs w:val="24"/>
        </w:rPr>
        <w:t>, 72 &amp; 73)</w:t>
      </w:r>
    </w:p>
    <w:p w14:paraId="6147C5FB" w14:textId="77777777" w:rsidR="00FD75F8" w:rsidRPr="00FD75F8" w:rsidRDefault="00FD75F8" w:rsidP="00FD75F8">
      <w:pPr>
        <w:widowControl w:val="0"/>
        <w:spacing w:after="120" w:line="259" w:lineRule="auto"/>
        <w:ind w:left="66"/>
        <w:jc w:val="both"/>
        <w:rPr>
          <w:b/>
          <w:bCs/>
          <w:sz w:val="24"/>
          <w:szCs w:val="24"/>
        </w:rPr>
      </w:pPr>
    </w:p>
    <w:p w14:paraId="2147C16A" w14:textId="382A86F4" w:rsidR="003E263C" w:rsidRDefault="1951DC5A" w:rsidP="003E263C">
      <w:pPr>
        <w:jc w:val="both"/>
        <w:rPr>
          <w:sz w:val="24"/>
          <w:szCs w:val="24"/>
        </w:rPr>
      </w:pPr>
      <w:r w:rsidRPr="0E43A9AF">
        <w:rPr>
          <w:sz w:val="24"/>
          <w:szCs w:val="24"/>
        </w:rPr>
        <w:t xml:space="preserve">As announced in the Affordable Energy Action Plan, by the end of 2025 the Commission </w:t>
      </w:r>
      <w:r w:rsidR="50141BF6" w:rsidRPr="0E43A9AF">
        <w:rPr>
          <w:sz w:val="24"/>
          <w:szCs w:val="24"/>
        </w:rPr>
        <w:t xml:space="preserve">intends to </w:t>
      </w:r>
      <w:r w:rsidRPr="0E43A9AF">
        <w:rPr>
          <w:sz w:val="24"/>
          <w:szCs w:val="24"/>
        </w:rPr>
        <w:t xml:space="preserve">put forward a </w:t>
      </w:r>
      <w:r w:rsidR="79F9F599" w:rsidRPr="0E43A9AF">
        <w:rPr>
          <w:sz w:val="24"/>
          <w:szCs w:val="24"/>
        </w:rPr>
        <w:t xml:space="preserve">European </w:t>
      </w:r>
      <w:r w:rsidRPr="0E43A9AF">
        <w:rPr>
          <w:sz w:val="24"/>
          <w:szCs w:val="24"/>
        </w:rPr>
        <w:t>Grid Package.</w:t>
      </w:r>
    </w:p>
    <w:p w14:paraId="58D3B3FE" w14:textId="77777777" w:rsidR="003E263C" w:rsidRPr="006E43E9" w:rsidRDefault="003E263C" w:rsidP="003E263C">
      <w:pPr>
        <w:jc w:val="both"/>
        <w:rPr>
          <w:sz w:val="24"/>
          <w:szCs w:val="24"/>
        </w:rPr>
      </w:pPr>
    </w:p>
    <w:p w14:paraId="4CAD0D79" w14:textId="1CBA9B80" w:rsidR="003E263C" w:rsidRDefault="26F0FECC" w:rsidP="003E263C">
      <w:pPr>
        <w:jc w:val="both"/>
        <w:rPr>
          <w:sz w:val="24"/>
          <w:szCs w:val="24"/>
        </w:rPr>
      </w:pPr>
      <w:r w:rsidRPr="2EED0021">
        <w:rPr>
          <w:sz w:val="24"/>
          <w:szCs w:val="24"/>
        </w:rPr>
        <w:t>The Package will be a major step forward to accelerate the roll-out of a more secure and cost-efficient cross-border infrastructure that delivers reliable, clean and affordable energy to European citizens and businesses.</w:t>
      </w:r>
      <w:r w:rsidR="7849400B" w:rsidRPr="2EED0021">
        <w:rPr>
          <w:sz w:val="24"/>
          <w:szCs w:val="24"/>
        </w:rPr>
        <w:t xml:space="preserve"> </w:t>
      </w:r>
      <w:r w:rsidR="3C80FF4C" w:rsidRPr="2EED0021">
        <w:rPr>
          <w:sz w:val="24"/>
          <w:szCs w:val="24"/>
        </w:rPr>
        <w:t xml:space="preserve">As set out in the </w:t>
      </w:r>
      <w:hyperlink r:id="rId11">
        <w:r w:rsidR="3C80FF4C" w:rsidRPr="2EED0021">
          <w:rPr>
            <w:rStyle w:val="Hyperlink"/>
            <w:sz w:val="24"/>
            <w:szCs w:val="24"/>
          </w:rPr>
          <w:t>Call for Evidence</w:t>
        </w:r>
      </w:hyperlink>
      <w:r w:rsidR="3C80FF4C" w:rsidRPr="2EED0021">
        <w:rPr>
          <w:sz w:val="24"/>
          <w:szCs w:val="24"/>
        </w:rPr>
        <w:t xml:space="preserve"> and </w:t>
      </w:r>
      <w:hyperlink r:id="rId12">
        <w:r w:rsidR="3C80FF4C" w:rsidRPr="2EED0021">
          <w:rPr>
            <w:rStyle w:val="Hyperlink"/>
            <w:sz w:val="24"/>
            <w:szCs w:val="24"/>
          </w:rPr>
          <w:t>Open Public Consultation</w:t>
        </w:r>
      </w:hyperlink>
      <w:r w:rsidR="3C80FF4C" w:rsidRPr="2EED0021">
        <w:rPr>
          <w:sz w:val="24"/>
          <w:szCs w:val="24"/>
        </w:rPr>
        <w:t>, the Commission</w:t>
      </w:r>
      <w:r w:rsidR="7351E702" w:rsidRPr="2EED0021">
        <w:rPr>
          <w:sz w:val="24"/>
          <w:szCs w:val="24"/>
        </w:rPr>
        <w:t xml:space="preserve"> </w:t>
      </w:r>
      <w:r w:rsidR="3F28DF29" w:rsidRPr="2EED0021">
        <w:rPr>
          <w:sz w:val="24"/>
          <w:szCs w:val="24"/>
        </w:rPr>
        <w:t xml:space="preserve">is </w:t>
      </w:r>
      <w:r w:rsidR="7351E702" w:rsidRPr="2EED0021">
        <w:rPr>
          <w:sz w:val="24"/>
          <w:szCs w:val="24"/>
        </w:rPr>
        <w:t>assess</w:t>
      </w:r>
      <w:r w:rsidR="4750E27E" w:rsidRPr="2EED0021">
        <w:rPr>
          <w:sz w:val="24"/>
          <w:szCs w:val="24"/>
        </w:rPr>
        <w:t>ing</w:t>
      </w:r>
      <w:r w:rsidR="7351E702" w:rsidRPr="2EED0021">
        <w:rPr>
          <w:sz w:val="24"/>
          <w:szCs w:val="24"/>
        </w:rPr>
        <w:t xml:space="preserve"> to wh</w:t>
      </w:r>
      <w:r w:rsidR="78B157F3" w:rsidRPr="2EED0021">
        <w:rPr>
          <w:sz w:val="24"/>
          <w:szCs w:val="24"/>
        </w:rPr>
        <w:t>at extent the TEN-E Regulation</w:t>
      </w:r>
      <w:r w:rsidR="1B457925" w:rsidRPr="2EED0021">
        <w:rPr>
          <w:sz w:val="24"/>
          <w:szCs w:val="24"/>
        </w:rPr>
        <w:t>,</w:t>
      </w:r>
      <w:r w:rsidR="78B157F3" w:rsidRPr="2EED0021">
        <w:rPr>
          <w:sz w:val="24"/>
          <w:szCs w:val="24"/>
        </w:rPr>
        <w:t xml:space="preserve"> as the main legal framework for cross-bor</w:t>
      </w:r>
      <w:r w:rsidR="25C6ED92" w:rsidRPr="2EED0021">
        <w:rPr>
          <w:sz w:val="24"/>
          <w:szCs w:val="24"/>
        </w:rPr>
        <w:t>der energy infrastructure planning</w:t>
      </w:r>
      <w:r w:rsidR="1B457925" w:rsidRPr="2EED0021">
        <w:rPr>
          <w:sz w:val="24"/>
          <w:szCs w:val="24"/>
        </w:rPr>
        <w:t>,</w:t>
      </w:r>
      <w:r w:rsidR="25C6ED92" w:rsidRPr="2EED0021">
        <w:rPr>
          <w:sz w:val="24"/>
          <w:szCs w:val="24"/>
        </w:rPr>
        <w:t xml:space="preserve"> should be adjusted.</w:t>
      </w:r>
      <w:r w:rsidR="532B8356" w:rsidRPr="2EED0021">
        <w:rPr>
          <w:sz w:val="24"/>
          <w:szCs w:val="24"/>
        </w:rPr>
        <w:t xml:space="preserve"> The main elements</w:t>
      </w:r>
      <w:r w:rsidR="5FDAFDA4" w:rsidRPr="2EED0021">
        <w:rPr>
          <w:sz w:val="24"/>
          <w:szCs w:val="24"/>
        </w:rPr>
        <w:t xml:space="preserve"> emerging fr</w:t>
      </w:r>
      <w:r w:rsidR="5D7BFFFF" w:rsidRPr="2EED0021">
        <w:rPr>
          <w:sz w:val="24"/>
          <w:szCs w:val="24"/>
        </w:rPr>
        <w:t>o</w:t>
      </w:r>
      <w:r w:rsidR="5FDAFDA4" w:rsidRPr="2EED0021">
        <w:rPr>
          <w:sz w:val="24"/>
          <w:szCs w:val="24"/>
        </w:rPr>
        <w:t>m</w:t>
      </w:r>
      <w:r w:rsidR="532B8356" w:rsidRPr="2EED0021">
        <w:rPr>
          <w:sz w:val="24"/>
          <w:szCs w:val="24"/>
        </w:rPr>
        <w:t xml:space="preserve"> the assessment</w:t>
      </w:r>
      <w:r w:rsidR="4E6079BE" w:rsidRPr="2EED0021">
        <w:rPr>
          <w:sz w:val="24"/>
          <w:szCs w:val="24"/>
        </w:rPr>
        <w:t xml:space="preserve"> include the following and </w:t>
      </w:r>
      <w:r w:rsidR="72A5B674" w:rsidRPr="2EED0021">
        <w:rPr>
          <w:sz w:val="24"/>
          <w:szCs w:val="24"/>
        </w:rPr>
        <w:t>seem</w:t>
      </w:r>
      <w:r w:rsidR="4E6079BE" w:rsidRPr="2EED0021">
        <w:rPr>
          <w:sz w:val="24"/>
          <w:szCs w:val="24"/>
        </w:rPr>
        <w:t xml:space="preserve"> well aligned with the Parliament’s </w:t>
      </w:r>
      <w:r w:rsidR="72A5B674" w:rsidRPr="2EED0021">
        <w:rPr>
          <w:sz w:val="24"/>
          <w:szCs w:val="24"/>
        </w:rPr>
        <w:t>report:</w:t>
      </w:r>
    </w:p>
    <w:p w14:paraId="25EAB639" w14:textId="77777777" w:rsidR="003E263C" w:rsidRPr="006E43E9" w:rsidRDefault="003E263C" w:rsidP="003E263C">
      <w:pPr>
        <w:jc w:val="both"/>
        <w:rPr>
          <w:sz w:val="24"/>
          <w:szCs w:val="24"/>
        </w:rPr>
      </w:pPr>
    </w:p>
    <w:p w14:paraId="7204F8F7" w14:textId="4E6632D3" w:rsidR="003E263C" w:rsidRDefault="00FD75F8" w:rsidP="00C30154">
      <w:pPr>
        <w:pStyle w:val="ListParagraph"/>
        <w:numPr>
          <w:ilvl w:val="0"/>
          <w:numId w:val="4"/>
        </w:numPr>
        <w:ind w:left="567"/>
        <w:jc w:val="both"/>
        <w:rPr>
          <w:sz w:val="24"/>
          <w:szCs w:val="24"/>
        </w:rPr>
      </w:pPr>
      <w:r>
        <w:rPr>
          <w:sz w:val="24"/>
          <w:szCs w:val="24"/>
        </w:rPr>
        <w:t>t</w:t>
      </w:r>
      <w:r w:rsidR="33612CFA" w:rsidRPr="7AAAC581">
        <w:rPr>
          <w:sz w:val="24"/>
          <w:szCs w:val="24"/>
        </w:rPr>
        <w:t xml:space="preserve">he need to </w:t>
      </w:r>
      <w:r w:rsidR="22102BB8" w:rsidRPr="7AAAC581">
        <w:rPr>
          <w:sz w:val="24"/>
          <w:szCs w:val="24"/>
        </w:rPr>
        <w:t>strengthe</w:t>
      </w:r>
      <w:r w:rsidR="35032B9D" w:rsidRPr="7AAAC581">
        <w:rPr>
          <w:sz w:val="24"/>
          <w:szCs w:val="24"/>
        </w:rPr>
        <w:t>n</w:t>
      </w:r>
      <w:r w:rsidR="22102BB8" w:rsidRPr="7AAAC581">
        <w:rPr>
          <w:sz w:val="24"/>
          <w:szCs w:val="24"/>
        </w:rPr>
        <w:t xml:space="preserve"> cross-border energy infrastructure planning that supports a more coordinated identification and follow-up of necessary cross-border projects to ensure sufficient interconnectivity between all Member States;</w:t>
      </w:r>
    </w:p>
    <w:p w14:paraId="10BF2CBF" w14:textId="624FF82D" w:rsidR="6C8C3212" w:rsidRDefault="00FD75F8" w:rsidP="00C30154">
      <w:pPr>
        <w:pStyle w:val="ListParagraph"/>
        <w:numPr>
          <w:ilvl w:val="0"/>
          <w:numId w:val="4"/>
        </w:numPr>
        <w:ind w:left="567"/>
        <w:jc w:val="both"/>
        <w:rPr>
          <w:sz w:val="24"/>
          <w:szCs w:val="24"/>
        </w:rPr>
      </w:pPr>
      <w:r>
        <w:rPr>
          <w:sz w:val="24"/>
          <w:szCs w:val="24"/>
        </w:rPr>
        <w:lastRenderedPageBreak/>
        <w:t>t</w:t>
      </w:r>
      <w:r w:rsidR="6382917F" w:rsidRPr="7AAAC581">
        <w:rPr>
          <w:sz w:val="24"/>
          <w:szCs w:val="24"/>
        </w:rPr>
        <w:t xml:space="preserve">he need to </w:t>
      </w:r>
      <w:r w:rsidR="0E4084DB" w:rsidRPr="7AAAC581">
        <w:rPr>
          <w:sz w:val="24"/>
          <w:szCs w:val="24"/>
        </w:rPr>
        <w:t>e</w:t>
      </w:r>
      <w:r w:rsidR="7CA1F6E4" w:rsidRPr="7AAAC581">
        <w:rPr>
          <w:sz w:val="24"/>
          <w:szCs w:val="24"/>
        </w:rPr>
        <w:t>nsur</w:t>
      </w:r>
      <w:r w:rsidR="4EBE95CF" w:rsidRPr="7AAAC581">
        <w:rPr>
          <w:sz w:val="24"/>
          <w:szCs w:val="24"/>
        </w:rPr>
        <w:t>e</w:t>
      </w:r>
      <w:r w:rsidR="43E4EA5B" w:rsidRPr="7AAAC581">
        <w:rPr>
          <w:sz w:val="24"/>
          <w:szCs w:val="24"/>
        </w:rPr>
        <w:t xml:space="preserve"> a more integrated</w:t>
      </w:r>
      <w:r w:rsidR="080BC12F" w:rsidRPr="7AAAC581">
        <w:rPr>
          <w:sz w:val="24"/>
          <w:szCs w:val="24"/>
        </w:rPr>
        <w:t xml:space="preserve"> and cross-sectoral</w:t>
      </w:r>
      <w:r w:rsidR="7CA1F6E4" w:rsidRPr="7AAAC581">
        <w:rPr>
          <w:sz w:val="24"/>
          <w:szCs w:val="24"/>
        </w:rPr>
        <w:t xml:space="preserve"> infrastructure planning </w:t>
      </w:r>
      <w:r w:rsidR="080BC12F" w:rsidRPr="7AAAC581">
        <w:rPr>
          <w:sz w:val="24"/>
          <w:szCs w:val="24"/>
        </w:rPr>
        <w:t xml:space="preserve">and the further alignment with NECPs </w:t>
      </w:r>
      <w:r w:rsidR="7CA1F6E4" w:rsidRPr="7AAAC581">
        <w:rPr>
          <w:sz w:val="24"/>
          <w:szCs w:val="24"/>
        </w:rPr>
        <w:t xml:space="preserve">to contribute to the fulfilment of EU </w:t>
      </w:r>
      <w:r w:rsidR="4A2E9EDC" w:rsidRPr="7AAAC581">
        <w:rPr>
          <w:sz w:val="24"/>
          <w:szCs w:val="24"/>
        </w:rPr>
        <w:t>energy and climate policy objectives</w:t>
      </w:r>
      <w:r w:rsidR="277F30CD" w:rsidRPr="7AAAC581">
        <w:rPr>
          <w:sz w:val="24"/>
          <w:szCs w:val="24"/>
        </w:rPr>
        <w:t xml:space="preserve">, including the </w:t>
      </w:r>
      <w:r w:rsidR="4566B5C9" w:rsidRPr="7AAAC581">
        <w:rPr>
          <w:sz w:val="24"/>
          <w:szCs w:val="24"/>
        </w:rPr>
        <w:t>further</w:t>
      </w:r>
      <w:r w:rsidR="277F30CD" w:rsidRPr="7AAAC581">
        <w:rPr>
          <w:sz w:val="24"/>
          <w:szCs w:val="24"/>
        </w:rPr>
        <w:t xml:space="preserve"> integration of</w:t>
      </w:r>
      <w:r w:rsidR="4566B5C9" w:rsidRPr="7AAAC581">
        <w:rPr>
          <w:sz w:val="24"/>
          <w:szCs w:val="24"/>
        </w:rPr>
        <w:t xml:space="preserve"> renewable energy sources</w:t>
      </w:r>
      <w:r w:rsidR="0E4084DB" w:rsidRPr="7AAAC581">
        <w:rPr>
          <w:sz w:val="24"/>
          <w:szCs w:val="24"/>
        </w:rPr>
        <w:t>;</w:t>
      </w:r>
    </w:p>
    <w:p w14:paraId="2FBB2C01" w14:textId="21D6D73C" w:rsidR="0040241C" w:rsidRPr="00032463" w:rsidRDefault="00FD75F8" w:rsidP="00C30154">
      <w:pPr>
        <w:pStyle w:val="ListParagraph"/>
        <w:numPr>
          <w:ilvl w:val="0"/>
          <w:numId w:val="4"/>
        </w:numPr>
        <w:ind w:left="567"/>
        <w:jc w:val="both"/>
        <w:rPr>
          <w:sz w:val="24"/>
          <w:szCs w:val="24"/>
        </w:rPr>
      </w:pPr>
      <w:r>
        <w:rPr>
          <w:sz w:val="24"/>
          <w:szCs w:val="24"/>
        </w:rPr>
        <w:t>t</w:t>
      </w:r>
      <w:r w:rsidR="18B51F3A" w:rsidRPr="7AAAC581">
        <w:rPr>
          <w:sz w:val="24"/>
          <w:szCs w:val="24"/>
        </w:rPr>
        <w:t xml:space="preserve">he need to </w:t>
      </w:r>
      <w:r w:rsidR="22102BB8" w:rsidRPr="7AAAC581">
        <w:rPr>
          <w:sz w:val="24"/>
          <w:szCs w:val="24"/>
        </w:rPr>
        <w:t>ensur</w:t>
      </w:r>
      <w:r w:rsidR="1391174F" w:rsidRPr="7AAAC581">
        <w:rPr>
          <w:sz w:val="24"/>
          <w:szCs w:val="24"/>
        </w:rPr>
        <w:t>e</w:t>
      </w:r>
      <w:r w:rsidR="22102BB8" w:rsidRPr="7AAAC581">
        <w:rPr>
          <w:sz w:val="24"/>
          <w:szCs w:val="24"/>
        </w:rPr>
        <w:t xml:space="preserve"> more efficient use of existing infrastructure also based on strengthened digitalisation and innovation;</w:t>
      </w:r>
    </w:p>
    <w:p w14:paraId="62ACFCF5" w14:textId="431B3A6B" w:rsidR="003E263C" w:rsidRPr="006E43E9" w:rsidRDefault="00FD75F8" w:rsidP="00C30154">
      <w:pPr>
        <w:pStyle w:val="ListParagraph"/>
        <w:numPr>
          <w:ilvl w:val="0"/>
          <w:numId w:val="4"/>
        </w:numPr>
        <w:ind w:left="567"/>
        <w:jc w:val="both"/>
        <w:rPr>
          <w:sz w:val="24"/>
          <w:szCs w:val="24"/>
        </w:rPr>
      </w:pPr>
      <w:r>
        <w:rPr>
          <w:sz w:val="24"/>
          <w:szCs w:val="24"/>
        </w:rPr>
        <w:t>t</w:t>
      </w:r>
      <w:r w:rsidR="56ECB796" w:rsidRPr="7AAAC581">
        <w:rPr>
          <w:sz w:val="24"/>
          <w:szCs w:val="24"/>
        </w:rPr>
        <w:t xml:space="preserve">he necessity for </w:t>
      </w:r>
      <w:r w:rsidR="22102BB8" w:rsidRPr="7AAAC581">
        <w:rPr>
          <w:sz w:val="24"/>
          <w:szCs w:val="24"/>
        </w:rPr>
        <w:t>more effective cost and benefit sharing mechanisms for infrastructure of cross-border relevance</w:t>
      </w:r>
      <w:r w:rsidR="03EFDBE5" w:rsidRPr="7AAAC581">
        <w:rPr>
          <w:sz w:val="24"/>
          <w:szCs w:val="24"/>
        </w:rPr>
        <w:t xml:space="preserve"> </w:t>
      </w:r>
      <w:r w:rsidR="00D3F9AE" w:rsidRPr="7AAAC581">
        <w:rPr>
          <w:sz w:val="24"/>
          <w:szCs w:val="24"/>
        </w:rPr>
        <w:t>in view of improving exist</w:t>
      </w:r>
      <w:r w:rsidR="30919A9B" w:rsidRPr="7AAAC581">
        <w:rPr>
          <w:sz w:val="24"/>
          <w:szCs w:val="24"/>
        </w:rPr>
        <w:t>i</w:t>
      </w:r>
      <w:r w:rsidR="00D3F9AE" w:rsidRPr="7AAAC581">
        <w:rPr>
          <w:sz w:val="24"/>
          <w:szCs w:val="24"/>
        </w:rPr>
        <w:t xml:space="preserve">ng mechanisms </w:t>
      </w:r>
      <w:r w:rsidR="30919A9B" w:rsidRPr="7AAAC581">
        <w:rPr>
          <w:sz w:val="24"/>
          <w:szCs w:val="24"/>
        </w:rPr>
        <w:t>such as the framework for cross-border cost allocation</w:t>
      </w:r>
      <w:r w:rsidR="374A88F4" w:rsidRPr="7AAAC581">
        <w:rPr>
          <w:sz w:val="24"/>
          <w:szCs w:val="24"/>
        </w:rPr>
        <w:t>;</w:t>
      </w:r>
      <w:r w:rsidR="60984BFE" w:rsidRPr="7AAAC581">
        <w:rPr>
          <w:sz w:val="24"/>
          <w:szCs w:val="24"/>
        </w:rPr>
        <w:t xml:space="preserve"> </w:t>
      </w:r>
    </w:p>
    <w:p w14:paraId="21711CFF" w14:textId="4F255320" w:rsidR="003E263C" w:rsidRDefault="00FD75F8" w:rsidP="00C30154">
      <w:pPr>
        <w:pStyle w:val="ListParagraph"/>
        <w:numPr>
          <w:ilvl w:val="0"/>
          <w:numId w:val="4"/>
        </w:numPr>
        <w:ind w:left="567"/>
        <w:jc w:val="both"/>
        <w:rPr>
          <w:sz w:val="24"/>
          <w:szCs w:val="24"/>
        </w:rPr>
      </w:pPr>
      <w:r>
        <w:rPr>
          <w:sz w:val="24"/>
          <w:szCs w:val="24"/>
        </w:rPr>
        <w:t>t</w:t>
      </w:r>
      <w:r w:rsidR="0A0E3D32" w:rsidRPr="7AAAC581">
        <w:rPr>
          <w:sz w:val="24"/>
          <w:szCs w:val="24"/>
        </w:rPr>
        <w:t xml:space="preserve">he necessity for </w:t>
      </w:r>
      <w:r w:rsidR="22102BB8" w:rsidRPr="7AAAC581">
        <w:rPr>
          <w:sz w:val="24"/>
          <w:szCs w:val="24"/>
        </w:rPr>
        <w:t>better protection of critical energy infrastructure</w:t>
      </w:r>
      <w:r w:rsidR="374A88F4" w:rsidRPr="7AAAC581">
        <w:rPr>
          <w:sz w:val="24"/>
          <w:szCs w:val="24"/>
        </w:rPr>
        <w:t>;</w:t>
      </w:r>
    </w:p>
    <w:p w14:paraId="0EC1A132" w14:textId="7E0C89DF" w:rsidR="00D8642A" w:rsidRPr="006E43E9" w:rsidRDefault="00FD75F8" w:rsidP="00C30154">
      <w:pPr>
        <w:pStyle w:val="ListParagraph"/>
        <w:numPr>
          <w:ilvl w:val="0"/>
          <w:numId w:val="4"/>
        </w:numPr>
        <w:ind w:left="567"/>
        <w:jc w:val="both"/>
        <w:rPr>
          <w:sz w:val="24"/>
          <w:szCs w:val="24"/>
        </w:rPr>
      </w:pPr>
      <w:r>
        <w:rPr>
          <w:sz w:val="24"/>
          <w:szCs w:val="24"/>
        </w:rPr>
        <w:t>s</w:t>
      </w:r>
      <w:r w:rsidR="00D8642A">
        <w:rPr>
          <w:sz w:val="24"/>
          <w:szCs w:val="24"/>
        </w:rPr>
        <w:t xml:space="preserve">implification of </w:t>
      </w:r>
      <w:r w:rsidR="006974CB">
        <w:rPr>
          <w:sz w:val="24"/>
          <w:szCs w:val="24"/>
        </w:rPr>
        <w:t>processes</w:t>
      </w:r>
      <w:r w:rsidR="009A6070">
        <w:rPr>
          <w:sz w:val="24"/>
          <w:szCs w:val="24"/>
        </w:rPr>
        <w:t xml:space="preserve"> to </w:t>
      </w:r>
      <w:r w:rsidR="005A33E5">
        <w:rPr>
          <w:sz w:val="24"/>
          <w:szCs w:val="24"/>
        </w:rPr>
        <w:t xml:space="preserve">reduce the administrative burden on project promoters including </w:t>
      </w:r>
      <w:r w:rsidR="004B1213">
        <w:rPr>
          <w:sz w:val="24"/>
          <w:szCs w:val="24"/>
        </w:rPr>
        <w:t>Transmission System Operators (</w:t>
      </w:r>
      <w:r w:rsidR="005A33E5">
        <w:rPr>
          <w:sz w:val="24"/>
          <w:szCs w:val="24"/>
        </w:rPr>
        <w:t>TSO</w:t>
      </w:r>
      <w:r w:rsidR="004B1213">
        <w:rPr>
          <w:sz w:val="24"/>
          <w:szCs w:val="24"/>
        </w:rPr>
        <w:t>)</w:t>
      </w:r>
      <w:r w:rsidR="005A33E5">
        <w:rPr>
          <w:sz w:val="24"/>
          <w:szCs w:val="24"/>
        </w:rPr>
        <w:t xml:space="preserve"> and </w:t>
      </w:r>
      <w:r w:rsidR="004B1213">
        <w:rPr>
          <w:sz w:val="24"/>
          <w:szCs w:val="24"/>
        </w:rPr>
        <w:t>Distribution System Operators (</w:t>
      </w:r>
      <w:r w:rsidR="005A33E5">
        <w:rPr>
          <w:sz w:val="24"/>
          <w:szCs w:val="24"/>
        </w:rPr>
        <w:t>DSO</w:t>
      </w:r>
      <w:r w:rsidR="004B1213">
        <w:rPr>
          <w:sz w:val="24"/>
          <w:szCs w:val="24"/>
        </w:rPr>
        <w:t>)</w:t>
      </w:r>
      <w:r w:rsidR="005A33E5">
        <w:rPr>
          <w:sz w:val="24"/>
          <w:szCs w:val="24"/>
        </w:rPr>
        <w:t>;</w:t>
      </w:r>
    </w:p>
    <w:p w14:paraId="0B721BE3" w14:textId="2D6730BE" w:rsidR="003E263C" w:rsidRDefault="00FD75F8" w:rsidP="00C30154">
      <w:pPr>
        <w:pStyle w:val="ListParagraph"/>
        <w:numPr>
          <w:ilvl w:val="0"/>
          <w:numId w:val="4"/>
        </w:numPr>
        <w:ind w:left="567"/>
        <w:jc w:val="both"/>
        <w:rPr>
          <w:sz w:val="24"/>
          <w:szCs w:val="24"/>
        </w:rPr>
      </w:pPr>
      <w:r>
        <w:rPr>
          <w:sz w:val="24"/>
          <w:szCs w:val="24"/>
        </w:rPr>
        <w:t>t</w:t>
      </w:r>
      <w:r w:rsidR="6FC2B66A" w:rsidRPr="2EED0021">
        <w:rPr>
          <w:sz w:val="24"/>
          <w:szCs w:val="24"/>
        </w:rPr>
        <w:t xml:space="preserve">he necessity for </w:t>
      </w:r>
      <w:r w:rsidR="3179CF56" w:rsidRPr="2EED0021">
        <w:rPr>
          <w:sz w:val="24"/>
          <w:szCs w:val="24"/>
        </w:rPr>
        <w:t>measures to shorten</w:t>
      </w:r>
      <w:r w:rsidR="46915659" w:rsidRPr="2EED0021">
        <w:rPr>
          <w:sz w:val="24"/>
          <w:szCs w:val="24"/>
        </w:rPr>
        <w:t xml:space="preserve"> the</w:t>
      </w:r>
      <w:r w:rsidR="3179CF56" w:rsidRPr="2EED0021">
        <w:rPr>
          <w:sz w:val="24"/>
          <w:szCs w:val="24"/>
        </w:rPr>
        <w:t xml:space="preserve"> permitting process for networks, renewables and storage by streamlining and simplifying procedures</w:t>
      </w:r>
      <w:r w:rsidR="1317E077" w:rsidRPr="2EED0021">
        <w:rPr>
          <w:sz w:val="24"/>
          <w:szCs w:val="24"/>
        </w:rPr>
        <w:t>.</w:t>
      </w:r>
    </w:p>
    <w:p w14:paraId="5F4FA01C" w14:textId="77777777" w:rsidR="00811480" w:rsidRDefault="00811480" w:rsidP="00811480">
      <w:pPr>
        <w:jc w:val="both"/>
        <w:rPr>
          <w:sz w:val="24"/>
          <w:szCs w:val="24"/>
        </w:rPr>
      </w:pPr>
    </w:p>
    <w:p w14:paraId="7B20B5C2" w14:textId="6AC5AF01" w:rsidR="00CC7DEA" w:rsidRDefault="232E0050" w:rsidP="004958A4">
      <w:pPr>
        <w:jc w:val="both"/>
        <w:rPr>
          <w:sz w:val="24"/>
          <w:szCs w:val="24"/>
        </w:rPr>
      </w:pPr>
      <w:r w:rsidRPr="28A50009">
        <w:rPr>
          <w:sz w:val="24"/>
          <w:szCs w:val="24"/>
        </w:rPr>
        <w:t xml:space="preserve">In addition, the Commission </w:t>
      </w:r>
      <w:r w:rsidR="0A2C8E79" w:rsidRPr="28A50009">
        <w:rPr>
          <w:sz w:val="24"/>
          <w:szCs w:val="24"/>
        </w:rPr>
        <w:t xml:space="preserve">is committed to </w:t>
      </w:r>
      <w:r w:rsidRPr="28A50009">
        <w:rPr>
          <w:sz w:val="24"/>
          <w:szCs w:val="24"/>
        </w:rPr>
        <w:t xml:space="preserve">prepare </w:t>
      </w:r>
      <w:r w:rsidR="5F2097B4" w:rsidRPr="28A50009">
        <w:rPr>
          <w:sz w:val="24"/>
          <w:szCs w:val="24"/>
        </w:rPr>
        <w:t>guidance on grid connections aiming to equip Member States and NRAs with tools to address growing delays in connections of new loads and generation</w:t>
      </w:r>
      <w:r w:rsidR="1F8252A3" w:rsidRPr="28A50009">
        <w:rPr>
          <w:sz w:val="24"/>
          <w:szCs w:val="24"/>
        </w:rPr>
        <w:t xml:space="preserve">. The Commission also </w:t>
      </w:r>
      <w:r w:rsidR="4803A202" w:rsidRPr="28A50009">
        <w:rPr>
          <w:sz w:val="24"/>
          <w:szCs w:val="24"/>
        </w:rPr>
        <w:t xml:space="preserve">intends to </w:t>
      </w:r>
      <w:r w:rsidR="5F2097B4" w:rsidRPr="28A50009">
        <w:rPr>
          <w:sz w:val="24"/>
          <w:szCs w:val="24"/>
        </w:rPr>
        <w:t>follow-up o</w:t>
      </w:r>
      <w:r w:rsidR="373EDC21" w:rsidRPr="28A50009">
        <w:rPr>
          <w:sz w:val="24"/>
          <w:szCs w:val="24"/>
        </w:rPr>
        <w:t>n</w:t>
      </w:r>
      <w:r w:rsidR="5F2097B4" w:rsidRPr="28A50009">
        <w:rPr>
          <w:sz w:val="24"/>
          <w:szCs w:val="24"/>
        </w:rPr>
        <w:t xml:space="preserve"> the </w:t>
      </w:r>
      <w:r w:rsidR="31F32EC4" w:rsidRPr="28A50009">
        <w:rPr>
          <w:sz w:val="24"/>
          <w:szCs w:val="24"/>
        </w:rPr>
        <w:t>Action P</w:t>
      </w:r>
      <w:r w:rsidR="5F2097B4" w:rsidRPr="28A50009">
        <w:rPr>
          <w:sz w:val="24"/>
          <w:szCs w:val="24"/>
        </w:rPr>
        <w:t>lan</w:t>
      </w:r>
      <w:r w:rsidR="31F32EC4" w:rsidRPr="28A50009">
        <w:rPr>
          <w:sz w:val="24"/>
          <w:szCs w:val="24"/>
        </w:rPr>
        <w:t xml:space="preserve"> for Grids</w:t>
      </w:r>
      <w:r w:rsidR="5F2097B4" w:rsidRPr="28A50009">
        <w:rPr>
          <w:sz w:val="24"/>
          <w:szCs w:val="24"/>
        </w:rPr>
        <w:t xml:space="preserve"> on</w:t>
      </w:r>
      <w:r w:rsidR="6228A589" w:rsidRPr="28A50009">
        <w:rPr>
          <w:sz w:val="24"/>
          <w:szCs w:val="24"/>
        </w:rPr>
        <w:t xml:space="preserve"> the</w:t>
      </w:r>
      <w:r w:rsidR="5F2097B4" w:rsidRPr="28A50009">
        <w:rPr>
          <w:sz w:val="24"/>
          <w:szCs w:val="24"/>
        </w:rPr>
        <w:t xml:space="preserve"> </w:t>
      </w:r>
      <w:r w:rsidR="6228A589" w:rsidRPr="28A50009">
        <w:rPr>
          <w:sz w:val="24"/>
          <w:szCs w:val="24"/>
        </w:rPr>
        <w:t>A</w:t>
      </w:r>
      <w:r w:rsidR="5F2097B4" w:rsidRPr="28A50009">
        <w:rPr>
          <w:sz w:val="24"/>
          <w:szCs w:val="24"/>
        </w:rPr>
        <w:t>ction related to visibility, including on distribution grid planning and grid hosting capacity transparency</w:t>
      </w:r>
      <w:r w:rsidR="1F8252A3" w:rsidRPr="28A50009">
        <w:rPr>
          <w:sz w:val="24"/>
          <w:szCs w:val="24"/>
        </w:rPr>
        <w:t>.</w:t>
      </w:r>
    </w:p>
    <w:p w14:paraId="66803EE4" w14:textId="77777777" w:rsidR="007E43D5" w:rsidRDefault="007E43D5" w:rsidP="007E43D5">
      <w:pPr>
        <w:jc w:val="both"/>
        <w:rPr>
          <w:sz w:val="24"/>
          <w:szCs w:val="24"/>
        </w:rPr>
      </w:pPr>
    </w:p>
    <w:p w14:paraId="667FA09B" w14:textId="18291EC9" w:rsidR="007E43D5" w:rsidRDefault="00D3601F" w:rsidP="00216505">
      <w:pPr>
        <w:widowControl w:val="0"/>
        <w:spacing w:after="120"/>
        <w:jc w:val="both"/>
        <w:rPr>
          <w:sz w:val="24"/>
          <w:szCs w:val="24"/>
        </w:rPr>
      </w:pPr>
      <w:r>
        <w:rPr>
          <w:sz w:val="24"/>
          <w:szCs w:val="24"/>
        </w:rPr>
        <w:t xml:space="preserve">As regard the implementation of the </w:t>
      </w:r>
      <w:r w:rsidR="00DF3810">
        <w:rPr>
          <w:sz w:val="24"/>
          <w:szCs w:val="24"/>
        </w:rPr>
        <w:t>Renewable Energy Directive (RED), t</w:t>
      </w:r>
      <w:r w:rsidR="004C9440" w:rsidRPr="0D1A5F33">
        <w:rPr>
          <w:sz w:val="24"/>
          <w:szCs w:val="24"/>
        </w:rPr>
        <w:t>he Commission has opened 27 infringements procedure</w:t>
      </w:r>
      <w:r w:rsidR="682C8EBF" w:rsidRPr="0D1A5F33">
        <w:rPr>
          <w:sz w:val="24"/>
          <w:szCs w:val="24"/>
        </w:rPr>
        <w:t>s</w:t>
      </w:r>
      <w:r w:rsidR="004C9440" w:rsidRPr="0D1A5F33">
        <w:rPr>
          <w:sz w:val="24"/>
          <w:szCs w:val="24"/>
        </w:rPr>
        <w:t xml:space="preserve"> with regards to the transposition of the permitting provisions of the revised </w:t>
      </w:r>
      <w:r w:rsidR="00B86EC2">
        <w:rPr>
          <w:sz w:val="24"/>
          <w:szCs w:val="24"/>
        </w:rPr>
        <w:t>RED</w:t>
      </w:r>
      <w:r w:rsidR="004C9440" w:rsidRPr="0D1A5F33">
        <w:rPr>
          <w:sz w:val="24"/>
          <w:szCs w:val="24"/>
        </w:rPr>
        <w:t xml:space="preserve"> and is in </w:t>
      </w:r>
      <w:r w:rsidR="57E763AA" w:rsidRPr="0D1A5F33">
        <w:rPr>
          <w:sz w:val="24"/>
          <w:szCs w:val="24"/>
        </w:rPr>
        <w:t xml:space="preserve">regular </w:t>
      </w:r>
      <w:r w:rsidR="004C9440" w:rsidRPr="0D1A5F33">
        <w:rPr>
          <w:sz w:val="24"/>
          <w:szCs w:val="24"/>
        </w:rPr>
        <w:t xml:space="preserve">contact with the Member States for their progress. Moreover, the Commission has contracted a study on monitoring the implementation of its recommendations for speeding-up permitting of renewables and related infrastructure and a study on monitoring the implementation of several permitting articles in the RED and identifying and developing indicative key performance indicators that could be used to monitor progress on RES project permitting across the EU. </w:t>
      </w:r>
      <w:r w:rsidR="025F8FA8" w:rsidRPr="0D1A5F33">
        <w:rPr>
          <w:sz w:val="24"/>
          <w:szCs w:val="24"/>
        </w:rPr>
        <w:t>The Commission has published on 2 July 2025 guidance for Member States on the implementation of Art</w:t>
      </w:r>
      <w:r w:rsidR="00764CD6">
        <w:rPr>
          <w:sz w:val="24"/>
          <w:szCs w:val="24"/>
        </w:rPr>
        <w:t>.</w:t>
      </w:r>
      <w:r w:rsidR="025F8FA8" w:rsidRPr="0D1A5F33">
        <w:rPr>
          <w:sz w:val="24"/>
          <w:szCs w:val="24"/>
        </w:rPr>
        <w:t xml:space="preserve"> 15e of the RED.</w:t>
      </w:r>
    </w:p>
    <w:p w14:paraId="4D99E1F3" w14:textId="7C4A0B74" w:rsidR="007E43D5" w:rsidRDefault="4E9FC2A0" w:rsidP="00764CD6">
      <w:pPr>
        <w:widowControl w:val="0"/>
        <w:spacing w:after="120"/>
        <w:jc w:val="both"/>
        <w:rPr>
          <w:sz w:val="24"/>
          <w:szCs w:val="24"/>
        </w:rPr>
      </w:pPr>
      <w:r w:rsidRPr="0E43A9AF">
        <w:rPr>
          <w:sz w:val="24"/>
          <w:szCs w:val="24"/>
        </w:rPr>
        <w:t>On tacit approval, the Commission recommends in its Recommendation on speeding up permit-granting procedures that Member States take measures for tacit approval even for permitting of projects outside of renewables acceleration areas. Moreover, in its study monitoring the implementation of this Recommendation, the Commission collected examples of implementation of tacit approval and is available for technical questions via its online Q&amp;A tool for Member States. The Commission will keep monitoring the transposition of RED Art. 16a and investigate the need for further guidance.</w:t>
      </w:r>
    </w:p>
    <w:p w14:paraId="237E180C" w14:textId="41D6B631" w:rsidR="007E43D5" w:rsidRDefault="00325534" w:rsidP="0051754D">
      <w:pPr>
        <w:widowControl w:val="0"/>
        <w:spacing w:after="120"/>
        <w:jc w:val="both"/>
        <w:rPr>
          <w:sz w:val="24"/>
          <w:szCs w:val="24"/>
          <w:lang w:val="en-US"/>
        </w:rPr>
      </w:pPr>
      <w:r>
        <w:rPr>
          <w:sz w:val="24"/>
          <w:szCs w:val="24"/>
          <w:lang w:val="en-US"/>
        </w:rPr>
        <w:t>A</w:t>
      </w:r>
      <w:r w:rsidR="004C9440" w:rsidRPr="0D1A5F33">
        <w:rPr>
          <w:sz w:val="24"/>
          <w:szCs w:val="24"/>
          <w:lang w:val="en-US"/>
        </w:rPr>
        <w:t>s per Art</w:t>
      </w:r>
      <w:r>
        <w:rPr>
          <w:sz w:val="24"/>
          <w:szCs w:val="24"/>
          <w:lang w:val="en-US"/>
        </w:rPr>
        <w:t>.</w:t>
      </w:r>
      <w:r w:rsidR="004C9440" w:rsidRPr="0D1A5F33">
        <w:rPr>
          <w:sz w:val="24"/>
          <w:szCs w:val="24"/>
          <w:lang w:val="en-US"/>
        </w:rPr>
        <w:t xml:space="preserve"> 16(3) of </w:t>
      </w:r>
      <w:r>
        <w:rPr>
          <w:sz w:val="24"/>
          <w:szCs w:val="24"/>
          <w:lang w:val="en-US"/>
        </w:rPr>
        <w:t>the RED,</w:t>
      </w:r>
      <w:r w:rsidR="004C9440" w:rsidRPr="0D1A5F33">
        <w:rPr>
          <w:sz w:val="24"/>
          <w:szCs w:val="24"/>
          <w:lang w:val="en-US"/>
        </w:rPr>
        <w:t xml:space="preserve"> by 21 November 2025, Member States shall ensure that all permit-granting procedures are carried out in electronic form. Additionally, in the Recommendation on speeding up permit-granting procedures </w:t>
      </w:r>
      <w:r w:rsidR="5DF20E81" w:rsidRPr="0D1A5F33">
        <w:rPr>
          <w:sz w:val="24"/>
          <w:szCs w:val="24"/>
          <w:lang w:val="en-US"/>
        </w:rPr>
        <w:t xml:space="preserve">the Commission </w:t>
      </w:r>
      <w:r w:rsidR="004C9440" w:rsidRPr="0D1A5F33">
        <w:rPr>
          <w:sz w:val="24"/>
          <w:szCs w:val="24"/>
          <w:lang w:val="en-US"/>
        </w:rPr>
        <w:t>has emphasi</w:t>
      </w:r>
      <w:r w:rsidR="00180806">
        <w:rPr>
          <w:sz w:val="24"/>
          <w:szCs w:val="24"/>
          <w:lang w:val="en-US"/>
        </w:rPr>
        <w:t>s</w:t>
      </w:r>
      <w:r w:rsidR="004C9440" w:rsidRPr="0D1A5F33">
        <w:rPr>
          <w:sz w:val="24"/>
          <w:szCs w:val="24"/>
          <w:lang w:val="en-US"/>
        </w:rPr>
        <w:t>ed the opportunity of using innovative technologies such as Artificial Intelligence to speed up the processing of information and the whole procedure as such. The Commission will keep monitoring the transposition of the existing provisions and their implementation across Member States. At the same time, the Commission is committed to supporting Member States through technical assistance and capacity building with the aim to replace completely the use of paper forms and promote the use of single digital platforms to unify the different application processes and to ensure transparency by facilitating access to data, including relevant environmental data.</w:t>
      </w:r>
    </w:p>
    <w:p w14:paraId="56FB2C41" w14:textId="4B37CAED" w:rsidR="00932467" w:rsidRPr="005F3DD8" w:rsidRDefault="4A760954" w:rsidP="0E43A9AF">
      <w:pPr>
        <w:widowControl w:val="0"/>
        <w:spacing w:after="120"/>
        <w:jc w:val="both"/>
        <w:rPr>
          <w:sz w:val="24"/>
          <w:szCs w:val="24"/>
        </w:rPr>
      </w:pPr>
      <w:r w:rsidRPr="0E43A9AF">
        <w:rPr>
          <w:sz w:val="24"/>
          <w:szCs w:val="24"/>
        </w:rPr>
        <w:lastRenderedPageBreak/>
        <w:t xml:space="preserve">As regards the cooperation with third countries, </w:t>
      </w:r>
      <w:r w:rsidR="39696132" w:rsidRPr="0E43A9AF">
        <w:rPr>
          <w:sz w:val="24"/>
          <w:szCs w:val="24"/>
        </w:rPr>
        <w:t>i</w:t>
      </w:r>
      <w:r w:rsidR="69952AC9" w:rsidRPr="0E43A9AF">
        <w:rPr>
          <w:sz w:val="24"/>
          <w:szCs w:val="24"/>
        </w:rPr>
        <w:t xml:space="preserve">n the last revision of the </w:t>
      </w:r>
      <w:r w:rsidR="46C13748" w:rsidRPr="0E43A9AF">
        <w:rPr>
          <w:sz w:val="24"/>
          <w:szCs w:val="24"/>
        </w:rPr>
        <w:t xml:space="preserve">TEN-E Regulation the importance of </w:t>
      </w:r>
      <w:r w:rsidR="69952AC9" w:rsidRPr="0E43A9AF">
        <w:rPr>
          <w:sz w:val="24"/>
          <w:szCs w:val="24"/>
        </w:rPr>
        <w:t xml:space="preserve">cross-border energy infrastructure with Union’s neighbouring countries was recognised by the introduction of the status of Project of Mutual Interest (PMI) with third countries. </w:t>
      </w:r>
      <w:r w:rsidR="58EE0BBC" w:rsidRPr="0E43A9AF">
        <w:rPr>
          <w:sz w:val="24"/>
          <w:szCs w:val="24"/>
        </w:rPr>
        <w:t>The Commission will continue</w:t>
      </w:r>
      <w:r w:rsidR="7A9342B9" w:rsidRPr="0E43A9AF">
        <w:rPr>
          <w:sz w:val="24"/>
          <w:szCs w:val="24"/>
        </w:rPr>
        <w:t xml:space="preserve"> to enhance cooperation with neighbouring countries through PMIs with non-EU countries</w:t>
      </w:r>
      <w:r w:rsidR="1A80FF8B" w:rsidRPr="0E43A9AF">
        <w:rPr>
          <w:sz w:val="24"/>
          <w:szCs w:val="24"/>
        </w:rPr>
        <w:t>.</w:t>
      </w:r>
    </w:p>
    <w:p w14:paraId="54760F51" w14:textId="5B64856F" w:rsidR="00441F20" w:rsidRDefault="58012049" w:rsidP="0E43A9AF">
      <w:pPr>
        <w:widowControl w:val="0"/>
        <w:spacing w:after="120"/>
        <w:jc w:val="both"/>
        <w:rPr>
          <w:sz w:val="24"/>
          <w:szCs w:val="24"/>
        </w:rPr>
      </w:pPr>
      <w:r w:rsidRPr="0E43A9AF">
        <w:rPr>
          <w:sz w:val="24"/>
          <w:szCs w:val="24"/>
        </w:rPr>
        <w:t xml:space="preserve">The development of Offshore Network Development Plans, as introduced in the revised TEN-E Regulation, has fostered regional cooperation on grid planning and energy cooperation across </w:t>
      </w:r>
      <w:r w:rsidR="03171253" w:rsidRPr="0E43A9AF">
        <w:rPr>
          <w:sz w:val="24"/>
          <w:szCs w:val="24"/>
        </w:rPr>
        <w:t xml:space="preserve">all sea basins and with EU neighbouring countries. </w:t>
      </w:r>
      <w:r w:rsidR="49E8E988" w:rsidRPr="0E43A9AF">
        <w:rPr>
          <w:sz w:val="24"/>
          <w:szCs w:val="24"/>
        </w:rPr>
        <w:t xml:space="preserve">The Commission will continue to use the TEN-E framework as well as relevant </w:t>
      </w:r>
      <w:r w:rsidR="1C9B45AC" w:rsidRPr="0E43A9AF">
        <w:rPr>
          <w:sz w:val="24"/>
          <w:szCs w:val="24"/>
        </w:rPr>
        <w:t>High-Level Groups to strengthen regional cooperation, e.g. through the North Seas Energy Cooperation (NSEC)</w:t>
      </w:r>
      <w:r w:rsidR="44F26649" w:rsidRPr="0E43A9AF">
        <w:rPr>
          <w:sz w:val="24"/>
          <w:szCs w:val="24"/>
        </w:rPr>
        <w:t xml:space="preserve"> which includes Norway and has concluded a Memorandum of Understanding with the UK for cooperation on the offshore renewable.</w:t>
      </w:r>
    </w:p>
    <w:p w14:paraId="736D7AC1" w14:textId="77777777" w:rsidR="00441F20" w:rsidRDefault="00441F20" w:rsidP="00F2241B">
      <w:pPr>
        <w:pStyle w:val="ListParagraph"/>
        <w:widowControl w:val="0"/>
        <w:spacing w:after="120"/>
        <w:jc w:val="both"/>
        <w:rPr>
          <w:sz w:val="24"/>
          <w:szCs w:val="24"/>
        </w:rPr>
      </w:pPr>
    </w:p>
    <w:p w14:paraId="79646D5F" w14:textId="123F076B" w:rsidR="003E2F6D" w:rsidRPr="00D60A6C" w:rsidRDefault="00C810DE" w:rsidP="00C30154">
      <w:pPr>
        <w:pStyle w:val="ListParagraph"/>
        <w:widowControl w:val="0"/>
        <w:numPr>
          <w:ilvl w:val="0"/>
          <w:numId w:val="15"/>
        </w:numPr>
        <w:spacing w:after="120" w:line="259" w:lineRule="auto"/>
        <w:ind w:left="426"/>
        <w:jc w:val="both"/>
        <w:rPr>
          <w:b/>
          <w:bCs/>
          <w:sz w:val="24"/>
          <w:szCs w:val="24"/>
          <w:lang w:val="en-IE"/>
        </w:rPr>
      </w:pPr>
      <w:r w:rsidRPr="00620591">
        <w:rPr>
          <w:b/>
          <w:bCs/>
          <w:sz w:val="24"/>
          <w:szCs w:val="24"/>
          <w:lang w:val="en-IE"/>
        </w:rPr>
        <w:t>F</w:t>
      </w:r>
      <w:r w:rsidR="002313C0" w:rsidRPr="00620591">
        <w:rPr>
          <w:b/>
          <w:bCs/>
          <w:sz w:val="24"/>
          <w:szCs w:val="24"/>
          <w:lang w:val="en-IE"/>
        </w:rPr>
        <w:t>inancing</w:t>
      </w:r>
      <w:r w:rsidR="00D60A6C">
        <w:rPr>
          <w:b/>
          <w:bCs/>
          <w:sz w:val="24"/>
          <w:szCs w:val="24"/>
          <w:lang w:val="en-IE"/>
        </w:rPr>
        <w:t xml:space="preserve"> </w:t>
      </w:r>
      <w:r w:rsidR="003E2F6D" w:rsidRPr="00D60A6C">
        <w:rPr>
          <w:b/>
          <w:bCs/>
          <w:sz w:val="24"/>
          <w:szCs w:val="24"/>
          <w:lang w:val="en-IE"/>
        </w:rPr>
        <w:t xml:space="preserve">(paragraphs </w:t>
      </w:r>
      <w:r w:rsidR="00EE4607" w:rsidRPr="00D60A6C">
        <w:rPr>
          <w:b/>
          <w:bCs/>
          <w:sz w:val="24"/>
          <w:szCs w:val="24"/>
          <w:lang w:val="en-IE"/>
        </w:rPr>
        <w:t>35, 37, 39, 42 &amp; 50)</w:t>
      </w:r>
    </w:p>
    <w:p w14:paraId="5CE765AD" w14:textId="77777777" w:rsidR="00EE4607" w:rsidRPr="00FD75F8" w:rsidRDefault="00EE4607" w:rsidP="00FD75F8">
      <w:pPr>
        <w:widowControl w:val="0"/>
        <w:spacing w:after="120" w:line="259" w:lineRule="auto"/>
        <w:ind w:left="66"/>
        <w:jc w:val="both"/>
        <w:rPr>
          <w:b/>
          <w:bCs/>
          <w:sz w:val="24"/>
          <w:szCs w:val="24"/>
          <w:lang w:val="en-IE"/>
        </w:rPr>
      </w:pPr>
    </w:p>
    <w:p w14:paraId="3E657F5D" w14:textId="65184466" w:rsidR="003E2F6D" w:rsidRPr="00FD75F8" w:rsidRDefault="665F2D69" w:rsidP="00FD75F8">
      <w:pPr>
        <w:widowControl w:val="0"/>
        <w:spacing w:after="120"/>
        <w:jc w:val="both"/>
        <w:rPr>
          <w:sz w:val="24"/>
          <w:szCs w:val="24"/>
        </w:rPr>
      </w:pPr>
      <w:r w:rsidRPr="00FD75F8">
        <w:rPr>
          <w:sz w:val="24"/>
          <w:szCs w:val="24"/>
        </w:rPr>
        <w:t xml:space="preserve">In parallel to the Grid Package, the Commission is also preparing the proposals for the new MFF which </w:t>
      </w:r>
      <w:r w:rsidR="00E85509">
        <w:rPr>
          <w:sz w:val="24"/>
          <w:szCs w:val="24"/>
        </w:rPr>
        <w:t>was</w:t>
      </w:r>
      <w:r w:rsidR="00E85509" w:rsidRPr="00FD75F8">
        <w:rPr>
          <w:sz w:val="24"/>
          <w:szCs w:val="24"/>
        </w:rPr>
        <w:t xml:space="preserve"> </w:t>
      </w:r>
      <w:r w:rsidR="00EA47AC">
        <w:rPr>
          <w:sz w:val="24"/>
          <w:szCs w:val="24"/>
        </w:rPr>
        <w:t>adopted</w:t>
      </w:r>
      <w:r w:rsidR="00EA47AC" w:rsidRPr="00FD75F8">
        <w:rPr>
          <w:sz w:val="24"/>
          <w:szCs w:val="24"/>
        </w:rPr>
        <w:t xml:space="preserve"> </w:t>
      </w:r>
      <w:r w:rsidR="00FD75F8">
        <w:rPr>
          <w:sz w:val="24"/>
          <w:szCs w:val="24"/>
        </w:rPr>
        <w:t xml:space="preserve">in </w:t>
      </w:r>
      <w:r w:rsidR="00E85509">
        <w:rPr>
          <w:sz w:val="24"/>
          <w:szCs w:val="24"/>
        </w:rPr>
        <w:t xml:space="preserve">July </w:t>
      </w:r>
      <w:r w:rsidR="05D72481" w:rsidRPr="00FD75F8">
        <w:rPr>
          <w:sz w:val="24"/>
          <w:szCs w:val="24"/>
        </w:rPr>
        <w:t>2025</w:t>
      </w:r>
      <w:r w:rsidR="00035B6D">
        <w:rPr>
          <w:rStyle w:val="FootnoteReference"/>
          <w:sz w:val="24"/>
          <w:szCs w:val="24"/>
        </w:rPr>
        <w:footnoteReference w:id="2"/>
      </w:r>
      <w:r w:rsidRPr="00FD75F8">
        <w:rPr>
          <w:sz w:val="24"/>
          <w:szCs w:val="24"/>
        </w:rPr>
        <w:t>.</w:t>
      </w:r>
    </w:p>
    <w:p w14:paraId="740EB915" w14:textId="50D22CD0" w:rsidR="00F44F82" w:rsidRPr="00FD75F8" w:rsidRDefault="45B6CB3E" w:rsidP="00FD75F8">
      <w:pPr>
        <w:widowControl w:val="0"/>
        <w:spacing w:after="120"/>
        <w:jc w:val="both"/>
        <w:rPr>
          <w:sz w:val="24"/>
          <w:szCs w:val="24"/>
        </w:rPr>
      </w:pPr>
      <w:r w:rsidRPr="00FD75F8">
        <w:rPr>
          <w:sz w:val="24"/>
          <w:szCs w:val="24"/>
        </w:rPr>
        <w:t xml:space="preserve">The Commission has repeatedly acknowledged the importance of </w:t>
      </w:r>
      <w:r w:rsidR="62A1F070" w:rsidRPr="00FD75F8">
        <w:rPr>
          <w:sz w:val="24"/>
          <w:szCs w:val="24"/>
        </w:rPr>
        <w:t xml:space="preserve">supporting </w:t>
      </w:r>
      <w:r w:rsidRPr="00FD75F8">
        <w:rPr>
          <w:sz w:val="24"/>
          <w:szCs w:val="24"/>
        </w:rPr>
        <w:t xml:space="preserve">grid </w:t>
      </w:r>
      <w:r w:rsidR="2EE865C7" w:rsidRPr="00FD75F8">
        <w:rPr>
          <w:sz w:val="24"/>
          <w:szCs w:val="24"/>
        </w:rPr>
        <w:t>developments with</w:t>
      </w:r>
      <w:r w:rsidRPr="00FD75F8">
        <w:rPr>
          <w:sz w:val="24"/>
          <w:szCs w:val="24"/>
        </w:rPr>
        <w:t xml:space="preserve"> the EU budget. Several financing instruments are available to </w:t>
      </w:r>
      <w:r w:rsidR="3E5B0267" w:rsidRPr="00FD75F8">
        <w:rPr>
          <w:sz w:val="24"/>
          <w:szCs w:val="24"/>
        </w:rPr>
        <w:t>support grids</w:t>
      </w:r>
      <w:r w:rsidR="3905A3F4" w:rsidRPr="00FD75F8">
        <w:rPr>
          <w:sz w:val="24"/>
          <w:szCs w:val="24"/>
        </w:rPr>
        <w:t xml:space="preserve">. </w:t>
      </w:r>
      <w:r w:rsidR="7BA8A77F" w:rsidRPr="00FD75F8">
        <w:rPr>
          <w:sz w:val="24"/>
          <w:szCs w:val="24"/>
        </w:rPr>
        <w:t>CEF</w:t>
      </w:r>
      <w:r w:rsidR="4F837BC1" w:rsidRPr="00FD75F8">
        <w:rPr>
          <w:sz w:val="24"/>
          <w:szCs w:val="24"/>
        </w:rPr>
        <w:t xml:space="preserve"> </w:t>
      </w:r>
      <w:r w:rsidR="76DE1FC2" w:rsidRPr="2EED0021">
        <w:rPr>
          <w:sz w:val="24"/>
          <w:szCs w:val="24"/>
        </w:rPr>
        <w:t>provide</w:t>
      </w:r>
      <w:r w:rsidR="5A353A59" w:rsidRPr="2EED0021">
        <w:rPr>
          <w:sz w:val="24"/>
          <w:szCs w:val="24"/>
        </w:rPr>
        <w:t>s</w:t>
      </w:r>
      <w:r w:rsidR="76DE1FC2" w:rsidRPr="2EED0021">
        <w:rPr>
          <w:sz w:val="24"/>
          <w:szCs w:val="24"/>
        </w:rPr>
        <w:t xml:space="preserve"> funding to energy infrastructure projects in the electricity, hydrogen and carbon dioxide sectors that have a significant cross-border impact and have been awarded the status of a project of common interest (PCI) or project of mutual interest (PMI) under the TEN-E Regulation</w:t>
      </w:r>
      <w:r w:rsidR="7301EC8B" w:rsidRPr="2EED0021">
        <w:rPr>
          <w:sz w:val="24"/>
          <w:szCs w:val="24"/>
        </w:rPr>
        <w:t xml:space="preserve">. </w:t>
      </w:r>
      <w:r w:rsidR="77B65066" w:rsidRPr="2EED0021">
        <w:rPr>
          <w:sz w:val="24"/>
          <w:szCs w:val="24"/>
        </w:rPr>
        <w:t>It also support</w:t>
      </w:r>
      <w:r w:rsidR="619A9F0B" w:rsidRPr="2EED0021">
        <w:rPr>
          <w:sz w:val="24"/>
          <w:szCs w:val="24"/>
        </w:rPr>
        <w:t>s</w:t>
      </w:r>
      <w:r w:rsidR="77B65066" w:rsidRPr="2EED0021">
        <w:rPr>
          <w:sz w:val="24"/>
          <w:szCs w:val="24"/>
        </w:rPr>
        <w:t xml:space="preserve"> cross-border projects in the area of renewable energy. </w:t>
      </w:r>
      <w:r w:rsidR="54AB2534" w:rsidRPr="2EED0021">
        <w:rPr>
          <w:sz w:val="24"/>
          <w:szCs w:val="24"/>
        </w:rPr>
        <w:t xml:space="preserve">Moreover, </w:t>
      </w:r>
      <w:r w:rsidR="2921F965" w:rsidRPr="2EED0021">
        <w:rPr>
          <w:sz w:val="24"/>
          <w:szCs w:val="24"/>
        </w:rPr>
        <w:t xml:space="preserve">the </w:t>
      </w:r>
      <w:r w:rsidR="03A046F9" w:rsidRPr="2EED0021">
        <w:rPr>
          <w:sz w:val="24"/>
          <w:szCs w:val="24"/>
        </w:rPr>
        <w:t xml:space="preserve">national plans under the </w:t>
      </w:r>
      <w:r w:rsidR="2921F965" w:rsidRPr="2EED0021">
        <w:rPr>
          <w:sz w:val="24"/>
          <w:szCs w:val="24"/>
        </w:rPr>
        <w:t>Recovery and Resilience Facility</w:t>
      </w:r>
      <w:r w:rsidR="03A046F9" w:rsidRPr="2EED0021">
        <w:rPr>
          <w:sz w:val="24"/>
          <w:szCs w:val="24"/>
        </w:rPr>
        <w:t xml:space="preserve"> include significant investment into </w:t>
      </w:r>
      <w:r w:rsidR="65025DB8" w:rsidRPr="2EED0021">
        <w:rPr>
          <w:sz w:val="24"/>
          <w:szCs w:val="24"/>
        </w:rPr>
        <w:t>energy infrastructure</w:t>
      </w:r>
      <w:r w:rsidR="089B9160" w:rsidRPr="2EED0021">
        <w:rPr>
          <w:sz w:val="24"/>
          <w:szCs w:val="24"/>
        </w:rPr>
        <w:t>. Also</w:t>
      </w:r>
      <w:r w:rsidR="619A9F0B" w:rsidRPr="2EED0021">
        <w:rPr>
          <w:sz w:val="24"/>
          <w:szCs w:val="24"/>
        </w:rPr>
        <w:t>,</w:t>
      </w:r>
      <w:r w:rsidR="089B9160" w:rsidRPr="2EED0021">
        <w:rPr>
          <w:sz w:val="24"/>
          <w:szCs w:val="24"/>
        </w:rPr>
        <w:t xml:space="preserve"> </w:t>
      </w:r>
      <w:r w:rsidR="00FD75F8">
        <w:rPr>
          <w:sz w:val="24"/>
          <w:szCs w:val="24"/>
        </w:rPr>
        <w:t>E</w:t>
      </w:r>
      <w:r w:rsidR="0CC458DB" w:rsidRPr="2EED0021">
        <w:rPr>
          <w:sz w:val="24"/>
          <w:szCs w:val="24"/>
        </w:rPr>
        <w:t>U</w:t>
      </w:r>
      <w:r w:rsidR="023E4E45" w:rsidRPr="2EED0021">
        <w:rPr>
          <w:sz w:val="24"/>
          <w:szCs w:val="24"/>
        </w:rPr>
        <w:t xml:space="preserve"> Cohesion Policy</w:t>
      </w:r>
      <w:r w:rsidR="793339D1" w:rsidRPr="2EED0021">
        <w:rPr>
          <w:sz w:val="24"/>
          <w:szCs w:val="24"/>
        </w:rPr>
        <w:t xml:space="preserve"> funds do</w:t>
      </w:r>
      <w:r w:rsidR="023E4E45" w:rsidRPr="2EED0021">
        <w:rPr>
          <w:sz w:val="24"/>
          <w:szCs w:val="24"/>
        </w:rPr>
        <w:t xml:space="preserve"> provide </w:t>
      </w:r>
      <w:r w:rsidR="7301EC8B" w:rsidRPr="2EED0021">
        <w:rPr>
          <w:sz w:val="24"/>
          <w:szCs w:val="24"/>
        </w:rPr>
        <w:t>funding for energy infrastructure</w:t>
      </w:r>
      <w:r w:rsidR="65025DB8" w:rsidRPr="2EED0021">
        <w:rPr>
          <w:sz w:val="24"/>
          <w:szCs w:val="24"/>
        </w:rPr>
        <w:t>.</w:t>
      </w:r>
      <w:r w:rsidR="126A3BD3" w:rsidRPr="2EED0021">
        <w:rPr>
          <w:sz w:val="24"/>
          <w:szCs w:val="24"/>
        </w:rPr>
        <w:t xml:space="preserve"> </w:t>
      </w:r>
      <w:r w:rsidR="1E7403A0" w:rsidRPr="00FD75F8">
        <w:rPr>
          <w:sz w:val="24"/>
          <w:szCs w:val="24"/>
        </w:rPr>
        <w:t>N</w:t>
      </w:r>
      <w:r w:rsidR="215C4960" w:rsidRPr="00FD75F8">
        <w:rPr>
          <w:sz w:val="24"/>
          <w:szCs w:val="24"/>
        </w:rPr>
        <w:t>otably, with the proposal for Modernisation of Cohesion policy in the context of the Mid-Term Review, a new objective would be supported, to finance energy interconnectors and related transmission infrastructure.</w:t>
      </w:r>
    </w:p>
    <w:p w14:paraId="2F876344" w14:textId="766CCD60" w:rsidR="00820F6F" w:rsidRDefault="734DC7E2" w:rsidP="00FD75F8">
      <w:pPr>
        <w:widowControl w:val="0"/>
        <w:spacing w:after="120"/>
        <w:jc w:val="both"/>
        <w:rPr>
          <w:sz w:val="24"/>
          <w:szCs w:val="24"/>
        </w:rPr>
      </w:pPr>
      <w:r w:rsidRPr="0E43A9AF">
        <w:rPr>
          <w:sz w:val="24"/>
          <w:szCs w:val="24"/>
        </w:rPr>
        <w:t>On 19 June</w:t>
      </w:r>
      <w:r w:rsidR="39096240" w:rsidRPr="0E43A9AF">
        <w:rPr>
          <w:sz w:val="24"/>
          <w:szCs w:val="24"/>
        </w:rPr>
        <w:t xml:space="preserve"> 2025</w:t>
      </w:r>
      <w:r w:rsidRPr="0E43A9AF">
        <w:rPr>
          <w:sz w:val="24"/>
          <w:szCs w:val="24"/>
        </w:rPr>
        <w:t>, the European Investment Bank (EIB) approved a new counter-guarantee product developed in close cooperation with the Commission to mitigate risks associated with manufacturing new grid components with a capacity of EUR 1.5 billion, which is crucial for the expanding network needs across Europe.</w:t>
      </w:r>
      <w:r w:rsidR="3344B30F" w:rsidRPr="0E43A9AF">
        <w:rPr>
          <w:sz w:val="24"/>
          <w:szCs w:val="24"/>
        </w:rPr>
        <w:t xml:space="preserve"> </w:t>
      </w:r>
      <w:r w:rsidR="16E3077F" w:rsidRPr="0E43A9AF">
        <w:rPr>
          <w:sz w:val="24"/>
          <w:szCs w:val="24"/>
        </w:rPr>
        <w:t xml:space="preserve"> </w:t>
      </w:r>
    </w:p>
    <w:p w14:paraId="3D6A862C" w14:textId="70928748" w:rsidR="002313C0" w:rsidRDefault="002313C0" w:rsidP="003E2F6D">
      <w:pPr>
        <w:widowControl w:val="0"/>
        <w:spacing w:after="120" w:line="259" w:lineRule="auto"/>
        <w:jc w:val="both"/>
        <w:rPr>
          <w:sz w:val="24"/>
          <w:szCs w:val="24"/>
          <w:lang w:val="en-IE"/>
        </w:rPr>
      </w:pPr>
    </w:p>
    <w:p w14:paraId="7CCBDDAA" w14:textId="51461C4B" w:rsidR="00EE4607" w:rsidRDefault="00EE4607" w:rsidP="00C30154">
      <w:pPr>
        <w:pStyle w:val="ListParagraph"/>
        <w:widowControl w:val="0"/>
        <w:numPr>
          <w:ilvl w:val="0"/>
          <w:numId w:val="15"/>
        </w:numPr>
        <w:spacing w:after="120" w:line="259" w:lineRule="auto"/>
        <w:ind w:left="426"/>
        <w:jc w:val="both"/>
        <w:rPr>
          <w:b/>
          <w:bCs/>
          <w:sz w:val="24"/>
          <w:szCs w:val="24"/>
          <w:lang w:val="en-IE"/>
        </w:rPr>
      </w:pPr>
      <w:r w:rsidRPr="00EE476F">
        <w:rPr>
          <w:b/>
          <w:bCs/>
          <w:sz w:val="24"/>
          <w:szCs w:val="24"/>
          <w:lang w:val="en-IE"/>
        </w:rPr>
        <w:t>Energy Security</w:t>
      </w:r>
      <w:r w:rsidR="00D60A6C">
        <w:rPr>
          <w:b/>
          <w:bCs/>
          <w:sz w:val="24"/>
          <w:szCs w:val="24"/>
          <w:lang w:val="en-IE"/>
        </w:rPr>
        <w:t xml:space="preserve"> </w:t>
      </w:r>
      <w:r w:rsidR="0023216B">
        <w:rPr>
          <w:b/>
          <w:bCs/>
          <w:sz w:val="24"/>
          <w:szCs w:val="24"/>
        </w:rPr>
        <w:t xml:space="preserve">and environmental solutions </w:t>
      </w:r>
      <w:r w:rsidRPr="00D60A6C">
        <w:rPr>
          <w:b/>
          <w:bCs/>
          <w:sz w:val="24"/>
          <w:szCs w:val="24"/>
          <w:lang w:val="en-IE"/>
        </w:rPr>
        <w:t>(paragraphs 54, 55, 56, 62)</w:t>
      </w:r>
    </w:p>
    <w:p w14:paraId="3686F398" w14:textId="77777777" w:rsidR="00FD75F8" w:rsidRPr="00FD75F8" w:rsidRDefault="00FD75F8" w:rsidP="00FD75F8">
      <w:pPr>
        <w:widowControl w:val="0"/>
        <w:spacing w:after="120" w:line="259" w:lineRule="auto"/>
        <w:ind w:left="66"/>
        <w:jc w:val="both"/>
        <w:rPr>
          <w:b/>
          <w:bCs/>
          <w:sz w:val="24"/>
          <w:szCs w:val="24"/>
          <w:lang w:val="en-IE"/>
        </w:rPr>
      </w:pPr>
    </w:p>
    <w:p w14:paraId="34BE2307" w14:textId="0272C835" w:rsidR="00266C66" w:rsidRDefault="1DA487F6" w:rsidP="00CC7AEC">
      <w:pPr>
        <w:widowControl w:val="0"/>
        <w:spacing w:after="120"/>
        <w:jc w:val="both"/>
        <w:rPr>
          <w:sz w:val="24"/>
          <w:szCs w:val="24"/>
        </w:rPr>
      </w:pPr>
      <w:r w:rsidRPr="2EED0021">
        <w:rPr>
          <w:sz w:val="24"/>
          <w:szCs w:val="24"/>
          <w:lang w:val="en-IE"/>
        </w:rPr>
        <w:t>The Commission is committed to continuing its support for Member States and operators in enhancing the protection and resilience of critical energy infrastructure, including grids</w:t>
      </w:r>
      <w:r w:rsidR="03516D58" w:rsidRPr="2EED0021">
        <w:rPr>
          <w:sz w:val="24"/>
          <w:szCs w:val="24"/>
          <w:lang w:val="en-IE"/>
        </w:rPr>
        <w:t xml:space="preserve"> as envisaged in the horizontal framework provided by </w:t>
      </w:r>
      <w:r w:rsidR="006964CA" w:rsidRPr="00A23092">
        <w:rPr>
          <w:sz w:val="24"/>
          <w:szCs w:val="24"/>
          <w:lang w:val="en-US"/>
        </w:rPr>
        <w:t>Critical Entities Resilience (</w:t>
      </w:r>
      <w:r w:rsidR="03516D58" w:rsidRPr="001234A9">
        <w:rPr>
          <w:sz w:val="24"/>
          <w:szCs w:val="24"/>
          <w:lang w:val="en-IE"/>
        </w:rPr>
        <w:t>CER</w:t>
      </w:r>
      <w:r w:rsidR="006964CA" w:rsidRPr="001234A9">
        <w:rPr>
          <w:sz w:val="24"/>
          <w:szCs w:val="24"/>
          <w:lang w:val="en-IE"/>
        </w:rPr>
        <w:t>)</w:t>
      </w:r>
      <w:r w:rsidR="03516D58" w:rsidRPr="001234A9">
        <w:rPr>
          <w:sz w:val="24"/>
          <w:szCs w:val="24"/>
          <w:lang w:val="en-IE"/>
        </w:rPr>
        <w:t xml:space="preserve"> and </w:t>
      </w:r>
      <w:hyperlink r:id="rId13" w:history="1">
        <w:r w:rsidR="00CC7AEC" w:rsidRPr="00A23092">
          <w:rPr>
            <w:rStyle w:val="Hyperlink"/>
            <w:sz w:val="24"/>
            <w:szCs w:val="24"/>
            <w:u w:val="none"/>
            <w:lang w:val="en-US"/>
          </w:rPr>
          <w:t>the</w:t>
        </w:r>
      </w:hyperlink>
      <w:r w:rsidR="00CC7AEC" w:rsidRPr="001234A9">
        <w:rPr>
          <w:sz w:val="24"/>
          <w:szCs w:val="24"/>
          <w:lang w:val="en-IE"/>
        </w:rPr>
        <w:t xml:space="preserve"> </w:t>
      </w:r>
      <w:hyperlink r:id="rId14" w:history="1">
        <w:r w:rsidR="00CC7AEC" w:rsidRPr="00A23092">
          <w:rPr>
            <w:rStyle w:val="Hyperlink"/>
            <w:sz w:val="24"/>
            <w:szCs w:val="24"/>
            <w:u w:val="none"/>
            <w:lang w:val="en-US"/>
          </w:rPr>
          <w:t>Network &amp; Information Security 2 (</w:t>
        </w:r>
      </w:hyperlink>
      <w:r w:rsidR="03516D58" w:rsidRPr="2EED0021">
        <w:rPr>
          <w:sz w:val="24"/>
          <w:szCs w:val="24"/>
          <w:lang w:val="en-IE"/>
        </w:rPr>
        <w:t>NIS 2</w:t>
      </w:r>
      <w:r w:rsidR="001234A9">
        <w:rPr>
          <w:sz w:val="24"/>
          <w:szCs w:val="24"/>
          <w:lang w:val="en-IE"/>
        </w:rPr>
        <w:t>)</w:t>
      </w:r>
      <w:r w:rsidR="03516D58" w:rsidRPr="2EED0021">
        <w:rPr>
          <w:sz w:val="24"/>
          <w:szCs w:val="24"/>
          <w:lang w:val="en-IE"/>
        </w:rPr>
        <w:t xml:space="preserve"> Directives</w:t>
      </w:r>
      <w:r w:rsidRPr="2EED0021">
        <w:rPr>
          <w:sz w:val="24"/>
          <w:szCs w:val="24"/>
          <w:lang w:val="en-IE"/>
        </w:rPr>
        <w:t xml:space="preserve">. The review of the gas and electricity security framework, expected for next year, aims to take into account </w:t>
      </w:r>
      <w:r w:rsidR="282985B9" w:rsidRPr="2EED0021">
        <w:rPr>
          <w:sz w:val="24"/>
          <w:szCs w:val="24"/>
          <w:lang w:val="en-IE"/>
        </w:rPr>
        <w:t xml:space="preserve">specifically </w:t>
      </w:r>
      <w:r w:rsidRPr="2EED0021">
        <w:rPr>
          <w:sz w:val="24"/>
          <w:szCs w:val="24"/>
          <w:lang w:val="en-IE"/>
        </w:rPr>
        <w:t>emerging challenges and threats to the energy system, such as hybrid</w:t>
      </w:r>
      <w:r w:rsidR="24EACBF6" w:rsidRPr="2EED0021">
        <w:rPr>
          <w:sz w:val="24"/>
          <w:szCs w:val="24"/>
          <w:lang w:val="en-IE"/>
        </w:rPr>
        <w:t xml:space="preserve"> </w:t>
      </w:r>
      <w:r w:rsidRPr="2EED0021">
        <w:rPr>
          <w:sz w:val="24"/>
          <w:szCs w:val="24"/>
          <w:lang w:val="en-IE"/>
        </w:rPr>
        <w:t xml:space="preserve">attacks. The recently adopted EU Preparedness Union Strategy, the Internal Security Strategy </w:t>
      </w:r>
      <w:r w:rsidR="59831403" w:rsidRPr="2EED0021">
        <w:rPr>
          <w:sz w:val="24"/>
          <w:szCs w:val="24"/>
          <w:lang w:val="en-IE"/>
        </w:rPr>
        <w:t>“</w:t>
      </w:r>
      <w:r w:rsidRPr="2EED0021">
        <w:rPr>
          <w:sz w:val="24"/>
          <w:szCs w:val="24"/>
          <w:lang w:val="en-IE"/>
        </w:rPr>
        <w:t>Protect EU</w:t>
      </w:r>
      <w:r w:rsidR="59831403" w:rsidRPr="2EED0021">
        <w:rPr>
          <w:sz w:val="24"/>
          <w:szCs w:val="24"/>
          <w:lang w:val="en-IE"/>
        </w:rPr>
        <w:t>”</w:t>
      </w:r>
      <w:r w:rsidRPr="2EED0021">
        <w:rPr>
          <w:sz w:val="24"/>
          <w:szCs w:val="24"/>
          <w:lang w:val="en-IE"/>
        </w:rPr>
        <w:t xml:space="preserve">, and the White </w:t>
      </w:r>
      <w:r w:rsidRPr="2EED0021">
        <w:rPr>
          <w:sz w:val="24"/>
          <w:szCs w:val="24"/>
          <w:lang w:val="en-IE"/>
        </w:rPr>
        <w:lastRenderedPageBreak/>
        <w:t xml:space="preserve">Paper for European Defence and </w:t>
      </w:r>
      <w:r w:rsidR="20987B0B" w:rsidRPr="2EED0021">
        <w:rPr>
          <w:sz w:val="24"/>
          <w:szCs w:val="24"/>
          <w:lang w:val="en-IE"/>
        </w:rPr>
        <w:t>“</w:t>
      </w:r>
      <w:r w:rsidRPr="2EED0021">
        <w:rPr>
          <w:sz w:val="24"/>
          <w:szCs w:val="24"/>
          <w:lang w:val="en-IE"/>
        </w:rPr>
        <w:t>ReArm Europe</w:t>
      </w:r>
      <w:r w:rsidR="20987B0B" w:rsidRPr="2EED0021">
        <w:rPr>
          <w:sz w:val="24"/>
          <w:szCs w:val="24"/>
          <w:lang w:val="en-IE"/>
        </w:rPr>
        <w:t>”</w:t>
      </w:r>
      <w:r w:rsidRPr="2EED0021">
        <w:rPr>
          <w:sz w:val="24"/>
          <w:szCs w:val="24"/>
          <w:lang w:val="en-IE"/>
        </w:rPr>
        <w:t xml:space="preserve"> plan highlight the need to invest more in critical infrastructure protection. While we cannot predict the outcome of upcoming MFF discussions, we can reaffirm that this topic remains a high priority on our agenda.</w:t>
      </w:r>
      <w:r w:rsidRPr="2EED0021">
        <w:rPr>
          <w:sz w:val="24"/>
          <w:szCs w:val="24"/>
        </w:rPr>
        <w:t xml:space="preserve"> </w:t>
      </w:r>
    </w:p>
    <w:p w14:paraId="74AF4256" w14:textId="333F4E95" w:rsidR="6E3B8B67" w:rsidRDefault="008D513F" w:rsidP="00FD75F8">
      <w:pPr>
        <w:widowControl w:val="0"/>
        <w:spacing w:after="120"/>
        <w:jc w:val="both"/>
        <w:rPr>
          <w:sz w:val="24"/>
          <w:szCs w:val="24"/>
          <w:lang w:val="en-IE"/>
        </w:rPr>
      </w:pPr>
      <w:r w:rsidRPr="00592484">
        <w:rPr>
          <w:sz w:val="24"/>
          <w:szCs w:val="24"/>
          <w:lang w:val="en-IE"/>
        </w:rPr>
        <w:t>The Commission is committed to the swift implementation of the Critical Raw Materials Act. This includes fast-tracking Strategic Projects across the value chain while upholding high environmental, social and governance standards. The Commission also supports enhanced recycling, circular economy measures, and investments in sustainable processing. In parallel, the Commission is deepening strategic partnerships and trade agreements with third countries to diversify supply and promote responsible sourcing in line with the Global Gateway strategy.</w:t>
      </w:r>
    </w:p>
    <w:p w14:paraId="68940B7B" w14:textId="0FD36D78" w:rsidR="0050754C" w:rsidRDefault="00D43B1B" w:rsidP="00FD75F8">
      <w:pPr>
        <w:widowControl w:val="0"/>
        <w:spacing w:after="120"/>
        <w:jc w:val="both"/>
        <w:rPr>
          <w:sz w:val="24"/>
          <w:szCs w:val="24"/>
          <w:lang w:val="en-IE"/>
        </w:rPr>
      </w:pPr>
      <w:r>
        <w:rPr>
          <w:sz w:val="24"/>
          <w:szCs w:val="24"/>
          <w:lang w:val="en-IE"/>
        </w:rPr>
        <w:t xml:space="preserve">To </w:t>
      </w:r>
      <w:r w:rsidR="00436941">
        <w:rPr>
          <w:sz w:val="24"/>
          <w:szCs w:val="24"/>
          <w:lang w:val="en-IE"/>
        </w:rPr>
        <w:t xml:space="preserve">support the swift deployment of </w:t>
      </w:r>
      <w:r w:rsidR="00412E9A">
        <w:rPr>
          <w:sz w:val="24"/>
          <w:szCs w:val="24"/>
          <w:lang w:val="en-IE"/>
        </w:rPr>
        <w:t>energy transmission infrastructure</w:t>
      </w:r>
      <w:r w:rsidR="00222261">
        <w:rPr>
          <w:sz w:val="24"/>
          <w:szCs w:val="24"/>
          <w:lang w:val="en-IE"/>
        </w:rPr>
        <w:t xml:space="preserve"> </w:t>
      </w:r>
      <w:r w:rsidR="00DD3C41">
        <w:rPr>
          <w:sz w:val="24"/>
          <w:szCs w:val="24"/>
          <w:lang w:val="en-IE"/>
        </w:rPr>
        <w:t xml:space="preserve">in line with the objectives of the EU nature legislation, the Commission </w:t>
      </w:r>
      <w:r w:rsidR="00130266">
        <w:rPr>
          <w:sz w:val="24"/>
          <w:szCs w:val="24"/>
          <w:lang w:val="en-IE"/>
        </w:rPr>
        <w:t xml:space="preserve">published </w:t>
      </w:r>
      <w:r w:rsidR="00016772">
        <w:rPr>
          <w:sz w:val="24"/>
          <w:szCs w:val="24"/>
          <w:lang w:val="en-IE"/>
        </w:rPr>
        <w:t xml:space="preserve">in 2018 </w:t>
      </w:r>
      <w:r w:rsidR="00130266">
        <w:rPr>
          <w:sz w:val="24"/>
          <w:szCs w:val="24"/>
          <w:lang w:val="en-IE"/>
        </w:rPr>
        <w:t xml:space="preserve">a </w:t>
      </w:r>
      <w:hyperlink r:id="rId15" w:history="1">
        <w:r w:rsidR="00114478" w:rsidRPr="00114478">
          <w:rPr>
            <w:rStyle w:val="Hyperlink"/>
            <w:sz w:val="24"/>
            <w:szCs w:val="24"/>
            <w:lang w:val="en-IE"/>
          </w:rPr>
          <w:t>Guidance on energy transmission infrastructure and EU nature legislation</w:t>
        </w:r>
      </w:hyperlink>
      <w:r w:rsidR="003145E5">
        <w:rPr>
          <w:sz w:val="24"/>
          <w:szCs w:val="24"/>
          <w:lang w:val="en-IE"/>
        </w:rPr>
        <w:t>. The guidance</w:t>
      </w:r>
      <w:r w:rsidR="00DD3C41">
        <w:rPr>
          <w:sz w:val="24"/>
          <w:szCs w:val="24"/>
          <w:lang w:val="en-IE"/>
        </w:rPr>
        <w:t xml:space="preserve"> </w:t>
      </w:r>
      <w:r w:rsidR="0023173C">
        <w:rPr>
          <w:sz w:val="24"/>
          <w:szCs w:val="24"/>
          <w:lang w:val="en-IE"/>
        </w:rPr>
        <w:t>promotes</w:t>
      </w:r>
      <w:r w:rsidR="00016772">
        <w:rPr>
          <w:sz w:val="24"/>
          <w:szCs w:val="24"/>
          <w:lang w:val="en-IE"/>
        </w:rPr>
        <w:t xml:space="preserve"> </w:t>
      </w:r>
      <w:r w:rsidR="009D4C8C">
        <w:rPr>
          <w:sz w:val="24"/>
          <w:szCs w:val="24"/>
          <w:lang w:val="en-IE"/>
        </w:rPr>
        <w:t>the use of</w:t>
      </w:r>
      <w:r w:rsidR="00016772">
        <w:rPr>
          <w:sz w:val="24"/>
          <w:szCs w:val="24"/>
          <w:lang w:val="en-IE"/>
        </w:rPr>
        <w:t xml:space="preserve"> appropriate solutions and mitigations </w:t>
      </w:r>
      <w:r w:rsidR="00D83C11">
        <w:rPr>
          <w:sz w:val="24"/>
          <w:szCs w:val="24"/>
          <w:lang w:val="en-IE"/>
        </w:rPr>
        <w:t xml:space="preserve">measures </w:t>
      </w:r>
      <w:r w:rsidR="004F49F2">
        <w:rPr>
          <w:sz w:val="24"/>
          <w:szCs w:val="24"/>
          <w:lang w:val="en-IE"/>
        </w:rPr>
        <w:t>for electricity grids</w:t>
      </w:r>
      <w:r w:rsidR="001B7CC1">
        <w:rPr>
          <w:sz w:val="24"/>
          <w:szCs w:val="24"/>
          <w:lang w:val="en-IE"/>
        </w:rPr>
        <w:t xml:space="preserve"> </w:t>
      </w:r>
      <w:r w:rsidR="001B42A0">
        <w:rPr>
          <w:sz w:val="24"/>
          <w:szCs w:val="24"/>
          <w:lang w:val="en-IE"/>
        </w:rPr>
        <w:t xml:space="preserve">to avoid or mitigate negative impacts on biodiversity. </w:t>
      </w:r>
    </w:p>
    <w:p w14:paraId="26EBA872" w14:textId="3EBA9FDE" w:rsidR="00EE4607" w:rsidRDefault="00EE4607" w:rsidP="00EE4607">
      <w:pPr>
        <w:widowControl w:val="0"/>
        <w:spacing w:after="120" w:line="259" w:lineRule="auto"/>
        <w:jc w:val="both"/>
        <w:rPr>
          <w:b/>
          <w:bCs/>
          <w:sz w:val="24"/>
          <w:szCs w:val="24"/>
          <w:lang w:val="en-IE"/>
        </w:rPr>
      </w:pPr>
    </w:p>
    <w:p w14:paraId="2D6DDE9D" w14:textId="371C355C" w:rsidR="00C877D3" w:rsidRDefault="000D02EB" w:rsidP="00C30154">
      <w:pPr>
        <w:pStyle w:val="ListParagraph"/>
        <w:widowControl w:val="0"/>
        <w:numPr>
          <w:ilvl w:val="0"/>
          <w:numId w:val="15"/>
        </w:numPr>
        <w:spacing w:after="120" w:line="259" w:lineRule="auto"/>
        <w:ind w:left="426"/>
        <w:jc w:val="both"/>
        <w:rPr>
          <w:b/>
          <w:bCs/>
          <w:sz w:val="24"/>
          <w:szCs w:val="24"/>
          <w:lang w:val="en-IE"/>
        </w:rPr>
      </w:pPr>
      <w:r w:rsidRPr="00977753">
        <w:rPr>
          <w:b/>
          <w:bCs/>
          <w:sz w:val="24"/>
          <w:szCs w:val="24"/>
          <w:lang w:val="en-IE"/>
        </w:rPr>
        <w:t>Implementation of Grid Action Plan</w:t>
      </w:r>
      <w:r w:rsidR="00D60A6C">
        <w:rPr>
          <w:b/>
          <w:bCs/>
          <w:sz w:val="24"/>
          <w:szCs w:val="24"/>
          <w:lang w:val="en-IE"/>
        </w:rPr>
        <w:t xml:space="preserve"> </w:t>
      </w:r>
      <w:r w:rsidR="00C877D3" w:rsidRPr="00D60A6C">
        <w:rPr>
          <w:b/>
          <w:bCs/>
          <w:sz w:val="24"/>
          <w:szCs w:val="24"/>
          <w:lang w:val="en-IE"/>
        </w:rPr>
        <w:t>(paragraphs 27, 41 &amp; 51)</w:t>
      </w:r>
    </w:p>
    <w:p w14:paraId="405EC743" w14:textId="77777777" w:rsidR="00951A68" w:rsidRPr="00951A68" w:rsidRDefault="00951A68" w:rsidP="00951A68">
      <w:pPr>
        <w:widowControl w:val="0"/>
        <w:spacing w:after="120" w:line="259" w:lineRule="auto"/>
        <w:jc w:val="both"/>
        <w:rPr>
          <w:b/>
          <w:bCs/>
          <w:sz w:val="24"/>
          <w:szCs w:val="24"/>
          <w:lang w:val="en-IE"/>
        </w:rPr>
      </w:pPr>
    </w:p>
    <w:p w14:paraId="65EC57F7" w14:textId="77777777" w:rsidR="000E6BBA" w:rsidRDefault="000E6BBA" w:rsidP="00CC2CFD">
      <w:pPr>
        <w:widowControl w:val="0"/>
        <w:spacing w:after="120" w:line="259" w:lineRule="auto"/>
        <w:jc w:val="both"/>
        <w:rPr>
          <w:sz w:val="24"/>
          <w:szCs w:val="24"/>
          <w:lang w:val="en-IE"/>
        </w:rPr>
      </w:pPr>
      <w:r w:rsidRPr="006C2BBC">
        <w:rPr>
          <w:sz w:val="24"/>
          <w:szCs w:val="24"/>
          <w:lang w:val="en-IE"/>
        </w:rPr>
        <w:t>The report rightly highlights the EU Grid Action Plan as an important stepping stone for further action.</w:t>
      </w:r>
    </w:p>
    <w:p w14:paraId="5480C765" w14:textId="243A2890" w:rsidR="00C9784C" w:rsidRPr="00C9784C" w:rsidRDefault="000E6BBA" w:rsidP="004366F9">
      <w:pPr>
        <w:widowControl w:val="0"/>
        <w:spacing w:after="120" w:line="259" w:lineRule="auto"/>
        <w:jc w:val="both"/>
        <w:rPr>
          <w:sz w:val="24"/>
          <w:szCs w:val="24"/>
        </w:rPr>
      </w:pPr>
      <w:r>
        <w:rPr>
          <w:sz w:val="24"/>
          <w:szCs w:val="24"/>
        </w:rPr>
        <w:t>Action 12 of the EU Grid Action Plan</w:t>
      </w:r>
      <w:r w:rsidRPr="006C2BBC">
        <w:rPr>
          <w:sz w:val="24"/>
          <w:szCs w:val="24"/>
        </w:rPr>
        <w:t xml:space="preserve"> </w:t>
      </w:r>
      <w:r>
        <w:rPr>
          <w:sz w:val="24"/>
          <w:szCs w:val="24"/>
        </w:rPr>
        <w:t>aims for e</w:t>
      </w:r>
      <w:r w:rsidRPr="006C2BBC">
        <w:rPr>
          <w:sz w:val="24"/>
          <w:szCs w:val="24"/>
        </w:rPr>
        <w:t xml:space="preserve">arly, regular and meaningful stakeholder engagement </w:t>
      </w:r>
      <w:r w:rsidR="00D01068">
        <w:rPr>
          <w:sz w:val="24"/>
          <w:szCs w:val="24"/>
        </w:rPr>
        <w:t>for</w:t>
      </w:r>
      <w:r>
        <w:rPr>
          <w:sz w:val="24"/>
          <w:szCs w:val="24"/>
        </w:rPr>
        <w:t xml:space="preserve"> the </w:t>
      </w:r>
      <w:r w:rsidR="00D01068">
        <w:rPr>
          <w:sz w:val="24"/>
          <w:szCs w:val="24"/>
        </w:rPr>
        <w:t>development of grid</w:t>
      </w:r>
      <w:r>
        <w:rPr>
          <w:sz w:val="24"/>
          <w:szCs w:val="24"/>
        </w:rPr>
        <w:t xml:space="preserve"> </w:t>
      </w:r>
      <w:r w:rsidRPr="006C2BBC">
        <w:rPr>
          <w:sz w:val="24"/>
          <w:szCs w:val="24"/>
        </w:rPr>
        <w:t xml:space="preserve">projects. </w:t>
      </w:r>
      <w:r w:rsidR="00940FF5">
        <w:rPr>
          <w:sz w:val="24"/>
          <w:szCs w:val="24"/>
        </w:rPr>
        <w:t>The first step in delivering on this action was taken in 2023</w:t>
      </w:r>
      <w:r w:rsidR="009B69DE">
        <w:rPr>
          <w:sz w:val="24"/>
          <w:szCs w:val="24"/>
        </w:rPr>
        <w:t>, during the PCI Energy Days,</w:t>
      </w:r>
      <w:r w:rsidR="00940FF5">
        <w:rPr>
          <w:sz w:val="24"/>
          <w:szCs w:val="24"/>
        </w:rPr>
        <w:t xml:space="preserve"> when </w:t>
      </w:r>
      <w:r w:rsidR="00C9784C" w:rsidRPr="63222505">
        <w:rPr>
          <w:sz w:val="24"/>
          <w:szCs w:val="24"/>
        </w:rPr>
        <w:t>C</w:t>
      </w:r>
      <w:r w:rsidR="003E131E">
        <w:rPr>
          <w:sz w:val="24"/>
          <w:szCs w:val="24"/>
        </w:rPr>
        <w:t>ommission</w:t>
      </w:r>
      <w:r w:rsidR="00C9784C" w:rsidRPr="63222505">
        <w:rPr>
          <w:sz w:val="24"/>
          <w:szCs w:val="24"/>
        </w:rPr>
        <w:t xml:space="preserve"> launched the “Pact for Engagement”. The Pact and its signatories specifically aim to ensure early, regular and meaningful stakeholder engagement in grid development </w:t>
      </w:r>
      <w:r w:rsidR="00EA074F" w:rsidRPr="63222505">
        <w:rPr>
          <w:sz w:val="24"/>
          <w:szCs w:val="24"/>
        </w:rPr>
        <w:t>to</w:t>
      </w:r>
      <w:r w:rsidR="00C9784C" w:rsidRPr="63222505">
        <w:rPr>
          <w:sz w:val="24"/>
          <w:szCs w:val="24"/>
        </w:rPr>
        <w:t xml:space="preserve"> address potential public opposition and ensure the highest standard in stakeholder engagement. </w:t>
      </w:r>
      <w:r w:rsidR="00EA074F">
        <w:rPr>
          <w:sz w:val="24"/>
          <w:szCs w:val="24"/>
        </w:rPr>
        <w:t>Today</w:t>
      </w:r>
      <w:r w:rsidR="00C9784C" w:rsidRPr="63222505">
        <w:rPr>
          <w:sz w:val="24"/>
          <w:szCs w:val="24"/>
        </w:rPr>
        <w:t xml:space="preserve"> the number of co-signatories of the Pact has </w:t>
      </w:r>
      <w:r w:rsidR="00EA074F">
        <w:rPr>
          <w:sz w:val="24"/>
          <w:szCs w:val="24"/>
        </w:rPr>
        <w:t>reached</w:t>
      </w:r>
      <w:r w:rsidR="00EA074F" w:rsidRPr="63222505">
        <w:rPr>
          <w:sz w:val="24"/>
          <w:szCs w:val="24"/>
        </w:rPr>
        <w:t xml:space="preserve"> </w:t>
      </w:r>
      <w:r w:rsidR="00B90F82">
        <w:rPr>
          <w:sz w:val="24"/>
          <w:szCs w:val="24"/>
        </w:rPr>
        <w:t>over</w:t>
      </w:r>
      <w:r w:rsidR="00C9784C" w:rsidRPr="63222505">
        <w:rPr>
          <w:sz w:val="24"/>
          <w:szCs w:val="24"/>
        </w:rPr>
        <w:t xml:space="preserve"> 30, amongst which are TSOs, DSOs, industry associations and civil society organizations. </w:t>
      </w:r>
      <w:r w:rsidR="00F657CF">
        <w:rPr>
          <w:sz w:val="24"/>
          <w:szCs w:val="24"/>
        </w:rPr>
        <w:t>Commission</w:t>
      </w:r>
      <w:r w:rsidR="00C9784C" w:rsidRPr="00C9784C">
        <w:rPr>
          <w:sz w:val="24"/>
          <w:szCs w:val="24"/>
        </w:rPr>
        <w:t xml:space="preserve"> and signatories to the Pact </w:t>
      </w:r>
      <w:r w:rsidR="00F81C92">
        <w:rPr>
          <w:sz w:val="24"/>
          <w:szCs w:val="24"/>
        </w:rPr>
        <w:t xml:space="preserve">continue to work on the operationalization of the Pact and have agreed to </w:t>
      </w:r>
      <w:r w:rsidR="00F657CF">
        <w:rPr>
          <w:sz w:val="24"/>
          <w:szCs w:val="24"/>
        </w:rPr>
        <w:t>T</w:t>
      </w:r>
      <w:r w:rsidR="00F81C92">
        <w:rPr>
          <w:sz w:val="24"/>
          <w:szCs w:val="24"/>
        </w:rPr>
        <w:t xml:space="preserve">en Guiding Principles for Public Engagement in 2024, which are matched with best practices of TSOs and DSOs. Since July 2024, regular stakeholder meetings for public engagement are organized by </w:t>
      </w:r>
      <w:r w:rsidR="00F657CF">
        <w:rPr>
          <w:sz w:val="24"/>
          <w:szCs w:val="24"/>
        </w:rPr>
        <w:t>the Commission</w:t>
      </w:r>
      <w:r w:rsidR="00F81C92">
        <w:rPr>
          <w:sz w:val="24"/>
          <w:szCs w:val="24"/>
        </w:rPr>
        <w:t xml:space="preserve">, in which best practices are </w:t>
      </w:r>
      <w:r w:rsidR="00DC1CBD">
        <w:rPr>
          <w:sz w:val="24"/>
          <w:szCs w:val="24"/>
        </w:rPr>
        <w:t xml:space="preserve">shared and discussed. </w:t>
      </w:r>
    </w:p>
    <w:p w14:paraId="2636DD7E" w14:textId="7E5D124A" w:rsidR="000E6BBA" w:rsidRDefault="000E6BBA" w:rsidP="000E6BBA">
      <w:pPr>
        <w:widowControl w:val="0"/>
        <w:spacing w:after="120" w:line="259" w:lineRule="auto"/>
        <w:jc w:val="both"/>
        <w:rPr>
          <w:sz w:val="24"/>
          <w:szCs w:val="24"/>
          <w:lang w:val="en-IE"/>
        </w:rPr>
      </w:pPr>
      <w:r>
        <w:rPr>
          <w:sz w:val="24"/>
          <w:szCs w:val="24"/>
        </w:rPr>
        <w:t xml:space="preserve">On the 2 June </w:t>
      </w:r>
      <w:r w:rsidR="00867F0E">
        <w:rPr>
          <w:sz w:val="24"/>
          <w:szCs w:val="24"/>
        </w:rPr>
        <w:t xml:space="preserve">2025 </w:t>
      </w:r>
      <w:r>
        <w:rPr>
          <w:sz w:val="24"/>
          <w:szCs w:val="24"/>
        </w:rPr>
        <w:t xml:space="preserve">the Commission published the </w:t>
      </w:r>
      <w:r w:rsidR="00867F0E" w:rsidRPr="00270FC2">
        <w:rPr>
          <w:sz w:val="24"/>
          <w:szCs w:val="24"/>
        </w:rPr>
        <w:t>Guidance document on anticipatory investments for developing forward-looking electricity networks</w:t>
      </w:r>
      <w:r w:rsidRPr="004366F9">
        <w:rPr>
          <w:sz w:val="24"/>
          <w:szCs w:val="24"/>
        </w:rPr>
        <w:t>.</w:t>
      </w:r>
      <w:r w:rsidRPr="00202EAE">
        <w:rPr>
          <w:sz w:val="24"/>
          <w:szCs w:val="24"/>
        </w:rPr>
        <w:t xml:space="preserve"> </w:t>
      </w:r>
      <w:r w:rsidR="00486895">
        <w:rPr>
          <w:sz w:val="24"/>
          <w:szCs w:val="24"/>
        </w:rPr>
        <w:t>T</w:t>
      </w:r>
      <w:r w:rsidRPr="00AD0A1F">
        <w:rPr>
          <w:sz w:val="24"/>
          <w:szCs w:val="24"/>
        </w:rPr>
        <w:t xml:space="preserve">he document addresses EU </w:t>
      </w:r>
      <w:r w:rsidR="23B397E1" w:rsidRPr="08E6BA80">
        <w:rPr>
          <w:sz w:val="24"/>
          <w:szCs w:val="24"/>
        </w:rPr>
        <w:t>Member States</w:t>
      </w:r>
      <w:r w:rsidRPr="00AD0A1F">
        <w:rPr>
          <w:sz w:val="24"/>
          <w:szCs w:val="24"/>
        </w:rPr>
        <w:t>,</w:t>
      </w:r>
      <w:r>
        <w:rPr>
          <w:sz w:val="24"/>
          <w:szCs w:val="24"/>
        </w:rPr>
        <w:t xml:space="preserve"> </w:t>
      </w:r>
      <w:r w:rsidR="007A502D">
        <w:rPr>
          <w:sz w:val="24"/>
          <w:szCs w:val="24"/>
        </w:rPr>
        <w:t>NRAs</w:t>
      </w:r>
      <w:r w:rsidRPr="00AD0A1F">
        <w:rPr>
          <w:sz w:val="24"/>
          <w:szCs w:val="24"/>
        </w:rPr>
        <w:t xml:space="preserve">, as well as </w:t>
      </w:r>
      <w:r w:rsidR="00180C72">
        <w:rPr>
          <w:sz w:val="24"/>
          <w:szCs w:val="24"/>
        </w:rPr>
        <w:t>TSOs and DSOs,</w:t>
      </w:r>
      <w:r w:rsidR="00486895">
        <w:rPr>
          <w:sz w:val="24"/>
          <w:szCs w:val="24"/>
        </w:rPr>
        <w:t xml:space="preserve"> and </w:t>
      </w:r>
      <w:r w:rsidRPr="00AD0A1F">
        <w:rPr>
          <w:sz w:val="24"/>
          <w:szCs w:val="24"/>
        </w:rPr>
        <w:t>offers guidance to help them create the right conditions so that grid investments reflect future needs, while also ensuring affordability for consumers and the competitiveness of industry.</w:t>
      </w:r>
      <w:r w:rsidR="008470D6">
        <w:rPr>
          <w:sz w:val="24"/>
          <w:szCs w:val="24"/>
          <w:lang w:val="en-IE"/>
        </w:rPr>
        <w:t xml:space="preserve"> </w:t>
      </w:r>
      <w:r w:rsidRPr="00AD0A1F">
        <w:rPr>
          <w:sz w:val="24"/>
          <w:szCs w:val="24"/>
          <w:lang w:val="en-IE"/>
        </w:rPr>
        <w:t>T</w:t>
      </w:r>
      <w:r>
        <w:rPr>
          <w:sz w:val="24"/>
          <w:szCs w:val="24"/>
          <w:lang w:val="en-IE"/>
        </w:rPr>
        <w:t>he</w:t>
      </w:r>
      <w:r w:rsidRPr="00AD0A1F">
        <w:rPr>
          <w:sz w:val="24"/>
          <w:szCs w:val="24"/>
          <w:lang w:val="en-IE"/>
        </w:rPr>
        <w:t xml:space="preserve"> guidance puts forward concrete recommendations in 3 main areas: network planning, regulatory scrutiny and costs and incentives.</w:t>
      </w:r>
    </w:p>
    <w:p w14:paraId="21DBF63A" w14:textId="3F766AD2" w:rsidR="000E6BBA" w:rsidRDefault="0030787D" w:rsidP="000E6BBA">
      <w:pPr>
        <w:widowControl w:val="0"/>
        <w:spacing w:after="120" w:line="259" w:lineRule="auto"/>
        <w:jc w:val="both"/>
        <w:rPr>
          <w:sz w:val="24"/>
          <w:szCs w:val="24"/>
          <w:lang w:val="en-IE"/>
        </w:rPr>
      </w:pPr>
      <w:r>
        <w:rPr>
          <w:sz w:val="24"/>
          <w:szCs w:val="24"/>
          <w:lang w:val="en-IE"/>
        </w:rPr>
        <w:t xml:space="preserve">On the 29 April 2025 the </w:t>
      </w:r>
      <w:r w:rsidR="001D1AC0">
        <w:rPr>
          <w:sz w:val="24"/>
          <w:szCs w:val="24"/>
          <w:lang w:val="en-IE"/>
        </w:rPr>
        <w:t xml:space="preserve">EU </w:t>
      </w:r>
      <w:r w:rsidR="00407E20" w:rsidRPr="00407E20">
        <w:rPr>
          <w:sz w:val="24"/>
          <w:szCs w:val="24"/>
          <w:lang w:val="en-IE"/>
        </w:rPr>
        <w:t xml:space="preserve">DSO Entity and ENTSO-E </w:t>
      </w:r>
      <w:r w:rsidR="61FD8493" w:rsidRPr="2AA32554">
        <w:rPr>
          <w:sz w:val="24"/>
          <w:szCs w:val="24"/>
          <w:lang w:val="en-IE"/>
        </w:rPr>
        <w:t xml:space="preserve">opened the application process for common </w:t>
      </w:r>
      <w:r w:rsidR="00407E20" w:rsidRPr="00407E20">
        <w:rPr>
          <w:sz w:val="24"/>
          <w:szCs w:val="24"/>
          <w:lang w:val="en-IE"/>
        </w:rPr>
        <w:t>DSO/TSO Technopedia platform</w:t>
      </w:r>
      <w:r w:rsidR="6DDC2277" w:rsidRPr="2AA32554">
        <w:rPr>
          <w:sz w:val="24"/>
          <w:szCs w:val="24"/>
          <w:lang w:val="en-IE"/>
        </w:rPr>
        <w:t xml:space="preserve">, as mandated by Action 7 of the </w:t>
      </w:r>
      <w:r w:rsidR="002B1341">
        <w:rPr>
          <w:sz w:val="24"/>
          <w:szCs w:val="24"/>
          <w:lang w:val="en-IE"/>
        </w:rPr>
        <w:t>EU Action Plan for Grids</w:t>
      </w:r>
      <w:r w:rsidR="00DC62F3" w:rsidRPr="2AA32554">
        <w:rPr>
          <w:sz w:val="24"/>
          <w:szCs w:val="24"/>
          <w:lang w:val="en-IE"/>
        </w:rPr>
        <w:t>.</w:t>
      </w:r>
      <w:r w:rsidR="00DC62F3">
        <w:rPr>
          <w:sz w:val="24"/>
          <w:szCs w:val="24"/>
          <w:lang w:val="en-IE"/>
        </w:rPr>
        <w:t xml:space="preserve"> </w:t>
      </w:r>
      <w:r w:rsidR="006F48EB" w:rsidRPr="006F48EB">
        <w:rPr>
          <w:sz w:val="24"/>
          <w:szCs w:val="24"/>
        </w:rPr>
        <w:t xml:space="preserve">This </w:t>
      </w:r>
      <w:r w:rsidR="00D85BD2">
        <w:rPr>
          <w:sz w:val="24"/>
          <w:szCs w:val="24"/>
        </w:rPr>
        <w:t xml:space="preserve">platform </w:t>
      </w:r>
      <w:r w:rsidR="006F48EB" w:rsidRPr="006F48EB">
        <w:rPr>
          <w:sz w:val="24"/>
          <w:szCs w:val="24"/>
        </w:rPr>
        <w:t xml:space="preserve">will allow system operators to explore how others are leveraging various technologies, sharing good practices and adopting similar solutions in their own grids. </w:t>
      </w:r>
      <w:r w:rsidR="00D85BD2">
        <w:rPr>
          <w:sz w:val="24"/>
          <w:szCs w:val="24"/>
        </w:rPr>
        <w:t>T</w:t>
      </w:r>
      <w:r w:rsidR="006F48EB" w:rsidRPr="006F48EB">
        <w:rPr>
          <w:sz w:val="24"/>
          <w:szCs w:val="24"/>
        </w:rPr>
        <w:t xml:space="preserve">he platform is also open to contributions from stakeholders. </w:t>
      </w:r>
      <w:r w:rsidR="6C37D9FD" w:rsidRPr="0957CDB4">
        <w:rPr>
          <w:sz w:val="24"/>
          <w:szCs w:val="24"/>
        </w:rPr>
        <w:t xml:space="preserve">Based on discussions with the </w:t>
      </w:r>
      <w:r w:rsidR="6C37D9FD" w:rsidRPr="0957CDB4">
        <w:rPr>
          <w:sz w:val="24"/>
          <w:szCs w:val="24"/>
        </w:rPr>
        <w:lastRenderedPageBreak/>
        <w:t>ENTSO-E and</w:t>
      </w:r>
      <w:r w:rsidR="00F5732D">
        <w:rPr>
          <w:sz w:val="24"/>
          <w:szCs w:val="24"/>
        </w:rPr>
        <w:t xml:space="preserve"> the EU</w:t>
      </w:r>
      <w:r w:rsidR="6C37D9FD" w:rsidRPr="0957CDB4">
        <w:rPr>
          <w:sz w:val="24"/>
          <w:szCs w:val="24"/>
        </w:rPr>
        <w:t xml:space="preserve"> DSO entity, the platform should be open to new applications and be updated annually, to track most recent developments </w:t>
      </w:r>
      <w:r w:rsidR="6C37D9FD" w:rsidRPr="5AA57FCE">
        <w:rPr>
          <w:sz w:val="24"/>
          <w:szCs w:val="24"/>
        </w:rPr>
        <w:t>in grid enhancing technologies, smart and digital solutions.</w:t>
      </w:r>
      <w:r w:rsidR="006F48EB" w:rsidRPr="2AA32554">
        <w:rPr>
          <w:sz w:val="24"/>
          <w:szCs w:val="24"/>
        </w:rPr>
        <w:t xml:space="preserve"> </w:t>
      </w:r>
    </w:p>
    <w:p w14:paraId="4F1278AB" w14:textId="77777777" w:rsidR="00C877D3" w:rsidRDefault="00C877D3" w:rsidP="00C877D3">
      <w:pPr>
        <w:widowControl w:val="0"/>
        <w:spacing w:after="120" w:line="259" w:lineRule="auto"/>
        <w:jc w:val="both"/>
        <w:rPr>
          <w:b/>
          <w:bCs/>
          <w:sz w:val="24"/>
          <w:szCs w:val="24"/>
          <w:lang w:val="en-IE"/>
        </w:rPr>
      </w:pPr>
    </w:p>
    <w:p w14:paraId="24AA8153" w14:textId="06A49467" w:rsidR="000E6BBA" w:rsidRPr="00D60A6C" w:rsidRDefault="000E6BBA" w:rsidP="00C30154">
      <w:pPr>
        <w:pStyle w:val="ListParagraph"/>
        <w:widowControl w:val="0"/>
        <w:numPr>
          <w:ilvl w:val="0"/>
          <w:numId w:val="15"/>
        </w:numPr>
        <w:spacing w:after="120" w:line="259" w:lineRule="auto"/>
        <w:ind w:left="426"/>
        <w:jc w:val="both"/>
        <w:rPr>
          <w:b/>
          <w:bCs/>
          <w:sz w:val="24"/>
          <w:szCs w:val="24"/>
          <w:lang w:val="en-IE"/>
        </w:rPr>
      </w:pPr>
      <w:r w:rsidRPr="00977753">
        <w:rPr>
          <w:b/>
          <w:bCs/>
          <w:sz w:val="24"/>
          <w:szCs w:val="24"/>
          <w:lang w:val="en-IE"/>
        </w:rPr>
        <w:t>E</w:t>
      </w:r>
      <w:r w:rsidR="00C30154">
        <w:rPr>
          <w:b/>
          <w:bCs/>
          <w:sz w:val="24"/>
          <w:szCs w:val="24"/>
          <w:lang w:val="en-IE"/>
        </w:rPr>
        <w:t xml:space="preserve">lectricity Market Design </w:t>
      </w:r>
      <w:r w:rsidRPr="00D60A6C">
        <w:rPr>
          <w:b/>
          <w:bCs/>
          <w:sz w:val="24"/>
          <w:szCs w:val="24"/>
          <w:lang w:val="en-IE"/>
        </w:rPr>
        <w:t>(paragraph</w:t>
      </w:r>
      <w:r w:rsidR="00233440" w:rsidRPr="00D60A6C">
        <w:rPr>
          <w:b/>
          <w:bCs/>
          <w:sz w:val="24"/>
          <w:szCs w:val="24"/>
          <w:lang w:val="en-IE"/>
        </w:rPr>
        <w:t>s</w:t>
      </w:r>
      <w:r w:rsidRPr="00D60A6C">
        <w:rPr>
          <w:b/>
          <w:bCs/>
          <w:sz w:val="24"/>
          <w:szCs w:val="24"/>
          <w:lang w:val="en-IE"/>
        </w:rPr>
        <w:t xml:space="preserve"> </w:t>
      </w:r>
      <w:r w:rsidR="000A3F5E" w:rsidRPr="00D60A6C">
        <w:rPr>
          <w:b/>
          <w:bCs/>
          <w:sz w:val="24"/>
          <w:szCs w:val="24"/>
          <w:lang w:val="en-IE"/>
        </w:rPr>
        <w:t xml:space="preserve">21, </w:t>
      </w:r>
      <w:r w:rsidRPr="00D60A6C">
        <w:rPr>
          <w:b/>
          <w:bCs/>
          <w:sz w:val="24"/>
          <w:szCs w:val="24"/>
          <w:lang w:val="en-IE"/>
        </w:rPr>
        <w:t>43, 44 &amp; 47)</w:t>
      </w:r>
    </w:p>
    <w:p w14:paraId="49EC3ED8" w14:textId="77777777" w:rsidR="00FD5B92" w:rsidRPr="00977753" w:rsidRDefault="00FD5B92" w:rsidP="00FD5B92">
      <w:pPr>
        <w:widowControl w:val="0"/>
        <w:spacing w:after="120" w:line="259" w:lineRule="auto"/>
        <w:jc w:val="both"/>
        <w:rPr>
          <w:b/>
          <w:bCs/>
          <w:sz w:val="24"/>
          <w:szCs w:val="24"/>
          <w:lang w:val="en-IE"/>
        </w:rPr>
      </w:pPr>
    </w:p>
    <w:p w14:paraId="65109101" w14:textId="169BEFBF" w:rsidR="649F20A4" w:rsidRDefault="1409F5D4" w:rsidP="7E591DF3">
      <w:pPr>
        <w:widowControl w:val="0"/>
        <w:spacing w:after="120" w:line="259" w:lineRule="auto"/>
        <w:jc w:val="both"/>
        <w:rPr>
          <w:sz w:val="24"/>
          <w:szCs w:val="24"/>
          <w:lang w:val="en-IE"/>
        </w:rPr>
      </w:pPr>
      <w:r w:rsidRPr="7AAAC581">
        <w:rPr>
          <w:sz w:val="24"/>
          <w:szCs w:val="24"/>
          <w:lang w:val="en-IE"/>
        </w:rPr>
        <w:t xml:space="preserve">Article 18 of the Electricity Regulation is directly applicable in Member States, including the obligation to ensure that a mix of both capital and </w:t>
      </w:r>
      <w:r w:rsidR="2096779E" w:rsidRPr="7AAAC581">
        <w:rPr>
          <w:sz w:val="24"/>
          <w:szCs w:val="24"/>
          <w:lang w:val="en-IE"/>
        </w:rPr>
        <w:t>operational</w:t>
      </w:r>
      <w:r w:rsidRPr="7AAAC581">
        <w:rPr>
          <w:sz w:val="24"/>
          <w:szCs w:val="24"/>
          <w:lang w:val="en-IE"/>
        </w:rPr>
        <w:t xml:space="preserve"> expenditure is considered in the r</w:t>
      </w:r>
      <w:r w:rsidR="0D905F5F" w:rsidRPr="7AAAC581">
        <w:rPr>
          <w:sz w:val="24"/>
          <w:szCs w:val="24"/>
          <w:lang w:val="en-IE"/>
        </w:rPr>
        <w:t xml:space="preserve">emuneration of system operators. </w:t>
      </w:r>
      <w:r w:rsidR="4A78CC53" w:rsidRPr="7AAAC581">
        <w:rPr>
          <w:sz w:val="24"/>
          <w:szCs w:val="24"/>
          <w:lang w:val="en-IE"/>
        </w:rPr>
        <w:t>This ensures that</w:t>
      </w:r>
      <w:r w:rsidR="45FCC000" w:rsidRPr="7AAAC581">
        <w:rPr>
          <w:sz w:val="24"/>
          <w:szCs w:val="24"/>
          <w:lang w:val="en-IE"/>
        </w:rPr>
        <w:t>, not only capital expenditure but also</w:t>
      </w:r>
      <w:r w:rsidR="4A78CC53" w:rsidRPr="7AAAC581">
        <w:rPr>
          <w:sz w:val="24"/>
          <w:szCs w:val="24"/>
          <w:lang w:val="en-IE"/>
        </w:rPr>
        <w:t xml:space="preserve"> </w:t>
      </w:r>
      <w:r w:rsidR="020F4C3D" w:rsidRPr="7AAAC581">
        <w:rPr>
          <w:sz w:val="24"/>
          <w:szCs w:val="24"/>
          <w:lang w:val="en-IE"/>
        </w:rPr>
        <w:t xml:space="preserve">operational </w:t>
      </w:r>
      <w:r w:rsidR="4A78CC53" w:rsidRPr="7AAAC581">
        <w:rPr>
          <w:sz w:val="24"/>
          <w:szCs w:val="24"/>
          <w:lang w:val="en-IE"/>
        </w:rPr>
        <w:t xml:space="preserve">costs borne by system operators to boost the flexibility of the system, </w:t>
      </w:r>
      <w:r w:rsidR="0E54022F" w:rsidRPr="7AAAC581">
        <w:rPr>
          <w:sz w:val="24"/>
          <w:szCs w:val="24"/>
          <w:lang w:val="en-IE"/>
        </w:rPr>
        <w:t>are</w:t>
      </w:r>
      <w:r w:rsidR="305D7029" w:rsidRPr="7AAAC581">
        <w:rPr>
          <w:sz w:val="24"/>
          <w:szCs w:val="24"/>
          <w:lang w:val="en-IE"/>
        </w:rPr>
        <w:t xml:space="preserve"> </w:t>
      </w:r>
      <w:r w:rsidR="7D71717D" w:rsidRPr="7AAAC581">
        <w:rPr>
          <w:sz w:val="24"/>
          <w:szCs w:val="24"/>
          <w:lang w:val="en-IE"/>
        </w:rPr>
        <w:t>to be</w:t>
      </w:r>
      <w:r w:rsidR="305D7029" w:rsidRPr="7AAAC581">
        <w:rPr>
          <w:sz w:val="24"/>
          <w:szCs w:val="24"/>
          <w:lang w:val="en-IE"/>
        </w:rPr>
        <w:t xml:space="preserve"> considered as allowed costs by NRA</w:t>
      </w:r>
      <w:r w:rsidR="1FDC63B1" w:rsidRPr="7AAAC581">
        <w:rPr>
          <w:sz w:val="24"/>
          <w:szCs w:val="24"/>
          <w:lang w:val="en-IE"/>
        </w:rPr>
        <w:t>s</w:t>
      </w:r>
      <w:r w:rsidR="305D7029" w:rsidRPr="7AAAC581">
        <w:rPr>
          <w:sz w:val="24"/>
          <w:szCs w:val="24"/>
          <w:lang w:val="en-IE"/>
        </w:rPr>
        <w:t xml:space="preserve"> and </w:t>
      </w:r>
      <w:r w:rsidR="4A78CC53" w:rsidRPr="7AAAC581">
        <w:rPr>
          <w:sz w:val="24"/>
          <w:szCs w:val="24"/>
          <w:lang w:val="en-IE"/>
        </w:rPr>
        <w:t xml:space="preserve">can </w:t>
      </w:r>
      <w:r w:rsidR="5BC6AF1E" w:rsidRPr="7AAAC581">
        <w:rPr>
          <w:sz w:val="24"/>
          <w:szCs w:val="24"/>
          <w:lang w:val="en-IE"/>
        </w:rPr>
        <w:t xml:space="preserve">therefore </w:t>
      </w:r>
      <w:r w:rsidR="4A78CC53" w:rsidRPr="7AAAC581">
        <w:rPr>
          <w:sz w:val="24"/>
          <w:szCs w:val="24"/>
          <w:lang w:val="en-IE"/>
        </w:rPr>
        <w:t xml:space="preserve">be recovered in a timely manner. </w:t>
      </w:r>
      <w:r w:rsidR="0D905F5F" w:rsidRPr="7AAAC581">
        <w:rPr>
          <w:sz w:val="24"/>
          <w:szCs w:val="24"/>
          <w:lang w:val="en-IE"/>
        </w:rPr>
        <w:t>This incentivise</w:t>
      </w:r>
      <w:r w:rsidR="64FC0CFA" w:rsidRPr="7AAAC581">
        <w:rPr>
          <w:sz w:val="24"/>
          <w:szCs w:val="24"/>
          <w:lang w:val="en-IE"/>
        </w:rPr>
        <w:t>s</w:t>
      </w:r>
      <w:r w:rsidR="0D905F5F" w:rsidRPr="7AAAC581">
        <w:rPr>
          <w:sz w:val="24"/>
          <w:szCs w:val="24"/>
          <w:lang w:val="en-IE"/>
        </w:rPr>
        <w:t xml:space="preserve"> flexibility and, in combination with the obligation to</w:t>
      </w:r>
      <w:r w:rsidR="5207C5D2" w:rsidRPr="7AAAC581">
        <w:rPr>
          <w:sz w:val="24"/>
          <w:szCs w:val="24"/>
          <w:lang w:val="en-IE"/>
        </w:rPr>
        <w:t xml:space="preserve"> consider flexibility alternatives and non-wire solutions for TSOs and DSOs, boost</w:t>
      </w:r>
      <w:r w:rsidR="1907E5EA" w:rsidRPr="7AAAC581">
        <w:rPr>
          <w:sz w:val="24"/>
          <w:szCs w:val="24"/>
          <w:lang w:val="en-IE"/>
        </w:rPr>
        <w:t>s</w:t>
      </w:r>
      <w:r w:rsidR="5207C5D2" w:rsidRPr="7AAAC581">
        <w:rPr>
          <w:sz w:val="24"/>
          <w:szCs w:val="24"/>
          <w:lang w:val="en-IE"/>
        </w:rPr>
        <w:t xml:space="preserve"> the ability of the </w:t>
      </w:r>
      <w:r w:rsidR="19306450" w:rsidRPr="7AAAC581">
        <w:rPr>
          <w:sz w:val="24"/>
          <w:szCs w:val="24"/>
          <w:lang w:val="en-IE"/>
        </w:rPr>
        <w:t>electricity network</w:t>
      </w:r>
      <w:r w:rsidR="5207C5D2" w:rsidRPr="7AAAC581">
        <w:rPr>
          <w:sz w:val="24"/>
          <w:szCs w:val="24"/>
          <w:lang w:val="en-IE"/>
        </w:rPr>
        <w:t xml:space="preserve"> to respond to </w:t>
      </w:r>
      <w:r w:rsidR="29A5F1B4" w:rsidRPr="7AAAC581">
        <w:rPr>
          <w:sz w:val="24"/>
          <w:szCs w:val="24"/>
          <w:lang w:val="en-IE"/>
        </w:rPr>
        <w:t>changing system needs</w:t>
      </w:r>
      <w:r w:rsidR="70A82A17" w:rsidRPr="7AAAC581">
        <w:rPr>
          <w:sz w:val="24"/>
          <w:szCs w:val="24"/>
          <w:lang w:val="en-IE"/>
        </w:rPr>
        <w:t xml:space="preserve"> in a cost-efficient manner</w:t>
      </w:r>
      <w:r w:rsidR="29A5F1B4" w:rsidRPr="7AAAC581">
        <w:rPr>
          <w:sz w:val="24"/>
          <w:szCs w:val="24"/>
          <w:lang w:val="en-IE"/>
        </w:rPr>
        <w:t xml:space="preserve">. </w:t>
      </w:r>
    </w:p>
    <w:p w14:paraId="6D8AF723" w14:textId="4CE2C30D" w:rsidR="649F20A4" w:rsidRDefault="31A480A3" w:rsidP="15B16523">
      <w:pPr>
        <w:widowControl w:val="0"/>
        <w:spacing w:after="120" w:line="259" w:lineRule="auto"/>
        <w:jc w:val="both"/>
        <w:rPr>
          <w:sz w:val="24"/>
          <w:szCs w:val="24"/>
          <w:lang w:val="en-IE"/>
        </w:rPr>
      </w:pPr>
      <w:r w:rsidRPr="7E591DF3">
        <w:rPr>
          <w:sz w:val="24"/>
          <w:szCs w:val="24"/>
          <w:lang w:val="en-IE"/>
        </w:rPr>
        <w:t xml:space="preserve">To support NRAs and System Operators in the design of tariff methodologies and regulatory </w:t>
      </w:r>
      <w:r w:rsidR="4E930D86" w:rsidRPr="4325DD5B">
        <w:rPr>
          <w:sz w:val="24"/>
          <w:szCs w:val="24"/>
          <w:lang w:val="en-IE"/>
        </w:rPr>
        <w:t>incentives</w:t>
      </w:r>
      <w:r w:rsidRPr="7E591DF3">
        <w:rPr>
          <w:sz w:val="24"/>
          <w:szCs w:val="24"/>
          <w:lang w:val="en-IE"/>
        </w:rPr>
        <w:t xml:space="preserve">, the Commission </w:t>
      </w:r>
      <w:r w:rsidR="00C02E0F">
        <w:rPr>
          <w:sz w:val="24"/>
          <w:szCs w:val="24"/>
          <w:lang w:val="en-IE"/>
        </w:rPr>
        <w:t xml:space="preserve">adopted </w:t>
      </w:r>
      <w:r w:rsidR="008175A9">
        <w:rPr>
          <w:sz w:val="24"/>
          <w:szCs w:val="24"/>
          <w:lang w:val="en-IE"/>
        </w:rPr>
        <w:t>on 2 July</w:t>
      </w:r>
      <w:r w:rsidRPr="7E591DF3">
        <w:rPr>
          <w:sz w:val="24"/>
          <w:szCs w:val="24"/>
          <w:lang w:val="en-IE"/>
        </w:rPr>
        <w:t xml:space="preserve"> </w:t>
      </w:r>
      <w:r w:rsidR="4CD018EE" w:rsidRPr="405C7965">
        <w:rPr>
          <w:sz w:val="24"/>
          <w:szCs w:val="24"/>
          <w:lang w:val="en-IE"/>
        </w:rPr>
        <w:t xml:space="preserve">a </w:t>
      </w:r>
      <w:hyperlink r:id="rId16" w:history="1">
        <w:r w:rsidR="3BF4EFCE" w:rsidRPr="00052990">
          <w:rPr>
            <w:rStyle w:val="Hyperlink"/>
            <w:sz w:val="24"/>
            <w:szCs w:val="24"/>
            <w:lang w:val="en-IE"/>
          </w:rPr>
          <w:t>Recommendation</w:t>
        </w:r>
      </w:hyperlink>
      <w:r w:rsidR="3BF4EFCE" w:rsidRPr="68A923DB">
        <w:rPr>
          <w:sz w:val="24"/>
          <w:szCs w:val="24"/>
          <w:lang w:val="en-IE"/>
        </w:rPr>
        <w:t xml:space="preserve"> and a </w:t>
      </w:r>
      <w:hyperlink r:id="rId17" w:history="1">
        <w:r w:rsidR="4CD018EE" w:rsidRPr="005205BC">
          <w:rPr>
            <w:rStyle w:val="Hyperlink"/>
            <w:sz w:val="24"/>
            <w:szCs w:val="24"/>
            <w:lang w:val="en-IE"/>
          </w:rPr>
          <w:t xml:space="preserve">Guidance on </w:t>
        </w:r>
        <w:r w:rsidR="005205BC" w:rsidRPr="005205BC">
          <w:rPr>
            <w:rStyle w:val="Hyperlink"/>
            <w:sz w:val="24"/>
            <w:szCs w:val="24"/>
            <w:lang w:val="en-IE"/>
          </w:rPr>
          <w:t>Future-proof electricity network charges to reduce energy system costs</w:t>
        </w:r>
      </w:hyperlink>
      <w:r w:rsidR="6561FA7F" w:rsidRPr="68A923DB">
        <w:rPr>
          <w:sz w:val="24"/>
          <w:szCs w:val="24"/>
          <w:lang w:val="en-IE"/>
        </w:rPr>
        <w:t>,</w:t>
      </w:r>
      <w:r w:rsidR="4CD018EE" w:rsidRPr="26687A54">
        <w:rPr>
          <w:sz w:val="24"/>
          <w:szCs w:val="24"/>
          <w:lang w:val="en-IE"/>
        </w:rPr>
        <w:t xml:space="preserve"> </w:t>
      </w:r>
      <w:r w:rsidR="4CD018EE" w:rsidRPr="4844B52C">
        <w:rPr>
          <w:sz w:val="24"/>
          <w:szCs w:val="24"/>
          <w:lang w:val="en-IE"/>
        </w:rPr>
        <w:t xml:space="preserve">which </w:t>
      </w:r>
      <w:r w:rsidR="4CD018EE" w:rsidRPr="3C5AB7B0">
        <w:rPr>
          <w:sz w:val="24"/>
          <w:szCs w:val="24"/>
          <w:lang w:val="en-IE"/>
        </w:rPr>
        <w:t xml:space="preserve">includes best </w:t>
      </w:r>
      <w:r w:rsidR="4CD018EE" w:rsidRPr="7AAD779E">
        <w:rPr>
          <w:sz w:val="24"/>
          <w:szCs w:val="24"/>
          <w:lang w:val="en-IE"/>
        </w:rPr>
        <w:t>pra</w:t>
      </w:r>
      <w:r w:rsidR="63462998" w:rsidRPr="7AAD779E">
        <w:rPr>
          <w:sz w:val="24"/>
          <w:szCs w:val="24"/>
          <w:lang w:val="en-IE"/>
        </w:rPr>
        <w:t xml:space="preserve">ctices from around the EU. </w:t>
      </w:r>
      <w:r w:rsidR="0539F1FF" w:rsidRPr="2873DA7E">
        <w:rPr>
          <w:sz w:val="24"/>
          <w:szCs w:val="24"/>
          <w:lang w:val="en-IE"/>
        </w:rPr>
        <w:t>This also</w:t>
      </w:r>
      <w:r w:rsidR="63462998" w:rsidRPr="2873DA7E">
        <w:rPr>
          <w:sz w:val="24"/>
          <w:szCs w:val="24"/>
          <w:lang w:val="en-IE"/>
        </w:rPr>
        <w:t xml:space="preserve"> </w:t>
      </w:r>
      <w:r w:rsidR="23C2FCFD" w:rsidRPr="2873DA7E">
        <w:rPr>
          <w:sz w:val="24"/>
          <w:szCs w:val="24"/>
          <w:lang w:val="en-IE"/>
        </w:rPr>
        <w:t xml:space="preserve">includes Guidance on incentive regulation to promote the use of </w:t>
      </w:r>
      <w:r w:rsidR="3799FC22" w:rsidRPr="2873DA7E">
        <w:rPr>
          <w:sz w:val="24"/>
          <w:szCs w:val="24"/>
          <w:lang w:val="en-IE"/>
        </w:rPr>
        <w:t>efficiency incentives for</w:t>
      </w:r>
      <w:r w:rsidR="23C2FCFD" w:rsidRPr="2873DA7E">
        <w:rPr>
          <w:sz w:val="24"/>
          <w:szCs w:val="24"/>
          <w:lang w:val="en-IE"/>
        </w:rPr>
        <w:t xml:space="preserve"> system operators</w:t>
      </w:r>
      <w:r w:rsidR="0AC88C3F" w:rsidRPr="2873DA7E">
        <w:rPr>
          <w:sz w:val="24"/>
          <w:szCs w:val="24"/>
          <w:lang w:val="en-IE"/>
        </w:rPr>
        <w:t>.</w:t>
      </w:r>
      <w:r w:rsidR="63462998" w:rsidRPr="5356ECA9">
        <w:rPr>
          <w:sz w:val="24"/>
          <w:szCs w:val="24"/>
          <w:lang w:val="en-IE"/>
        </w:rPr>
        <w:t xml:space="preserve"> </w:t>
      </w:r>
      <w:r w:rsidR="63462998" w:rsidRPr="68A923DB">
        <w:rPr>
          <w:sz w:val="24"/>
          <w:szCs w:val="24"/>
          <w:lang w:val="en-IE"/>
        </w:rPr>
        <w:t xml:space="preserve">In combination with ACER </w:t>
      </w:r>
      <w:r w:rsidR="4CF53C52" w:rsidRPr="68A923DB">
        <w:rPr>
          <w:sz w:val="24"/>
          <w:szCs w:val="24"/>
          <w:lang w:val="en-IE"/>
        </w:rPr>
        <w:t>best practice report and recommendations on tariff methodologies</w:t>
      </w:r>
      <w:r w:rsidRPr="15D034B5">
        <w:rPr>
          <w:rStyle w:val="FootnoteReference"/>
          <w:sz w:val="24"/>
          <w:szCs w:val="24"/>
          <w:lang w:val="en-IE"/>
        </w:rPr>
        <w:footnoteReference w:id="3"/>
      </w:r>
      <w:r w:rsidR="4CF53C52" w:rsidRPr="68A923DB">
        <w:rPr>
          <w:sz w:val="24"/>
          <w:szCs w:val="24"/>
          <w:lang w:val="en-IE"/>
        </w:rPr>
        <w:t xml:space="preserve">, </w:t>
      </w:r>
      <w:r w:rsidR="76DFEC82" w:rsidRPr="68A923DB">
        <w:rPr>
          <w:sz w:val="24"/>
          <w:szCs w:val="24"/>
          <w:lang w:val="en-IE"/>
        </w:rPr>
        <w:t xml:space="preserve">and the joint work of ACER, CEER, ENTSO-E and the EU DSO Entity on Smart Grid Indicators, </w:t>
      </w:r>
      <w:r w:rsidR="63D1A8E4" w:rsidRPr="1A11E125">
        <w:rPr>
          <w:sz w:val="24"/>
          <w:szCs w:val="24"/>
          <w:lang w:val="en-IE"/>
        </w:rPr>
        <w:t xml:space="preserve">NRAs and system </w:t>
      </w:r>
      <w:r w:rsidR="63D1A8E4" w:rsidRPr="53E78DC0">
        <w:rPr>
          <w:sz w:val="24"/>
          <w:szCs w:val="24"/>
          <w:lang w:val="en-IE"/>
        </w:rPr>
        <w:t xml:space="preserve">operators can learn from each </w:t>
      </w:r>
      <w:r w:rsidR="63D1A8E4" w:rsidRPr="70FE5193">
        <w:rPr>
          <w:sz w:val="24"/>
          <w:szCs w:val="24"/>
          <w:lang w:val="en-IE"/>
        </w:rPr>
        <w:t>othe</w:t>
      </w:r>
      <w:r w:rsidR="6665AD9D" w:rsidRPr="70FE5193">
        <w:rPr>
          <w:sz w:val="24"/>
          <w:szCs w:val="24"/>
          <w:lang w:val="en-IE"/>
        </w:rPr>
        <w:t>r</w:t>
      </w:r>
      <w:r w:rsidR="6665AD9D" w:rsidRPr="51B5D1CB">
        <w:rPr>
          <w:sz w:val="24"/>
          <w:szCs w:val="24"/>
          <w:lang w:val="en-IE"/>
        </w:rPr>
        <w:t xml:space="preserve"> </w:t>
      </w:r>
      <w:r w:rsidR="0CA83613" w:rsidRPr="3CD00521">
        <w:rPr>
          <w:sz w:val="24"/>
          <w:szCs w:val="24"/>
          <w:lang w:val="en-IE"/>
        </w:rPr>
        <w:t>how best to manage the energy transition</w:t>
      </w:r>
      <w:r w:rsidR="7A995924" w:rsidRPr="3CD00521">
        <w:rPr>
          <w:sz w:val="24"/>
          <w:szCs w:val="24"/>
          <w:lang w:val="en-IE"/>
        </w:rPr>
        <w:t xml:space="preserve"> and facilitate cross-border trade</w:t>
      </w:r>
      <w:r w:rsidR="0CA83613" w:rsidRPr="3CD00521">
        <w:rPr>
          <w:sz w:val="24"/>
          <w:szCs w:val="24"/>
          <w:lang w:val="en-IE"/>
        </w:rPr>
        <w:t xml:space="preserve">. </w:t>
      </w:r>
    </w:p>
    <w:p w14:paraId="1C68D3FF" w14:textId="21AF558B" w:rsidR="60D0F846" w:rsidRDefault="0695267D" w:rsidP="3FBF6FBD">
      <w:pPr>
        <w:widowControl w:val="0"/>
        <w:spacing w:after="120" w:line="259" w:lineRule="auto"/>
        <w:jc w:val="both"/>
        <w:rPr>
          <w:sz w:val="24"/>
          <w:szCs w:val="24"/>
          <w:lang w:val="en-IE"/>
        </w:rPr>
      </w:pPr>
      <w:r w:rsidRPr="7AAAC581">
        <w:rPr>
          <w:sz w:val="24"/>
          <w:szCs w:val="24"/>
          <w:lang w:val="en-IE"/>
        </w:rPr>
        <w:t>Furthermore, to boost flexibility at the local level, including through flexible connection agreements, the Commission is currently preparing a proposal for a Network Code on Demand Response. This pro</w:t>
      </w:r>
      <w:r w:rsidR="56C648D2" w:rsidRPr="7AAAC581">
        <w:rPr>
          <w:sz w:val="24"/>
          <w:szCs w:val="24"/>
          <w:lang w:val="en-IE"/>
        </w:rPr>
        <w:t>posal will support the removal of remaining barriers to flexibility at national level and the introduction of local flexibility markets to manage congestion</w:t>
      </w:r>
      <w:r w:rsidR="125EF62D" w:rsidRPr="7AAAC581">
        <w:rPr>
          <w:sz w:val="24"/>
          <w:szCs w:val="24"/>
          <w:lang w:val="en-IE"/>
        </w:rPr>
        <w:t xml:space="preserve"> and voltage issues in the grid</w:t>
      </w:r>
      <w:r w:rsidR="56C648D2" w:rsidRPr="7AAAC581">
        <w:rPr>
          <w:sz w:val="24"/>
          <w:szCs w:val="24"/>
          <w:lang w:val="en-IE"/>
        </w:rPr>
        <w:t xml:space="preserve">. </w:t>
      </w:r>
      <w:r w:rsidR="44A9D518" w:rsidRPr="7AAAC581">
        <w:rPr>
          <w:sz w:val="24"/>
          <w:szCs w:val="24"/>
          <w:lang w:val="en-IE"/>
        </w:rPr>
        <w:t xml:space="preserve">The Commission </w:t>
      </w:r>
      <w:r w:rsidR="00646C3C">
        <w:rPr>
          <w:sz w:val="24"/>
          <w:szCs w:val="24"/>
          <w:lang w:val="en-IE"/>
        </w:rPr>
        <w:t>has</w:t>
      </w:r>
      <w:r w:rsidR="00646C3C" w:rsidRPr="7AAAC581">
        <w:rPr>
          <w:sz w:val="24"/>
          <w:szCs w:val="24"/>
          <w:lang w:val="en-IE"/>
        </w:rPr>
        <w:t xml:space="preserve"> </w:t>
      </w:r>
      <w:r w:rsidR="44A9D518" w:rsidRPr="7AAAC581">
        <w:rPr>
          <w:sz w:val="24"/>
          <w:szCs w:val="24"/>
          <w:lang w:val="en-IE"/>
        </w:rPr>
        <w:t>conduct</w:t>
      </w:r>
      <w:r w:rsidR="00646C3C">
        <w:rPr>
          <w:sz w:val="24"/>
          <w:szCs w:val="24"/>
          <w:lang w:val="en-IE"/>
        </w:rPr>
        <w:t>ed</w:t>
      </w:r>
      <w:r w:rsidR="44A9D518" w:rsidRPr="7AAAC581">
        <w:rPr>
          <w:sz w:val="24"/>
          <w:szCs w:val="24"/>
          <w:lang w:val="en-IE"/>
        </w:rPr>
        <w:t xml:space="preserve"> a targeted stakeholder consultation over the summer</w:t>
      </w:r>
      <w:r w:rsidR="00646C3C">
        <w:rPr>
          <w:sz w:val="24"/>
          <w:szCs w:val="24"/>
          <w:lang w:val="en-IE"/>
        </w:rPr>
        <w:t xml:space="preserve"> (closed on 12 September</w:t>
      </w:r>
      <w:r w:rsidR="00A755F1">
        <w:rPr>
          <w:sz w:val="24"/>
          <w:szCs w:val="24"/>
          <w:lang w:val="en-IE"/>
        </w:rPr>
        <w:t xml:space="preserve"> </w:t>
      </w:r>
      <w:r w:rsidR="00646C3C">
        <w:rPr>
          <w:sz w:val="24"/>
          <w:szCs w:val="24"/>
          <w:lang w:val="en-IE"/>
        </w:rPr>
        <w:t>2025)</w:t>
      </w:r>
      <w:r w:rsidR="44A9D518" w:rsidRPr="7AAAC581">
        <w:rPr>
          <w:sz w:val="24"/>
          <w:szCs w:val="24"/>
          <w:lang w:val="en-IE"/>
        </w:rPr>
        <w:t xml:space="preserve">. Following this, the Commission will finalise the draft proposal </w:t>
      </w:r>
      <w:r w:rsidR="00143E00">
        <w:rPr>
          <w:sz w:val="24"/>
          <w:szCs w:val="24"/>
          <w:lang w:val="en-IE"/>
        </w:rPr>
        <w:t xml:space="preserve">with the </w:t>
      </w:r>
      <w:r w:rsidR="44A9D518" w:rsidRPr="7AAAC581">
        <w:rPr>
          <w:sz w:val="24"/>
          <w:szCs w:val="24"/>
          <w:lang w:val="en-IE"/>
        </w:rPr>
        <w:t>aim</w:t>
      </w:r>
      <w:r w:rsidR="00C9743E">
        <w:rPr>
          <w:sz w:val="24"/>
          <w:szCs w:val="24"/>
          <w:lang w:val="en-IE"/>
        </w:rPr>
        <w:t xml:space="preserve"> to</w:t>
      </w:r>
      <w:r w:rsidR="74821A70" w:rsidRPr="7AAAC581">
        <w:rPr>
          <w:sz w:val="24"/>
          <w:szCs w:val="24"/>
          <w:lang w:val="en-IE"/>
        </w:rPr>
        <w:t xml:space="preserve"> adopt</w:t>
      </w:r>
      <w:r w:rsidR="00C9743E">
        <w:rPr>
          <w:sz w:val="24"/>
          <w:szCs w:val="24"/>
          <w:lang w:val="en-IE"/>
        </w:rPr>
        <w:t xml:space="preserve"> it</w:t>
      </w:r>
      <w:r w:rsidR="74821A70" w:rsidRPr="7AAAC581">
        <w:rPr>
          <w:sz w:val="24"/>
          <w:szCs w:val="24"/>
          <w:lang w:val="en-IE"/>
        </w:rPr>
        <w:t xml:space="preserve"> </w:t>
      </w:r>
      <w:r w:rsidR="0E9FC6EC" w:rsidRPr="7AAAC581">
        <w:rPr>
          <w:sz w:val="24"/>
          <w:szCs w:val="24"/>
          <w:lang w:val="en-IE"/>
        </w:rPr>
        <w:t>by</w:t>
      </w:r>
      <w:r w:rsidR="74821A70" w:rsidRPr="7AAAC581">
        <w:rPr>
          <w:sz w:val="24"/>
          <w:szCs w:val="24"/>
          <w:lang w:val="en-IE"/>
        </w:rPr>
        <w:t xml:space="preserve"> Q1 2026. </w:t>
      </w:r>
      <w:r w:rsidR="3D46A1AD" w:rsidRPr="7AAAC581">
        <w:rPr>
          <w:sz w:val="24"/>
          <w:szCs w:val="24"/>
          <w:lang w:val="en-IE"/>
        </w:rPr>
        <w:t>Facilitating data exchange between different parties in the energy system is key to a succes</w:t>
      </w:r>
      <w:r w:rsidR="2A390B72" w:rsidRPr="7AAAC581">
        <w:rPr>
          <w:sz w:val="24"/>
          <w:szCs w:val="24"/>
          <w:lang w:val="en-IE"/>
        </w:rPr>
        <w:t>s</w:t>
      </w:r>
      <w:r w:rsidR="3D46A1AD" w:rsidRPr="7AAAC581">
        <w:rPr>
          <w:sz w:val="24"/>
          <w:szCs w:val="24"/>
          <w:lang w:val="en-IE"/>
        </w:rPr>
        <w:t xml:space="preserve">ful implementation of the network code and therefore the Commission is preparing </w:t>
      </w:r>
      <w:r w:rsidR="7ADAC253" w:rsidRPr="7AAAC581">
        <w:rPr>
          <w:sz w:val="24"/>
          <w:szCs w:val="24"/>
          <w:lang w:val="en-IE"/>
        </w:rPr>
        <w:t>to set up a Common European Energy Data Space.</w:t>
      </w:r>
    </w:p>
    <w:p w14:paraId="57EC8795" w14:textId="5E718525" w:rsidR="0F3A4AF1" w:rsidRDefault="0E7DDA86" w:rsidP="7AAAC581">
      <w:pPr>
        <w:widowControl w:val="0"/>
        <w:spacing w:after="120" w:line="259" w:lineRule="auto"/>
        <w:jc w:val="both"/>
        <w:rPr>
          <w:sz w:val="24"/>
          <w:szCs w:val="24"/>
          <w:lang w:val="en-IE"/>
        </w:rPr>
      </w:pPr>
      <w:r w:rsidRPr="7AAAC581">
        <w:rPr>
          <w:sz w:val="24"/>
          <w:szCs w:val="24"/>
          <w:lang w:val="en-IE"/>
        </w:rPr>
        <w:t xml:space="preserve">The Commission has also presented the first draft of the revised Guideline on Capacity Allocation and Congestion Management </w:t>
      </w:r>
      <w:r w:rsidR="58B9C1CD" w:rsidRPr="7AAAC581">
        <w:rPr>
          <w:sz w:val="24"/>
          <w:szCs w:val="24"/>
          <w:lang w:val="en-IE"/>
        </w:rPr>
        <w:t xml:space="preserve">in Q2 2025 </w:t>
      </w:r>
      <w:r w:rsidRPr="7AAAC581">
        <w:rPr>
          <w:sz w:val="24"/>
          <w:szCs w:val="24"/>
          <w:lang w:val="en-IE"/>
        </w:rPr>
        <w:t xml:space="preserve">and will </w:t>
      </w:r>
      <w:r w:rsidR="78A2989D" w:rsidRPr="7AAAC581">
        <w:rPr>
          <w:sz w:val="24"/>
          <w:szCs w:val="24"/>
          <w:lang w:val="en-IE"/>
        </w:rPr>
        <w:t xml:space="preserve">continue to discuss this implementing act with Member States throughout the autumn. This </w:t>
      </w:r>
      <w:r w:rsidR="4E172F65" w:rsidRPr="7AAAC581">
        <w:rPr>
          <w:sz w:val="24"/>
          <w:szCs w:val="24"/>
          <w:lang w:val="en-IE"/>
        </w:rPr>
        <w:t>proposal</w:t>
      </w:r>
      <w:r w:rsidR="78A2989D" w:rsidRPr="7AAAC581">
        <w:rPr>
          <w:sz w:val="24"/>
          <w:szCs w:val="24"/>
          <w:lang w:val="en-IE"/>
        </w:rPr>
        <w:t xml:space="preserve"> seeks to boost cross</w:t>
      </w:r>
      <w:r w:rsidR="0D689777" w:rsidRPr="7AAAC581">
        <w:rPr>
          <w:sz w:val="24"/>
          <w:szCs w:val="24"/>
          <w:lang w:val="en-IE"/>
        </w:rPr>
        <w:t>-</w:t>
      </w:r>
      <w:r w:rsidR="78A2989D" w:rsidRPr="7AAAC581">
        <w:rPr>
          <w:sz w:val="24"/>
          <w:szCs w:val="24"/>
          <w:lang w:val="en-IE"/>
        </w:rPr>
        <w:t xml:space="preserve">border trading and the ability of </w:t>
      </w:r>
      <w:r w:rsidR="08936BBD" w:rsidRPr="7AAAC581">
        <w:rPr>
          <w:sz w:val="24"/>
          <w:szCs w:val="24"/>
          <w:lang w:val="en-IE"/>
        </w:rPr>
        <w:t>renewables</w:t>
      </w:r>
      <w:r w:rsidR="78A2989D" w:rsidRPr="7AAAC581">
        <w:rPr>
          <w:sz w:val="24"/>
          <w:szCs w:val="24"/>
          <w:lang w:val="en-IE"/>
        </w:rPr>
        <w:t xml:space="preserve"> and flexibility to </w:t>
      </w:r>
      <w:r w:rsidR="4F1A96E2" w:rsidRPr="7AAAC581">
        <w:rPr>
          <w:sz w:val="24"/>
          <w:szCs w:val="24"/>
          <w:lang w:val="en-IE"/>
        </w:rPr>
        <w:t>participate</w:t>
      </w:r>
      <w:r w:rsidR="78A2989D" w:rsidRPr="7AAAC581">
        <w:rPr>
          <w:sz w:val="24"/>
          <w:szCs w:val="24"/>
          <w:lang w:val="en-IE"/>
        </w:rPr>
        <w:t xml:space="preserve"> in cross-border markets</w:t>
      </w:r>
      <w:r w:rsidR="0B2D3080" w:rsidRPr="7AAAC581">
        <w:rPr>
          <w:sz w:val="24"/>
          <w:szCs w:val="24"/>
          <w:lang w:val="en-IE"/>
        </w:rPr>
        <w:t xml:space="preserve"> and future-proof the organisation</w:t>
      </w:r>
      <w:r w:rsidR="50AD4445" w:rsidRPr="7AAAC581">
        <w:rPr>
          <w:sz w:val="24"/>
          <w:szCs w:val="24"/>
          <w:lang w:val="en-IE"/>
        </w:rPr>
        <w:t>al</w:t>
      </w:r>
      <w:r w:rsidR="0B2D3080" w:rsidRPr="7AAAC581">
        <w:rPr>
          <w:sz w:val="24"/>
          <w:szCs w:val="24"/>
          <w:lang w:val="en-IE"/>
        </w:rPr>
        <w:t xml:space="preserve"> and operational processes</w:t>
      </w:r>
      <w:r w:rsidR="5983A650" w:rsidRPr="7AAAC581">
        <w:rPr>
          <w:sz w:val="24"/>
          <w:szCs w:val="24"/>
          <w:lang w:val="en-IE"/>
        </w:rPr>
        <w:t>.</w:t>
      </w:r>
      <w:r w:rsidRPr="7AAAC581">
        <w:rPr>
          <w:sz w:val="24"/>
          <w:szCs w:val="24"/>
          <w:lang w:val="en-IE"/>
        </w:rPr>
        <w:t xml:space="preserve"> </w:t>
      </w:r>
      <w:r w:rsidR="354D5109" w:rsidRPr="7AAAC581">
        <w:rPr>
          <w:sz w:val="24"/>
          <w:szCs w:val="24"/>
          <w:lang w:val="en-IE"/>
        </w:rPr>
        <w:t xml:space="preserve">The </w:t>
      </w:r>
      <w:r w:rsidR="34346B8B" w:rsidRPr="7AAAC581">
        <w:rPr>
          <w:sz w:val="24"/>
          <w:szCs w:val="24"/>
          <w:lang w:val="en-IE"/>
        </w:rPr>
        <w:t>draft</w:t>
      </w:r>
      <w:r w:rsidR="354D5109" w:rsidRPr="7AAAC581">
        <w:rPr>
          <w:sz w:val="24"/>
          <w:szCs w:val="24"/>
          <w:lang w:val="en-IE"/>
        </w:rPr>
        <w:t xml:space="preserve"> proposal also contains provisions to operationalise the </w:t>
      </w:r>
      <w:r w:rsidR="495D7704" w:rsidRPr="7AAAC581">
        <w:rPr>
          <w:sz w:val="24"/>
          <w:szCs w:val="24"/>
          <w:lang w:val="en-IE"/>
        </w:rPr>
        <w:t>Transmission</w:t>
      </w:r>
      <w:r w:rsidR="354D5109" w:rsidRPr="7AAAC581">
        <w:rPr>
          <w:sz w:val="24"/>
          <w:szCs w:val="24"/>
          <w:lang w:val="en-IE"/>
        </w:rPr>
        <w:t xml:space="preserve"> Access Guarantee, which </w:t>
      </w:r>
      <w:r w:rsidR="00594291">
        <w:rPr>
          <w:sz w:val="24"/>
          <w:szCs w:val="24"/>
          <w:lang w:val="en-IE"/>
        </w:rPr>
        <w:t>a</w:t>
      </w:r>
      <w:r w:rsidR="354D5109" w:rsidRPr="7AAAC581">
        <w:rPr>
          <w:sz w:val="24"/>
          <w:szCs w:val="24"/>
          <w:lang w:val="en-IE"/>
        </w:rPr>
        <w:t>ct as an insurance for market access for offshore renewable hybrid projects</w:t>
      </w:r>
      <w:r w:rsidR="4A862B47" w:rsidRPr="7AAAC581">
        <w:rPr>
          <w:sz w:val="24"/>
          <w:szCs w:val="24"/>
          <w:lang w:val="en-IE"/>
        </w:rPr>
        <w:t>, a key element from the EMD negotiations in 2024</w:t>
      </w:r>
      <w:r w:rsidR="354D5109" w:rsidRPr="7AAAC581">
        <w:rPr>
          <w:sz w:val="24"/>
          <w:szCs w:val="24"/>
          <w:lang w:val="en-IE"/>
        </w:rPr>
        <w:t xml:space="preserve">. </w:t>
      </w:r>
    </w:p>
    <w:p w14:paraId="439D3237" w14:textId="12A3E27B" w:rsidR="00416D8B" w:rsidRDefault="00EB5BD6" w:rsidP="00416D8B">
      <w:pPr>
        <w:widowControl w:val="0"/>
        <w:spacing w:after="120" w:line="259" w:lineRule="auto"/>
        <w:jc w:val="both"/>
        <w:rPr>
          <w:sz w:val="24"/>
          <w:szCs w:val="24"/>
          <w:lang w:val="en-IE"/>
        </w:rPr>
      </w:pPr>
      <w:r w:rsidRPr="04F74DE3">
        <w:rPr>
          <w:sz w:val="24"/>
          <w:szCs w:val="24"/>
          <w:lang w:val="en-IE"/>
        </w:rPr>
        <w:lastRenderedPageBreak/>
        <w:t>The Commission</w:t>
      </w:r>
      <w:r w:rsidR="78F3FA22" w:rsidRPr="04F74DE3">
        <w:rPr>
          <w:sz w:val="24"/>
          <w:szCs w:val="24"/>
          <w:lang w:val="en-IE"/>
        </w:rPr>
        <w:t xml:space="preserve"> will publish </w:t>
      </w:r>
      <w:r w:rsidR="007A796B">
        <w:rPr>
          <w:sz w:val="24"/>
          <w:szCs w:val="24"/>
          <w:lang w:val="en-IE"/>
        </w:rPr>
        <w:t>a</w:t>
      </w:r>
      <w:r w:rsidR="78F3FA22" w:rsidRPr="04F74DE3">
        <w:rPr>
          <w:sz w:val="24"/>
          <w:szCs w:val="24"/>
          <w:lang w:val="en-IE"/>
        </w:rPr>
        <w:t xml:space="preserve"> report </w:t>
      </w:r>
      <w:r w:rsidR="007A796B">
        <w:rPr>
          <w:sz w:val="24"/>
          <w:szCs w:val="24"/>
          <w:lang w:val="en-IE"/>
        </w:rPr>
        <w:t xml:space="preserve">on EMD </w:t>
      </w:r>
      <w:r w:rsidR="00672D8F">
        <w:rPr>
          <w:sz w:val="24"/>
          <w:szCs w:val="24"/>
          <w:lang w:val="en-IE"/>
        </w:rPr>
        <w:t>implementation</w:t>
      </w:r>
      <w:r w:rsidR="78F3FA22" w:rsidRPr="04F74DE3">
        <w:rPr>
          <w:sz w:val="24"/>
          <w:szCs w:val="24"/>
          <w:lang w:val="en-IE"/>
        </w:rPr>
        <w:t xml:space="preserve">. </w:t>
      </w:r>
      <w:r w:rsidR="714A2104" w:rsidRPr="04F74DE3">
        <w:rPr>
          <w:sz w:val="24"/>
          <w:szCs w:val="24"/>
          <w:lang w:val="en-IE"/>
        </w:rPr>
        <w:t xml:space="preserve">With regard to grid connections, </w:t>
      </w:r>
      <w:r w:rsidR="00351631">
        <w:rPr>
          <w:sz w:val="24"/>
          <w:szCs w:val="24"/>
          <w:lang w:val="en-IE"/>
        </w:rPr>
        <w:t xml:space="preserve">the </w:t>
      </w:r>
      <w:r w:rsidR="714A2104" w:rsidRPr="04F74DE3">
        <w:rPr>
          <w:sz w:val="24"/>
          <w:szCs w:val="24"/>
          <w:lang w:val="en-IE"/>
        </w:rPr>
        <w:t>Commission will put forward</w:t>
      </w:r>
      <w:r w:rsidRPr="04F74DE3">
        <w:rPr>
          <w:sz w:val="24"/>
          <w:szCs w:val="24"/>
          <w:lang w:val="en-IE"/>
        </w:rPr>
        <w:t xml:space="preserve"> a guidance </w:t>
      </w:r>
      <w:r w:rsidR="008B617E" w:rsidRPr="04F74DE3">
        <w:rPr>
          <w:sz w:val="24"/>
          <w:szCs w:val="24"/>
          <w:lang w:val="en-IE"/>
        </w:rPr>
        <w:t xml:space="preserve">on </w:t>
      </w:r>
      <w:r w:rsidR="000D5BA5" w:rsidRPr="04F74DE3">
        <w:rPr>
          <w:sz w:val="24"/>
          <w:szCs w:val="24"/>
          <w:lang w:val="en-IE"/>
        </w:rPr>
        <w:t>how to handle grid connection requests in situations with grid capacity constraints</w:t>
      </w:r>
      <w:r w:rsidR="00A437A0" w:rsidRPr="04F74DE3">
        <w:rPr>
          <w:sz w:val="24"/>
          <w:szCs w:val="24"/>
          <w:lang w:val="en-IE"/>
        </w:rPr>
        <w:t xml:space="preserve"> in line with Electricity Directive</w:t>
      </w:r>
      <w:r w:rsidR="56ADBCD9" w:rsidRPr="04F74DE3">
        <w:rPr>
          <w:sz w:val="24"/>
          <w:szCs w:val="24"/>
          <w:lang w:val="en-IE"/>
        </w:rPr>
        <w:t>, as part of the European Grid</w:t>
      </w:r>
      <w:r w:rsidR="007A0B00">
        <w:rPr>
          <w:sz w:val="24"/>
          <w:szCs w:val="24"/>
          <w:lang w:val="en-IE"/>
        </w:rPr>
        <w:t>s</w:t>
      </w:r>
      <w:r w:rsidR="56ADBCD9" w:rsidRPr="04F74DE3">
        <w:rPr>
          <w:sz w:val="24"/>
          <w:szCs w:val="24"/>
          <w:lang w:val="en-IE"/>
        </w:rPr>
        <w:t xml:space="preserve"> Package</w:t>
      </w:r>
      <w:r w:rsidR="00A437A0" w:rsidRPr="04F74DE3">
        <w:rPr>
          <w:sz w:val="24"/>
          <w:szCs w:val="24"/>
          <w:lang w:val="en-IE"/>
        </w:rPr>
        <w:t xml:space="preserve">. </w:t>
      </w:r>
      <w:r w:rsidRPr="04F74DE3">
        <w:rPr>
          <w:sz w:val="24"/>
          <w:szCs w:val="24"/>
        </w:rPr>
        <w:t xml:space="preserve">The guidance </w:t>
      </w:r>
      <w:r w:rsidR="00A437A0" w:rsidRPr="04F74DE3">
        <w:rPr>
          <w:sz w:val="24"/>
          <w:szCs w:val="24"/>
        </w:rPr>
        <w:t xml:space="preserve">will </w:t>
      </w:r>
      <w:r w:rsidRPr="04F74DE3">
        <w:rPr>
          <w:sz w:val="24"/>
          <w:szCs w:val="24"/>
        </w:rPr>
        <w:t>outline a horizontal approach to addressing the issue of grid connections in a coherent manner across sectors</w:t>
      </w:r>
      <w:r w:rsidR="00A437A0" w:rsidRPr="04F74DE3">
        <w:rPr>
          <w:sz w:val="24"/>
          <w:szCs w:val="24"/>
        </w:rPr>
        <w:t xml:space="preserve"> and shall provide </w:t>
      </w:r>
      <w:r w:rsidR="00A437A0" w:rsidRPr="04F74DE3">
        <w:rPr>
          <w:sz w:val="24"/>
          <w:szCs w:val="24"/>
          <w:lang w:val="en-IE"/>
        </w:rPr>
        <w:t xml:space="preserve">recommendations and best practices to Member States. </w:t>
      </w:r>
    </w:p>
    <w:p w14:paraId="032517EA" w14:textId="77777777" w:rsidR="000E6BBA" w:rsidRDefault="000E6BBA" w:rsidP="000E6BBA">
      <w:pPr>
        <w:widowControl w:val="0"/>
        <w:spacing w:after="120" w:line="259" w:lineRule="auto"/>
        <w:jc w:val="both"/>
        <w:rPr>
          <w:b/>
          <w:bCs/>
          <w:sz w:val="24"/>
          <w:szCs w:val="24"/>
          <w:lang w:val="en-IE"/>
        </w:rPr>
      </w:pPr>
    </w:p>
    <w:p w14:paraId="0F01A970" w14:textId="63DE9235" w:rsidR="00FC755B" w:rsidRDefault="0073283F" w:rsidP="00C30154">
      <w:pPr>
        <w:pStyle w:val="ListParagraph"/>
        <w:widowControl w:val="0"/>
        <w:numPr>
          <w:ilvl w:val="0"/>
          <w:numId w:val="15"/>
        </w:numPr>
        <w:spacing w:after="120" w:line="259" w:lineRule="auto"/>
        <w:ind w:left="426"/>
        <w:jc w:val="both"/>
        <w:rPr>
          <w:b/>
          <w:bCs/>
          <w:sz w:val="24"/>
          <w:szCs w:val="24"/>
          <w:lang w:val="en-IE"/>
        </w:rPr>
      </w:pPr>
      <w:r w:rsidRPr="00977753">
        <w:rPr>
          <w:b/>
          <w:bCs/>
          <w:sz w:val="24"/>
          <w:szCs w:val="24"/>
          <w:lang w:val="en-IE"/>
        </w:rPr>
        <w:t xml:space="preserve">Digitalisation of </w:t>
      </w:r>
      <w:r w:rsidR="00FC755B" w:rsidRPr="00977753">
        <w:rPr>
          <w:b/>
          <w:bCs/>
          <w:sz w:val="24"/>
          <w:szCs w:val="24"/>
          <w:lang w:val="en-IE"/>
        </w:rPr>
        <w:t>European Grids</w:t>
      </w:r>
      <w:r w:rsidR="00D60A6C">
        <w:rPr>
          <w:b/>
          <w:bCs/>
          <w:sz w:val="24"/>
          <w:szCs w:val="24"/>
          <w:lang w:val="en-IE"/>
        </w:rPr>
        <w:t xml:space="preserve"> </w:t>
      </w:r>
      <w:r w:rsidR="00676C5B" w:rsidRPr="00D60A6C">
        <w:rPr>
          <w:b/>
          <w:bCs/>
          <w:sz w:val="24"/>
          <w:szCs w:val="24"/>
          <w:lang w:val="en-IE"/>
        </w:rPr>
        <w:t xml:space="preserve">(paragraphs </w:t>
      </w:r>
      <w:r w:rsidR="007A6B9D" w:rsidRPr="00D60A6C">
        <w:rPr>
          <w:b/>
          <w:bCs/>
          <w:sz w:val="24"/>
          <w:szCs w:val="24"/>
          <w:lang w:val="en-IE"/>
        </w:rPr>
        <w:t>52 and 57)</w:t>
      </w:r>
    </w:p>
    <w:p w14:paraId="63FE7B5E" w14:textId="77777777" w:rsidR="00951A68" w:rsidRPr="00951A68" w:rsidRDefault="00951A68" w:rsidP="00951A68">
      <w:pPr>
        <w:widowControl w:val="0"/>
        <w:spacing w:after="120" w:line="259" w:lineRule="auto"/>
        <w:jc w:val="both"/>
        <w:rPr>
          <w:b/>
          <w:bCs/>
          <w:sz w:val="24"/>
          <w:szCs w:val="24"/>
          <w:lang w:val="en-IE"/>
        </w:rPr>
      </w:pPr>
    </w:p>
    <w:p w14:paraId="4996BE75" w14:textId="44BB6C03" w:rsidR="008A06F7" w:rsidRDefault="009B53D3" w:rsidP="00DD3DA3">
      <w:pPr>
        <w:widowControl w:val="0"/>
        <w:spacing w:after="120" w:line="259" w:lineRule="auto"/>
        <w:jc w:val="both"/>
        <w:rPr>
          <w:sz w:val="24"/>
          <w:szCs w:val="24"/>
          <w:lang w:val="en-IE"/>
        </w:rPr>
      </w:pPr>
      <w:r>
        <w:rPr>
          <w:sz w:val="24"/>
          <w:szCs w:val="24"/>
          <w:lang w:val="en-IE"/>
        </w:rPr>
        <w:t xml:space="preserve">In October 2022, </w:t>
      </w:r>
      <w:r w:rsidR="00121EBD">
        <w:rPr>
          <w:sz w:val="24"/>
          <w:szCs w:val="24"/>
          <w:lang w:val="en-IE"/>
        </w:rPr>
        <w:t>t</w:t>
      </w:r>
      <w:r>
        <w:rPr>
          <w:sz w:val="24"/>
          <w:szCs w:val="24"/>
          <w:lang w:val="en-IE"/>
        </w:rPr>
        <w:t xml:space="preserve">he Commission adopted an </w:t>
      </w:r>
      <w:r w:rsidRPr="005B4817">
        <w:rPr>
          <w:sz w:val="24"/>
          <w:szCs w:val="24"/>
          <w:lang w:val="en-IE"/>
        </w:rPr>
        <w:t xml:space="preserve">Action plan </w:t>
      </w:r>
      <w:r w:rsidR="00DE1A9E">
        <w:rPr>
          <w:sz w:val="24"/>
          <w:szCs w:val="24"/>
          <w:lang w:val="en-IE"/>
        </w:rPr>
        <w:t>for</w:t>
      </w:r>
      <w:r w:rsidRPr="005B4817">
        <w:rPr>
          <w:sz w:val="24"/>
          <w:szCs w:val="24"/>
          <w:lang w:val="en-IE"/>
        </w:rPr>
        <w:t xml:space="preserve"> digitalising the energy system</w:t>
      </w:r>
      <w:r w:rsidR="002E37D2">
        <w:rPr>
          <w:sz w:val="24"/>
          <w:szCs w:val="24"/>
          <w:lang w:val="en-IE"/>
        </w:rPr>
        <w:t xml:space="preserve">, </w:t>
      </w:r>
      <w:r w:rsidR="002E37D2" w:rsidRPr="00DD3DA3">
        <w:rPr>
          <w:sz w:val="24"/>
          <w:szCs w:val="24"/>
          <w:lang w:val="en-IE"/>
        </w:rPr>
        <w:t>outlining two specific measures aimed at advancing the digitalisation of Europe’s electricity grids</w:t>
      </w:r>
      <w:r w:rsidR="00913666" w:rsidRPr="00DD3DA3">
        <w:rPr>
          <w:sz w:val="24"/>
          <w:szCs w:val="24"/>
          <w:lang w:val="en-IE"/>
        </w:rPr>
        <w:t xml:space="preserve">: the digital twin of the </w:t>
      </w:r>
      <w:r w:rsidR="00F03875" w:rsidRPr="00DD3DA3">
        <w:rPr>
          <w:sz w:val="24"/>
          <w:szCs w:val="24"/>
          <w:lang w:val="en-IE"/>
        </w:rPr>
        <w:t>electricity grids and the</w:t>
      </w:r>
      <w:r w:rsidR="00165304" w:rsidRPr="00DD3DA3">
        <w:rPr>
          <w:sz w:val="24"/>
          <w:szCs w:val="24"/>
          <w:lang w:val="en-IE"/>
        </w:rPr>
        <w:t xml:space="preserve"> smart grid </w:t>
      </w:r>
      <w:r w:rsidR="002D5ABA" w:rsidRPr="00DD3DA3">
        <w:rPr>
          <w:sz w:val="24"/>
          <w:szCs w:val="24"/>
          <w:lang w:val="en-IE"/>
        </w:rPr>
        <w:t>indicators</w:t>
      </w:r>
      <w:r w:rsidR="0054734A" w:rsidRPr="00DD3DA3">
        <w:rPr>
          <w:sz w:val="24"/>
          <w:szCs w:val="24"/>
          <w:lang w:val="en-IE"/>
        </w:rPr>
        <w:t>.</w:t>
      </w:r>
    </w:p>
    <w:p w14:paraId="6DCE2AA3" w14:textId="71BD618B" w:rsidR="00877863" w:rsidRDefault="0054734A" w:rsidP="00DD3DA3">
      <w:pPr>
        <w:widowControl w:val="0"/>
        <w:spacing w:after="120" w:line="259" w:lineRule="auto"/>
        <w:jc w:val="both"/>
        <w:rPr>
          <w:sz w:val="24"/>
          <w:szCs w:val="24"/>
          <w:lang w:val="en-IE"/>
        </w:rPr>
      </w:pPr>
      <w:r>
        <w:rPr>
          <w:sz w:val="24"/>
          <w:szCs w:val="24"/>
          <w:lang w:val="en-IE"/>
        </w:rPr>
        <w:t>Since 202</w:t>
      </w:r>
      <w:r w:rsidR="004D3780">
        <w:rPr>
          <w:sz w:val="24"/>
          <w:szCs w:val="24"/>
          <w:lang w:val="en-IE"/>
        </w:rPr>
        <w:t>4, t</w:t>
      </w:r>
      <w:r w:rsidR="00021C01" w:rsidRPr="00021C01">
        <w:rPr>
          <w:sz w:val="24"/>
          <w:szCs w:val="24"/>
          <w:lang w:val="en-IE"/>
        </w:rPr>
        <w:t xml:space="preserve">he Commission </w:t>
      </w:r>
      <w:r w:rsidR="004D3780">
        <w:rPr>
          <w:sz w:val="24"/>
          <w:szCs w:val="24"/>
          <w:lang w:val="en-IE"/>
        </w:rPr>
        <w:t>is working</w:t>
      </w:r>
      <w:r w:rsidR="003B0F2F">
        <w:rPr>
          <w:sz w:val="24"/>
          <w:szCs w:val="24"/>
          <w:lang w:val="en-IE"/>
        </w:rPr>
        <w:t xml:space="preserve"> </w:t>
      </w:r>
      <w:r w:rsidR="00D520A0">
        <w:rPr>
          <w:sz w:val="24"/>
          <w:szCs w:val="24"/>
          <w:lang w:val="en-IE"/>
        </w:rPr>
        <w:t>in</w:t>
      </w:r>
      <w:r w:rsidR="00D520A0" w:rsidRPr="00021C01">
        <w:rPr>
          <w:sz w:val="24"/>
          <w:szCs w:val="24"/>
          <w:lang w:val="en-IE"/>
        </w:rPr>
        <w:t xml:space="preserve"> a </w:t>
      </w:r>
      <w:r w:rsidR="00D520A0">
        <w:rPr>
          <w:sz w:val="24"/>
          <w:szCs w:val="24"/>
          <w:lang w:val="en-IE"/>
        </w:rPr>
        <w:t xml:space="preserve">Joint </w:t>
      </w:r>
      <w:r w:rsidR="00D520A0" w:rsidRPr="00021C01">
        <w:rPr>
          <w:sz w:val="24"/>
          <w:szCs w:val="24"/>
          <w:lang w:val="en-IE"/>
        </w:rPr>
        <w:t>Task Force</w:t>
      </w:r>
      <w:r w:rsidR="00D520A0" w:rsidRPr="003B0F2F">
        <w:rPr>
          <w:sz w:val="24"/>
          <w:szCs w:val="24"/>
          <w:lang w:val="en-IE"/>
        </w:rPr>
        <w:t xml:space="preserve"> </w:t>
      </w:r>
      <w:r w:rsidR="003B0F2F">
        <w:rPr>
          <w:sz w:val="24"/>
          <w:szCs w:val="24"/>
          <w:lang w:val="en-IE"/>
        </w:rPr>
        <w:t>with t</w:t>
      </w:r>
      <w:r w:rsidR="003B0F2F" w:rsidRPr="003B0F2F">
        <w:rPr>
          <w:sz w:val="24"/>
          <w:szCs w:val="24"/>
          <w:lang w:val="en-IE"/>
        </w:rPr>
        <w:t>he grid operators (ENTSO-E, EU DSO Entity)</w:t>
      </w:r>
      <w:r w:rsidR="00A07B02" w:rsidRPr="00A07B02">
        <w:rPr>
          <w:sz w:val="24"/>
          <w:szCs w:val="24"/>
          <w:lang w:val="en-IE"/>
        </w:rPr>
        <w:t xml:space="preserve"> </w:t>
      </w:r>
      <w:r w:rsidR="003B0F2F" w:rsidRPr="003B0F2F">
        <w:rPr>
          <w:sz w:val="24"/>
          <w:szCs w:val="24"/>
          <w:lang w:val="en-IE"/>
        </w:rPr>
        <w:t xml:space="preserve">for developing a </w:t>
      </w:r>
      <w:r w:rsidR="003B0F2F" w:rsidRPr="00615A32">
        <w:rPr>
          <w:sz w:val="24"/>
          <w:szCs w:val="24"/>
          <w:lang w:val="en-IE"/>
        </w:rPr>
        <w:t>digital twin of the electricity grid</w:t>
      </w:r>
      <w:r w:rsidR="000D6EE9" w:rsidRPr="00B27E6E">
        <w:rPr>
          <w:sz w:val="24"/>
          <w:szCs w:val="24"/>
          <w:lang w:val="en-IE"/>
        </w:rPr>
        <w:t>.</w:t>
      </w:r>
      <w:r w:rsidR="002F3779">
        <w:rPr>
          <w:sz w:val="24"/>
          <w:szCs w:val="24"/>
          <w:lang w:val="en-IE"/>
        </w:rPr>
        <w:t xml:space="preserve"> </w:t>
      </w:r>
      <w:r w:rsidR="00052943">
        <w:rPr>
          <w:sz w:val="24"/>
          <w:szCs w:val="24"/>
          <w:lang w:val="en-IE"/>
        </w:rPr>
        <w:t>Furthermore, t</w:t>
      </w:r>
      <w:r w:rsidR="00240304">
        <w:rPr>
          <w:sz w:val="24"/>
          <w:szCs w:val="24"/>
          <w:lang w:val="en-IE"/>
        </w:rPr>
        <w:t>he Commission</w:t>
      </w:r>
      <w:r w:rsidR="003B0F2F" w:rsidRPr="003B0F2F">
        <w:rPr>
          <w:sz w:val="24"/>
          <w:szCs w:val="24"/>
          <w:lang w:val="en-IE"/>
        </w:rPr>
        <w:t xml:space="preserve"> </w:t>
      </w:r>
      <w:r w:rsidR="00240304">
        <w:rPr>
          <w:sz w:val="24"/>
          <w:szCs w:val="24"/>
          <w:lang w:val="en-IE"/>
        </w:rPr>
        <w:t>has funded</w:t>
      </w:r>
      <w:r w:rsidR="00052943" w:rsidRPr="00052943">
        <w:rPr>
          <w:sz w:val="24"/>
          <w:szCs w:val="24"/>
          <w:lang w:val="en-IE"/>
        </w:rPr>
        <w:t xml:space="preserve"> </w:t>
      </w:r>
      <w:r w:rsidR="00052943">
        <w:rPr>
          <w:sz w:val="24"/>
          <w:szCs w:val="24"/>
          <w:lang w:val="en-IE"/>
        </w:rPr>
        <w:t xml:space="preserve">a </w:t>
      </w:r>
      <w:r w:rsidR="00A14E27" w:rsidRPr="003B0F2F">
        <w:rPr>
          <w:sz w:val="24"/>
          <w:szCs w:val="24"/>
          <w:lang w:val="en-IE"/>
        </w:rPr>
        <w:t xml:space="preserve">Horizon Europe </w:t>
      </w:r>
      <w:r w:rsidR="00052943">
        <w:rPr>
          <w:sz w:val="24"/>
          <w:szCs w:val="24"/>
          <w:lang w:val="en-IE"/>
        </w:rPr>
        <w:t xml:space="preserve">research and innovation </w:t>
      </w:r>
      <w:r w:rsidR="00052943" w:rsidRPr="003B0F2F">
        <w:rPr>
          <w:sz w:val="24"/>
          <w:szCs w:val="24"/>
          <w:lang w:val="en-IE"/>
        </w:rPr>
        <w:t>project (TwinEU)</w:t>
      </w:r>
      <w:r w:rsidR="00A14E27">
        <w:rPr>
          <w:sz w:val="24"/>
          <w:szCs w:val="24"/>
          <w:lang w:val="en-IE"/>
        </w:rPr>
        <w:t xml:space="preserve"> </w:t>
      </w:r>
      <w:r w:rsidR="00052943">
        <w:rPr>
          <w:sz w:val="24"/>
          <w:szCs w:val="24"/>
          <w:lang w:val="en-IE"/>
        </w:rPr>
        <w:t xml:space="preserve">with </w:t>
      </w:r>
      <w:r w:rsidR="00052943" w:rsidRPr="003B0F2F">
        <w:rPr>
          <w:sz w:val="24"/>
          <w:szCs w:val="24"/>
          <w:lang w:val="en-IE"/>
        </w:rPr>
        <w:t>EUR 20</w:t>
      </w:r>
      <w:r w:rsidR="002F209A">
        <w:rPr>
          <w:sz w:val="24"/>
          <w:szCs w:val="24"/>
          <w:lang w:val="en-IE"/>
        </w:rPr>
        <w:t xml:space="preserve"> </w:t>
      </w:r>
      <w:r w:rsidR="00A14E27">
        <w:rPr>
          <w:sz w:val="24"/>
          <w:szCs w:val="24"/>
          <w:lang w:val="en-IE"/>
        </w:rPr>
        <w:t>m</w:t>
      </w:r>
      <w:r w:rsidR="002F209A">
        <w:rPr>
          <w:sz w:val="24"/>
          <w:szCs w:val="24"/>
          <w:lang w:val="en-IE"/>
        </w:rPr>
        <w:t>illion</w:t>
      </w:r>
      <w:r w:rsidR="00A14E27">
        <w:rPr>
          <w:sz w:val="24"/>
          <w:szCs w:val="24"/>
          <w:lang w:val="en-IE"/>
        </w:rPr>
        <w:t>.</w:t>
      </w:r>
    </w:p>
    <w:p w14:paraId="2B18B98B" w14:textId="32CAF859" w:rsidR="007E0715" w:rsidRPr="00DD3DA3" w:rsidRDefault="00851D79" w:rsidP="00DD3DA3">
      <w:pPr>
        <w:widowControl w:val="0"/>
        <w:spacing w:after="120" w:line="259" w:lineRule="auto"/>
        <w:jc w:val="both"/>
        <w:rPr>
          <w:sz w:val="24"/>
          <w:szCs w:val="24"/>
          <w:lang w:val="en-IE"/>
        </w:rPr>
      </w:pPr>
      <w:r w:rsidRPr="00DD3DA3">
        <w:rPr>
          <w:sz w:val="24"/>
          <w:szCs w:val="24"/>
          <w:lang w:val="en-IE"/>
        </w:rPr>
        <w:t>T</w:t>
      </w:r>
      <w:r w:rsidR="006229FC" w:rsidRPr="00DD3DA3">
        <w:rPr>
          <w:sz w:val="24"/>
          <w:szCs w:val="24"/>
          <w:lang w:val="en-IE"/>
        </w:rPr>
        <w:t xml:space="preserve">he Commission </w:t>
      </w:r>
      <w:r w:rsidR="004714FA" w:rsidRPr="00DD3DA3">
        <w:rPr>
          <w:sz w:val="24"/>
          <w:szCs w:val="24"/>
          <w:lang w:val="en-IE"/>
        </w:rPr>
        <w:t>is</w:t>
      </w:r>
      <w:r w:rsidRPr="00DD3DA3">
        <w:rPr>
          <w:sz w:val="24"/>
          <w:szCs w:val="24"/>
          <w:lang w:val="en-IE"/>
        </w:rPr>
        <w:t xml:space="preserve"> also</w:t>
      </w:r>
      <w:r w:rsidR="004714FA" w:rsidRPr="00DD3DA3">
        <w:rPr>
          <w:sz w:val="24"/>
          <w:szCs w:val="24"/>
          <w:lang w:val="en-IE"/>
        </w:rPr>
        <w:t xml:space="preserve"> </w:t>
      </w:r>
      <w:r w:rsidR="001E5AC6" w:rsidRPr="00DD3DA3">
        <w:rPr>
          <w:sz w:val="24"/>
          <w:szCs w:val="24"/>
          <w:lang w:val="en-IE"/>
        </w:rPr>
        <w:t>work</w:t>
      </w:r>
      <w:r w:rsidR="004714FA" w:rsidRPr="00DD3DA3">
        <w:rPr>
          <w:sz w:val="24"/>
          <w:szCs w:val="24"/>
          <w:lang w:val="en-IE"/>
        </w:rPr>
        <w:t>ing</w:t>
      </w:r>
      <w:r w:rsidR="006229FC" w:rsidRPr="00DD3DA3">
        <w:rPr>
          <w:sz w:val="24"/>
          <w:szCs w:val="24"/>
          <w:lang w:val="en-IE"/>
        </w:rPr>
        <w:t xml:space="preserve"> with the energy regulators (CEER, ACER) and grid operators (ENTSO-E, EU DSO Entity) to develop a set of common indicators for smart grids to drive investments. </w:t>
      </w:r>
      <w:r w:rsidRPr="00DD3DA3">
        <w:rPr>
          <w:sz w:val="24"/>
          <w:szCs w:val="24"/>
          <w:lang w:val="en-IE"/>
        </w:rPr>
        <w:t>T</w:t>
      </w:r>
      <w:r w:rsidR="22465237" w:rsidRPr="00DD3DA3">
        <w:rPr>
          <w:sz w:val="24"/>
          <w:szCs w:val="24"/>
          <w:lang w:val="en-IE"/>
        </w:rPr>
        <w:t xml:space="preserve">he Smart Grid Indicators will be instrumental to provide more regulatory certainty to network operators to invest in smart and digital technologies </w:t>
      </w:r>
      <w:r w:rsidR="44C70939" w:rsidRPr="00DD3DA3">
        <w:rPr>
          <w:sz w:val="24"/>
          <w:szCs w:val="24"/>
          <w:lang w:val="en-IE"/>
        </w:rPr>
        <w:t xml:space="preserve">faster. </w:t>
      </w:r>
    </w:p>
    <w:p w14:paraId="0CEFE1F5" w14:textId="49503189" w:rsidR="00DD3DA3" w:rsidRPr="00DD3DA3" w:rsidRDefault="00875186" w:rsidP="00DD3DA3">
      <w:pPr>
        <w:widowControl w:val="0"/>
        <w:spacing w:after="120" w:line="259" w:lineRule="auto"/>
        <w:jc w:val="both"/>
        <w:rPr>
          <w:sz w:val="24"/>
          <w:szCs w:val="24"/>
          <w:lang w:val="en-IE"/>
        </w:rPr>
      </w:pPr>
      <w:r w:rsidRPr="04F74DE3">
        <w:rPr>
          <w:sz w:val="24"/>
          <w:szCs w:val="24"/>
          <w:lang w:val="en-IE"/>
        </w:rPr>
        <w:t>In the upcoming Strategic Roadmap for digitalisation and AI in energy</w:t>
      </w:r>
      <w:r w:rsidR="000977B5" w:rsidRPr="04F74DE3">
        <w:rPr>
          <w:sz w:val="24"/>
          <w:szCs w:val="24"/>
          <w:lang w:val="en-IE"/>
        </w:rPr>
        <w:t xml:space="preserve"> (planned adoption in Q1 2026)</w:t>
      </w:r>
      <w:r w:rsidRPr="04F74DE3">
        <w:rPr>
          <w:sz w:val="24"/>
          <w:szCs w:val="24"/>
          <w:lang w:val="en-IE"/>
        </w:rPr>
        <w:t xml:space="preserve">, the Commission will </w:t>
      </w:r>
      <w:r w:rsidR="006D297A" w:rsidRPr="04F74DE3">
        <w:rPr>
          <w:sz w:val="24"/>
          <w:szCs w:val="24"/>
          <w:lang w:val="en-IE"/>
        </w:rPr>
        <w:t xml:space="preserve">deepen the work on digital twin and </w:t>
      </w:r>
      <w:r w:rsidR="00355F52" w:rsidRPr="04F74DE3">
        <w:rPr>
          <w:sz w:val="24"/>
          <w:szCs w:val="24"/>
          <w:lang w:val="en-IE"/>
        </w:rPr>
        <w:t>smart grid indicators</w:t>
      </w:r>
      <w:r w:rsidR="00C50298" w:rsidRPr="04F74DE3">
        <w:rPr>
          <w:sz w:val="24"/>
          <w:szCs w:val="24"/>
          <w:lang w:val="en-IE"/>
        </w:rPr>
        <w:t>, by</w:t>
      </w:r>
      <w:r w:rsidR="00355F52" w:rsidRPr="04F74DE3">
        <w:rPr>
          <w:sz w:val="24"/>
          <w:szCs w:val="24"/>
          <w:lang w:val="en-IE"/>
        </w:rPr>
        <w:t xml:space="preserve"> </w:t>
      </w:r>
      <w:r w:rsidR="00EF3C59" w:rsidRPr="00DD3DA3">
        <w:rPr>
          <w:sz w:val="24"/>
          <w:szCs w:val="24"/>
          <w:lang w:val="en-IE"/>
        </w:rPr>
        <w:t>outlining specific follow-up actions for implementing the digital twin and enabling NRAs to apply the smart grid indicators in practice</w:t>
      </w:r>
      <w:r w:rsidR="00EF3C59" w:rsidRPr="04F74DE3">
        <w:rPr>
          <w:sz w:val="24"/>
          <w:szCs w:val="24"/>
          <w:lang w:val="en-IE"/>
        </w:rPr>
        <w:t>.</w:t>
      </w:r>
      <w:r w:rsidR="00474AC2">
        <w:rPr>
          <w:sz w:val="24"/>
          <w:szCs w:val="24"/>
          <w:lang w:val="en-IE"/>
        </w:rPr>
        <w:t xml:space="preserve"> T</w:t>
      </w:r>
      <w:r w:rsidR="00C63CBF">
        <w:rPr>
          <w:sz w:val="24"/>
          <w:szCs w:val="24"/>
          <w:lang w:val="en-IE"/>
        </w:rPr>
        <w:t xml:space="preserve">he Commission will </w:t>
      </w:r>
      <w:r w:rsidR="00474AC2">
        <w:rPr>
          <w:sz w:val="24"/>
          <w:szCs w:val="24"/>
          <w:lang w:val="en-IE"/>
        </w:rPr>
        <w:t xml:space="preserve">also </w:t>
      </w:r>
      <w:r w:rsidR="00C63CBF">
        <w:rPr>
          <w:sz w:val="24"/>
          <w:szCs w:val="24"/>
          <w:lang w:val="en-IE"/>
        </w:rPr>
        <w:t>propose concrete action to establish the governance of the common European energy data space to facilitate innovative energy services</w:t>
      </w:r>
      <w:r w:rsidR="00DD3DA3">
        <w:rPr>
          <w:sz w:val="24"/>
          <w:szCs w:val="24"/>
          <w:lang w:val="en-IE"/>
        </w:rPr>
        <w:t xml:space="preserve"> </w:t>
      </w:r>
      <w:r w:rsidR="00DD3DA3" w:rsidRPr="00DD3DA3">
        <w:rPr>
          <w:sz w:val="24"/>
          <w:szCs w:val="24"/>
          <w:lang w:val="en-IE"/>
        </w:rPr>
        <w:t>such as demand side flexibility and bidirectional charging of electric vehicles (EV).</w:t>
      </w:r>
    </w:p>
    <w:p w14:paraId="33AB6139" w14:textId="4858C5DD" w:rsidR="005F37B3" w:rsidRDefault="005F37B3" w:rsidP="008A359A">
      <w:pPr>
        <w:widowControl w:val="0"/>
        <w:spacing w:after="120"/>
        <w:jc w:val="both"/>
        <w:rPr>
          <w:sz w:val="24"/>
          <w:szCs w:val="24"/>
          <w:lang w:val="en-IE"/>
        </w:rPr>
      </w:pPr>
      <w:r>
        <w:rPr>
          <w:sz w:val="24"/>
          <w:szCs w:val="24"/>
          <w:lang w:val="en-IE"/>
        </w:rPr>
        <w:t xml:space="preserve">Since 2024, the Commission has established the Data 4 Energy </w:t>
      </w:r>
      <w:r w:rsidR="008B0018">
        <w:rPr>
          <w:sz w:val="24"/>
          <w:szCs w:val="24"/>
          <w:lang w:val="en-IE"/>
        </w:rPr>
        <w:t xml:space="preserve">(D4E) </w:t>
      </w:r>
      <w:r>
        <w:rPr>
          <w:sz w:val="24"/>
          <w:szCs w:val="24"/>
          <w:lang w:val="en-IE"/>
        </w:rPr>
        <w:t xml:space="preserve">working group under the Smart Energy Expert Group. The </w:t>
      </w:r>
      <w:r w:rsidR="008B0018">
        <w:rPr>
          <w:sz w:val="24"/>
          <w:szCs w:val="24"/>
          <w:lang w:val="en-IE"/>
        </w:rPr>
        <w:t xml:space="preserve">D4E group brings together stakeholders representing grid operators, </w:t>
      </w:r>
      <w:r w:rsidR="00AD36EA">
        <w:rPr>
          <w:sz w:val="24"/>
          <w:szCs w:val="24"/>
          <w:lang w:val="en-IE"/>
        </w:rPr>
        <w:t xml:space="preserve">equipment manufacturers, </w:t>
      </w:r>
      <w:r w:rsidR="00D7774A">
        <w:rPr>
          <w:sz w:val="24"/>
          <w:szCs w:val="24"/>
          <w:lang w:val="en-IE"/>
        </w:rPr>
        <w:t xml:space="preserve">service providers and the Member States. The </w:t>
      </w:r>
      <w:r w:rsidR="00795963">
        <w:rPr>
          <w:sz w:val="24"/>
          <w:szCs w:val="24"/>
          <w:lang w:val="en-IE"/>
        </w:rPr>
        <w:t xml:space="preserve">group’s </w:t>
      </w:r>
      <w:r w:rsidR="00D7774A">
        <w:rPr>
          <w:sz w:val="24"/>
          <w:szCs w:val="24"/>
          <w:lang w:val="en-IE"/>
        </w:rPr>
        <w:t>objective</w:t>
      </w:r>
      <w:r w:rsidR="00823A40">
        <w:rPr>
          <w:sz w:val="24"/>
          <w:szCs w:val="24"/>
          <w:lang w:val="en-IE"/>
        </w:rPr>
        <w:t xml:space="preserve"> is to agree on </w:t>
      </w:r>
      <w:r w:rsidR="008D6525">
        <w:rPr>
          <w:sz w:val="24"/>
          <w:szCs w:val="24"/>
          <w:lang w:val="en-IE"/>
        </w:rPr>
        <w:t xml:space="preserve">common rules for </w:t>
      </w:r>
      <w:r w:rsidR="00CF4578">
        <w:rPr>
          <w:sz w:val="24"/>
          <w:szCs w:val="24"/>
          <w:lang w:val="en-IE"/>
        </w:rPr>
        <w:t xml:space="preserve">exchanging data </w:t>
      </w:r>
      <w:r w:rsidR="001F218C">
        <w:rPr>
          <w:sz w:val="24"/>
          <w:szCs w:val="24"/>
          <w:lang w:val="en-IE"/>
        </w:rPr>
        <w:t>to facilitate demand side flexibility and bidirectional charging of EVs</w:t>
      </w:r>
      <w:r w:rsidR="001E42C3">
        <w:rPr>
          <w:sz w:val="24"/>
          <w:szCs w:val="24"/>
          <w:lang w:val="en-IE"/>
        </w:rPr>
        <w:t xml:space="preserve"> and overall advance setting up of the </w:t>
      </w:r>
      <w:r w:rsidR="00D5518A">
        <w:rPr>
          <w:sz w:val="24"/>
          <w:szCs w:val="24"/>
          <w:lang w:val="en-IE"/>
        </w:rPr>
        <w:t xml:space="preserve">common European </w:t>
      </w:r>
      <w:r w:rsidR="001E42C3">
        <w:rPr>
          <w:sz w:val="24"/>
          <w:szCs w:val="24"/>
          <w:lang w:val="en-IE"/>
        </w:rPr>
        <w:t>energy data space</w:t>
      </w:r>
      <w:r w:rsidR="00D5518A">
        <w:rPr>
          <w:sz w:val="24"/>
          <w:szCs w:val="24"/>
          <w:lang w:val="en-IE"/>
        </w:rPr>
        <w:t>.</w:t>
      </w:r>
    </w:p>
    <w:p w14:paraId="67733468" w14:textId="77777777" w:rsidR="00D75467" w:rsidRDefault="00D75467" w:rsidP="008A359A">
      <w:pPr>
        <w:widowControl w:val="0"/>
        <w:spacing w:after="120"/>
        <w:jc w:val="both"/>
        <w:rPr>
          <w:sz w:val="24"/>
          <w:szCs w:val="24"/>
          <w:lang w:val="en-IE"/>
        </w:rPr>
      </w:pPr>
    </w:p>
    <w:p w14:paraId="2627182C" w14:textId="1C2DCE9C" w:rsidR="00416D8B" w:rsidRDefault="00416D8B" w:rsidP="00C30154">
      <w:pPr>
        <w:pStyle w:val="ListParagraph"/>
        <w:widowControl w:val="0"/>
        <w:numPr>
          <w:ilvl w:val="0"/>
          <w:numId w:val="15"/>
        </w:numPr>
        <w:spacing w:after="120" w:line="259" w:lineRule="auto"/>
        <w:ind w:left="426"/>
        <w:jc w:val="both"/>
        <w:rPr>
          <w:b/>
          <w:bCs/>
          <w:sz w:val="24"/>
          <w:szCs w:val="24"/>
          <w:lang w:val="en-IE"/>
        </w:rPr>
      </w:pPr>
      <w:r w:rsidRPr="00977753">
        <w:rPr>
          <w:b/>
          <w:bCs/>
          <w:sz w:val="24"/>
          <w:szCs w:val="24"/>
          <w:lang w:val="en-IE"/>
        </w:rPr>
        <w:t>Others</w:t>
      </w:r>
      <w:r w:rsidR="00D60A6C">
        <w:rPr>
          <w:b/>
          <w:bCs/>
          <w:sz w:val="24"/>
          <w:szCs w:val="24"/>
          <w:lang w:val="en-IE"/>
        </w:rPr>
        <w:t xml:space="preserve"> </w:t>
      </w:r>
      <w:r w:rsidRPr="00D60A6C">
        <w:rPr>
          <w:b/>
          <w:bCs/>
          <w:sz w:val="24"/>
          <w:szCs w:val="24"/>
          <w:lang w:val="en-IE"/>
        </w:rPr>
        <w:t>(paragraphs 2, 23, 29, 30</w:t>
      </w:r>
      <w:r w:rsidR="003D511A" w:rsidRPr="00D60A6C">
        <w:rPr>
          <w:b/>
          <w:bCs/>
          <w:sz w:val="24"/>
          <w:szCs w:val="24"/>
          <w:lang w:val="en-IE"/>
        </w:rPr>
        <w:t>)</w:t>
      </w:r>
    </w:p>
    <w:p w14:paraId="1CE24D73" w14:textId="77777777" w:rsidR="00951A68" w:rsidRPr="00951A68" w:rsidRDefault="00951A68" w:rsidP="00951A68">
      <w:pPr>
        <w:widowControl w:val="0"/>
        <w:spacing w:after="120" w:line="259" w:lineRule="auto"/>
        <w:ind w:left="66"/>
        <w:jc w:val="both"/>
        <w:rPr>
          <w:b/>
          <w:bCs/>
          <w:sz w:val="24"/>
          <w:szCs w:val="24"/>
          <w:lang w:val="en-IE"/>
        </w:rPr>
      </w:pPr>
    </w:p>
    <w:p w14:paraId="5E88B4EF" w14:textId="4F54E6C3" w:rsidR="00DB4724" w:rsidRDefault="00DB4724" w:rsidP="00DB4724">
      <w:pPr>
        <w:widowControl w:val="0"/>
        <w:spacing w:after="120"/>
        <w:jc w:val="both"/>
        <w:rPr>
          <w:sz w:val="24"/>
          <w:szCs w:val="24"/>
        </w:rPr>
      </w:pPr>
      <w:r w:rsidRPr="04F74DE3">
        <w:rPr>
          <w:sz w:val="24"/>
          <w:szCs w:val="24"/>
        </w:rPr>
        <w:t xml:space="preserve">The Commission is committed to ensure swift implementation of existing energy initiatives, including the EU Grid Action Plan, the Affordable Energy Action Plan, the </w:t>
      </w:r>
      <w:r w:rsidR="005F4415">
        <w:rPr>
          <w:sz w:val="24"/>
          <w:szCs w:val="24"/>
        </w:rPr>
        <w:t>EMD</w:t>
      </w:r>
      <w:r w:rsidRPr="04F74DE3">
        <w:rPr>
          <w:sz w:val="24"/>
          <w:szCs w:val="24"/>
        </w:rPr>
        <w:t xml:space="preserve">, </w:t>
      </w:r>
      <w:r w:rsidR="180ADE10" w:rsidRPr="04F74DE3">
        <w:rPr>
          <w:sz w:val="24"/>
          <w:szCs w:val="24"/>
        </w:rPr>
        <w:t xml:space="preserve">the Digitalisation of </w:t>
      </w:r>
      <w:r w:rsidRPr="04F74DE3">
        <w:rPr>
          <w:sz w:val="24"/>
          <w:szCs w:val="24"/>
        </w:rPr>
        <w:t xml:space="preserve">Energy </w:t>
      </w:r>
      <w:r w:rsidR="180ADE10" w:rsidRPr="04F74DE3">
        <w:rPr>
          <w:sz w:val="24"/>
          <w:szCs w:val="24"/>
        </w:rPr>
        <w:t xml:space="preserve">Action Plan </w:t>
      </w:r>
      <w:r w:rsidR="0B28C89A" w:rsidRPr="04F74DE3">
        <w:rPr>
          <w:sz w:val="24"/>
          <w:szCs w:val="24"/>
        </w:rPr>
        <w:t xml:space="preserve">and the </w:t>
      </w:r>
      <w:r w:rsidR="005F4415">
        <w:rPr>
          <w:sz w:val="24"/>
          <w:szCs w:val="24"/>
        </w:rPr>
        <w:t>RED</w:t>
      </w:r>
      <w:r w:rsidR="0B28C89A" w:rsidRPr="04F74DE3">
        <w:rPr>
          <w:sz w:val="24"/>
          <w:szCs w:val="24"/>
        </w:rPr>
        <w:t>.</w:t>
      </w:r>
      <w:r w:rsidR="09B0577E" w:rsidRPr="04F74DE3">
        <w:rPr>
          <w:sz w:val="24"/>
          <w:szCs w:val="24"/>
        </w:rPr>
        <w:t xml:space="preserve"> </w:t>
      </w:r>
      <w:r w:rsidR="00D7666D">
        <w:rPr>
          <w:sz w:val="24"/>
          <w:szCs w:val="24"/>
        </w:rPr>
        <w:t xml:space="preserve">It </w:t>
      </w:r>
      <w:r w:rsidRPr="04F74DE3">
        <w:rPr>
          <w:sz w:val="24"/>
          <w:szCs w:val="24"/>
        </w:rPr>
        <w:t xml:space="preserve">will monitor any developments closely and take due action where needed. The Sectoral Tripartite Contracts for Affordable Energy are part of the Action Plan for Affordable Energy, aimed at accelerating clean energy build-out and reducing costs through structured public-private partnerships. These contracts are tailored to address sector-specific barriers and promote collaboration among the Commission, </w:t>
      </w:r>
      <w:r w:rsidRPr="04F74DE3">
        <w:rPr>
          <w:sz w:val="24"/>
          <w:szCs w:val="24"/>
        </w:rPr>
        <w:lastRenderedPageBreak/>
        <w:t>Member States, and key stakeholders in the energy sector.</w:t>
      </w:r>
    </w:p>
    <w:p w14:paraId="621519B9" w14:textId="0FC5772C" w:rsidR="00DB4724" w:rsidRDefault="23523FDD" w:rsidP="0986F29F">
      <w:pPr>
        <w:widowControl w:val="0"/>
        <w:spacing w:after="120" w:line="259" w:lineRule="auto"/>
        <w:jc w:val="both"/>
        <w:rPr>
          <w:sz w:val="24"/>
          <w:szCs w:val="24"/>
        </w:rPr>
      </w:pPr>
      <w:r w:rsidRPr="00270FC2">
        <w:rPr>
          <w:sz w:val="24"/>
          <w:szCs w:val="24"/>
        </w:rPr>
        <w:t xml:space="preserve">The </w:t>
      </w:r>
      <w:r w:rsidRPr="0986F29F">
        <w:rPr>
          <w:sz w:val="24"/>
          <w:szCs w:val="24"/>
        </w:rPr>
        <w:t xml:space="preserve">Commission </w:t>
      </w:r>
      <w:r w:rsidR="33D00E43" w:rsidRPr="0986F29F">
        <w:rPr>
          <w:sz w:val="24"/>
          <w:szCs w:val="24"/>
        </w:rPr>
        <w:t>will assess and propose the revision of the interconnectivity target in the context o</w:t>
      </w:r>
      <w:r w:rsidR="6D1623F2" w:rsidRPr="0986F29F">
        <w:rPr>
          <w:sz w:val="24"/>
          <w:szCs w:val="24"/>
        </w:rPr>
        <w:t xml:space="preserve">f </w:t>
      </w:r>
      <w:r w:rsidR="33D00E43" w:rsidRPr="0986F29F">
        <w:rPr>
          <w:sz w:val="24"/>
          <w:szCs w:val="24"/>
        </w:rPr>
        <w:t>the upcoming review of the Governance regulation</w:t>
      </w:r>
      <w:r w:rsidR="5400C795" w:rsidRPr="0986F29F">
        <w:rPr>
          <w:sz w:val="24"/>
          <w:szCs w:val="24"/>
        </w:rPr>
        <w:t xml:space="preserve"> which is planned for Q4 2026.</w:t>
      </w:r>
      <w:r w:rsidR="08F0AD64" w:rsidRPr="0986F29F">
        <w:rPr>
          <w:sz w:val="24"/>
          <w:szCs w:val="24"/>
        </w:rPr>
        <w:t xml:space="preserve"> The Commission agrees that </w:t>
      </w:r>
      <w:r w:rsidR="1784C6F0" w:rsidRPr="0986F29F">
        <w:rPr>
          <w:sz w:val="24"/>
          <w:szCs w:val="24"/>
        </w:rPr>
        <w:t xml:space="preserve">deployment of interconnectors also requires </w:t>
      </w:r>
      <w:r w:rsidR="08F0AD64" w:rsidRPr="0986F29F">
        <w:rPr>
          <w:sz w:val="24"/>
          <w:szCs w:val="24"/>
        </w:rPr>
        <w:t xml:space="preserve">involvement of </w:t>
      </w:r>
      <w:r w:rsidR="113126C3" w:rsidRPr="0986F29F">
        <w:rPr>
          <w:sz w:val="24"/>
          <w:szCs w:val="24"/>
        </w:rPr>
        <w:t xml:space="preserve">non-hosting countries and EU neighbours </w:t>
      </w:r>
      <w:r w:rsidR="00703C5D">
        <w:rPr>
          <w:sz w:val="24"/>
          <w:szCs w:val="24"/>
        </w:rPr>
        <w:t>including through</w:t>
      </w:r>
      <w:r w:rsidR="06567508" w:rsidRPr="0986F29F">
        <w:rPr>
          <w:sz w:val="24"/>
          <w:szCs w:val="24"/>
        </w:rPr>
        <w:t xml:space="preserve"> regional cooperation in the infrastructure planning process.</w:t>
      </w:r>
    </w:p>
    <w:p w14:paraId="7C408B3B" w14:textId="37D9396E" w:rsidR="00732122" w:rsidRDefault="68FE94FD" w:rsidP="00270FC2">
      <w:pPr>
        <w:widowControl w:val="0"/>
        <w:spacing w:after="120"/>
        <w:jc w:val="both"/>
        <w:rPr>
          <w:rFonts w:eastAsia="Aptos"/>
          <w:sz w:val="24"/>
          <w:szCs w:val="24"/>
          <w:lang w:val="en-IE"/>
        </w:rPr>
      </w:pPr>
      <w:r>
        <w:rPr>
          <w:rFonts w:eastAsia="Times New Roman"/>
          <w:sz w:val="24"/>
          <w:szCs w:val="24"/>
          <w:lang w:val="en-IE"/>
        </w:rPr>
        <w:t>A</w:t>
      </w:r>
      <w:r w:rsidR="5E771267" w:rsidRPr="008B3427">
        <w:rPr>
          <w:rFonts w:eastAsia="Times New Roman"/>
          <w:sz w:val="24"/>
          <w:szCs w:val="24"/>
          <w:lang w:val="en-IE"/>
        </w:rPr>
        <w:t>s announced in the Communication “The Clean Industrial Deal</w:t>
      </w:r>
      <w:r w:rsidR="740B8954" w:rsidRPr="008B3427">
        <w:rPr>
          <w:rFonts w:eastAsia="Times New Roman"/>
          <w:sz w:val="24"/>
          <w:szCs w:val="24"/>
          <w:lang w:val="en-IE"/>
        </w:rPr>
        <w:t>”</w:t>
      </w:r>
      <w:r w:rsidR="5E771267" w:rsidRPr="008B3427">
        <w:rPr>
          <w:rFonts w:eastAsia="Times New Roman"/>
          <w:sz w:val="24"/>
          <w:szCs w:val="24"/>
          <w:lang w:val="en-IE"/>
        </w:rPr>
        <w:t xml:space="preserve"> the Commission will make a proposal to revise the Public Procurement Framework in 2026. This </w:t>
      </w:r>
      <w:r w:rsidR="38EA988B" w:rsidRPr="0E43A9AF">
        <w:rPr>
          <w:rFonts w:eastAsia="Times New Roman"/>
          <w:sz w:val="24"/>
          <w:szCs w:val="24"/>
          <w:lang w:val="en-IE"/>
        </w:rPr>
        <w:t>i</w:t>
      </w:r>
      <w:r w:rsidR="71285C06" w:rsidRPr="0E43A9AF">
        <w:rPr>
          <w:rFonts w:eastAsia="Times New Roman"/>
          <w:sz w:val="24"/>
          <w:szCs w:val="24"/>
          <w:lang w:val="en-IE"/>
        </w:rPr>
        <w:t>s</w:t>
      </w:r>
      <w:r w:rsidR="38EA988B" w:rsidRPr="0E43A9AF">
        <w:rPr>
          <w:rFonts w:eastAsia="Times New Roman"/>
          <w:sz w:val="24"/>
          <w:szCs w:val="24"/>
          <w:lang w:val="en-IE"/>
        </w:rPr>
        <w:t xml:space="preserve"> </w:t>
      </w:r>
      <w:r w:rsidR="65816820" w:rsidRPr="0E43A9AF">
        <w:rPr>
          <w:rFonts w:eastAsia="Times New Roman"/>
          <w:sz w:val="24"/>
          <w:szCs w:val="24"/>
          <w:lang w:val="en-IE"/>
        </w:rPr>
        <w:t>intended</w:t>
      </w:r>
      <w:r w:rsidR="38EA988B" w:rsidRPr="0E43A9AF">
        <w:rPr>
          <w:rFonts w:eastAsia="Times New Roman"/>
          <w:sz w:val="24"/>
          <w:szCs w:val="24"/>
          <w:lang w:val="en-IE"/>
        </w:rPr>
        <w:t xml:space="preserve"> to </w:t>
      </w:r>
      <w:r w:rsidR="5E771267" w:rsidRPr="008B3427">
        <w:rPr>
          <w:rFonts w:eastAsia="Times New Roman"/>
          <w:sz w:val="24"/>
          <w:szCs w:val="24"/>
          <w:lang w:val="en-IE"/>
        </w:rPr>
        <w:t xml:space="preserve">allow for sustainability, resilience and European preference criteria in EU public procurement for strategic sectors. </w:t>
      </w:r>
      <w:r w:rsidR="618C75AF" w:rsidRPr="008B3427">
        <w:rPr>
          <w:rFonts w:eastAsia="Times New Roman"/>
          <w:sz w:val="24"/>
          <w:szCs w:val="24"/>
          <w:lang w:val="en-IE"/>
        </w:rPr>
        <w:t>I</w:t>
      </w:r>
      <w:r w:rsidR="618C75AF" w:rsidRPr="0E43A9AF">
        <w:rPr>
          <w:rFonts w:eastAsia="Times New Roman"/>
          <w:sz w:val="24"/>
          <w:szCs w:val="24"/>
          <w:lang w:val="en-IE"/>
        </w:rPr>
        <w:t>n its revision, t</w:t>
      </w:r>
      <w:r w:rsidR="5E771267" w:rsidRPr="008B3427">
        <w:rPr>
          <w:rFonts w:eastAsia="Times New Roman"/>
          <w:sz w:val="24"/>
          <w:szCs w:val="24"/>
          <w:lang w:val="en-IE"/>
        </w:rPr>
        <w:t xml:space="preserve">he </w:t>
      </w:r>
      <w:r w:rsidR="201502EC" w:rsidRPr="0E43A9AF">
        <w:rPr>
          <w:rFonts w:eastAsia="Times New Roman"/>
          <w:sz w:val="24"/>
          <w:szCs w:val="24"/>
          <w:lang w:val="en-IE"/>
        </w:rPr>
        <w:t xml:space="preserve">Commission intends to </w:t>
      </w:r>
      <w:r w:rsidR="5E771267" w:rsidRPr="008B3427">
        <w:rPr>
          <w:rFonts w:eastAsia="Times New Roman"/>
          <w:sz w:val="24"/>
          <w:szCs w:val="24"/>
          <w:lang w:val="en-IE"/>
        </w:rPr>
        <w:t>consolidate and clarify the interactions between public procurement provisions across different pieces of legislation, to simplify their application.</w:t>
      </w:r>
      <w:r w:rsidR="5E771267" w:rsidRPr="00270FC2">
        <w:rPr>
          <w:rFonts w:eastAsia="Aptos"/>
          <w:sz w:val="24"/>
          <w:szCs w:val="24"/>
          <w:lang w:val="en-IE"/>
        </w:rPr>
        <w:t xml:space="preserve"> </w:t>
      </w:r>
      <w:r w:rsidR="5240AEBA" w:rsidRPr="00270FC2">
        <w:rPr>
          <w:rFonts w:eastAsia="Aptos"/>
          <w:sz w:val="24"/>
          <w:szCs w:val="24"/>
          <w:lang w:val="en-IE"/>
        </w:rPr>
        <w:t xml:space="preserve">Furthermore, under </w:t>
      </w:r>
      <w:r w:rsidR="6E4EE278" w:rsidRPr="00270FC2">
        <w:rPr>
          <w:rFonts w:eastAsia="Aptos"/>
          <w:sz w:val="24"/>
          <w:szCs w:val="24"/>
          <w:lang w:val="en-IE"/>
        </w:rPr>
        <w:t>the</w:t>
      </w:r>
      <w:r w:rsidR="1E512535" w:rsidRPr="00270FC2">
        <w:rPr>
          <w:rFonts w:eastAsia="Aptos"/>
          <w:sz w:val="24"/>
          <w:szCs w:val="24"/>
          <w:lang w:val="en-IE"/>
        </w:rPr>
        <w:t xml:space="preserve"> existing</w:t>
      </w:r>
      <w:r w:rsidR="6E4EE278" w:rsidRPr="00270FC2">
        <w:rPr>
          <w:rFonts w:eastAsia="Aptos"/>
          <w:sz w:val="24"/>
          <w:szCs w:val="24"/>
          <w:lang w:val="en-IE"/>
        </w:rPr>
        <w:t xml:space="preserve"> access to market</w:t>
      </w:r>
      <w:r w:rsidR="16CB1F62" w:rsidRPr="00270FC2">
        <w:rPr>
          <w:rFonts w:eastAsia="Aptos"/>
          <w:sz w:val="24"/>
          <w:szCs w:val="24"/>
          <w:lang w:val="en-IE"/>
        </w:rPr>
        <w:t xml:space="preserve"> </w:t>
      </w:r>
      <w:r w:rsidR="47966A98" w:rsidRPr="00270FC2">
        <w:rPr>
          <w:rFonts w:eastAsia="Aptos"/>
          <w:sz w:val="24"/>
          <w:szCs w:val="24"/>
          <w:lang w:val="en-IE"/>
        </w:rPr>
        <w:t>rules,</w:t>
      </w:r>
      <w:r w:rsidR="6E4EE278" w:rsidRPr="00270FC2">
        <w:rPr>
          <w:rFonts w:eastAsia="Aptos"/>
          <w:sz w:val="24"/>
          <w:szCs w:val="24"/>
          <w:lang w:val="en-IE"/>
        </w:rPr>
        <w:t xml:space="preserve"> </w:t>
      </w:r>
      <w:r w:rsidR="60CE7857" w:rsidRPr="00270FC2">
        <w:rPr>
          <w:rFonts w:eastAsia="Aptos"/>
          <w:sz w:val="24"/>
          <w:szCs w:val="24"/>
          <w:lang w:val="en-IE"/>
        </w:rPr>
        <w:t xml:space="preserve">as set out by </w:t>
      </w:r>
      <w:r w:rsidR="6E4EE278" w:rsidRPr="00270FC2">
        <w:rPr>
          <w:rFonts w:eastAsia="Aptos"/>
          <w:sz w:val="24"/>
          <w:szCs w:val="24"/>
          <w:lang w:val="en-IE"/>
        </w:rPr>
        <w:t xml:space="preserve">the </w:t>
      </w:r>
      <w:r w:rsidR="26E0D2B0" w:rsidRPr="00270FC2">
        <w:rPr>
          <w:sz w:val="24"/>
          <w:szCs w:val="24"/>
        </w:rPr>
        <w:t>Net-Zero Industry Act</w:t>
      </w:r>
      <w:r w:rsidR="5240AEBA" w:rsidRPr="00270FC2">
        <w:rPr>
          <w:rFonts w:eastAsia="Aptos"/>
          <w:sz w:val="24"/>
          <w:szCs w:val="24"/>
          <w:lang w:val="en-IE"/>
        </w:rPr>
        <w:t>,</w:t>
      </w:r>
      <w:r w:rsidR="7D5B4BCD" w:rsidRPr="00270FC2">
        <w:rPr>
          <w:rFonts w:eastAsia="Aptos"/>
          <w:sz w:val="24"/>
          <w:szCs w:val="24"/>
          <w:lang w:val="en-IE"/>
        </w:rPr>
        <w:t xml:space="preserve"> </w:t>
      </w:r>
      <w:r w:rsidR="74055340" w:rsidRPr="00270FC2">
        <w:rPr>
          <w:rFonts w:eastAsia="Aptos"/>
          <w:sz w:val="24"/>
          <w:szCs w:val="24"/>
          <w:lang w:val="en-IE"/>
        </w:rPr>
        <w:t xml:space="preserve">a set of </w:t>
      </w:r>
      <w:r w:rsidR="22033B20" w:rsidRPr="00270FC2">
        <w:rPr>
          <w:rFonts w:eastAsia="Aptos"/>
          <w:sz w:val="24"/>
          <w:szCs w:val="24"/>
          <w:lang w:val="en-IE"/>
        </w:rPr>
        <w:t>additional</w:t>
      </w:r>
      <w:r w:rsidR="4FC3820E" w:rsidRPr="00270FC2">
        <w:rPr>
          <w:rFonts w:eastAsia="Aptos"/>
          <w:sz w:val="24"/>
          <w:szCs w:val="24"/>
          <w:lang w:val="en-IE"/>
        </w:rPr>
        <w:t xml:space="preserve">, non-price </w:t>
      </w:r>
      <w:r w:rsidR="74055340" w:rsidRPr="00270FC2">
        <w:rPr>
          <w:rFonts w:eastAsia="Aptos"/>
          <w:sz w:val="24"/>
          <w:szCs w:val="24"/>
          <w:lang w:val="en-IE"/>
        </w:rPr>
        <w:t xml:space="preserve">criteria </w:t>
      </w:r>
      <w:r w:rsidR="5A1406AC" w:rsidRPr="00270FC2">
        <w:rPr>
          <w:rFonts w:eastAsia="Aptos"/>
          <w:sz w:val="24"/>
          <w:szCs w:val="24"/>
          <w:lang w:val="en-IE"/>
        </w:rPr>
        <w:t xml:space="preserve">has been </w:t>
      </w:r>
      <w:r w:rsidR="5CFD9608" w:rsidRPr="00270FC2">
        <w:rPr>
          <w:rFonts w:eastAsia="Aptos"/>
          <w:sz w:val="24"/>
          <w:szCs w:val="24"/>
          <w:lang w:val="en-IE"/>
        </w:rPr>
        <w:t>prescribed</w:t>
      </w:r>
      <w:r w:rsidR="05CBAFF9" w:rsidRPr="00270FC2">
        <w:rPr>
          <w:rFonts w:eastAsia="Aptos"/>
          <w:sz w:val="24"/>
          <w:szCs w:val="24"/>
          <w:lang w:val="en-IE"/>
        </w:rPr>
        <w:t xml:space="preserve"> </w:t>
      </w:r>
      <w:r w:rsidR="5A1406AC" w:rsidRPr="00270FC2">
        <w:rPr>
          <w:rFonts w:eastAsia="Aptos"/>
          <w:sz w:val="24"/>
          <w:szCs w:val="24"/>
          <w:lang w:val="en-IE"/>
        </w:rPr>
        <w:t xml:space="preserve">for </w:t>
      </w:r>
      <w:r w:rsidR="7B7A2C34" w:rsidRPr="00270FC2">
        <w:rPr>
          <w:rFonts w:eastAsia="Aptos"/>
          <w:sz w:val="24"/>
          <w:szCs w:val="24"/>
          <w:lang w:val="en-IE"/>
        </w:rPr>
        <w:t xml:space="preserve">the </w:t>
      </w:r>
      <w:r w:rsidR="5A1406AC" w:rsidRPr="00270FC2">
        <w:rPr>
          <w:rFonts w:eastAsia="Aptos"/>
          <w:sz w:val="24"/>
          <w:szCs w:val="24"/>
          <w:lang w:val="en-IE"/>
        </w:rPr>
        <w:t>use in</w:t>
      </w:r>
      <w:r w:rsidR="74055340" w:rsidRPr="00270FC2">
        <w:rPr>
          <w:rFonts w:eastAsia="Aptos"/>
          <w:sz w:val="24"/>
          <w:szCs w:val="24"/>
          <w:lang w:val="en-IE"/>
        </w:rPr>
        <w:t xml:space="preserve"> public procurement of net</w:t>
      </w:r>
      <w:r w:rsidR="70E93A72" w:rsidRPr="00270FC2">
        <w:rPr>
          <w:rFonts w:eastAsia="Aptos"/>
          <w:sz w:val="24"/>
          <w:szCs w:val="24"/>
          <w:lang w:val="en-IE"/>
        </w:rPr>
        <w:t>-</w:t>
      </w:r>
      <w:r w:rsidR="74055340" w:rsidRPr="00270FC2">
        <w:rPr>
          <w:rFonts w:eastAsia="Aptos"/>
          <w:sz w:val="24"/>
          <w:szCs w:val="24"/>
          <w:lang w:val="en-IE"/>
        </w:rPr>
        <w:t>zero technologies</w:t>
      </w:r>
      <w:r w:rsidR="5A93A399" w:rsidRPr="00270FC2">
        <w:rPr>
          <w:rFonts w:eastAsia="Aptos"/>
          <w:sz w:val="24"/>
          <w:szCs w:val="24"/>
          <w:lang w:val="en-IE"/>
        </w:rPr>
        <w:t>, including electricity grid</w:t>
      </w:r>
      <w:r w:rsidR="017AF32D" w:rsidRPr="00270FC2">
        <w:rPr>
          <w:rFonts w:eastAsia="Aptos"/>
          <w:sz w:val="24"/>
          <w:szCs w:val="24"/>
          <w:lang w:val="en-IE"/>
        </w:rPr>
        <w:t xml:space="preserve"> technologies</w:t>
      </w:r>
      <w:r w:rsidR="31D0F882" w:rsidRPr="00270FC2">
        <w:rPr>
          <w:rFonts w:eastAsia="Aptos"/>
          <w:sz w:val="24"/>
          <w:szCs w:val="24"/>
          <w:lang w:val="en-IE"/>
        </w:rPr>
        <w:t xml:space="preserve">. </w:t>
      </w:r>
      <w:r w:rsidR="34A65275" w:rsidRPr="00270FC2">
        <w:rPr>
          <w:rFonts w:eastAsia="Aptos"/>
          <w:sz w:val="24"/>
          <w:szCs w:val="24"/>
          <w:lang w:val="en-IE"/>
        </w:rPr>
        <w:t>These rules apply for</w:t>
      </w:r>
      <w:r w:rsidR="68D09E39" w:rsidRPr="00270FC2">
        <w:rPr>
          <w:rFonts w:eastAsia="Aptos"/>
          <w:sz w:val="24"/>
          <w:szCs w:val="24"/>
          <w:lang w:val="en-IE"/>
        </w:rPr>
        <w:t xml:space="preserve"> public procurement procedures falling within the scope of </w:t>
      </w:r>
      <w:r w:rsidR="5F9E1B06" w:rsidRPr="00270FC2">
        <w:rPr>
          <w:rFonts w:eastAsia="Aptos"/>
          <w:sz w:val="24"/>
          <w:szCs w:val="24"/>
          <w:lang w:val="en-IE"/>
        </w:rPr>
        <w:t xml:space="preserve">Public Procurement </w:t>
      </w:r>
      <w:r w:rsidR="68D09E39" w:rsidRPr="00270FC2">
        <w:rPr>
          <w:rFonts w:eastAsia="Aptos"/>
          <w:sz w:val="24"/>
          <w:szCs w:val="24"/>
          <w:lang w:val="en-IE"/>
        </w:rPr>
        <w:t>Directive</w:t>
      </w:r>
      <w:r w:rsidR="0EA2DA02" w:rsidRPr="00270FC2">
        <w:rPr>
          <w:rFonts w:eastAsia="Aptos"/>
          <w:sz w:val="24"/>
          <w:szCs w:val="24"/>
          <w:lang w:val="en-IE"/>
        </w:rPr>
        <w:t>s</w:t>
      </w:r>
      <w:r w:rsidR="00430B0C">
        <w:rPr>
          <w:rStyle w:val="FootnoteReference"/>
          <w:rFonts w:eastAsia="Aptos"/>
          <w:sz w:val="24"/>
          <w:szCs w:val="24"/>
          <w:lang w:val="en-IE"/>
        </w:rPr>
        <w:footnoteReference w:id="4"/>
      </w:r>
      <w:r w:rsidR="68D09E39" w:rsidRPr="00270FC2">
        <w:rPr>
          <w:rFonts w:eastAsia="Aptos"/>
          <w:sz w:val="24"/>
          <w:szCs w:val="24"/>
          <w:lang w:val="en-IE"/>
        </w:rPr>
        <w:t>, where contracts</w:t>
      </w:r>
      <w:r w:rsidR="2E6DD867" w:rsidRPr="00270FC2">
        <w:rPr>
          <w:rFonts w:eastAsia="Aptos"/>
          <w:sz w:val="24"/>
          <w:szCs w:val="24"/>
          <w:lang w:val="en-IE"/>
        </w:rPr>
        <w:t xml:space="preserve"> or work</w:t>
      </w:r>
      <w:r w:rsidR="00A87224">
        <w:rPr>
          <w:rFonts w:eastAsia="Aptos"/>
          <w:sz w:val="24"/>
          <w:szCs w:val="24"/>
          <w:lang w:val="en-IE"/>
        </w:rPr>
        <w:t>s</w:t>
      </w:r>
      <w:r w:rsidR="2E6DD867" w:rsidRPr="00270FC2">
        <w:rPr>
          <w:rFonts w:eastAsia="Aptos"/>
          <w:sz w:val="24"/>
          <w:szCs w:val="24"/>
          <w:lang w:val="en-IE"/>
        </w:rPr>
        <w:t xml:space="preserve"> cont</w:t>
      </w:r>
      <w:r w:rsidR="002C56B3">
        <w:rPr>
          <w:rFonts w:eastAsia="Aptos"/>
          <w:sz w:val="24"/>
          <w:szCs w:val="24"/>
          <w:lang w:val="en-IE"/>
        </w:rPr>
        <w:t>r</w:t>
      </w:r>
      <w:r w:rsidR="2E6DD867" w:rsidRPr="00270FC2">
        <w:rPr>
          <w:rFonts w:eastAsia="Aptos"/>
          <w:sz w:val="24"/>
          <w:szCs w:val="24"/>
          <w:lang w:val="en-IE"/>
        </w:rPr>
        <w:t>acts</w:t>
      </w:r>
      <w:r w:rsidR="18C38E63" w:rsidRPr="00270FC2">
        <w:rPr>
          <w:rFonts w:eastAsia="Aptos"/>
          <w:sz w:val="24"/>
          <w:szCs w:val="24"/>
          <w:lang w:val="en-IE"/>
        </w:rPr>
        <w:t xml:space="preserve"> include</w:t>
      </w:r>
      <w:r w:rsidR="68D09E39" w:rsidRPr="00270FC2">
        <w:rPr>
          <w:rFonts w:eastAsia="Aptos"/>
          <w:sz w:val="24"/>
          <w:szCs w:val="24"/>
          <w:lang w:val="en-IE"/>
        </w:rPr>
        <w:t xml:space="preserve"> net-zero technologies</w:t>
      </w:r>
      <w:r w:rsidR="18D9CF24" w:rsidRPr="00270FC2">
        <w:rPr>
          <w:rFonts w:eastAsia="Aptos"/>
          <w:sz w:val="24"/>
          <w:szCs w:val="24"/>
          <w:lang w:val="en-IE"/>
        </w:rPr>
        <w:t>.</w:t>
      </w:r>
      <w:r w:rsidR="58EA0770" w:rsidRPr="00270FC2">
        <w:rPr>
          <w:rFonts w:eastAsia="Aptos"/>
          <w:sz w:val="24"/>
          <w:szCs w:val="24"/>
          <w:lang w:val="en-IE"/>
        </w:rPr>
        <w:t xml:space="preserve"> </w:t>
      </w:r>
      <w:r w:rsidR="16D4435D" w:rsidRPr="00270FC2">
        <w:rPr>
          <w:rFonts w:eastAsia="Aptos"/>
          <w:sz w:val="24"/>
          <w:szCs w:val="24"/>
          <w:lang w:val="en-IE"/>
        </w:rPr>
        <w:t>These criteri</w:t>
      </w:r>
      <w:r w:rsidR="15F1E1C8" w:rsidRPr="00270FC2">
        <w:rPr>
          <w:rFonts w:eastAsia="Aptos"/>
          <w:sz w:val="24"/>
          <w:szCs w:val="24"/>
          <w:lang w:val="en-IE"/>
        </w:rPr>
        <w:t>a</w:t>
      </w:r>
      <w:r w:rsidR="16D4435D" w:rsidRPr="00270FC2">
        <w:rPr>
          <w:rFonts w:eastAsia="Aptos"/>
          <w:sz w:val="24"/>
          <w:szCs w:val="24"/>
          <w:lang w:val="en-IE"/>
        </w:rPr>
        <w:t xml:space="preserve"> include</w:t>
      </w:r>
      <w:r w:rsidR="05EA0EE2" w:rsidRPr="00270FC2">
        <w:rPr>
          <w:rFonts w:eastAsia="Aptos"/>
          <w:sz w:val="24"/>
          <w:szCs w:val="24"/>
          <w:lang w:val="en-IE"/>
        </w:rPr>
        <w:t xml:space="preserve"> m</w:t>
      </w:r>
      <w:r w:rsidR="381A777C" w:rsidRPr="00270FC2">
        <w:rPr>
          <w:rFonts w:eastAsia="Aptos"/>
          <w:sz w:val="24"/>
          <w:szCs w:val="24"/>
          <w:lang w:val="en-IE"/>
        </w:rPr>
        <w:t>inimum mandatory requirement on environmental sustainability</w:t>
      </w:r>
      <w:r w:rsidR="045C1070" w:rsidRPr="00270FC2">
        <w:rPr>
          <w:rFonts w:eastAsia="Aptos"/>
          <w:sz w:val="24"/>
          <w:szCs w:val="24"/>
          <w:lang w:val="en-IE"/>
        </w:rPr>
        <w:t>,</w:t>
      </w:r>
      <w:r w:rsidR="54C861B6" w:rsidRPr="00270FC2">
        <w:rPr>
          <w:rFonts w:eastAsia="Aptos"/>
          <w:sz w:val="24"/>
          <w:szCs w:val="24"/>
          <w:lang w:val="en-IE"/>
        </w:rPr>
        <w:t xml:space="preserve"> </w:t>
      </w:r>
      <w:r w:rsidR="5A61441C" w:rsidRPr="00270FC2">
        <w:rPr>
          <w:rFonts w:eastAsia="Aptos"/>
          <w:sz w:val="24"/>
          <w:szCs w:val="24"/>
          <w:lang w:val="en-IE"/>
        </w:rPr>
        <w:t>the resilience contribution</w:t>
      </w:r>
      <w:r w:rsidR="18D4CE67" w:rsidRPr="00270FC2">
        <w:rPr>
          <w:rFonts w:eastAsia="Aptos"/>
          <w:sz w:val="24"/>
          <w:szCs w:val="24"/>
          <w:lang w:val="en-IE"/>
        </w:rPr>
        <w:t xml:space="preserve">, </w:t>
      </w:r>
      <w:r w:rsidR="019E7A6D" w:rsidRPr="00270FC2">
        <w:rPr>
          <w:rFonts w:eastAsia="Aptos"/>
          <w:sz w:val="24"/>
          <w:szCs w:val="24"/>
          <w:lang w:val="en-IE"/>
        </w:rPr>
        <w:t xml:space="preserve">and among the three additional criteria where </w:t>
      </w:r>
      <w:r w:rsidR="39F3E62E" w:rsidRPr="00270FC2">
        <w:rPr>
          <w:rFonts w:eastAsia="Aptos"/>
          <w:sz w:val="24"/>
          <w:szCs w:val="24"/>
          <w:lang w:val="en-IE"/>
        </w:rPr>
        <w:t>at least one</w:t>
      </w:r>
      <w:r w:rsidR="019E7A6D" w:rsidRPr="00270FC2">
        <w:rPr>
          <w:rFonts w:eastAsia="Aptos"/>
          <w:sz w:val="24"/>
          <w:szCs w:val="24"/>
          <w:lang w:val="en-IE"/>
        </w:rPr>
        <w:t xml:space="preserve"> should be selected</w:t>
      </w:r>
      <w:r w:rsidR="5F89297E" w:rsidRPr="00270FC2">
        <w:rPr>
          <w:rFonts w:eastAsia="Aptos"/>
          <w:sz w:val="24"/>
          <w:szCs w:val="24"/>
          <w:lang w:val="en-IE"/>
        </w:rPr>
        <w:t>, the need</w:t>
      </w:r>
      <w:r w:rsidR="019E7A6D" w:rsidRPr="00270FC2">
        <w:rPr>
          <w:rFonts w:eastAsia="Aptos"/>
          <w:sz w:val="24"/>
          <w:szCs w:val="24"/>
          <w:lang w:val="en-IE"/>
        </w:rPr>
        <w:t xml:space="preserve"> to demonstrate compliance with cybersecurity requirements.</w:t>
      </w:r>
    </w:p>
    <w:p w14:paraId="44DB8667" w14:textId="0C0383BB" w:rsidR="007A1DC7" w:rsidRPr="007A1DC7" w:rsidRDefault="007A1DC7" w:rsidP="00270FC2">
      <w:pPr>
        <w:widowControl w:val="0"/>
        <w:spacing w:after="120"/>
        <w:jc w:val="both"/>
        <w:rPr>
          <w:sz w:val="24"/>
          <w:szCs w:val="24"/>
        </w:rPr>
      </w:pPr>
      <w:r w:rsidRPr="007A1DC7">
        <w:rPr>
          <w:sz w:val="24"/>
          <w:szCs w:val="24"/>
        </w:rPr>
        <w:t>To drive forward their relationship, the Commission and the UK agreed on a “Common Understanding”. With regards to electricity, the “Common Understanding” goes beyond an electricity trading arrangement proposal, as mentioned in th</w:t>
      </w:r>
      <w:r w:rsidR="009D042D">
        <w:rPr>
          <w:sz w:val="24"/>
          <w:szCs w:val="24"/>
        </w:rPr>
        <w:t>e</w:t>
      </w:r>
      <w:r w:rsidRPr="007A1DC7">
        <w:rPr>
          <w:sz w:val="24"/>
          <w:szCs w:val="24"/>
        </w:rPr>
        <w:t xml:space="preserve"> </w:t>
      </w:r>
      <w:r w:rsidR="00610259">
        <w:rPr>
          <w:sz w:val="24"/>
          <w:szCs w:val="24"/>
        </w:rPr>
        <w:t>Parliament</w:t>
      </w:r>
      <w:r w:rsidR="00610259" w:rsidRPr="007A1DC7">
        <w:rPr>
          <w:sz w:val="24"/>
          <w:szCs w:val="24"/>
        </w:rPr>
        <w:t xml:space="preserve"> </w:t>
      </w:r>
      <w:r w:rsidRPr="007A1DC7">
        <w:rPr>
          <w:sz w:val="24"/>
          <w:szCs w:val="24"/>
        </w:rPr>
        <w:t xml:space="preserve">report. Instead, it proposes for the UK and the Commission to explore the participation of the UK in the EU’s internal electricity market. This would entail that electricity is traded within and between the UK and the EU on the same terms and conditions as between EU </w:t>
      </w:r>
      <w:r w:rsidR="002F7BFD">
        <w:rPr>
          <w:sz w:val="24"/>
          <w:szCs w:val="24"/>
        </w:rPr>
        <w:t>M</w:t>
      </w:r>
      <w:r w:rsidRPr="007A1DC7">
        <w:rPr>
          <w:sz w:val="24"/>
          <w:szCs w:val="24"/>
        </w:rPr>
        <w:t xml:space="preserve">ember </w:t>
      </w:r>
      <w:r w:rsidR="002F7BFD">
        <w:rPr>
          <w:sz w:val="24"/>
          <w:szCs w:val="24"/>
        </w:rPr>
        <w:t>S</w:t>
      </w:r>
      <w:r w:rsidRPr="007A1DC7">
        <w:rPr>
          <w:sz w:val="24"/>
          <w:szCs w:val="24"/>
        </w:rPr>
        <w:t xml:space="preserve">tates. </w:t>
      </w:r>
    </w:p>
    <w:sectPr w:rsidR="007A1DC7" w:rsidRPr="007A1DC7">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C928" w14:textId="77777777" w:rsidR="00A15619" w:rsidRDefault="00A15619" w:rsidP="00E317CE">
      <w:r>
        <w:separator/>
      </w:r>
    </w:p>
  </w:endnote>
  <w:endnote w:type="continuationSeparator" w:id="0">
    <w:p w14:paraId="63EFD7D0" w14:textId="77777777" w:rsidR="00A15619" w:rsidRDefault="00A15619" w:rsidP="00E317CE">
      <w:r>
        <w:continuationSeparator/>
      </w:r>
    </w:p>
  </w:endnote>
  <w:endnote w:type="continuationNotice" w:id="1">
    <w:p w14:paraId="76E849CF" w14:textId="77777777" w:rsidR="00A15619" w:rsidRDefault="00A15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C56C" w14:textId="77777777" w:rsidR="00E317CE" w:rsidRDefault="00E31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96223"/>
      <w:docPartObj>
        <w:docPartGallery w:val="Page Numbers (Bottom of Page)"/>
        <w:docPartUnique/>
      </w:docPartObj>
    </w:sdtPr>
    <w:sdtEndPr>
      <w:rPr>
        <w:noProof/>
      </w:rPr>
    </w:sdtEndPr>
    <w:sdtContent>
      <w:p w14:paraId="6AF67510" w14:textId="7D8132B0" w:rsidR="00E317CE" w:rsidRDefault="00E317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D6D394" w14:textId="77777777" w:rsidR="00E317CE" w:rsidRDefault="00E31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65F0" w14:textId="77777777" w:rsidR="00E317CE" w:rsidRDefault="00E31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FCE4" w14:textId="77777777" w:rsidR="00A15619" w:rsidRDefault="00A15619" w:rsidP="00E317CE">
      <w:r>
        <w:separator/>
      </w:r>
    </w:p>
  </w:footnote>
  <w:footnote w:type="continuationSeparator" w:id="0">
    <w:p w14:paraId="37C854EF" w14:textId="77777777" w:rsidR="00A15619" w:rsidRDefault="00A15619" w:rsidP="00E317CE">
      <w:r>
        <w:continuationSeparator/>
      </w:r>
    </w:p>
  </w:footnote>
  <w:footnote w:type="continuationNotice" w:id="1">
    <w:p w14:paraId="12B748EF" w14:textId="77777777" w:rsidR="00A15619" w:rsidRDefault="00A15619"/>
  </w:footnote>
  <w:footnote w:id="2">
    <w:p w14:paraId="1D3780FC" w14:textId="77F6CE1B" w:rsidR="00035B6D" w:rsidRPr="002C56B3" w:rsidRDefault="00035B6D">
      <w:pPr>
        <w:pStyle w:val="FootnoteText"/>
        <w:rPr>
          <w:lang w:val="sv-SE"/>
        </w:rPr>
      </w:pPr>
      <w:r>
        <w:rPr>
          <w:rStyle w:val="FootnoteReference"/>
        </w:rPr>
        <w:footnoteRef/>
      </w:r>
      <w:r w:rsidRPr="002C56B3">
        <w:rPr>
          <w:lang w:val="sv-SE"/>
        </w:rPr>
        <w:t xml:space="preserve"> </w:t>
      </w:r>
      <w:hyperlink r:id="rId1" w:anchor="legal-documents" w:history="1">
        <w:r w:rsidRPr="002C56B3">
          <w:rPr>
            <w:rStyle w:val="Hyperlink"/>
            <w:lang w:val="sv-SE"/>
          </w:rPr>
          <w:t>EU budget 2028-2034</w:t>
        </w:r>
      </w:hyperlink>
      <w:r w:rsidRPr="002C56B3">
        <w:rPr>
          <w:lang w:val="sv-SE"/>
        </w:rPr>
        <w:t>: https://commission.europa.eu/strategy-and-policy/eu-budget/long-term-eu-budget/eu-budget-2028-2034_en#legal-documents</w:t>
      </w:r>
    </w:p>
  </w:footnote>
  <w:footnote w:id="3">
    <w:p w14:paraId="6E93FCD1" w14:textId="2F1B6955" w:rsidR="15D034B5" w:rsidRPr="002C56B3" w:rsidRDefault="15D034B5">
      <w:pPr>
        <w:rPr>
          <w:lang w:val="sv-SE"/>
        </w:rPr>
      </w:pPr>
      <w:r w:rsidRPr="15D034B5">
        <w:rPr>
          <w:rStyle w:val="FootnoteReference"/>
        </w:rPr>
        <w:footnoteRef/>
      </w:r>
      <w:r w:rsidR="36A54B22" w:rsidRPr="002C56B3">
        <w:rPr>
          <w:lang w:val="sv-SE"/>
        </w:rPr>
        <w:t xml:space="preserve"> https://www.acer.europa.eu/sites/default/files/documents/Reports/2025-ACER-Electricity-Network-Tariff-Practices.pdf</w:t>
      </w:r>
    </w:p>
  </w:footnote>
  <w:footnote w:id="4">
    <w:p w14:paraId="50C0F127" w14:textId="589C7884" w:rsidR="00430B0C" w:rsidRPr="00270FC2" w:rsidRDefault="00430B0C">
      <w:pPr>
        <w:pStyle w:val="FootnoteText"/>
        <w:rPr>
          <w:lang w:val="en-IE"/>
        </w:rPr>
      </w:pPr>
      <w:r>
        <w:rPr>
          <w:rStyle w:val="FootnoteReference"/>
        </w:rPr>
        <w:footnoteRef/>
      </w:r>
      <w:r>
        <w:t xml:space="preserve"> </w:t>
      </w:r>
      <w:r w:rsidR="000C3FE9">
        <w:t xml:space="preserve">Directives </w:t>
      </w:r>
      <w:r w:rsidRPr="0060439D">
        <w:rPr>
          <w:rFonts w:eastAsia="Aptos"/>
          <w:sz w:val="24"/>
          <w:szCs w:val="24"/>
          <w:lang w:val="en-IE"/>
        </w:rPr>
        <w:t>2014/23/EU, 2014/24/EU</w:t>
      </w:r>
      <w:r>
        <w:rPr>
          <w:rFonts w:eastAsia="Aptos"/>
          <w:sz w:val="24"/>
          <w:szCs w:val="24"/>
          <w:lang w:val="en-IE"/>
        </w:rPr>
        <w:t>,</w:t>
      </w:r>
      <w:r w:rsidRPr="0060439D">
        <w:rPr>
          <w:rFonts w:eastAsia="Aptos"/>
          <w:sz w:val="24"/>
          <w:szCs w:val="24"/>
          <w:lang w:val="en-IE"/>
        </w:rPr>
        <w:t xml:space="preserve"> 2014/25/EU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8305" w14:textId="77777777" w:rsidR="00E317CE" w:rsidRDefault="00E31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9C2B" w14:textId="77777777" w:rsidR="00E317CE" w:rsidRDefault="00E31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6640" w14:textId="77777777" w:rsidR="00E317CE" w:rsidRDefault="00E31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0EF"/>
    <w:multiLevelType w:val="hybridMultilevel"/>
    <w:tmpl w:val="888856A4"/>
    <w:lvl w:ilvl="0" w:tplc="A4909606">
      <w:start w:val="1"/>
      <w:numFmt w:val="decimal"/>
      <w:lvlText w:val="%1."/>
      <w:lvlJc w:val="left"/>
      <w:pPr>
        <w:ind w:left="720" w:hanging="360"/>
      </w:pPr>
      <w:rPr>
        <w:b/>
        <w:bCs/>
      </w:rPr>
    </w:lvl>
    <w:lvl w:ilvl="1" w:tplc="0C00001B">
      <w:start w:val="1"/>
      <w:numFmt w:val="lowerRoman"/>
      <w:lvlText w:val="%2."/>
      <w:lvlJc w:val="right"/>
      <w:pPr>
        <w:ind w:left="1440" w:hanging="360"/>
      </w:pPr>
    </w:lvl>
    <w:lvl w:ilvl="2" w:tplc="0C000019">
      <w:start w:val="1"/>
      <w:numFmt w:val="lowerLetter"/>
      <w:lvlText w:val="%3."/>
      <w:lvlJc w:val="left"/>
      <w:pPr>
        <w:ind w:left="2340" w:hanging="36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 w15:restartNumberingAfterBreak="0">
    <w:nsid w:val="0EA9144D"/>
    <w:multiLevelType w:val="hybridMultilevel"/>
    <w:tmpl w:val="46AA3A10"/>
    <w:lvl w:ilvl="0" w:tplc="0407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E7664D"/>
    <w:multiLevelType w:val="hybridMultilevel"/>
    <w:tmpl w:val="09B4BE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A70F09"/>
    <w:multiLevelType w:val="hybridMultilevel"/>
    <w:tmpl w:val="201047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D0448E"/>
    <w:multiLevelType w:val="hybridMultilevel"/>
    <w:tmpl w:val="9D3466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FDE07CE"/>
    <w:multiLevelType w:val="hybridMultilevel"/>
    <w:tmpl w:val="8B5248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5C6119"/>
    <w:multiLevelType w:val="hybridMultilevel"/>
    <w:tmpl w:val="75F6CB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B060321"/>
    <w:multiLevelType w:val="hybridMultilevel"/>
    <w:tmpl w:val="5E8C82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E2557FA"/>
    <w:multiLevelType w:val="hybridMultilevel"/>
    <w:tmpl w:val="2A045D0C"/>
    <w:lvl w:ilvl="0" w:tplc="1809000F">
      <w:start w:val="1"/>
      <w:numFmt w:val="decimal"/>
      <w:lvlText w:val="%1."/>
      <w:lvlJc w:val="left"/>
      <w:pPr>
        <w:ind w:left="144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402654DA"/>
    <w:multiLevelType w:val="hybridMultilevel"/>
    <w:tmpl w:val="FFFFFFFF"/>
    <w:lvl w:ilvl="0" w:tplc="C37A9658">
      <w:start w:val="1"/>
      <w:numFmt w:val="bullet"/>
      <w:lvlText w:val="-"/>
      <w:lvlJc w:val="left"/>
      <w:pPr>
        <w:ind w:left="720" w:hanging="360"/>
      </w:pPr>
      <w:rPr>
        <w:rFonts w:ascii="Aptos" w:hAnsi="Aptos" w:hint="default"/>
      </w:rPr>
    </w:lvl>
    <w:lvl w:ilvl="1" w:tplc="225C6824">
      <w:start w:val="1"/>
      <w:numFmt w:val="bullet"/>
      <w:lvlText w:val="o"/>
      <w:lvlJc w:val="left"/>
      <w:pPr>
        <w:ind w:left="1440" w:hanging="360"/>
      </w:pPr>
      <w:rPr>
        <w:rFonts w:ascii="Courier New" w:hAnsi="Courier New" w:hint="default"/>
      </w:rPr>
    </w:lvl>
    <w:lvl w:ilvl="2" w:tplc="8D3E0C6E">
      <w:start w:val="1"/>
      <w:numFmt w:val="bullet"/>
      <w:lvlText w:val=""/>
      <w:lvlJc w:val="left"/>
      <w:pPr>
        <w:ind w:left="2160" w:hanging="360"/>
      </w:pPr>
      <w:rPr>
        <w:rFonts w:ascii="Wingdings" w:hAnsi="Wingdings" w:hint="default"/>
      </w:rPr>
    </w:lvl>
    <w:lvl w:ilvl="3" w:tplc="2A2AF5B4">
      <w:start w:val="1"/>
      <w:numFmt w:val="bullet"/>
      <w:lvlText w:val=""/>
      <w:lvlJc w:val="left"/>
      <w:pPr>
        <w:ind w:left="2880" w:hanging="360"/>
      </w:pPr>
      <w:rPr>
        <w:rFonts w:ascii="Symbol" w:hAnsi="Symbol" w:hint="default"/>
      </w:rPr>
    </w:lvl>
    <w:lvl w:ilvl="4" w:tplc="8C8ECB12">
      <w:start w:val="1"/>
      <w:numFmt w:val="bullet"/>
      <w:lvlText w:val="o"/>
      <w:lvlJc w:val="left"/>
      <w:pPr>
        <w:ind w:left="3600" w:hanging="360"/>
      </w:pPr>
      <w:rPr>
        <w:rFonts w:ascii="Courier New" w:hAnsi="Courier New" w:hint="default"/>
      </w:rPr>
    </w:lvl>
    <w:lvl w:ilvl="5" w:tplc="E5A6D528">
      <w:start w:val="1"/>
      <w:numFmt w:val="bullet"/>
      <w:lvlText w:val=""/>
      <w:lvlJc w:val="left"/>
      <w:pPr>
        <w:ind w:left="4320" w:hanging="360"/>
      </w:pPr>
      <w:rPr>
        <w:rFonts w:ascii="Wingdings" w:hAnsi="Wingdings" w:hint="default"/>
      </w:rPr>
    </w:lvl>
    <w:lvl w:ilvl="6" w:tplc="21949ADC">
      <w:start w:val="1"/>
      <w:numFmt w:val="bullet"/>
      <w:lvlText w:val=""/>
      <w:lvlJc w:val="left"/>
      <w:pPr>
        <w:ind w:left="5040" w:hanging="360"/>
      </w:pPr>
      <w:rPr>
        <w:rFonts w:ascii="Symbol" w:hAnsi="Symbol" w:hint="default"/>
      </w:rPr>
    </w:lvl>
    <w:lvl w:ilvl="7" w:tplc="5DB694C2">
      <w:start w:val="1"/>
      <w:numFmt w:val="bullet"/>
      <w:lvlText w:val="o"/>
      <w:lvlJc w:val="left"/>
      <w:pPr>
        <w:ind w:left="5760" w:hanging="360"/>
      </w:pPr>
      <w:rPr>
        <w:rFonts w:ascii="Courier New" w:hAnsi="Courier New" w:hint="default"/>
      </w:rPr>
    </w:lvl>
    <w:lvl w:ilvl="8" w:tplc="7542C354">
      <w:start w:val="1"/>
      <w:numFmt w:val="bullet"/>
      <w:lvlText w:val=""/>
      <w:lvlJc w:val="left"/>
      <w:pPr>
        <w:ind w:left="6480" w:hanging="360"/>
      </w:pPr>
      <w:rPr>
        <w:rFonts w:ascii="Wingdings" w:hAnsi="Wingdings" w:hint="default"/>
      </w:rPr>
    </w:lvl>
  </w:abstractNum>
  <w:abstractNum w:abstractNumId="1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1" w15:restartNumberingAfterBreak="0">
    <w:nsid w:val="4F1347DB"/>
    <w:multiLevelType w:val="hybridMultilevel"/>
    <w:tmpl w:val="7EA4D92C"/>
    <w:lvl w:ilvl="0" w:tplc="1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26A661E"/>
    <w:multiLevelType w:val="hybridMultilevel"/>
    <w:tmpl w:val="D408AE2E"/>
    <w:lvl w:ilvl="0" w:tplc="50380E4C">
      <w:start w:val="5"/>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598918A7"/>
    <w:multiLevelType w:val="hybridMultilevel"/>
    <w:tmpl w:val="CAC2EB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351951"/>
    <w:multiLevelType w:val="hybridMultilevel"/>
    <w:tmpl w:val="996AEC02"/>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43533799">
    <w:abstractNumId w:val="9"/>
  </w:num>
  <w:num w:numId="2" w16cid:durableId="1322079617">
    <w:abstractNumId w:val="10"/>
  </w:num>
  <w:num w:numId="3" w16cid:durableId="478038001">
    <w:abstractNumId w:val="4"/>
  </w:num>
  <w:num w:numId="4" w16cid:durableId="1651396947">
    <w:abstractNumId w:val="5"/>
  </w:num>
  <w:num w:numId="5" w16cid:durableId="1326978720">
    <w:abstractNumId w:val="11"/>
  </w:num>
  <w:num w:numId="6" w16cid:durableId="514077307">
    <w:abstractNumId w:val="13"/>
  </w:num>
  <w:num w:numId="7" w16cid:durableId="1181353975">
    <w:abstractNumId w:val="8"/>
  </w:num>
  <w:num w:numId="8" w16cid:durableId="505093384">
    <w:abstractNumId w:val="14"/>
  </w:num>
  <w:num w:numId="9" w16cid:durableId="1183786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0146686">
    <w:abstractNumId w:val="12"/>
  </w:num>
  <w:num w:numId="11" w16cid:durableId="1259100163">
    <w:abstractNumId w:val="7"/>
  </w:num>
  <w:num w:numId="12" w16cid:durableId="1651056672">
    <w:abstractNumId w:val="3"/>
  </w:num>
  <w:num w:numId="13" w16cid:durableId="1655337011">
    <w:abstractNumId w:val="6"/>
  </w:num>
  <w:num w:numId="14" w16cid:durableId="85656809">
    <w:abstractNumId w:val="2"/>
  </w:num>
  <w:num w:numId="15" w16cid:durableId="73932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C392C"/>
    <w:rsid w:val="00002587"/>
    <w:rsid w:val="00002C4D"/>
    <w:rsid w:val="0000604C"/>
    <w:rsid w:val="00006326"/>
    <w:rsid w:val="00007F1A"/>
    <w:rsid w:val="00011382"/>
    <w:rsid w:val="00012481"/>
    <w:rsid w:val="00012835"/>
    <w:rsid w:val="00012C89"/>
    <w:rsid w:val="00013153"/>
    <w:rsid w:val="00013995"/>
    <w:rsid w:val="00015ED7"/>
    <w:rsid w:val="0001646D"/>
    <w:rsid w:val="00016772"/>
    <w:rsid w:val="00016973"/>
    <w:rsid w:val="0001763B"/>
    <w:rsid w:val="00020F42"/>
    <w:rsid w:val="00021C01"/>
    <w:rsid w:val="000228F9"/>
    <w:rsid w:val="00022DC8"/>
    <w:rsid w:val="0002373E"/>
    <w:rsid w:val="00023A92"/>
    <w:rsid w:val="00023BB1"/>
    <w:rsid w:val="00024549"/>
    <w:rsid w:val="00025068"/>
    <w:rsid w:val="000253CA"/>
    <w:rsid w:val="00026A92"/>
    <w:rsid w:val="00026D2A"/>
    <w:rsid w:val="000319D4"/>
    <w:rsid w:val="00032463"/>
    <w:rsid w:val="000339C9"/>
    <w:rsid w:val="00033B7A"/>
    <w:rsid w:val="00033EA8"/>
    <w:rsid w:val="00034F0E"/>
    <w:rsid w:val="00035B6D"/>
    <w:rsid w:val="00035CB0"/>
    <w:rsid w:val="000361F2"/>
    <w:rsid w:val="00036944"/>
    <w:rsid w:val="00036CFD"/>
    <w:rsid w:val="00036E44"/>
    <w:rsid w:val="000403D9"/>
    <w:rsid w:val="000422B1"/>
    <w:rsid w:val="00042988"/>
    <w:rsid w:val="00045AE9"/>
    <w:rsid w:val="00046601"/>
    <w:rsid w:val="00046618"/>
    <w:rsid w:val="000466BC"/>
    <w:rsid w:val="00046943"/>
    <w:rsid w:val="0004725F"/>
    <w:rsid w:val="00047306"/>
    <w:rsid w:val="00050183"/>
    <w:rsid w:val="00050FDB"/>
    <w:rsid w:val="0005218A"/>
    <w:rsid w:val="000528EA"/>
    <w:rsid w:val="00052943"/>
    <w:rsid w:val="00052990"/>
    <w:rsid w:val="00053875"/>
    <w:rsid w:val="0005452F"/>
    <w:rsid w:val="000554CA"/>
    <w:rsid w:val="00056531"/>
    <w:rsid w:val="00057B42"/>
    <w:rsid w:val="00063278"/>
    <w:rsid w:val="00063344"/>
    <w:rsid w:val="000637FB"/>
    <w:rsid w:val="00064E86"/>
    <w:rsid w:val="0006574E"/>
    <w:rsid w:val="00067467"/>
    <w:rsid w:val="0006751A"/>
    <w:rsid w:val="00067E11"/>
    <w:rsid w:val="00071269"/>
    <w:rsid w:val="00074966"/>
    <w:rsid w:val="00075195"/>
    <w:rsid w:val="00076222"/>
    <w:rsid w:val="00080B0D"/>
    <w:rsid w:val="00080EDC"/>
    <w:rsid w:val="00081373"/>
    <w:rsid w:val="0008169B"/>
    <w:rsid w:val="00084097"/>
    <w:rsid w:val="000863AC"/>
    <w:rsid w:val="000903FF"/>
    <w:rsid w:val="00090790"/>
    <w:rsid w:val="000920E6"/>
    <w:rsid w:val="0009214F"/>
    <w:rsid w:val="00092E05"/>
    <w:rsid w:val="00093F40"/>
    <w:rsid w:val="00094838"/>
    <w:rsid w:val="000959EC"/>
    <w:rsid w:val="00095CEC"/>
    <w:rsid w:val="00095E2F"/>
    <w:rsid w:val="0009604D"/>
    <w:rsid w:val="000968E9"/>
    <w:rsid w:val="000977B5"/>
    <w:rsid w:val="000A2EEA"/>
    <w:rsid w:val="000A3103"/>
    <w:rsid w:val="000A3592"/>
    <w:rsid w:val="000A3F5E"/>
    <w:rsid w:val="000A43FF"/>
    <w:rsid w:val="000A55B0"/>
    <w:rsid w:val="000A5877"/>
    <w:rsid w:val="000A5FB3"/>
    <w:rsid w:val="000B0877"/>
    <w:rsid w:val="000B158E"/>
    <w:rsid w:val="000B2056"/>
    <w:rsid w:val="000B2774"/>
    <w:rsid w:val="000B2D22"/>
    <w:rsid w:val="000B4E2C"/>
    <w:rsid w:val="000B505A"/>
    <w:rsid w:val="000B5DBD"/>
    <w:rsid w:val="000B6D2F"/>
    <w:rsid w:val="000B7184"/>
    <w:rsid w:val="000B72CD"/>
    <w:rsid w:val="000B7E39"/>
    <w:rsid w:val="000C00F3"/>
    <w:rsid w:val="000C10E1"/>
    <w:rsid w:val="000C3FE9"/>
    <w:rsid w:val="000C4BA4"/>
    <w:rsid w:val="000C5A01"/>
    <w:rsid w:val="000C72B1"/>
    <w:rsid w:val="000D00DA"/>
    <w:rsid w:val="000D02EB"/>
    <w:rsid w:val="000D1386"/>
    <w:rsid w:val="000D14FA"/>
    <w:rsid w:val="000D17D5"/>
    <w:rsid w:val="000D1B2E"/>
    <w:rsid w:val="000D1B3D"/>
    <w:rsid w:val="000D1D05"/>
    <w:rsid w:val="000D2848"/>
    <w:rsid w:val="000D2F70"/>
    <w:rsid w:val="000D416A"/>
    <w:rsid w:val="000D41D6"/>
    <w:rsid w:val="000D589B"/>
    <w:rsid w:val="000D58FA"/>
    <w:rsid w:val="000D5BA5"/>
    <w:rsid w:val="000D6EE9"/>
    <w:rsid w:val="000D77B7"/>
    <w:rsid w:val="000E0A3D"/>
    <w:rsid w:val="000E0BDC"/>
    <w:rsid w:val="000E11CE"/>
    <w:rsid w:val="000E12F5"/>
    <w:rsid w:val="000E1345"/>
    <w:rsid w:val="000E2C35"/>
    <w:rsid w:val="000E382D"/>
    <w:rsid w:val="000E42EB"/>
    <w:rsid w:val="000E5439"/>
    <w:rsid w:val="000E6395"/>
    <w:rsid w:val="000E653E"/>
    <w:rsid w:val="000E6BBA"/>
    <w:rsid w:val="000E6EAC"/>
    <w:rsid w:val="000E7974"/>
    <w:rsid w:val="000F136C"/>
    <w:rsid w:val="000F165D"/>
    <w:rsid w:val="000F1907"/>
    <w:rsid w:val="000F34F7"/>
    <w:rsid w:val="000F4134"/>
    <w:rsid w:val="000F5B99"/>
    <w:rsid w:val="000F6A77"/>
    <w:rsid w:val="000F70EC"/>
    <w:rsid w:val="0010067E"/>
    <w:rsid w:val="00101461"/>
    <w:rsid w:val="00101D92"/>
    <w:rsid w:val="0010247F"/>
    <w:rsid w:val="0010268E"/>
    <w:rsid w:val="00102DED"/>
    <w:rsid w:val="00103284"/>
    <w:rsid w:val="001034E3"/>
    <w:rsid w:val="00103676"/>
    <w:rsid w:val="001049CD"/>
    <w:rsid w:val="00105264"/>
    <w:rsid w:val="00107CBD"/>
    <w:rsid w:val="001100FD"/>
    <w:rsid w:val="00110DA3"/>
    <w:rsid w:val="00110E7D"/>
    <w:rsid w:val="00111491"/>
    <w:rsid w:val="001116D5"/>
    <w:rsid w:val="001127DC"/>
    <w:rsid w:val="00112D0F"/>
    <w:rsid w:val="00114478"/>
    <w:rsid w:val="0011458E"/>
    <w:rsid w:val="00114A64"/>
    <w:rsid w:val="001157E9"/>
    <w:rsid w:val="00115F73"/>
    <w:rsid w:val="001168FE"/>
    <w:rsid w:val="00116E92"/>
    <w:rsid w:val="00121CDE"/>
    <w:rsid w:val="00121EBD"/>
    <w:rsid w:val="001234A9"/>
    <w:rsid w:val="0012352D"/>
    <w:rsid w:val="001236A3"/>
    <w:rsid w:val="001237C9"/>
    <w:rsid w:val="00124C58"/>
    <w:rsid w:val="00126870"/>
    <w:rsid w:val="001268FC"/>
    <w:rsid w:val="00126934"/>
    <w:rsid w:val="00127FDE"/>
    <w:rsid w:val="00130266"/>
    <w:rsid w:val="00132A72"/>
    <w:rsid w:val="001330A3"/>
    <w:rsid w:val="001343F4"/>
    <w:rsid w:val="001351FA"/>
    <w:rsid w:val="00136414"/>
    <w:rsid w:val="00136CE8"/>
    <w:rsid w:val="00137D6E"/>
    <w:rsid w:val="00137E28"/>
    <w:rsid w:val="001405FE"/>
    <w:rsid w:val="0014068E"/>
    <w:rsid w:val="00140F6C"/>
    <w:rsid w:val="001422E2"/>
    <w:rsid w:val="001424CA"/>
    <w:rsid w:val="00142B1C"/>
    <w:rsid w:val="001438CE"/>
    <w:rsid w:val="00143E00"/>
    <w:rsid w:val="00144CA3"/>
    <w:rsid w:val="00145073"/>
    <w:rsid w:val="00145D1D"/>
    <w:rsid w:val="00145F4B"/>
    <w:rsid w:val="001464CA"/>
    <w:rsid w:val="00147461"/>
    <w:rsid w:val="00150429"/>
    <w:rsid w:val="00151BCA"/>
    <w:rsid w:val="00151D4C"/>
    <w:rsid w:val="00152E55"/>
    <w:rsid w:val="0015327D"/>
    <w:rsid w:val="0015458A"/>
    <w:rsid w:val="00155399"/>
    <w:rsid w:val="001563E7"/>
    <w:rsid w:val="00156CCE"/>
    <w:rsid w:val="001579EB"/>
    <w:rsid w:val="00157D7F"/>
    <w:rsid w:val="00160484"/>
    <w:rsid w:val="001608A5"/>
    <w:rsid w:val="001613B9"/>
    <w:rsid w:val="00161AE8"/>
    <w:rsid w:val="0016280D"/>
    <w:rsid w:val="00163F1C"/>
    <w:rsid w:val="00165304"/>
    <w:rsid w:val="00165606"/>
    <w:rsid w:val="001656CC"/>
    <w:rsid w:val="001656DA"/>
    <w:rsid w:val="00165BB5"/>
    <w:rsid w:val="001663BC"/>
    <w:rsid w:val="00166424"/>
    <w:rsid w:val="001668D7"/>
    <w:rsid w:val="0016716C"/>
    <w:rsid w:val="001679F9"/>
    <w:rsid w:val="00167E94"/>
    <w:rsid w:val="00170881"/>
    <w:rsid w:val="001719DF"/>
    <w:rsid w:val="00172D52"/>
    <w:rsid w:val="00172FB1"/>
    <w:rsid w:val="001731EE"/>
    <w:rsid w:val="00173E73"/>
    <w:rsid w:val="001748E0"/>
    <w:rsid w:val="00174C6E"/>
    <w:rsid w:val="00175AB8"/>
    <w:rsid w:val="001762E6"/>
    <w:rsid w:val="00176742"/>
    <w:rsid w:val="00180310"/>
    <w:rsid w:val="00180570"/>
    <w:rsid w:val="00180806"/>
    <w:rsid w:val="00180C72"/>
    <w:rsid w:val="00180F2A"/>
    <w:rsid w:val="00181009"/>
    <w:rsid w:val="00182F56"/>
    <w:rsid w:val="0018334B"/>
    <w:rsid w:val="00183353"/>
    <w:rsid w:val="00183C77"/>
    <w:rsid w:val="0018487F"/>
    <w:rsid w:val="00184A29"/>
    <w:rsid w:val="00184BB1"/>
    <w:rsid w:val="00184FDA"/>
    <w:rsid w:val="00185469"/>
    <w:rsid w:val="00186587"/>
    <w:rsid w:val="00186DA4"/>
    <w:rsid w:val="00190A94"/>
    <w:rsid w:val="001914FA"/>
    <w:rsid w:val="00191B5D"/>
    <w:rsid w:val="00193876"/>
    <w:rsid w:val="00194109"/>
    <w:rsid w:val="001947C3"/>
    <w:rsid w:val="001957A8"/>
    <w:rsid w:val="00195985"/>
    <w:rsid w:val="00196005"/>
    <w:rsid w:val="0019692A"/>
    <w:rsid w:val="001970A8"/>
    <w:rsid w:val="001974ED"/>
    <w:rsid w:val="001A03ED"/>
    <w:rsid w:val="001A1968"/>
    <w:rsid w:val="001A2D08"/>
    <w:rsid w:val="001A3182"/>
    <w:rsid w:val="001A4169"/>
    <w:rsid w:val="001A59C9"/>
    <w:rsid w:val="001A5D14"/>
    <w:rsid w:val="001A63B2"/>
    <w:rsid w:val="001A6738"/>
    <w:rsid w:val="001A73B3"/>
    <w:rsid w:val="001A772B"/>
    <w:rsid w:val="001A7B66"/>
    <w:rsid w:val="001B01FD"/>
    <w:rsid w:val="001B2072"/>
    <w:rsid w:val="001B2BAA"/>
    <w:rsid w:val="001B3876"/>
    <w:rsid w:val="001B39D8"/>
    <w:rsid w:val="001B42A0"/>
    <w:rsid w:val="001B47EB"/>
    <w:rsid w:val="001B68F3"/>
    <w:rsid w:val="001B6952"/>
    <w:rsid w:val="001B74D6"/>
    <w:rsid w:val="001B7CC1"/>
    <w:rsid w:val="001C021C"/>
    <w:rsid w:val="001C0794"/>
    <w:rsid w:val="001C37B2"/>
    <w:rsid w:val="001C3C4D"/>
    <w:rsid w:val="001C3DB1"/>
    <w:rsid w:val="001C465F"/>
    <w:rsid w:val="001C497B"/>
    <w:rsid w:val="001C4D6C"/>
    <w:rsid w:val="001C4DD3"/>
    <w:rsid w:val="001C61CE"/>
    <w:rsid w:val="001C6FBB"/>
    <w:rsid w:val="001C769A"/>
    <w:rsid w:val="001D1AC0"/>
    <w:rsid w:val="001D2654"/>
    <w:rsid w:val="001D4D81"/>
    <w:rsid w:val="001D619D"/>
    <w:rsid w:val="001D6AE4"/>
    <w:rsid w:val="001D71B8"/>
    <w:rsid w:val="001E0DDC"/>
    <w:rsid w:val="001E10C6"/>
    <w:rsid w:val="001E147E"/>
    <w:rsid w:val="001E14C0"/>
    <w:rsid w:val="001E1759"/>
    <w:rsid w:val="001E2649"/>
    <w:rsid w:val="001E31C1"/>
    <w:rsid w:val="001E36EF"/>
    <w:rsid w:val="001E3775"/>
    <w:rsid w:val="001E412E"/>
    <w:rsid w:val="001E42C3"/>
    <w:rsid w:val="001E5071"/>
    <w:rsid w:val="001E597F"/>
    <w:rsid w:val="001E5AC6"/>
    <w:rsid w:val="001E64C7"/>
    <w:rsid w:val="001E7117"/>
    <w:rsid w:val="001E7AC3"/>
    <w:rsid w:val="001F092E"/>
    <w:rsid w:val="001F218C"/>
    <w:rsid w:val="001F2884"/>
    <w:rsid w:val="001F43E1"/>
    <w:rsid w:val="001F5B53"/>
    <w:rsid w:val="001F6330"/>
    <w:rsid w:val="001F64E1"/>
    <w:rsid w:val="001F69A5"/>
    <w:rsid w:val="001F7137"/>
    <w:rsid w:val="001F7811"/>
    <w:rsid w:val="00200596"/>
    <w:rsid w:val="002014EE"/>
    <w:rsid w:val="00201B5D"/>
    <w:rsid w:val="002024DB"/>
    <w:rsid w:val="00202EAE"/>
    <w:rsid w:val="00204145"/>
    <w:rsid w:val="00204DF8"/>
    <w:rsid w:val="00204F4D"/>
    <w:rsid w:val="00205207"/>
    <w:rsid w:val="0020740E"/>
    <w:rsid w:val="00207FDE"/>
    <w:rsid w:val="00210AE8"/>
    <w:rsid w:val="00210B71"/>
    <w:rsid w:val="00210D79"/>
    <w:rsid w:val="002154EB"/>
    <w:rsid w:val="00215832"/>
    <w:rsid w:val="00215EFA"/>
    <w:rsid w:val="00216505"/>
    <w:rsid w:val="00217AE6"/>
    <w:rsid w:val="0022109B"/>
    <w:rsid w:val="00221A66"/>
    <w:rsid w:val="00222261"/>
    <w:rsid w:val="002229CE"/>
    <w:rsid w:val="002237B8"/>
    <w:rsid w:val="0022471E"/>
    <w:rsid w:val="0022475A"/>
    <w:rsid w:val="00224E35"/>
    <w:rsid w:val="00224F18"/>
    <w:rsid w:val="00225A30"/>
    <w:rsid w:val="00225A97"/>
    <w:rsid w:val="00225CA2"/>
    <w:rsid w:val="00227722"/>
    <w:rsid w:val="00227BA0"/>
    <w:rsid w:val="00227D9E"/>
    <w:rsid w:val="00230001"/>
    <w:rsid w:val="00230260"/>
    <w:rsid w:val="002313C0"/>
    <w:rsid w:val="0023173C"/>
    <w:rsid w:val="0023189D"/>
    <w:rsid w:val="0023216B"/>
    <w:rsid w:val="00233440"/>
    <w:rsid w:val="00234F9E"/>
    <w:rsid w:val="0023551D"/>
    <w:rsid w:val="0023605B"/>
    <w:rsid w:val="002361E5"/>
    <w:rsid w:val="00236A3C"/>
    <w:rsid w:val="00236A80"/>
    <w:rsid w:val="00236E01"/>
    <w:rsid w:val="00237962"/>
    <w:rsid w:val="00240304"/>
    <w:rsid w:val="00240AFF"/>
    <w:rsid w:val="00242358"/>
    <w:rsid w:val="0024242C"/>
    <w:rsid w:val="002437DE"/>
    <w:rsid w:val="00243842"/>
    <w:rsid w:val="002444EA"/>
    <w:rsid w:val="002446DA"/>
    <w:rsid w:val="00245208"/>
    <w:rsid w:val="00245308"/>
    <w:rsid w:val="00245B34"/>
    <w:rsid w:val="00245D0D"/>
    <w:rsid w:val="0025011F"/>
    <w:rsid w:val="00250215"/>
    <w:rsid w:val="00250A47"/>
    <w:rsid w:val="00250DF8"/>
    <w:rsid w:val="00252889"/>
    <w:rsid w:val="00252E40"/>
    <w:rsid w:val="00253E36"/>
    <w:rsid w:val="002542C2"/>
    <w:rsid w:val="0025480E"/>
    <w:rsid w:val="00254E54"/>
    <w:rsid w:val="00256F31"/>
    <w:rsid w:val="0025734E"/>
    <w:rsid w:val="0025746A"/>
    <w:rsid w:val="002575DE"/>
    <w:rsid w:val="00257EEA"/>
    <w:rsid w:val="00261583"/>
    <w:rsid w:val="0026332E"/>
    <w:rsid w:val="00263F74"/>
    <w:rsid w:val="00264D66"/>
    <w:rsid w:val="00265EC9"/>
    <w:rsid w:val="002663AE"/>
    <w:rsid w:val="00266C51"/>
    <w:rsid w:val="00266C66"/>
    <w:rsid w:val="00266E44"/>
    <w:rsid w:val="002671B3"/>
    <w:rsid w:val="002706B7"/>
    <w:rsid w:val="002706FD"/>
    <w:rsid w:val="00270FC2"/>
    <w:rsid w:val="00271BE9"/>
    <w:rsid w:val="00271F39"/>
    <w:rsid w:val="00272296"/>
    <w:rsid w:val="00272818"/>
    <w:rsid w:val="00273274"/>
    <w:rsid w:val="0027400A"/>
    <w:rsid w:val="00274611"/>
    <w:rsid w:val="00275284"/>
    <w:rsid w:val="00275D8E"/>
    <w:rsid w:val="00276D6C"/>
    <w:rsid w:val="002806B7"/>
    <w:rsid w:val="0028117E"/>
    <w:rsid w:val="00281342"/>
    <w:rsid w:val="00281D6A"/>
    <w:rsid w:val="00284723"/>
    <w:rsid w:val="0028504E"/>
    <w:rsid w:val="0028518C"/>
    <w:rsid w:val="00286543"/>
    <w:rsid w:val="0028675A"/>
    <w:rsid w:val="0028697C"/>
    <w:rsid w:val="00290BEC"/>
    <w:rsid w:val="00291308"/>
    <w:rsid w:val="00291DEE"/>
    <w:rsid w:val="00292458"/>
    <w:rsid w:val="00292FDE"/>
    <w:rsid w:val="00293495"/>
    <w:rsid w:val="002938A9"/>
    <w:rsid w:val="00294099"/>
    <w:rsid w:val="002946DA"/>
    <w:rsid w:val="00294BA5"/>
    <w:rsid w:val="00295ECB"/>
    <w:rsid w:val="002A135C"/>
    <w:rsid w:val="002A16C8"/>
    <w:rsid w:val="002A1B2D"/>
    <w:rsid w:val="002A31F6"/>
    <w:rsid w:val="002A347B"/>
    <w:rsid w:val="002A4BB7"/>
    <w:rsid w:val="002A4FE8"/>
    <w:rsid w:val="002A555F"/>
    <w:rsid w:val="002A58AE"/>
    <w:rsid w:val="002A6606"/>
    <w:rsid w:val="002A696F"/>
    <w:rsid w:val="002A6DBE"/>
    <w:rsid w:val="002B0541"/>
    <w:rsid w:val="002B0638"/>
    <w:rsid w:val="002B1341"/>
    <w:rsid w:val="002B1970"/>
    <w:rsid w:val="002B21E3"/>
    <w:rsid w:val="002B29B3"/>
    <w:rsid w:val="002B2B00"/>
    <w:rsid w:val="002B469A"/>
    <w:rsid w:val="002B509C"/>
    <w:rsid w:val="002B511E"/>
    <w:rsid w:val="002B5451"/>
    <w:rsid w:val="002B56FF"/>
    <w:rsid w:val="002B571E"/>
    <w:rsid w:val="002B59CB"/>
    <w:rsid w:val="002B64DB"/>
    <w:rsid w:val="002B69EF"/>
    <w:rsid w:val="002B6E8F"/>
    <w:rsid w:val="002B785E"/>
    <w:rsid w:val="002B7CB5"/>
    <w:rsid w:val="002C0D51"/>
    <w:rsid w:val="002C1D59"/>
    <w:rsid w:val="002C23B3"/>
    <w:rsid w:val="002C25CC"/>
    <w:rsid w:val="002C27C0"/>
    <w:rsid w:val="002C2968"/>
    <w:rsid w:val="002C4753"/>
    <w:rsid w:val="002C56B3"/>
    <w:rsid w:val="002C6EBF"/>
    <w:rsid w:val="002C78E5"/>
    <w:rsid w:val="002C7FB7"/>
    <w:rsid w:val="002D0992"/>
    <w:rsid w:val="002D0BC5"/>
    <w:rsid w:val="002D2258"/>
    <w:rsid w:val="002D3310"/>
    <w:rsid w:val="002D3D70"/>
    <w:rsid w:val="002D4241"/>
    <w:rsid w:val="002D42E9"/>
    <w:rsid w:val="002D4980"/>
    <w:rsid w:val="002D5ABA"/>
    <w:rsid w:val="002D60F0"/>
    <w:rsid w:val="002D7646"/>
    <w:rsid w:val="002D78A5"/>
    <w:rsid w:val="002D7BB5"/>
    <w:rsid w:val="002E09C5"/>
    <w:rsid w:val="002E0A36"/>
    <w:rsid w:val="002E0E1C"/>
    <w:rsid w:val="002E37D2"/>
    <w:rsid w:val="002E3A23"/>
    <w:rsid w:val="002E5374"/>
    <w:rsid w:val="002E5DE1"/>
    <w:rsid w:val="002E6B21"/>
    <w:rsid w:val="002E6D16"/>
    <w:rsid w:val="002E7478"/>
    <w:rsid w:val="002E7B4C"/>
    <w:rsid w:val="002F0B33"/>
    <w:rsid w:val="002F1337"/>
    <w:rsid w:val="002F209A"/>
    <w:rsid w:val="002F2880"/>
    <w:rsid w:val="002F2A00"/>
    <w:rsid w:val="002F2CBD"/>
    <w:rsid w:val="002F3779"/>
    <w:rsid w:val="002F54C4"/>
    <w:rsid w:val="002F7759"/>
    <w:rsid w:val="002F7BFD"/>
    <w:rsid w:val="0030066D"/>
    <w:rsid w:val="00300B28"/>
    <w:rsid w:val="00301452"/>
    <w:rsid w:val="00301D9B"/>
    <w:rsid w:val="003020D8"/>
    <w:rsid w:val="00302EB8"/>
    <w:rsid w:val="0030315D"/>
    <w:rsid w:val="003047F4"/>
    <w:rsid w:val="00304A53"/>
    <w:rsid w:val="00304DDF"/>
    <w:rsid w:val="00305B37"/>
    <w:rsid w:val="00305E35"/>
    <w:rsid w:val="00305E6C"/>
    <w:rsid w:val="00307618"/>
    <w:rsid w:val="0030787D"/>
    <w:rsid w:val="003111DA"/>
    <w:rsid w:val="00311A37"/>
    <w:rsid w:val="003145C9"/>
    <w:rsid w:val="003145E5"/>
    <w:rsid w:val="00315871"/>
    <w:rsid w:val="0031690C"/>
    <w:rsid w:val="003170ED"/>
    <w:rsid w:val="00317128"/>
    <w:rsid w:val="0031743B"/>
    <w:rsid w:val="00317830"/>
    <w:rsid w:val="0031798A"/>
    <w:rsid w:val="00320FA4"/>
    <w:rsid w:val="00322B97"/>
    <w:rsid w:val="00322BB2"/>
    <w:rsid w:val="00325534"/>
    <w:rsid w:val="00325795"/>
    <w:rsid w:val="00325AC3"/>
    <w:rsid w:val="00327056"/>
    <w:rsid w:val="00327439"/>
    <w:rsid w:val="003274BD"/>
    <w:rsid w:val="00330B89"/>
    <w:rsid w:val="00333A44"/>
    <w:rsid w:val="00333CDE"/>
    <w:rsid w:val="00333D10"/>
    <w:rsid w:val="0033445B"/>
    <w:rsid w:val="003345D4"/>
    <w:rsid w:val="00335612"/>
    <w:rsid w:val="0033674A"/>
    <w:rsid w:val="00337B8F"/>
    <w:rsid w:val="003401EE"/>
    <w:rsid w:val="0034120D"/>
    <w:rsid w:val="0034176C"/>
    <w:rsid w:val="00341B5A"/>
    <w:rsid w:val="00342D43"/>
    <w:rsid w:val="003436D1"/>
    <w:rsid w:val="003438A8"/>
    <w:rsid w:val="00344527"/>
    <w:rsid w:val="0034560C"/>
    <w:rsid w:val="00345AFB"/>
    <w:rsid w:val="00346816"/>
    <w:rsid w:val="00346C8F"/>
    <w:rsid w:val="00346E54"/>
    <w:rsid w:val="00347900"/>
    <w:rsid w:val="0035135D"/>
    <w:rsid w:val="00351631"/>
    <w:rsid w:val="00352C3B"/>
    <w:rsid w:val="003532AD"/>
    <w:rsid w:val="003543C9"/>
    <w:rsid w:val="003546CF"/>
    <w:rsid w:val="00354BCA"/>
    <w:rsid w:val="00354E46"/>
    <w:rsid w:val="00355F52"/>
    <w:rsid w:val="00356AC8"/>
    <w:rsid w:val="00356B13"/>
    <w:rsid w:val="0035745B"/>
    <w:rsid w:val="00357776"/>
    <w:rsid w:val="00362344"/>
    <w:rsid w:val="00363A8A"/>
    <w:rsid w:val="00364445"/>
    <w:rsid w:val="00364967"/>
    <w:rsid w:val="00364A81"/>
    <w:rsid w:val="00365C8F"/>
    <w:rsid w:val="00367495"/>
    <w:rsid w:val="00367746"/>
    <w:rsid w:val="003710DA"/>
    <w:rsid w:val="0037161E"/>
    <w:rsid w:val="00371AB5"/>
    <w:rsid w:val="00371F6C"/>
    <w:rsid w:val="00372124"/>
    <w:rsid w:val="00372E3F"/>
    <w:rsid w:val="00373282"/>
    <w:rsid w:val="00374502"/>
    <w:rsid w:val="00374FD6"/>
    <w:rsid w:val="00375C0B"/>
    <w:rsid w:val="00376AB6"/>
    <w:rsid w:val="00376CA3"/>
    <w:rsid w:val="00376F4D"/>
    <w:rsid w:val="003771F5"/>
    <w:rsid w:val="003777CC"/>
    <w:rsid w:val="00381BF9"/>
    <w:rsid w:val="00383191"/>
    <w:rsid w:val="003832F3"/>
    <w:rsid w:val="00384A06"/>
    <w:rsid w:val="00384F67"/>
    <w:rsid w:val="00385C0C"/>
    <w:rsid w:val="00385C8D"/>
    <w:rsid w:val="003863F0"/>
    <w:rsid w:val="00386A6B"/>
    <w:rsid w:val="00386E56"/>
    <w:rsid w:val="00390133"/>
    <w:rsid w:val="00390C68"/>
    <w:rsid w:val="00392E5D"/>
    <w:rsid w:val="00393078"/>
    <w:rsid w:val="003947BA"/>
    <w:rsid w:val="003948EF"/>
    <w:rsid w:val="00394B13"/>
    <w:rsid w:val="00395058"/>
    <w:rsid w:val="00395EFE"/>
    <w:rsid w:val="00396EBA"/>
    <w:rsid w:val="003A0419"/>
    <w:rsid w:val="003A138C"/>
    <w:rsid w:val="003A43FE"/>
    <w:rsid w:val="003A496E"/>
    <w:rsid w:val="003A4F7A"/>
    <w:rsid w:val="003A6835"/>
    <w:rsid w:val="003A7932"/>
    <w:rsid w:val="003B091D"/>
    <w:rsid w:val="003B0A61"/>
    <w:rsid w:val="003B0F2F"/>
    <w:rsid w:val="003B176A"/>
    <w:rsid w:val="003B4389"/>
    <w:rsid w:val="003B44A3"/>
    <w:rsid w:val="003B5D35"/>
    <w:rsid w:val="003B661E"/>
    <w:rsid w:val="003B6A60"/>
    <w:rsid w:val="003B71BD"/>
    <w:rsid w:val="003B7E54"/>
    <w:rsid w:val="003C01B1"/>
    <w:rsid w:val="003C0721"/>
    <w:rsid w:val="003C087D"/>
    <w:rsid w:val="003C1A5D"/>
    <w:rsid w:val="003C3150"/>
    <w:rsid w:val="003C37CE"/>
    <w:rsid w:val="003C4194"/>
    <w:rsid w:val="003C4C65"/>
    <w:rsid w:val="003C58D3"/>
    <w:rsid w:val="003C5F8A"/>
    <w:rsid w:val="003C5FB1"/>
    <w:rsid w:val="003C65BC"/>
    <w:rsid w:val="003C6837"/>
    <w:rsid w:val="003C6F5E"/>
    <w:rsid w:val="003D0F47"/>
    <w:rsid w:val="003D1244"/>
    <w:rsid w:val="003D1F70"/>
    <w:rsid w:val="003D35DF"/>
    <w:rsid w:val="003D3746"/>
    <w:rsid w:val="003D511A"/>
    <w:rsid w:val="003D52A6"/>
    <w:rsid w:val="003D69BB"/>
    <w:rsid w:val="003D754E"/>
    <w:rsid w:val="003D788C"/>
    <w:rsid w:val="003E0783"/>
    <w:rsid w:val="003E131E"/>
    <w:rsid w:val="003E215B"/>
    <w:rsid w:val="003E263C"/>
    <w:rsid w:val="003E2F6D"/>
    <w:rsid w:val="003E3786"/>
    <w:rsid w:val="003E6897"/>
    <w:rsid w:val="003E7645"/>
    <w:rsid w:val="003E7985"/>
    <w:rsid w:val="003F0473"/>
    <w:rsid w:val="003F3446"/>
    <w:rsid w:val="003F5A79"/>
    <w:rsid w:val="003F6AEE"/>
    <w:rsid w:val="003F71D3"/>
    <w:rsid w:val="003F95EA"/>
    <w:rsid w:val="0040145C"/>
    <w:rsid w:val="004017F8"/>
    <w:rsid w:val="0040241C"/>
    <w:rsid w:val="00402A82"/>
    <w:rsid w:val="00402FDD"/>
    <w:rsid w:val="004033DE"/>
    <w:rsid w:val="004039AD"/>
    <w:rsid w:val="00403A3A"/>
    <w:rsid w:val="00405D9E"/>
    <w:rsid w:val="00406BBA"/>
    <w:rsid w:val="0040784E"/>
    <w:rsid w:val="00407E20"/>
    <w:rsid w:val="0041094F"/>
    <w:rsid w:val="00411B03"/>
    <w:rsid w:val="00411C3F"/>
    <w:rsid w:val="00411F83"/>
    <w:rsid w:val="00412556"/>
    <w:rsid w:val="00412E9A"/>
    <w:rsid w:val="0041454F"/>
    <w:rsid w:val="0041468F"/>
    <w:rsid w:val="00416272"/>
    <w:rsid w:val="0041636D"/>
    <w:rsid w:val="00416D8B"/>
    <w:rsid w:val="004211A5"/>
    <w:rsid w:val="00421231"/>
    <w:rsid w:val="00422216"/>
    <w:rsid w:val="004227FB"/>
    <w:rsid w:val="004251BA"/>
    <w:rsid w:val="00425E46"/>
    <w:rsid w:val="00430B0C"/>
    <w:rsid w:val="00431136"/>
    <w:rsid w:val="0043174E"/>
    <w:rsid w:val="00431CF0"/>
    <w:rsid w:val="0043353A"/>
    <w:rsid w:val="00434868"/>
    <w:rsid w:val="00434917"/>
    <w:rsid w:val="00434F84"/>
    <w:rsid w:val="00435072"/>
    <w:rsid w:val="00435CD4"/>
    <w:rsid w:val="00435F37"/>
    <w:rsid w:val="004366F9"/>
    <w:rsid w:val="00436941"/>
    <w:rsid w:val="00436C5B"/>
    <w:rsid w:val="00437B9B"/>
    <w:rsid w:val="0044098C"/>
    <w:rsid w:val="004409BD"/>
    <w:rsid w:val="00441BD7"/>
    <w:rsid w:val="00441F20"/>
    <w:rsid w:val="00442C90"/>
    <w:rsid w:val="004434A6"/>
    <w:rsid w:val="00443684"/>
    <w:rsid w:val="004447A5"/>
    <w:rsid w:val="00445673"/>
    <w:rsid w:val="00445D8F"/>
    <w:rsid w:val="00445ED5"/>
    <w:rsid w:val="00446367"/>
    <w:rsid w:val="004475A5"/>
    <w:rsid w:val="00447704"/>
    <w:rsid w:val="00447BA4"/>
    <w:rsid w:val="004503D3"/>
    <w:rsid w:val="00451AD6"/>
    <w:rsid w:val="004528B9"/>
    <w:rsid w:val="00454264"/>
    <w:rsid w:val="00455016"/>
    <w:rsid w:val="004558B6"/>
    <w:rsid w:val="00455AFB"/>
    <w:rsid w:val="004574C6"/>
    <w:rsid w:val="004617FA"/>
    <w:rsid w:val="00462CA4"/>
    <w:rsid w:val="00464FB7"/>
    <w:rsid w:val="00467227"/>
    <w:rsid w:val="004674B8"/>
    <w:rsid w:val="00470A7C"/>
    <w:rsid w:val="004714FA"/>
    <w:rsid w:val="004723D1"/>
    <w:rsid w:val="00472782"/>
    <w:rsid w:val="004748EF"/>
    <w:rsid w:val="00474AC2"/>
    <w:rsid w:val="004751F7"/>
    <w:rsid w:val="004753E0"/>
    <w:rsid w:val="00475AD8"/>
    <w:rsid w:val="00476330"/>
    <w:rsid w:val="00476AA5"/>
    <w:rsid w:val="0047799B"/>
    <w:rsid w:val="004805D7"/>
    <w:rsid w:val="00481A0A"/>
    <w:rsid w:val="004822A0"/>
    <w:rsid w:val="004829F8"/>
    <w:rsid w:val="00483B73"/>
    <w:rsid w:val="00483E38"/>
    <w:rsid w:val="004840E4"/>
    <w:rsid w:val="00484BFA"/>
    <w:rsid w:val="00486369"/>
    <w:rsid w:val="00486895"/>
    <w:rsid w:val="00486DDB"/>
    <w:rsid w:val="00490B7D"/>
    <w:rsid w:val="004915AE"/>
    <w:rsid w:val="0049293C"/>
    <w:rsid w:val="00494489"/>
    <w:rsid w:val="004958A4"/>
    <w:rsid w:val="004959DB"/>
    <w:rsid w:val="00495D05"/>
    <w:rsid w:val="00495ECF"/>
    <w:rsid w:val="00497093"/>
    <w:rsid w:val="004A0220"/>
    <w:rsid w:val="004A073A"/>
    <w:rsid w:val="004A1346"/>
    <w:rsid w:val="004A3326"/>
    <w:rsid w:val="004A3CF8"/>
    <w:rsid w:val="004A4830"/>
    <w:rsid w:val="004A5B45"/>
    <w:rsid w:val="004A67B4"/>
    <w:rsid w:val="004A73EE"/>
    <w:rsid w:val="004A7DB0"/>
    <w:rsid w:val="004A7DD0"/>
    <w:rsid w:val="004B0A1C"/>
    <w:rsid w:val="004B0C9B"/>
    <w:rsid w:val="004B1213"/>
    <w:rsid w:val="004B149D"/>
    <w:rsid w:val="004B1A32"/>
    <w:rsid w:val="004B2F1E"/>
    <w:rsid w:val="004B31FF"/>
    <w:rsid w:val="004B383C"/>
    <w:rsid w:val="004B604B"/>
    <w:rsid w:val="004B6BF4"/>
    <w:rsid w:val="004B7E32"/>
    <w:rsid w:val="004C0D9A"/>
    <w:rsid w:val="004C15DE"/>
    <w:rsid w:val="004C19A8"/>
    <w:rsid w:val="004C24F4"/>
    <w:rsid w:val="004C274C"/>
    <w:rsid w:val="004C4811"/>
    <w:rsid w:val="004C548A"/>
    <w:rsid w:val="004C9440"/>
    <w:rsid w:val="004D084D"/>
    <w:rsid w:val="004D104E"/>
    <w:rsid w:val="004D2685"/>
    <w:rsid w:val="004D29E7"/>
    <w:rsid w:val="004D305E"/>
    <w:rsid w:val="004D324A"/>
    <w:rsid w:val="004D3780"/>
    <w:rsid w:val="004D3E7B"/>
    <w:rsid w:val="004D58C3"/>
    <w:rsid w:val="004DC02F"/>
    <w:rsid w:val="004E0304"/>
    <w:rsid w:val="004E0312"/>
    <w:rsid w:val="004E04AE"/>
    <w:rsid w:val="004E093B"/>
    <w:rsid w:val="004E0A15"/>
    <w:rsid w:val="004E0C8F"/>
    <w:rsid w:val="004E1455"/>
    <w:rsid w:val="004E155F"/>
    <w:rsid w:val="004E1DA6"/>
    <w:rsid w:val="004E34F0"/>
    <w:rsid w:val="004E4334"/>
    <w:rsid w:val="004E4389"/>
    <w:rsid w:val="004E4AD9"/>
    <w:rsid w:val="004E6285"/>
    <w:rsid w:val="004E64A1"/>
    <w:rsid w:val="004E6662"/>
    <w:rsid w:val="004E6FD4"/>
    <w:rsid w:val="004F10B6"/>
    <w:rsid w:val="004F1C5E"/>
    <w:rsid w:val="004F1D69"/>
    <w:rsid w:val="004F2143"/>
    <w:rsid w:val="004F26A0"/>
    <w:rsid w:val="004F3514"/>
    <w:rsid w:val="004F353E"/>
    <w:rsid w:val="004F3D3E"/>
    <w:rsid w:val="004F4107"/>
    <w:rsid w:val="004F42F6"/>
    <w:rsid w:val="004F49F2"/>
    <w:rsid w:val="004F4AE2"/>
    <w:rsid w:val="004F4E8D"/>
    <w:rsid w:val="004F56CA"/>
    <w:rsid w:val="004F6E47"/>
    <w:rsid w:val="0050124A"/>
    <w:rsid w:val="005019E8"/>
    <w:rsid w:val="00501B4D"/>
    <w:rsid w:val="00501C6D"/>
    <w:rsid w:val="00502317"/>
    <w:rsid w:val="00502DB9"/>
    <w:rsid w:val="005052E2"/>
    <w:rsid w:val="00505962"/>
    <w:rsid w:val="0050754C"/>
    <w:rsid w:val="005102DF"/>
    <w:rsid w:val="0051135F"/>
    <w:rsid w:val="00512F4E"/>
    <w:rsid w:val="00513FE6"/>
    <w:rsid w:val="0051430D"/>
    <w:rsid w:val="00514394"/>
    <w:rsid w:val="005144D8"/>
    <w:rsid w:val="0051499B"/>
    <w:rsid w:val="00515087"/>
    <w:rsid w:val="00515372"/>
    <w:rsid w:val="00515820"/>
    <w:rsid w:val="0051657D"/>
    <w:rsid w:val="00516A6A"/>
    <w:rsid w:val="00516FC8"/>
    <w:rsid w:val="0051754D"/>
    <w:rsid w:val="00517F1D"/>
    <w:rsid w:val="005205BC"/>
    <w:rsid w:val="00520646"/>
    <w:rsid w:val="005213C3"/>
    <w:rsid w:val="00522416"/>
    <w:rsid w:val="00522604"/>
    <w:rsid w:val="00522C90"/>
    <w:rsid w:val="00523653"/>
    <w:rsid w:val="005245D7"/>
    <w:rsid w:val="00525ABE"/>
    <w:rsid w:val="00525BAA"/>
    <w:rsid w:val="00525C83"/>
    <w:rsid w:val="0053041B"/>
    <w:rsid w:val="00531895"/>
    <w:rsid w:val="00532059"/>
    <w:rsid w:val="00532CD4"/>
    <w:rsid w:val="00532EDC"/>
    <w:rsid w:val="00533A04"/>
    <w:rsid w:val="00534515"/>
    <w:rsid w:val="005349BD"/>
    <w:rsid w:val="00534FEB"/>
    <w:rsid w:val="00535514"/>
    <w:rsid w:val="00535843"/>
    <w:rsid w:val="0053655D"/>
    <w:rsid w:val="00536A5A"/>
    <w:rsid w:val="00536EEA"/>
    <w:rsid w:val="00537190"/>
    <w:rsid w:val="00537255"/>
    <w:rsid w:val="00537898"/>
    <w:rsid w:val="005407CD"/>
    <w:rsid w:val="00540C37"/>
    <w:rsid w:val="00543918"/>
    <w:rsid w:val="0054444B"/>
    <w:rsid w:val="00544BD5"/>
    <w:rsid w:val="00545F69"/>
    <w:rsid w:val="00546E9B"/>
    <w:rsid w:val="0054734A"/>
    <w:rsid w:val="00547947"/>
    <w:rsid w:val="00547FA2"/>
    <w:rsid w:val="00550AD8"/>
    <w:rsid w:val="00552D58"/>
    <w:rsid w:val="00553345"/>
    <w:rsid w:val="00553CE9"/>
    <w:rsid w:val="00554A76"/>
    <w:rsid w:val="00554D5D"/>
    <w:rsid w:val="00555864"/>
    <w:rsid w:val="00556366"/>
    <w:rsid w:val="00556EE4"/>
    <w:rsid w:val="00557D47"/>
    <w:rsid w:val="005600D6"/>
    <w:rsid w:val="0056046B"/>
    <w:rsid w:val="00560AD6"/>
    <w:rsid w:val="00560F14"/>
    <w:rsid w:val="00560F2E"/>
    <w:rsid w:val="0056175B"/>
    <w:rsid w:val="00561DA2"/>
    <w:rsid w:val="00561EC6"/>
    <w:rsid w:val="00562B1E"/>
    <w:rsid w:val="00563B2F"/>
    <w:rsid w:val="00564B3E"/>
    <w:rsid w:val="00565971"/>
    <w:rsid w:val="00566043"/>
    <w:rsid w:val="005660DC"/>
    <w:rsid w:val="00566570"/>
    <w:rsid w:val="005667C2"/>
    <w:rsid w:val="00566820"/>
    <w:rsid w:val="0056721F"/>
    <w:rsid w:val="00567D4F"/>
    <w:rsid w:val="00570BFD"/>
    <w:rsid w:val="00571F9A"/>
    <w:rsid w:val="00572690"/>
    <w:rsid w:val="00573421"/>
    <w:rsid w:val="005738E5"/>
    <w:rsid w:val="00574AE8"/>
    <w:rsid w:val="00577239"/>
    <w:rsid w:val="00580CF3"/>
    <w:rsid w:val="0058347A"/>
    <w:rsid w:val="00583A6A"/>
    <w:rsid w:val="00584AB2"/>
    <w:rsid w:val="00585E8C"/>
    <w:rsid w:val="0058604B"/>
    <w:rsid w:val="00586232"/>
    <w:rsid w:val="0058653A"/>
    <w:rsid w:val="00586F5C"/>
    <w:rsid w:val="00587145"/>
    <w:rsid w:val="0058725F"/>
    <w:rsid w:val="00587589"/>
    <w:rsid w:val="00587994"/>
    <w:rsid w:val="00587B4E"/>
    <w:rsid w:val="00591B16"/>
    <w:rsid w:val="00592484"/>
    <w:rsid w:val="0059330B"/>
    <w:rsid w:val="005937B0"/>
    <w:rsid w:val="00593DF3"/>
    <w:rsid w:val="00594117"/>
    <w:rsid w:val="00594291"/>
    <w:rsid w:val="00594683"/>
    <w:rsid w:val="00594E75"/>
    <w:rsid w:val="00596AED"/>
    <w:rsid w:val="005A0EE7"/>
    <w:rsid w:val="005A13F6"/>
    <w:rsid w:val="005A1515"/>
    <w:rsid w:val="005A2473"/>
    <w:rsid w:val="005A252D"/>
    <w:rsid w:val="005A26F1"/>
    <w:rsid w:val="005A33E5"/>
    <w:rsid w:val="005A3647"/>
    <w:rsid w:val="005A3B7D"/>
    <w:rsid w:val="005A45EE"/>
    <w:rsid w:val="005A544F"/>
    <w:rsid w:val="005A57D0"/>
    <w:rsid w:val="005A699F"/>
    <w:rsid w:val="005B108E"/>
    <w:rsid w:val="005B3226"/>
    <w:rsid w:val="005B3DEC"/>
    <w:rsid w:val="005B45D7"/>
    <w:rsid w:val="005B4817"/>
    <w:rsid w:val="005B58D7"/>
    <w:rsid w:val="005B5CF0"/>
    <w:rsid w:val="005B5FE1"/>
    <w:rsid w:val="005B61BE"/>
    <w:rsid w:val="005B6C95"/>
    <w:rsid w:val="005B763D"/>
    <w:rsid w:val="005C035A"/>
    <w:rsid w:val="005C0910"/>
    <w:rsid w:val="005C1307"/>
    <w:rsid w:val="005C1877"/>
    <w:rsid w:val="005C1CF1"/>
    <w:rsid w:val="005C1E53"/>
    <w:rsid w:val="005C3462"/>
    <w:rsid w:val="005C392C"/>
    <w:rsid w:val="005C3DD7"/>
    <w:rsid w:val="005C4391"/>
    <w:rsid w:val="005C602D"/>
    <w:rsid w:val="005C7939"/>
    <w:rsid w:val="005C7F8E"/>
    <w:rsid w:val="005D09E8"/>
    <w:rsid w:val="005D0DB4"/>
    <w:rsid w:val="005D1C55"/>
    <w:rsid w:val="005D2A76"/>
    <w:rsid w:val="005D302E"/>
    <w:rsid w:val="005D3730"/>
    <w:rsid w:val="005D3B13"/>
    <w:rsid w:val="005D46EE"/>
    <w:rsid w:val="005D46FC"/>
    <w:rsid w:val="005D5056"/>
    <w:rsid w:val="005D5241"/>
    <w:rsid w:val="005D7662"/>
    <w:rsid w:val="005D7E1C"/>
    <w:rsid w:val="005E1F13"/>
    <w:rsid w:val="005E24E8"/>
    <w:rsid w:val="005E2595"/>
    <w:rsid w:val="005E25E4"/>
    <w:rsid w:val="005E4C99"/>
    <w:rsid w:val="005E5113"/>
    <w:rsid w:val="005E51FE"/>
    <w:rsid w:val="005E5208"/>
    <w:rsid w:val="005E64D3"/>
    <w:rsid w:val="005E7D82"/>
    <w:rsid w:val="005F1D87"/>
    <w:rsid w:val="005F23DE"/>
    <w:rsid w:val="005F2AC1"/>
    <w:rsid w:val="005F37B3"/>
    <w:rsid w:val="005F3846"/>
    <w:rsid w:val="005F3D31"/>
    <w:rsid w:val="005F3DD8"/>
    <w:rsid w:val="005F4415"/>
    <w:rsid w:val="005F495A"/>
    <w:rsid w:val="005F53CA"/>
    <w:rsid w:val="005F6D66"/>
    <w:rsid w:val="005F7FE9"/>
    <w:rsid w:val="006020F6"/>
    <w:rsid w:val="00602577"/>
    <w:rsid w:val="00603ABE"/>
    <w:rsid w:val="00603FF1"/>
    <w:rsid w:val="00604A7B"/>
    <w:rsid w:val="00604C25"/>
    <w:rsid w:val="00604D1D"/>
    <w:rsid w:val="0060615D"/>
    <w:rsid w:val="00610259"/>
    <w:rsid w:val="00610D3A"/>
    <w:rsid w:val="00611043"/>
    <w:rsid w:val="00611E6B"/>
    <w:rsid w:val="00613889"/>
    <w:rsid w:val="00614441"/>
    <w:rsid w:val="006157B7"/>
    <w:rsid w:val="00615A32"/>
    <w:rsid w:val="006161F1"/>
    <w:rsid w:val="00616367"/>
    <w:rsid w:val="00616D9E"/>
    <w:rsid w:val="00617BCA"/>
    <w:rsid w:val="00617D39"/>
    <w:rsid w:val="0062015D"/>
    <w:rsid w:val="00620591"/>
    <w:rsid w:val="00620885"/>
    <w:rsid w:val="00621C2A"/>
    <w:rsid w:val="006229FC"/>
    <w:rsid w:val="00623137"/>
    <w:rsid w:val="006231AB"/>
    <w:rsid w:val="00623491"/>
    <w:rsid w:val="00623879"/>
    <w:rsid w:val="00623EE0"/>
    <w:rsid w:val="00624759"/>
    <w:rsid w:val="00625307"/>
    <w:rsid w:val="006258E0"/>
    <w:rsid w:val="00625ACF"/>
    <w:rsid w:val="00626F17"/>
    <w:rsid w:val="006276F1"/>
    <w:rsid w:val="00627DCE"/>
    <w:rsid w:val="006303A8"/>
    <w:rsid w:val="00630404"/>
    <w:rsid w:val="0063044E"/>
    <w:rsid w:val="006314DB"/>
    <w:rsid w:val="00631595"/>
    <w:rsid w:val="00631FE7"/>
    <w:rsid w:val="006320A6"/>
    <w:rsid w:val="00632427"/>
    <w:rsid w:val="006336A7"/>
    <w:rsid w:val="0063399B"/>
    <w:rsid w:val="006344A5"/>
    <w:rsid w:val="0063510B"/>
    <w:rsid w:val="0063668D"/>
    <w:rsid w:val="006372DE"/>
    <w:rsid w:val="00637361"/>
    <w:rsid w:val="00640155"/>
    <w:rsid w:val="00640EBF"/>
    <w:rsid w:val="00643054"/>
    <w:rsid w:val="00643CA3"/>
    <w:rsid w:val="0064573C"/>
    <w:rsid w:val="00646C3C"/>
    <w:rsid w:val="00646E83"/>
    <w:rsid w:val="006513E4"/>
    <w:rsid w:val="0065178B"/>
    <w:rsid w:val="006522E1"/>
    <w:rsid w:val="006531C2"/>
    <w:rsid w:val="0065365C"/>
    <w:rsid w:val="00656BB8"/>
    <w:rsid w:val="0065755C"/>
    <w:rsid w:val="00657CDF"/>
    <w:rsid w:val="00660BAC"/>
    <w:rsid w:val="0066418A"/>
    <w:rsid w:val="00664F23"/>
    <w:rsid w:val="0066599C"/>
    <w:rsid w:val="00665F64"/>
    <w:rsid w:val="006663C1"/>
    <w:rsid w:val="0066736E"/>
    <w:rsid w:val="006711CC"/>
    <w:rsid w:val="006721DD"/>
    <w:rsid w:val="00672C49"/>
    <w:rsid w:val="00672D7C"/>
    <w:rsid w:val="00672D8F"/>
    <w:rsid w:val="00673F14"/>
    <w:rsid w:val="00676AA0"/>
    <w:rsid w:val="00676C5B"/>
    <w:rsid w:val="00676E4F"/>
    <w:rsid w:val="00680369"/>
    <w:rsid w:val="0068044A"/>
    <w:rsid w:val="00681878"/>
    <w:rsid w:val="0068194A"/>
    <w:rsid w:val="00681C0C"/>
    <w:rsid w:val="0068218B"/>
    <w:rsid w:val="006826E4"/>
    <w:rsid w:val="00682E07"/>
    <w:rsid w:val="0068363C"/>
    <w:rsid w:val="00684E27"/>
    <w:rsid w:val="0068546B"/>
    <w:rsid w:val="00685483"/>
    <w:rsid w:val="006856C3"/>
    <w:rsid w:val="006856CE"/>
    <w:rsid w:val="00686B7D"/>
    <w:rsid w:val="006871F3"/>
    <w:rsid w:val="00687B9A"/>
    <w:rsid w:val="006910FE"/>
    <w:rsid w:val="00691EB4"/>
    <w:rsid w:val="00692152"/>
    <w:rsid w:val="0069233E"/>
    <w:rsid w:val="006924F9"/>
    <w:rsid w:val="006928A9"/>
    <w:rsid w:val="00692B32"/>
    <w:rsid w:val="00692C18"/>
    <w:rsid w:val="00692D87"/>
    <w:rsid w:val="00693161"/>
    <w:rsid w:val="00693173"/>
    <w:rsid w:val="006933CA"/>
    <w:rsid w:val="00694E44"/>
    <w:rsid w:val="0069502E"/>
    <w:rsid w:val="00695798"/>
    <w:rsid w:val="00695E9E"/>
    <w:rsid w:val="006964B9"/>
    <w:rsid w:val="006964CA"/>
    <w:rsid w:val="00697362"/>
    <w:rsid w:val="006974CB"/>
    <w:rsid w:val="00697BE4"/>
    <w:rsid w:val="00697EA2"/>
    <w:rsid w:val="006A2245"/>
    <w:rsid w:val="006A2396"/>
    <w:rsid w:val="006A7EB2"/>
    <w:rsid w:val="006B0547"/>
    <w:rsid w:val="006B0E1C"/>
    <w:rsid w:val="006B0E89"/>
    <w:rsid w:val="006B4B5E"/>
    <w:rsid w:val="006B79C7"/>
    <w:rsid w:val="006B79CD"/>
    <w:rsid w:val="006C0EFF"/>
    <w:rsid w:val="006C0F63"/>
    <w:rsid w:val="006C0F68"/>
    <w:rsid w:val="006C20E3"/>
    <w:rsid w:val="006C3A16"/>
    <w:rsid w:val="006C3E42"/>
    <w:rsid w:val="006C5A62"/>
    <w:rsid w:val="006C73C7"/>
    <w:rsid w:val="006C7DE1"/>
    <w:rsid w:val="006D0B8C"/>
    <w:rsid w:val="006D0CC1"/>
    <w:rsid w:val="006D0D0A"/>
    <w:rsid w:val="006D1C4B"/>
    <w:rsid w:val="006D1EBE"/>
    <w:rsid w:val="006D2702"/>
    <w:rsid w:val="006D297A"/>
    <w:rsid w:val="006D3009"/>
    <w:rsid w:val="006D5B73"/>
    <w:rsid w:val="006D76D5"/>
    <w:rsid w:val="006D7B69"/>
    <w:rsid w:val="006D7B93"/>
    <w:rsid w:val="006D7CF0"/>
    <w:rsid w:val="006E04CD"/>
    <w:rsid w:val="006E0B99"/>
    <w:rsid w:val="006E12B3"/>
    <w:rsid w:val="006E139D"/>
    <w:rsid w:val="006E1646"/>
    <w:rsid w:val="006E23E7"/>
    <w:rsid w:val="006E41EC"/>
    <w:rsid w:val="006E5FF3"/>
    <w:rsid w:val="006E6E5D"/>
    <w:rsid w:val="006E76B2"/>
    <w:rsid w:val="006F12E9"/>
    <w:rsid w:val="006F13A8"/>
    <w:rsid w:val="006F1FE2"/>
    <w:rsid w:val="006F2D97"/>
    <w:rsid w:val="006F31C5"/>
    <w:rsid w:val="006F3B4B"/>
    <w:rsid w:val="006F3E5C"/>
    <w:rsid w:val="006F48EB"/>
    <w:rsid w:val="006F4E84"/>
    <w:rsid w:val="006F4F49"/>
    <w:rsid w:val="006F5FF3"/>
    <w:rsid w:val="006F74C0"/>
    <w:rsid w:val="00700AA9"/>
    <w:rsid w:val="007018A6"/>
    <w:rsid w:val="00701AB5"/>
    <w:rsid w:val="007027DA"/>
    <w:rsid w:val="007029C9"/>
    <w:rsid w:val="00702DF9"/>
    <w:rsid w:val="00703311"/>
    <w:rsid w:val="00703C5D"/>
    <w:rsid w:val="00704DE1"/>
    <w:rsid w:val="00705FEC"/>
    <w:rsid w:val="00706D15"/>
    <w:rsid w:val="007111EF"/>
    <w:rsid w:val="0071137D"/>
    <w:rsid w:val="007123F1"/>
    <w:rsid w:val="007126BD"/>
    <w:rsid w:val="00712A3B"/>
    <w:rsid w:val="007135D0"/>
    <w:rsid w:val="0071361C"/>
    <w:rsid w:val="0071416A"/>
    <w:rsid w:val="007152C6"/>
    <w:rsid w:val="007157F3"/>
    <w:rsid w:val="00715EC1"/>
    <w:rsid w:val="00717ACA"/>
    <w:rsid w:val="00717FBF"/>
    <w:rsid w:val="007201C1"/>
    <w:rsid w:val="00721638"/>
    <w:rsid w:val="00722DEE"/>
    <w:rsid w:val="00723C82"/>
    <w:rsid w:val="00724D78"/>
    <w:rsid w:val="007255AE"/>
    <w:rsid w:val="00726988"/>
    <w:rsid w:val="00727A8D"/>
    <w:rsid w:val="00727FDF"/>
    <w:rsid w:val="0073008A"/>
    <w:rsid w:val="00730721"/>
    <w:rsid w:val="00730AF1"/>
    <w:rsid w:val="00731998"/>
    <w:rsid w:val="00731C7C"/>
    <w:rsid w:val="00732122"/>
    <w:rsid w:val="0073283F"/>
    <w:rsid w:val="00732E7C"/>
    <w:rsid w:val="0073308D"/>
    <w:rsid w:val="00734AAC"/>
    <w:rsid w:val="00734EF0"/>
    <w:rsid w:val="00737CCF"/>
    <w:rsid w:val="00740654"/>
    <w:rsid w:val="0074111E"/>
    <w:rsid w:val="00744182"/>
    <w:rsid w:val="0074499E"/>
    <w:rsid w:val="00744DB0"/>
    <w:rsid w:val="00745ABE"/>
    <w:rsid w:val="00746275"/>
    <w:rsid w:val="00746380"/>
    <w:rsid w:val="00746CEA"/>
    <w:rsid w:val="0074788B"/>
    <w:rsid w:val="00747CD7"/>
    <w:rsid w:val="00750106"/>
    <w:rsid w:val="007507CB"/>
    <w:rsid w:val="00750BA7"/>
    <w:rsid w:val="00751A51"/>
    <w:rsid w:val="00751B7B"/>
    <w:rsid w:val="00753D26"/>
    <w:rsid w:val="0075435C"/>
    <w:rsid w:val="00756250"/>
    <w:rsid w:val="007567E8"/>
    <w:rsid w:val="00756E22"/>
    <w:rsid w:val="007573E5"/>
    <w:rsid w:val="0076063D"/>
    <w:rsid w:val="00760EEC"/>
    <w:rsid w:val="0076294E"/>
    <w:rsid w:val="00763806"/>
    <w:rsid w:val="0076445C"/>
    <w:rsid w:val="00764CD6"/>
    <w:rsid w:val="00767213"/>
    <w:rsid w:val="00767B7E"/>
    <w:rsid w:val="00770BC0"/>
    <w:rsid w:val="00770DE8"/>
    <w:rsid w:val="007718C3"/>
    <w:rsid w:val="00771A54"/>
    <w:rsid w:val="0077289A"/>
    <w:rsid w:val="00772C13"/>
    <w:rsid w:val="00773BB5"/>
    <w:rsid w:val="00774350"/>
    <w:rsid w:val="0077521F"/>
    <w:rsid w:val="00775627"/>
    <w:rsid w:val="007765B0"/>
    <w:rsid w:val="00777E18"/>
    <w:rsid w:val="00777E67"/>
    <w:rsid w:val="007812E0"/>
    <w:rsid w:val="00781436"/>
    <w:rsid w:val="007817E0"/>
    <w:rsid w:val="00781DCE"/>
    <w:rsid w:val="0078292F"/>
    <w:rsid w:val="00782F47"/>
    <w:rsid w:val="00784F63"/>
    <w:rsid w:val="00786F27"/>
    <w:rsid w:val="00787CF6"/>
    <w:rsid w:val="00787DA2"/>
    <w:rsid w:val="0079098D"/>
    <w:rsid w:val="00790B51"/>
    <w:rsid w:val="00791603"/>
    <w:rsid w:val="00791AE7"/>
    <w:rsid w:val="00791BB1"/>
    <w:rsid w:val="007928A7"/>
    <w:rsid w:val="00793222"/>
    <w:rsid w:val="00793C0D"/>
    <w:rsid w:val="00793F0F"/>
    <w:rsid w:val="0079421F"/>
    <w:rsid w:val="007947D6"/>
    <w:rsid w:val="00794C15"/>
    <w:rsid w:val="00795240"/>
    <w:rsid w:val="00795963"/>
    <w:rsid w:val="00796BBE"/>
    <w:rsid w:val="00796CE7"/>
    <w:rsid w:val="007A049F"/>
    <w:rsid w:val="007A0B00"/>
    <w:rsid w:val="007A1DC7"/>
    <w:rsid w:val="007A2164"/>
    <w:rsid w:val="007A232A"/>
    <w:rsid w:val="007A26B4"/>
    <w:rsid w:val="007A344B"/>
    <w:rsid w:val="007A3CA2"/>
    <w:rsid w:val="007A3FBB"/>
    <w:rsid w:val="007A495A"/>
    <w:rsid w:val="007A502D"/>
    <w:rsid w:val="007A53FD"/>
    <w:rsid w:val="007A594D"/>
    <w:rsid w:val="007A5CDE"/>
    <w:rsid w:val="007A5F1B"/>
    <w:rsid w:val="007A600B"/>
    <w:rsid w:val="007A60FB"/>
    <w:rsid w:val="007A6B9D"/>
    <w:rsid w:val="007A796B"/>
    <w:rsid w:val="007B17ED"/>
    <w:rsid w:val="007B2ED9"/>
    <w:rsid w:val="007B3851"/>
    <w:rsid w:val="007B40A4"/>
    <w:rsid w:val="007B541F"/>
    <w:rsid w:val="007B678E"/>
    <w:rsid w:val="007B6C0A"/>
    <w:rsid w:val="007B6FAF"/>
    <w:rsid w:val="007B782D"/>
    <w:rsid w:val="007C05AF"/>
    <w:rsid w:val="007C0673"/>
    <w:rsid w:val="007C0F5B"/>
    <w:rsid w:val="007C106E"/>
    <w:rsid w:val="007C1DA2"/>
    <w:rsid w:val="007C28E5"/>
    <w:rsid w:val="007C3BFB"/>
    <w:rsid w:val="007C4029"/>
    <w:rsid w:val="007C43B1"/>
    <w:rsid w:val="007C4BB7"/>
    <w:rsid w:val="007C4C45"/>
    <w:rsid w:val="007C6C38"/>
    <w:rsid w:val="007C7FB8"/>
    <w:rsid w:val="007D0C99"/>
    <w:rsid w:val="007D23CD"/>
    <w:rsid w:val="007D260B"/>
    <w:rsid w:val="007D29FF"/>
    <w:rsid w:val="007D55DE"/>
    <w:rsid w:val="007D5B34"/>
    <w:rsid w:val="007D6297"/>
    <w:rsid w:val="007D682C"/>
    <w:rsid w:val="007D69D1"/>
    <w:rsid w:val="007D7FA0"/>
    <w:rsid w:val="007E0715"/>
    <w:rsid w:val="007E1F5F"/>
    <w:rsid w:val="007E2028"/>
    <w:rsid w:val="007E2282"/>
    <w:rsid w:val="007E2B94"/>
    <w:rsid w:val="007E32F8"/>
    <w:rsid w:val="007E3AB7"/>
    <w:rsid w:val="007E43D5"/>
    <w:rsid w:val="007E48A6"/>
    <w:rsid w:val="007E545F"/>
    <w:rsid w:val="007E71E6"/>
    <w:rsid w:val="007F0350"/>
    <w:rsid w:val="007F109D"/>
    <w:rsid w:val="007F3458"/>
    <w:rsid w:val="007F360A"/>
    <w:rsid w:val="007F3D76"/>
    <w:rsid w:val="007F3E64"/>
    <w:rsid w:val="007F40B8"/>
    <w:rsid w:val="007F4B16"/>
    <w:rsid w:val="007F5080"/>
    <w:rsid w:val="007F628F"/>
    <w:rsid w:val="007F6A33"/>
    <w:rsid w:val="007F742F"/>
    <w:rsid w:val="007F7E8A"/>
    <w:rsid w:val="008003F5"/>
    <w:rsid w:val="00800552"/>
    <w:rsid w:val="008040F3"/>
    <w:rsid w:val="008041C3"/>
    <w:rsid w:val="008042B0"/>
    <w:rsid w:val="00806ED4"/>
    <w:rsid w:val="00810074"/>
    <w:rsid w:val="00810C96"/>
    <w:rsid w:val="00811480"/>
    <w:rsid w:val="00811E54"/>
    <w:rsid w:val="00811FA9"/>
    <w:rsid w:val="008126E2"/>
    <w:rsid w:val="00812C13"/>
    <w:rsid w:val="008143BF"/>
    <w:rsid w:val="0081465B"/>
    <w:rsid w:val="008170C4"/>
    <w:rsid w:val="008173A1"/>
    <w:rsid w:val="008175A9"/>
    <w:rsid w:val="00820F6F"/>
    <w:rsid w:val="00821470"/>
    <w:rsid w:val="008228E6"/>
    <w:rsid w:val="00822D2E"/>
    <w:rsid w:val="0082309B"/>
    <w:rsid w:val="00823A40"/>
    <w:rsid w:val="00823E98"/>
    <w:rsid w:val="00824231"/>
    <w:rsid w:val="008243A5"/>
    <w:rsid w:val="00824C81"/>
    <w:rsid w:val="00825087"/>
    <w:rsid w:val="008255E3"/>
    <w:rsid w:val="00825682"/>
    <w:rsid w:val="00826A88"/>
    <w:rsid w:val="0082723B"/>
    <w:rsid w:val="008307AF"/>
    <w:rsid w:val="008325D2"/>
    <w:rsid w:val="008331BA"/>
    <w:rsid w:val="008337F3"/>
    <w:rsid w:val="00833AFA"/>
    <w:rsid w:val="008357B2"/>
    <w:rsid w:val="00835F51"/>
    <w:rsid w:val="008361CE"/>
    <w:rsid w:val="008406FA"/>
    <w:rsid w:val="0084080E"/>
    <w:rsid w:val="00840E9D"/>
    <w:rsid w:val="00841989"/>
    <w:rsid w:val="00841C04"/>
    <w:rsid w:val="00841C67"/>
    <w:rsid w:val="0084219D"/>
    <w:rsid w:val="008421EC"/>
    <w:rsid w:val="00842517"/>
    <w:rsid w:val="00843579"/>
    <w:rsid w:val="00843B3E"/>
    <w:rsid w:val="00844221"/>
    <w:rsid w:val="0084564A"/>
    <w:rsid w:val="00846F21"/>
    <w:rsid w:val="008470D6"/>
    <w:rsid w:val="00847678"/>
    <w:rsid w:val="0084792D"/>
    <w:rsid w:val="00847985"/>
    <w:rsid w:val="00847A69"/>
    <w:rsid w:val="008508DD"/>
    <w:rsid w:val="00850A0F"/>
    <w:rsid w:val="00851BEE"/>
    <w:rsid w:val="00851D79"/>
    <w:rsid w:val="008524FA"/>
    <w:rsid w:val="008526A2"/>
    <w:rsid w:val="0085493A"/>
    <w:rsid w:val="0085493D"/>
    <w:rsid w:val="00854EB0"/>
    <w:rsid w:val="008551B5"/>
    <w:rsid w:val="00855902"/>
    <w:rsid w:val="00856A44"/>
    <w:rsid w:val="008576C1"/>
    <w:rsid w:val="00857A32"/>
    <w:rsid w:val="00860474"/>
    <w:rsid w:val="0086122A"/>
    <w:rsid w:val="008624B8"/>
    <w:rsid w:val="008628BA"/>
    <w:rsid w:val="00862CBE"/>
    <w:rsid w:val="00862E56"/>
    <w:rsid w:val="00862F30"/>
    <w:rsid w:val="0086605B"/>
    <w:rsid w:val="00866158"/>
    <w:rsid w:val="00867F0E"/>
    <w:rsid w:val="008708B8"/>
    <w:rsid w:val="008710EE"/>
    <w:rsid w:val="00872306"/>
    <w:rsid w:val="00873166"/>
    <w:rsid w:val="00875186"/>
    <w:rsid w:val="00875A82"/>
    <w:rsid w:val="00877863"/>
    <w:rsid w:val="00880803"/>
    <w:rsid w:val="00881666"/>
    <w:rsid w:val="008817AB"/>
    <w:rsid w:val="008839BA"/>
    <w:rsid w:val="00884AEF"/>
    <w:rsid w:val="00885DD6"/>
    <w:rsid w:val="00886745"/>
    <w:rsid w:val="00890CA4"/>
    <w:rsid w:val="0089153C"/>
    <w:rsid w:val="0089210D"/>
    <w:rsid w:val="00893BAC"/>
    <w:rsid w:val="00894ACA"/>
    <w:rsid w:val="008967E3"/>
    <w:rsid w:val="0089682A"/>
    <w:rsid w:val="008968B5"/>
    <w:rsid w:val="00896A5F"/>
    <w:rsid w:val="008A0610"/>
    <w:rsid w:val="008A06F7"/>
    <w:rsid w:val="008A0CD7"/>
    <w:rsid w:val="008A0D74"/>
    <w:rsid w:val="008A2601"/>
    <w:rsid w:val="008A3087"/>
    <w:rsid w:val="008A359A"/>
    <w:rsid w:val="008A41D7"/>
    <w:rsid w:val="008A4F8D"/>
    <w:rsid w:val="008A5D29"/>
    <w:rsid w:val="008A68CB"/>
    <w:rsid w:val="008A7A1E"/>
    <w:rsid w:val="008B0018"/>
    <w:rsid w:val="008B0248"/>
    <w:rsid w:val="008B12AB"/>
    <w:rsid w:val="008B218E"/>
    <w:rsid w:val="008B3427"/>
    <w:rsid w:val="008B617E"/>
    <w:rsid w:val="008C2CD1"/>
    <w:rsid w:val="008C6DD4"/>
    <w:rsid w:val="008C7F84"/>
    <w:rsid w:val="008D10A3"/>
    <w:rsid w:val="008D1998"/>
    <w:rsid w:val="008D25A1"/>
    <w:rsid w:val="008D2763"/>
    <w:rsid w:val="008D39BA"/>
    <w:rsid w:val="008D3D08"/>
    <w:rsid w:val="008D3FE7"/>
    <w:rsid w:val="008D4D9C"/>
    <w:rsid w:val="008D513F"/>
    <w:rsid w:val="008D5F8D"/>
    <w:rsid w:val="008D6525"/>
    <w:rsid w:val="008D715D"/>
    <w:rsid w:val="008D770E"/>
    <w:rsid w:val="008D7BCC"/>
    <w:rsid w:val="008DF953"/>
    <w:rsid w:val="008E0E39"/>
    <w:rsid w:val="008E175E"/>
    <w:rsid w:val="008E1861"/>
    <w:rsid w:val="008E2517"/>
    <w:rsid w:val="008E2681"/>
    <w:rsid w:val="008E3318"/>
    <w:rsid w:val="008E3B45"/>
    <w:rsid w:val="008E53F3"/>
    <w:rsid w:val="008E56BE"/>
    <w:rsid w:val="008E744C"/>
    <w:rsid w:val="008F03FC"/>
    <w:rsid w:val="008F0AD4"/>
    <w:rsid w:val="008F1097"/>
    <w:rsid w:val="008F2462"/>
    <w:rsid w:val="008F284E"/>
    <w:rsid w:val="008F31D6"/>
    <w:rsid w:val="008F3AC8"/>
    <w:rsid w:val="008F43F2"/>
    <w:rsid w:val="008F4592"/>
    <w:rsid w:val="008F5113"/>
    <w:rsid w:val="008F5C8C"/>
    <w:rsid w:val="008F607F"/>
    <w:rsid w:val="009005D6"/>
    <w:rsid w:val="00901FE8"/>
    <w:rsid w:val="00903602"/>
    <w:rsid w:val="00903B1D"/>
    <w:rsid w:val="009047E7"/>
    <w:rsid w:val="009049F6"/>
    <w:rsid w:val="00905CEB"/>
    <w:rsid w:val="00906532"/>
    <w:rsid w:val="009070DF"/>
    <w:rsid w:val="00907894"/>
    <w:rsid w:val="00910003"/>
    <w:rsid w:val="009104C1"/>
    <w:rsid w:val="00910C53"/>
    <w:rsid w:val="00912753"/>
    <w:rsid w:val="00912DCC"/>
    <w:rsid w:val="00912FFC"/>
    <w:rsid w:val="00913081"/>
    <w:rsid w:val="009134D6"/>
    <w:rsid w:val="00913666"/>
    <w:rsid w:val="009158E7"/>
    <w:rsid w:val="00915E22"/>
    <w:rsid w:val="00915E3A"/>
    <w:rsid w:val="00915FF2"/>
    <w:rsid w:val="009173D6"/>
    <w:rsid w:val="00920C66"/>
    <w:rsid w:val="00921990"/>
    <w:rsid w:val="00922325"/>
    <w:rsid w:val="0092272A"/>
    <w:rsid w:val="0092298C"/>
    <w:rsid w:val="0092405E"/>
    <w:rsid w:val="00924114"/>
    <w:rsid w:val="009241E9"/>
    <w:rsid w:val="009249E4"/>
    <w:rsid w:val="00925434"/>
    <w:rsid w:val="0092737B"/>
    <w:rsid w:val="00927A88"/>
    <w:rsid w:val="00927CC3"/>
    <w:rsid w:val="0093150A"/>
    <w:rsid w:val="00932467"/>
    <w:rsid w:val="009341CE"/>
    <w:rsid w:val="00934745"/>
    <w:rsid w:val="00934BCE"/>
    <w:rsid w:val="00936A3A"/>
    <w:rsid w:val="00936E5E"/>
    <w:rsid w:val="00937F81"/>
    <w:rsid w:val="0093A463"/>
    <w:rsid w:val="00940362"/>
    <w:rsid w:val="009403C2"/>
    <w:rsid w:val="00940A9B"/>
    <w:rsid w:val="00940D36"/>
    <w:rsid w:val="00940FF5"/>
    <w:rsid w:val="0094112C"/>
    <w:rsid w:val="0094181E"/>
    <w:rsid w:val="00941BAB"/>
    <w:rsid w:val="009421D2"/>
    <w:rsid w:val="00943504"/>
    <w:rsid w:val="009435DC"/>
    <w:rsid w:val="00947110"/>
    <w:rsid w:val="009502AB"/>
    <w:rsid w:val="00950CAD"/>
    <w:rsid w:val="00950FBB"/>
    <w:rsid w:val="00950FE8"/>
    <w:rsid w:val="00951146"/>
    <w:rsid w:val="00951A68"/>
    <w:rsid w:val="00951B42"/>
    <w:rsid w:val="0095379F"/>
    <w:rsid w:val="00953C06"/>
    <w:rsid w:val="00957685"/>
    <w:rsid w:val="009603BB"/>
    <w:rsid w:val="0096064F"/>
    <w:rsid w:val="009607F0"/>
    <w:rsid w:val="0096088A"/>
    <w:rsid w:val="00961394"/>
    <w:rsid w:val="00961836"/>
    <w:rsid w:val="00961F97"/>
    <w:rsid w:val="00961F9E"/>
    <w:rsid w:val="00962640"/>
    <w:rsid w:val="00962BAB"/>
    <w:rsid w:val="00962FB2"/>
    <w:rsid w:val="0096343F"/>
    <w:rsid w:val="0096377F"/>
    <w:rsid w:val="009639C1"/>
    <w:rsid w:val="00963EB0"/>
    <w:rsid w:val="009645F7"/>
    <w:rsid w:val="009666C7"/>
    <w:rsid w:val="009668C2"/>
    <w:rsid w:val="00966998"/>
    <w:rsid w:val="00972DE8"/>
    <w:rsid w:val="009737DB"/>
    <w:rsid w:val="00973B6C"/>
    <w:rsid w:val="0097403F"/>
    <w:rsid w:val="00974900"/>
    <w:rsid w:val="00974D4C"/>
    <w:rsid w:val="00975C19"/>
    <w:rsid w:val="00976262"/>
    <w:rsid w:val="00976306"/>
    <w:rsid w:val="00976E35"/>
    <w:rsid w:val="009771CA"/>
    <w:rsid w:val="00977753"/>
    <w:rsid w:val="00977AFC"/>
    <w:rsid w:val="009801D7"/>
    <w:rsid w:val="00981DCF"/>
    <w:rsid w:val="00982B81"/>
    <w:rsid w:val="00983473"/>
    <w:rsid w:val="0098658B"/>
    <w:rsid w:val="00987570"/>
    <w:rsid w:val="009916F2"/>
    <w:rsid w:val="009925E2"/>
    <w:rsid w:val="0099275A"/>
    <w:rsid w:val="009929F1"/>
    <w:rsid w:val="0099334B"/>
    <w:rsid w:val="009947CE"/>
    <w:rsid w:val="00994E47"/>
    <w:rsid w:val="00997941"/>
    <w:rsid w:val="00997CC8"/>
    <w:rsid w:val="009A0D5E"/>
    <w:rsid w:val="009A1943"/>
    <w:rsid w:val="009A37E8"/>
    <w:rsid w:val="009A3933"/>
    <w:rsid w:val="009A5408"/>
    <w:rsid w:val="009A5416"/>
    <w:rsid w:val="009A59F8"/>
    <w:rsid w:val="009A6064"/>
    <w:rsid w:val="009A6070"/>
    <w:rsid w:val="009A63AD"/>
    <w:rsid w:val="009A6462"/>
    <w:rsid w:val="009B13F9"/>
    <w:rsid w:val="009B2F44"/>
    <w:rsid w:val="009B336A"/>
    <w:rsid w:val="009B3787"/>
    <w:rsid w:val="009B3B33"/>
    <w:rsid w:val="009B3DA4"/>
    <w:rsid w:val="009B4144"/>
    <w:rsid w:val="009B53D3"/>
    <w:rsid w:val="009B567E"/>
    <w:rsid w:val="009B5D98"/>
    <w:rsid w:val="009B69DE"/>
    <w:rsid w:val="009B7868"/>
    <w:rsid w:val="009B7941"/>
    <w:rsid w:val="009C0A70"/>
    <w:rsid w:val="009C0F97"/>
    <w:rsid w:val="009C1408"/>
    <w:rsid w:val="009C1B8C"/>
    <w:rsid w:val="009C1E1F"/>
    <w:rsid w:val="009C38AD"/>
    <w:rsid w:val="009C636B"/>
    <w:rsid w:val="009C6664"/>
    <w:rsid w:val="009C6B6F"/>
    <w:rsid w:val="009C6C4E"/>
    <w:rsid w:val="009C72F4"/>
    <w:rsid w:val="009C7AAB"/>
    <w:rsid w:val="009D042D"/>
    <w:rsid w:val="009D074B"/>
    <w:rsid w:val="009D0D11"/>
    <w:rsid w:val="009D1F46"/>
    <w:rsid w:val="009D22CA"/>
    <w:rsid w:val="009D326B"/>
    <w:rsid w:val="009D356B"/>
    <w:rsid w:val="009D359D"/>
    <w:rsid w:val="009D40CB"/>
    <w:rsid w:val="009D46BA"/>
    <w:rsid w:val="009D4945"/>
    <w:rsid w:val="009D4C8C"/>
    <w:rsid w:val="009D6E9B"/>
    <w:rsid w:val="009D7256"/>
    <w:rsid w:val="009D754E"/>
    <w:rsid w:val="009E0ECD"/>
    <w:rsid w:val="009E125F"/>
    <w:rsid w:val="009E1F14"/>
    <w:rsid w:val="009E3730"/>
    <w:rsid w:val="009E6BAE"/>
    <w:rsid w:val="009E707C"/>
    <w:rsid w:val="009E721B"/>
    <w:rsid w:val="009E7C7F"/>
    <w:rsid w:val="009E7D20"/>
    <w:rsid w:val="009F1600"/>
    <w:rsid w:val="009F332F"/>
    <w:rsid w:val="009F34EC"/>
    <w:rsid w:val="009F393C"/>
    <w:rsid w:val="009F415E"/>
    <w:rsid w:val="009F4AEE"/>
    <w:rsid w:val="009F50C5"/>
    <w:rsid w:val="009F5570"/>
    <w:rsid w:val="009F586F"/>
    <w:rsid w:val="009F5F02"/>
    <w:rsid w:val="009F5F6A"/>
    <w:rsid w:val="009F611B"/>
    <w:rsid w:val="009F630D"/>
    <w:rsid w:val="009F7E52"/>
    <w:rsid w:val="009F7EAE"/>
    <w:rsid w:val="009FB5C7"/>
    <w:rsid w:val="00A0106D"/>
    <w:rsid w:val="00A01376"/>
    <w:rsid w:val="00A013D2"/>
    <w:rsid w:val="00A02C17"/>
    <w:rsid w:val="00A042E1"/>
    <w:rsid w:val="00A04D95"/>
    <w:rsid w:val="00A0676D"/>
    <w:rsid w:val="00A075E3"/>
    <w:rsid w:val="00A079AF"/>
    <w:rsid w:val="00A07A0E"/>
    <w:rsid w:val="00A07B02"/>
    <w:rsid w:val="00A10A06"/>
    <w:rsid w:val="00A11CD8"/>
    <w:rsid w:val="00A12263"/>
    <w:rsid w:val="00A131B8"/>
    <w:rsid w:val="00A137C8"/>
    <w:rsid w:val="00A143AB"/>
    <w:rsid w:val="00A144EA"/>
    <w:rsid w:val="00A14562"/>
    <w:rsid w:val="00A14E27"/>
    <w:rsid w:val="00A15619"/>
    <w:rsid w:val="00A1598B"/>
    <w:rsid w:val="00A165BD"/>
    <w:rsid w:val="00A2088E"/>
    <w:rsid w:val="00A20956"/>
    <w:rsid w:val="00A2191C"/>
    <w:rsid w:val="00A21FCE"/>
    <w:rsid w:val="00A226D3"/>
    <w:rsid w:val="00A23092"/>
    <w:rsid w:val="00A23A32"/>
    <w:rsid w:val="00A23C8E"/>
    <w:rsid w:val="00A24F01"/>
    <w:rsid w:val="00A25DEF"/>
    <w:rsid w:val="00A267B4"/>
    <w:rsid w:val="00A27B69"/>
    <w:rsid w:val="00A27CEA"/>
    <w:rsid w:val="00A3053A"/>
    <w:rsid w:val="00A305EB"/>
    <w:rsid w:val="00A319F3"/>
    <w:rsid w:val="00A324E5"/>
    <w:rsid w:val="00A327B2"/>
    <w:rsid w:val="00A3282A"/>
    <w:rsid w:val="00A32DF3"/>
    <w:rsid w:val="00A332D0"/>
    <w:rsid w:val="00A3455A"/>
    <w:rsid w:val="00A34AE8"/>
    <w:rsid w:val="00A359DE"/>
    <w:rsid w:val="00A35B5A"/>
    <w:rsid w:val="00A36683"/>
    <w:rsid w:val="00A37139"/>
    <w:rsid w:val="00A41EB2"/>
    <w:rsid w:val="00A4257F"/>
    <w:rsid w:val="00A42912"/>
    <w:rsid w:val="00A42A19"/>
    <w:rsid w:val="00A42E31"/>
    <w:rsid w:val="00A437A0"/>
    <w:rsid w:val="00A43811"/>
    <w:rsid w:val="00A43F87"/>
    <w:rsid w:val="00A4514A"/>
    <w:rsid w:val="00A457CA"/>
    <w:rsid w:val="00A503C2"/>
    <w:rsid w:val="00A50811"/>
    <w:rsid w:val="00A52855"/>
    <w:rsid w:val="00A530DD"/>
    <w:rsid w:val="00A534C1"/>
    <w:rsid w:val="00A53BFF"/>
    <w:rsid w:val="00A5423C"/>
    <w:rsid w:val="00A55772"/>
    <w:rsid w:val="00A55959"/>
    <w:rsid w:val="00A559F2"/>
    <w:rsid w:val="00A570D4"/>
    <w:rsid w:val="00A57119"/>
    <w:rsid w:val="00A57215"/>
    <w:rsid w:val="00A601E4"/>
    <w:rsid w:val="00A60845"/>
    <w:rsid w:val="00A60B2E"/>
    <w:rsid w:val="00A60FB1"/>
    <w:rsid w:val="00A61E5B"/>
    <w:rsid w:val="00A632BF"/>
    <w:rsid w:val="00A6486B"/>
    <w:rsid w:val="00A65821"/>
    <w:rsid w:val="00A65E22"/>
    <w:rsid w:val="00A66044"/>
    <w:rsid w:val="00A662E8"/>
    <w:rsid w:val="00A668B6"/>
    <w:rsid w:val="00A66B5E"/>
    <w:rsid w:val="00A67682"/>
    <w:rsid w:val="00A6793D"/>
    <w:rsid w:val="00A71FC7"/>
    <w:rsid w:val="00A72EC9"/>
    <w:rsid w:val="00A72ED3"/>
    <w:rsid w:val="00A73DCF"/>
    <w:rsid w:val="00A753E0"/>
    <w:rsid w:val="00A755F1"/>
    <w:rsid w:val="00A75C56"/>
    <w:rsid w:val="00A75CE1"/>
    <w:rsid w:val="00A75DA7"/>
    <w:rsid w:val="00A7651B"/>
    <w:rsid w:val="00A77774"/>
    <w:rsid w:val="00A81B90"/>
    <w:rsid w:val="00A81D21"/>
    <w:rsid w:val="00A81D7C"/>
    <w:rsid w:val="00A8213C"/>
    <w:rsid w:val="00A83175"/>
    <w:rsid w:val="00A8355A"/>
    <w:rsid w:val="00A8364E"/>
    <w:rsid w:val="00A83880"/>
    <w:rsid w:val="00A85B80"/>
    <w:rsid w:val="00A85F0B"/>
    <w:rsid w:val="00A87224"/>
    <w:rsid w:val="00A87D71"/>
    <w:rsid w:val="00A87E94"/>
    <w:rsid w:val="00A91D7F"/>
    <w:rsid w:val="00A91EC5"/>
    <w:rsid w:val="00A91F3E"/>
    <w:rsid w:val="00A9394C"/>
    <w:rsid w:val="00A94227"/>
    <w:rsid w:val="00A94249"/>
    <w:rsid w:val="00A9730B"/>
    <w:rsid w:val="00AA0A6C"/>
    <w:rsid w:val="00AA0DD8"/>
    <w:rsid w:val="00AA1197"/>
    <w:rsid w:val="00AA12D5"/>
    <w:rsid w:val="00AA2477"/>
    <w:rsid w:val="00AA2616"/>
    <w:rsid w:val="00AA340D"/>
    <w:rsid w:val="00AA398B"/>
    <w:rsid w:val="00AA3B3C"/>
    <w:rsid w:val="00AA3CEF"/>
    <w:rsid w:val="00AA4BD2"/>
    <w:rsid w:val="00AA4F6B"/>
    <w:rsid w:val="00AA53CE"/>
    <w:rsid w:val="00AA5EFE"/>
    <w:rsid w:val="00AA6554"/>
    <w:rsid w:val="00AA6E0A"/>
    <w:rsid w:val="00AA6FDA"/>
    <w:rsid w:val="00AB0383"/>
    <w:rsid w:val="00AB059D"/>
    <w:rsid w:val="00AB06B3"/>
    <w:rsid w:val="00AB1528"/>
    <w:rsid w:val="00AB152D"/>
    <w:rsid w:val="00AB2D28"/>
    <w:rsid w:val="00AB2FF2"/>
    <w:rsid w:val="00AB314F"/>
    <w:rsid w:val="00AB377C"/>
    <w:rsid w:val="00AB3FF6"/>
    <w:rsid w:val="00AB576E"/>
    <w:rsid w:val="00AB59D5"/>
    <w:rsid w:val="00AB66F4"/>
    <w:rsid w:val="00AC0912"/>
    <w:rsid w:val="00AC0B52"/>
    <w:rsid w:val="00AC1FFE"/>
    <w:rsid w:val="00AC201B"/>
    <w:rsid w:val="00AC21C2"/>
    <w:rsid w:val="00AC3E6F"/>
    <w:rsid w:val="00AC42F5"/>
    <w:rsid w:val="00AC46E3"/>
    <w:rsid w:val="00AC5663"/>
    <w:rsid w:val="00AC57C0"/>
    <w:rsid w:val="00AC6A02"/>
    <w:rsid w:val="00AC7087"/>
    <w:rsid w:val="00AC7940"/>
    <w:rsid w:val="00AD0122"/>
    <w:rsid w:val="00AD0A99"/>
    <w:rsid w:val="00AD309E"/>
    <w:rsid w:val="00AD3247"/>
    <w:rsid w:val="00AD36EA"/>
    <w:rsid w:val="00AD3F9E"/>
    <w:rsid w:val="00AD5403"/>
    <w:rsid w:val="00AD5DEC"/>
    <w:rsid w:val="00AD651B"/>
    <w:rsid w:val="00AD6CF0"/>
    <w:rsid w:val="00AD6E31"/>
    <w:rsid w:val="00AD6E33"/>
    <w:rsid w:val="00AD7862"/>
    <w:rsid w:val="00AE04A2"/>
    <w:rsid w:val="00AE0DDB"/>
    <w:rsid w:val="00AE2AC9"/>
    <w:rsid w:val="00AE2E91"/>
    <w:rsid w:val="00AE5075"/>
    <w:rsid w:val="00AE5389"/>
    <w:rsid w:val="00AE6CF1"/>
    <w:rsid w:val="00AF04E0"/>
    <w:rsid w:val="00AF0676"/>
    <w:rsid w:val="00AF129F"/>
    <w:rsid w:val="00AF3D17"/>
    <w:rsid w:val="00AF5199"/>
    <w:rsid w:val="00AF60A4"/>
    <w:rsid w:val="00AF637F"/>
    <w:rsid w:val="00AF69E0"/>
    <w:rsid w:val="00AF76CB"/>
    <w:rsid w:val="00B01693"/>
    <w:rsid w:val="00B021AA"/>
    <w:rsid w:val="00B02FAF"/>
    <w:rsid w:val="00B03126"/>
    <w:rsid w:val="00B049ED"/>
    <w:rsid w:val="00B04B02"/>
    <w:rsid w:val="00B05B8D"/>
    <w:rsid w:val="00B061DE"/>
    <w:rsid w:val="00B06B30"/>
    <w:rsid w:val="00B07727"/>
    <w:rsid w:val="00B1004F"/>
    <w:rsid w:val="00B1070C"/>
    <w:rsid w:val="00B11A66"/>
    <w:rsid w:val="00B123C5"/>
    <w:rsid w:val="00B12547"/>
    <w:rsid w:val="00B12583"/>
    <w:rsid w:val="00B12740"/>
    <w:rsid w:val="00B12973"/>
    <w:rsid w:val="00B132B3"/>
    <w:rsid w:val="00B139FC"/>
    <w:rsid w:val="00B14031"/>
    <w:rsid w:val="00B147BD"/>
    <w:rsid w:val="00B154FA"/>
    <w:rsid w:val="00B16BE4"/>
    <w:rsid w:val="00B173E6"/>
    <w:rsid w:val="00B1744C"/>
    <w:rsid w:val="00B20083"/>
    <w:rsid w:val="00B20FE1"/>
    <w:rsid w:val="00B2206F"/>
    <w:rsid w:val="00B228D9"/>
    <w:rsid w:val="00B23080"/>
    <w:rsid w:val="00B23966"/>
    <w:rsid w:val="00B23AB6"/>
    <w:rsid w:val="00B24285"/>
    <w:rsid w:val="00B2495E"/>
    <w:rsid w:val="00B24FE3"/>
    <w:rsid w:val="00B25E6B"/>
    <w:rsid w:val="00B260E4"/>
    <w:rsid w:val="00B26129"/>
    <w:rsid w:val="00B26C81"/>
    <w:rsid w:val="00B2735B"/>
    <w:rsid w:val="00B27CD7"/>
    <w:rsid w:val="00B27E6E"/>
    <w:rsid w:val="00B27FC7"/>
    <w:rsid w:val="00B3053B"/>
    <w:rsid w:val="00B31387"/>
    <w:rsid w:val="00B316A8"/>
    <w:rsid w:val="00B32118"/>
    <w:rsid w:val="00B32768"/>
    <w:rsid w:val="00B32858"/>
    <w:rsid w:val="00B33775"/>
    <w:rsid w:val="00B33C9B"/>
    <w:rsid w:val="00B343D5"/>
    <w:rsid w:val="00B3474F"/>
    <w:rsid w:val="00B3489D"/>
    <w:rsid w:val="00B35810"/>
    <w:rsid w:val="00B36781"/>
    <w:rsid w:val="00B36ED1"/>
    <w:rsid w:val="00B36EE8"/>
    <w:rsid w:val="00B40BE0"/>
    <w:rsid w:val="00B40FB2"/>
    <w:rsid w:val="00B41090"/>
    <w:rsid w:val="00B4155D"/>
    <w:rsid w:val="00B441F4"/>
    <w:rsid w:val="00B44F6E"/>
    <w:rsid w:val="00B4649E"/>
    <w:rsid w:val="00B51424"/>
    <w:rsid w:val="00B51652"/>
    <w:rsid w:val="00B51CC9"/>
    <w:rsid w:val="00B525D1"/>
    <w:rsid w:val="00B53729"/>
    <w:rsid w:val="00B537B2"/>
    <w:rsid w:val="00B538E6"/>
    <w:rsid w:val="00B53BFF"/>
    <w:rsid w:val="00B53EC8"/>
    <w:rsid w:val="00B551B6"/>
    <w:rsid w:val="00B556FA"/>
    <w:rsid w:val="00B56636"/>
    <w:rsid w:val="00B601E8"/>
    <w:rsid w:val="00B60720"/>
    <w:rsid w:val="00B61B65"/>
    <w:rsid w:val="00B62728"/>
    <w:rsid w:val="00B644F1"/>
    <w:rsid w:val="00B650C1"/>
    <w:rsid w:val="00B6677E"/>
    <w:rsid w:val="00B66BC3"/>
    <w:rsid w:val="00B66C8C"/>
    <w:rsid w:val="00B703B4"/>
    <w:rsid w:val="00B708AB"/>
    <w:rsid w:val="00B738A5"/>
    <w:rsid w:val="00B73FAF"/>
    <w:rsid w:val="00B75407"/>
    <w:rsid w:val="00B7582F"/>
    <w:rsid w:val="00B75BCF"/>
    <w:rsid w:val="00B7616F"/>
    <w:rsid w:val="00B83103"/>
    <w:rsid w:val="00B83D85"/>
    <w:rsid w:val="00B8483C"/>
    <w:rsid w:val="00B850AD"/>
    <w:rsid w:val="00B8651D"/>
    <w:rsid w:val="00B86EC2"/>
    <w:rsid w:val="00B8709E"/>
    <w:rsid w:val="00B90F82"/>
    <w:rsid w:val="00B93198"/>
    <w:rsid w:val="00B93929"/>
    <w:rsid w:val="00B93C54"/>
    <w:rsid w:val="00B94D0E"/>
    <w:rsid w:val="00B9607E"/>
    <w:rsid w:val="00B9713A"/>
    <w:rsid w:val="00BA0AEC"/>
    <w:rsid w:val="00BA0D73"/>
    <w:rsid w:val="00BA12B4"/>
    <w:rsid w:val="00BA147D"/>
    <w:rsid w:val="00BA1CA9"/>
    <w:rsid w:val="00BA4053"/>
    <w:rsid w:val="00BA4F27"/>
    <w:rsid w:val="00BA5003"/>
    <w:rsid w:val="00BA6D49"/>
    <w:rsid w:val="00BA758C"/>
    <w:rsid w:val="00BB16A0"/>
    <w:rsid w:val="00BB17D6"/>
    <w:rsid w:val="00BB238F"/>
    <w:rsid w:val="00BB23C2"/>
    <w:rsid w:val="00BB267E"/>
    <w:rsid w:val="00BB26DE"/>
    <w:rsid w:val="00BB30BE"/>
    <w:rsid w:val="00BB3846"/>
    <w:rsid w:val="00BB3B92"/>
    <w:rsid w:val="00BB51D4"/>
    <w:rsid w:val="00BB5E6D"/>
    <w:rsid w:val="00BB71AF"/>
    <w:rsid w:val="00BB74F8"/>
    <w:rsid w:val="00BB7E15"/>
    <w:rsid w:val="00BB7F39"/>
    <w:rsid w:val="00BC1AFF"/>
    <w:rsid w:val="00BC27D1"/>
    <w:rsid w:val="00BC399C"/>
    <w:rsid w:val="00BC3DC9"/>
    <w:rsid w:val="00BC40A2"/>
    <w:rsid w:val="00BC49B8"/>
    <w:rsid w:val="00BC5B7F"/>
    <w:rsid w:val="00BC66CB"/>
    <w:rsid w:val="00BC6927"/>
    <w:rsid w:val="00BC7CD3"/>
    <w:rsid w:val="00BC7F49"/>
    <w:rsid w:val="00BD09FA"/>
    <w:rsid w:val="00BD0E68"/>
    <w:rsid w:val="00BD0F6D"/>
    <w:rsid w:val="00BD2D8E"/>
    <w:rsid w:val="00BD3A27"/>
    <w:rsid w:val="00BD61D7"/>
    <w:rsid w:val="00BE0820"/>
    <w:rsid w:val="00BE0BC8"/>
    <w:rsid w:val="00BE241C"/>
    <w:rsid w:val="00BE2804"/>
    <w:rsid w:val="00BE2A58"/>
    <w:rsid w:val="00BE464E"/>
    <w:rsid w:val="00BE47CE"/>
    <w:rsid w:val="00BE57D9"/>
    <w:rsid w:val="00BE5C48"/>
    <w:rsid w:val="00BE6E9A"/>
    <w:rsid w:val="00BE7A0F"/>
    <w:rsid w:val="00BEAC55"/>
    <w:rsid w:val="00BF1111"/>
    <w:rsid w:val="00BF1533"/>
    <w:rsid w:val="00BF1DAA"/>
    <w:rsid w:val="00BF3446"/>
    <w:rsid w:val="00BF386F"/>
    <w:rsid w:val="00BF5652"/>
    <w:rsid w:val="00BF566C"/>
    <w:rsid w:val="00BF6309"/>
    <w:rsid w:val="00BF6615"/>
    <w:rsid w:val="00BF6E3A"/>
    <w:rsid w:val="00BF7881"/>
    <w:rsid w:val="00BF78DD"/>
    <w:rsid w:val="00BF7E55"/>
    <w:rsid w:val="00C00B9A"/>
    <w:rsid w:val="00C00DCD"/>
    <w:rsid w:val="00C01312"/>
    <w:rsid w:val="00C029D2"/>
    <w:rsid w:val="00C02DEB"/>
    <w:rsid w:val="00C02E0F"/>
    <w:rsid w:val="00C03221"/>
    <w:rsid w:val="00C04044"/>
    <w:rsid w:val="00C04A27"/>
    <w:rsid w:val="00C05469"/>
    <w:rsid w:val="00C05519"/>
    <w:rsid w:val="00C05890"/>
    <w:rsid w:val="00C05D87"/>
    <w:rsid w:val="00C061B6"/>
    <w:rsid w:val="00C065A3"/>
    <w:rsid w:val="00C1129F"/>
    <w:rsid w:val="00C1225F"/>
    <w:rsid w:val="00C1231F"/>
    <w:rsid w:val="00C144A4"/>
    <w:rsid w:val="00C206D4"/>
    <w:rsid w:val="00C20C7C"/>
    <w:rsid w:val="00C214A6"/>
    <w:rsid w:val="00C21B48"/>
    <w:rsid w:val="00C21E5C"/>
    <w:rsid w:val="00C22117"/>
    <w:rsid w:val="00C227BE"/>
    <w:rsid w:val="00C23511"/>
    <w:rsid w:val="00C2497A"/>
    <w:rsid w:val="00C2541A"/>
    <w:rsid w:val="00C2545B"/>
    <w:rsid w:val="00C25CC1"/>
    <w:rsid w:val="00C26613"/>
    <w:rsid w:val="00C26710"/>
    <w:rsid w:val="00C27B5C"/>
    <w:rsid w:val="00C30154"/>
    <w:rsid w:val="00C30677"/>
    <w:rsid w:val="00C30904"/>
    <w:rsid w:val="00C30EF7"/>
    <w:rsid w:val="00C30F32"/>
    <w:rsid w:val="00C31EE1"/>
    <w:rsid w:val="00C3205A"/>
    <w:rsid w:val="00C327CF"/>
    <w:rsid w:val="00C352FB"/>
    <w:rsid w:val="00C354C2"/>
    <w:rsid w:val="00C375EA"/>
    <w:rsid w:val="00C37762"/>
    <w:rsid w:val="00C40012"/>
    <w:rsid w:val="00C4014F"/>
    <w:rsid w:val="00C40727"/>
    <w:rsid w:val="00C417C4"/>
    <w:rsid w:val="00C42E7F"/>
    <w:rsid w:val="00C42FDD"/>
    <w:rsid w:val="00C451EC"/>
    <w:rsid w:val="00C4553E"/>
    <w:rsid w:val="00C45B47"/>
    <w:rsid w:val="00C45B84"/>
    <w:rsid w:val="00C46B44"/>
    <w:rsid w:val="00C47CB5"/>
    <w:rsid w:val="00C50298"/>
    <w:rsid w:val="00C50AE4"/>
    <w:rsid w:val="00C51B86"/>
    <w:rsid w:val="00C52202"/>
    <w:rsid w:val="00C52AC6"/>
    <w:rsid w:val="00C53222"/>
    <w:rsid w:val="00C532E1"/>
    <w:rsid w:val="00C53FF9"/>
    <w:rsid w:val="00C561CE"/>
    <w:rsid w:val="00C56E79"/>
    <w:rsid w:val="00C57696"/>
    <w:rsid w:val="00C57FDF"/>
    <w:rsid w:val="00C57FE1"/>
    <w:rsid w:val="00C57FFC"/>
    <w:rsid w:val="00C63CBF"/>
    <w:rsid w:val="00C63D82"/>
    <w:rsid w:val="00C67E64"/>
    <w:rsid w:val="00C67E72"/>
    <w:rsid w:val="00C70660"/>
    <w:rsid w:val="00C70A0A"/>
    <w:rsid w:val="00C71801"/>
    <w:rsid w:val="00C72ABB"/>
    <w:rsid w:val="00C72B40"/>
    <w:rsid w:val="00C72E01"/>
    <w:rsid w:val="00C73655"/>
    <w:rsid w:val="00C73981"/>
    <w:rsid w:val="00C746C2"/>
    <w:rsid w:val="00C75F85"/>
    <w:rsid w:val="00C769BC"/>
    <w:rsid w:val="00C76AAC"/>
    <w:rsid w:val="00C770F5"/>
    <w:rsid w:val="00C77984"/>
    <w:rsid w:val="00C80CC1"/>
    <w:rsid w:val="00C810DE"/>
    <w:rsid w:val="00C81472"/>
    <w:rsid w:val="00C815F6"/>
    <w:rsid w:val="00C836DA"/>
    <w:rsid w:val="00C8424C"/>
    <w:rsid w:val="00C84420"/>
    <w:rsid w:val="00C854FD"/>
    <w:rsid w:val="00C8630A"/>
    <w:rsid w:val="00C86F42"/>
    <w:rsid w:val="00C877D3"/>
    <w:rsid w:val="00C87F86"/>
    <w:rsid w:val="00C90217"/>
    <w:rsid w:val="00C9445B"/>
    <w:rsid w:val="00C944A9"/>
    <w:rsid w:val="00C9499B"/>
    <w:rsid w:val="00C95F98"/>
    <w:rsid w:val="00C96638"/>
    <w:rsid w:val="00C97204"/>
    <w:rsid w:val="00C9743E"/>
    <w:rsid w:val="00C9784C"/>
    <w:rsid w:val="00CA0338"/>
    <w:rsid w:val="00CA0FB3"/>
    <w:rsid w:val="00CA14AE"/>
    <w:rsid w:val="00CA1F4B"/>
    <w:rsid w:val="00CA2521"/>
    <w:rsid w:val="00CA37F0"/>
    <w:rsid w:val="00CA3912"/>
    <w:rsid w:val="00CA43BF"/>
    <w:rsid w:val="00CA616D"/>
    <w:rsid w:val="00CA61D9"/>
    <w:rsid w:val="00CB062B"/>
    <w:rsid w:val="00CB454A"/>
    <w:rsid w:val="00CB4C98"/>
    <w:rsid w:val="00CB5518"/>
    <w:rsid w:val="00CB5E4A"/>
    <w:rsid w:val="00CB6245"/>
    <w:rsid w:val="00CB7313"/>
    <w:rsid w:val="00CB7831"/>
    <w:rsid w:val="00CB7A90"/>
    <w:rsid w:val="00CC0150"/>
    <w:rsid w:val="00CC10FD"/>
    <w:rsid w:val="00CC120D"/>
    <w:rsid w:val="00CC1C8D"/>
    <w:rsid w:val="00CC2CFD"/>
    <w:rsid w:val="00CC4579"/>
    <w:rsid w:val="00CC5F5B"/>
    <w:rsid w:val="00CC767B"/>
    <w:rsid w:val="00CC7740"/>
    <w:rsid w:val="00CC7AEC"/>
    <w:rsid w:val="00CC7DEA"/>
    <w:rsid w:val="00CD2801"/>
    <w:rsid w:val="00CD36E7"/>
    <w:rsid w:val="00CD3B67"/>
    <w:rsid w:val="00CD50E4"/>
    <w:rsid w:val="00CD6969"/>
    <w:rsid w:val="00CD6A1F"/>
    <w:rsid w:val="00CD75E2"/>
    <w:rsid w:val="00CE1D89"/>
    <w:rsid w:val="00CE30EE"/>
    <w:rsid w:val="00CE376B"/>
    <w:rsid w:val="00CE51F8"/>
    <w:rsid w:val="00CE5A34"/>
    <w:rsid w:val="00CE62F2"/>
    <w:rsid w:val="00CE7BD8"/>
    <w:rsid w:val="00CF1AFD"/>
    <w:rsid w:val="00CF1FDA"/>
    <w:rsid w:val="00CF2BEB"/>
    <w:rsid w:val="00CF3BFF"/>
    <w:rsid w:val="00CF42EA"/>
    <w:rsid w:val="00CF4578"/>
    <w:rsid w:val="00CF54A3"/>
    <w:rsid w:val="00CF6B2F"/>
    <w:rsid w:val="00D00D4A"/>
    <w:rsid w:val="00D01068"/>
    <w:rsid w:val="00D011C7"/>
    <w:rsid w:val="00D01E2C"/>
    <w:rsid w:val="00D02017"/>
    <w:rsid w:val="00D02D72"/>
    <w:rsid w:val="00D04AAC"/>
    <w:rsid w:val="00D04EEB"/>
    <w:rsid w:val="00D05933"/>
    <w:rsid w:val="00D05E9E"/>
    <w:rsid w:val="00D0705C"/>
    <w:rsid w:val="00D0763A"/>
    <w:rsid w:val="00D07BB6"/>
    <w:rsid w:val="00D105DC"/>
    <w:rsid w:val="00D105E4"/>
    <w:rsid w:val="00D11A7D"/>
    <w:rsid w:val="00D1244B"/>
    <w:rsid w:val="00D12915"/>
    <w:rsid w:val="00D1345B"/>
    <w:rsid w:val="00D136EA"/>
    <w:rsid w:val="00D16F46"/>
    <w:rsid w:val="00D17AA4"/>
    <w:rsid w:val="00D21699"/>
    <w:rsid w:val="00D217A6"/>
    <w:rsid w:val="00D2280E"/>
    <w:rsid w:val="00D23115"/>
    <w:rsid w:val="00D23A81"/>
    <w:rsid w:val="00D25D6C"/>
    <w:rsid w:val="00D26EEA"/>
    <w:rsid w:val="00D26FE9"/>
    <w:rsid w:val="00D3180A"/>
    <w:rsid w:val="00D33038"/>
    <w:rsid w:val="00D3325B"/>
    <w:rsid w:val="00D3344E"/>
    <w:rsid w:val="00D343D1"/>
    <w:rsid w:val="00D34EF5"/>
    <w:rsid w:val="00D354D6"/>
    <w:rsid w:val="00D3576E"/>
    <w:rsid w:val="00D35A56"/>
    <w:rsid w:val="00D3601F"/>
    <w:rsid w:val="00D36683"/>
    <w:rsid w:val="00D36E28"/>
    <w:rsid w:val="00D36EBF"/>
    <w:rsid w:val="00D37D05"/>
    <w:rsid w:val="00D37D97"/>
    <w:rsid w:val="00D3F9AE"/>
    <w:rsid w:val="00D40A6E"/>
    <w:rsid w:val="00D40AB7"/>
    <w:rsid w:val="00D42573"/>
    <w:rsid w:val="00D43215"/>
    <w:rsid w:val="00D43B1B"/>
    <w:rsid w:val="00D43F1B"/>
    <w:rsid w:val="00D44010"/>
    <w:rsid w:val="00D44CAF"/>
    <w:rsid w:val="00D4516C"/>
    <w:rsid w:val="00D509DB"/>
    <w:rsid w:val="00D50D96"/>
    <w:rsid w:val="00D51138"/>
    <w:rsid w:val="00D51B39"/>
    <w:rsid w:val="00D520A0"/>
    <w:rsid w:val="00D542A2"/>
    <w:rsid w:val="00D542B4"/>
    <w:rsid w:val="00D5518A"/>
    <w:rsid w:val="00D55850"/>
    <w:rsid w:val="00D56984"/>
    <w:rsid w:val="00D56AAC"/>
    <w:rsid w:val="00D60A6C"/>
    <w:rsid w:val="00D61E12"/>
    <w:rsid w:val="00D61FD6"/>
    <w:rsid w:val="00D62D4C"/>
    <w:rsid w:val="00D63CEC"/>
    <w:rsid w:val="00D66A68"/>
    <w:rsid w:val="00D67FE8"/>
    <w:rsid w:val="00D7033F"/>
    <w:rsid w:val="00D70DC9"/>
    <w:rsid w:val="00D7135B"/>
    <w:rsid w:val="00D72070"/>
    <w:rsid w:val="00D721D0"/>
    <w:rsid w:val="00D722B9"/>
    <w:rsid w:val="00D733B6"/>
    <w:rsid w:val="00D74908"/>
    <w:rsid w:val="00D75467"/>
    <w:rsid w:val="00D75C1E"/>
    <w:rsid w:val="00D7638F"/>
    <w:rsid w:val="00D7666D"/>
    <w:rsid w:val="00D76F2F"/>
    <w:rsid w:val="00D7774A"/>
    <w:rsid w:val="00D7776D"/>
    <w:rsid w:val="00D77A4D"/>
    <w:rsid w:val="00D80103"/>
    <w:rsid w:val="00D80997"/>
    <w:rsid w:val="00D817F4"/>
    <w:rsid w:val="00D82311"/>
    <w:rsid w:val="00D824F0"/>
    <w:rsid w:val="00D83C11"/>
    <w:rsid w:val="00D846EC"/>
    <w:rsid w:val="00D850B4"/>
    <w:rsid w:val="00D85B68"/>
    <w:rsid w:val="00D85BD2"/>
    <w:rsid w:val="00D86113"/>
    <w:rsid w:val="00D8642A"/>
    <w:rsid w:val="00D86C65"/>
    <w:rsid w:val="00D87DB6"/>
    <w:rsid w:val="00D909A3"/>
    <w:rsid w:val="00D90BFE"/>
    <w:rsid w:val="00D915C9"/>
    <w:rsid w:val="00D91890"/>
    <w:rsid w:val="00D92590"/>
    <w:rsid w:val="00D9260A"/>
    <w:rsid w:val="00D92FF2"/>
    <w:rsid w:val="00D9376B"/>
    <w:rsid w:val="00D93A9B"/>
    <w:rsid w:val="00D9595F"/>
    <w:rsid w:val="00D9673B"/>
    <w:rsid w:val="00DA083E"/>
    <w:rsid w:val="00DA268D"/>
    <w:rsid w:val="00DA50B0"/>
    <w:rsid w:val="00DA543D"/>
    <w:rsid w:val="00DA791C"/>
    <w:rsid w:val="00DB21DC"/>
    <w:rsid w:val="00DB284C"/>
    <w:rsid w:val="00DB2DE2"/>
    <w:rsid w:val="00DB3351"/>
    <w:rsid w:val="00DB4724"/>
    <w:rsid w:val="00DB4B9A"/>
    <w:rsid w:val="00DB57AF"/>
    <w:rsid w:val="00DC0292"/>
    <w:rsid w:val="00DC0EB7"/>
    <w:rsid w:val="00DC1470"/>
    <w:rsid w:val="00DC18F2"/>
    <w:rsid w:val="00DC19E2"/>
    <w:rsid w:val="00DC1CBD"/>
    <w:rsid w:val="00DC2BC6"/>
    <w:rsid w:val="00DC3546"/>
    <w:rsid w:val="00DC4BAF"/>
    <w:rsid w:val="00DC5684"/>
    <w:rsid w:val="00DC59BA"/>
    <w:rsid w:val="00DC62F3"/>
    <w:rsid w:val="00DD121C"/>
    <w:rsid w:val="00DD196A"/>
    <w:rsid w:val="00DD3C41"/>
    <w:rsid w:val="00DD3DA3"/>
    <w:rsid w:val="00DD72ED"/>
    <w:rsid w:val="00DE0683"/>
    <w:rsid w:val="00DE1409"/>
    <w:rsid w:val="00DE1A9E"/>
    <w:rsid w:val="00DE1BE8"/>
    <w:rsid w:val="00DE32CC"/>
    <w:rsid w:val="00DE36A9"/>
    <w:rsid w:val="00DE3D3D"/>
    <w:rsid w:val="00DE50B9"/>
    <w:rsid w:val="00DE66C1"/>
    <w:rsid w:val="00DE6FAF"/>
    <w:rsid w:val="00DE7907"/>
    <w:rsid w:val="00DF1065"/>
    <w:rsid w:val="00DF1165"/>
    <w:rsid w:val="00DF1756"/>
    <w:rsid w:val="00DF1803"/>
    <w:rsid w:val="00DF1CC2"/>
    <w:rsid w:val="00DF305B"/>
    <w:rsid w:val="00DF3255"/>
    <w:rsid w:val="00DF3810"/>
    <w:rsid w:val="00DF3AF2"/>
    <w:rsid w:val="00DF5FCA"/>
    <w:rsid w:val="00DF70A2"/>
    <w:rsid w:val="00DF782A"/>
    <w:rsid w:val="00E02625"/>
    <w:rsid w:val="00E02AEA"/>
    <w:rsid w:val="00E03ED4"/>
    <w:rsid w:val="00E06E95"/>
    <w:rsid w:val="00E1018C"/>
    <w:rsid w:val="00E10D35"/>
    <w:rsid w:val="00E1234D"/>
    <w:rsid w:val="00E134C0"/>
    <w:rsid w:val="00E146C1"/>
    <w:rsid w:val="00E14F59"/>
    <w:rsid w:val="00E15255"/>
    <w:rsid w:val="00E159F8"/>
    <w:rsid w:val="00E15F30"/>
    <w:rsid w:val="00E161F9"/>
    <w:rsid w:val="00E16846"/>
    <w:rsid w:val="00E17342"/>
    <w:rsid w:val="00E17A62"/>
    <w:rsid w:val="00E17DF7"/>
    <w:rsid w:val="00E2017D"/>
    <w:rsid w:val="00E205AC"/>
    <w:rsid w:val="00E20D51"/>
    <w:rsid w:val="00E21F27"/>
    <w:rsid w:val="00E238A4"/>
    <w:rsid w:val="00E238AB"/>
    <w:rsid w:val="00E2450F"/>
    <w:rsid w:val="00E247C1"/>
    <w:rsid w:val="00E2528E"/>
    <w:rsid w:val="00E25A90"/>
    <w:rsid w:val="00E26A62"/>
    <w:rsid w:val="00E27654"/>
    <w:rsid w:val="00E29532"/>
    <w:rsid w:val="00E30DAD"/>
    <w:rsid w:val="00E31121"/>
    <w:rsid w:val="00E317CE"/>
    <w:rsid w:val="00E31942"/>
    <w:rsid w:val="00E3276E"/>
    <w:rsid w:val="00E32D00"/>
    <w:rsid w:val="00E32EB4"/>
    <w:rsid w:val="00E3362C"/>
    <w:rsid w:val="00E33BB1"/>
    <w:rsid w:val="00E351D6"/>
    <w:rsid w:val="00E35AD2"/>
    <w:rsid w:val="00E36F4D"/>
    <w:rsid w:val="00E40600"/>
    <w:rsid w:val="00E40A72"/>
    <w:rsid w:val="00E410C5"/>
    <w:rsid w:val="00E412B7"/>
    <w:rsid w:val="00E44C4F"/>
    <w:rsid w:val="00E457E7"/>
    <w:rsid w:val="00E45B8C"/>
    <w:rsid w:val="00E46479"/>
    <w:rsid w:val="00E46B05"/>
    <w:rsid w:val="00E505A3"/>
    <w:rsid w:val="00E50678"/>
    <w:rsid w:val="00E508B8"/>
    <w:rsid w:val="00E50BD0"/>
    <w:rsid w:val="00E52075"/>
    <w:rsid w:val="00E52FD4"/>
    <w:rsid w:val="00E53A71"/>
    <w:rsid w:val="00E545C8"/>
    <w:rsid w:val="00E54B4E"/>
    <w:rsid w:val="00E54D51"/>
    <w:rsid w:val="00E54F05"/>
    <w:rsid w:val="00E551E0"/>
    <w:rsid w:val="00E55887"/>
    <w:rsid w:val="00E55953"/>
    <w:rsid w:val="00E562DF"/>
    <w:rsid w:val="00E6042D"/>
    <w:rsid w:val="00E60DA1"/>
    <w:rsid w:val="00E60DA4"/>
    <w:rsid w:val="00E6195A"/>
    <w:rsid w:val="00E6253A"/>
    <w:rsid w:val="00E62F64"/>
    <w:rsid w:val="00E64878"/>
    <w:rsid w:val="00E650FA"/>
    <w:rsid w:val="00E65AE8"/>
    <w:rsid w:val="00E65C19"/>
    <w:rsid w:val="00E66275"/>
    <w:rsid w:val="00E71060"/>
    <w:rsid w:val="00E71322"/>
    <w:rsid w:val="00E716F9"/>
    <w:rsid w:val="00E72BEF"/>
    <w:rsid w:val="00E7369B"/>
    <w:rsid w:val="00E73AA7"/>
    <w:rsid w:val="00E73B2B"/>
    <w:rsid w:val="00E73B33"/>
    <w:rsid w:val="00E741A7"/>
    <w:rsid w:val="00E749F3"/>
    <w:rsid w:val="00E75D66"/>
    <w:rsid w:val="00E7637F"/>
    <w:rsid w:val="00E766A6"/>
    <w:rsid w:val="00E76ED7"/>
    <w:rsid w:val="00E77D37"/>
    <w:rsid w:val="00E77F39"/>
    <w:rsid w:val="00E82796"/>
    <w:rsid w:val="00E83339"/>
    <w:rsid w:val="00E833E2"/>
    <w:rsid w:val="00E83C88"/>
    <w:rsid w:val="00E841CB"/>
    <w:rsid w:val="00E85509"/>
    <w:rsid w:val="00E86858"/>
    <w:rsid w:val="00E901F5"/>
    <w:rsid w:val="00E916C4"/>
    <w:rsid w:val="00E92969"/>
    <w:rsid w:val="00E92E8E"/>
    <w:rsid w:val="00E93614"/>
    <w:rsid w:val="00E93907"/>
    <w:rsid w:val="00E93DCC"/>
    <w:rsid w:val="00E944D1"/>
    <w:rsid w:val="00E94DE4"/>
    <w:rsid w:val="00E94FEB"/>
    <w:rsid w:val="00E97662"/>
    <w:rsid w:val="00E97B8D"/>
    <w:rsid w:val="00EA0157"/>
    <w:rsid w:val="00EA074F"/>
    <w:rsid w:val="00EA149B"/>
    <w:rsid w:val="00EA1818"/>
    <w:rsid w:val="00EA1914"/>
    <w:rsid w:val="00EA2879"/>
    <w:rsid w:val="00EA3F3C"/>
    <w:rsid w:val="00EA47AC"/>
    <w:rsid w:val="00EA501D"/>
    <w:rsid w:val="00EA5043"/>
    <w:rsid w:val="00EA506D"/>
    <w:rsid w:val="00EA5ADE"/>
    <w:rsid w:val="00EA68D3"/>
    <w:rsid w:val="00EA71D2"/>
    <w:rsid w:val="00EA76B8"/>
    <w:rsid w:val="00EB299C"/>
    <w:rsid w:val="00EB3C23"/>
    <w:rsid w:val="00EB3E1E"/>
    <w:rsid w:val="00EB43B5"/>
    <w:rsid w:val="00EB4D05"/>
    <w:rsid w:val="00EB5BD6"/>
    <w:rsid w:val="00EB64F0"/>
    <w:rsid w:val="00EB6FD2"/>
    <w:rsid w:val="00EB77D3"/>
    <w:rsid w:val="00EC0EA6"/>
    <w:rsid w:val="00EC3229"/>
    <w:rsid w:val="00EC382A"/>
    <w:rsid w:val="00EC38A2"/>
    <w:rsid w:val="00EC3A5A"/>
    <w:rsid w:val="00EC4804"/>
    <w:rsid w:val="00EC49FD"/>
    <w:rsid w:val="00EC711B"/>
    <w:rsid w:val="00EC7EB9"/>
    <w:rsid w:val="00ED03B8"/>
    <w:rsid w:val="00ED1BED"/>
    <w:rsid w:val="00ED2109"/>
    <w:rsid w:val="00ED2670"/>
    <w:rsid w:val="00ED2DB8"/>
    <w:rsid w:val="00ED4974"/>
    <w:rsid w:val="00ED71D0"/>
    <w:rsid w:val="00ED7431"/>
    <w:rsid w:val="00ED7D90"/>
    <w:rsid w:val="00EE08AC"/>
    <w:rsid w:val="00EE0A0D"/>
    <w:rsid w:val="00EE1115"/>
    <w:rsid w:val="00EE176E"/>
    <w:rsid w:val="00EE2ED6"/>
    <w:rsid w:val="00EE3427"/>
    <w:rsid w:val="00EE4607"/>
    <w:rsid w:val="00EE476F"/>
    <w:rsid w:val="00EE4D12"/>
    <w:rsid w:val="00EE55AE"/>
    <w:rsid w:val="00EE70AE"/>
    <w:rsid w:val="00EF0FCC"/>
    <w:rsid w:val="00EF12AA"/>
    <w:rsid w:val="00EF2451"/>
    <w:rsid w:val="00EF3C59"/>
    <w:rsid w:val="00EF427D"/>
    <w:rsid w:val="00EF4901"/>
    <w:rsid w:val="00EF54B2"/>
    <w:rsid w:val="00EF62BF"/>
    <w:rsid w:val="00EF6494"/>
    <w:rsid w:val="00EF6AE1"/>
    <w:rsid w:val="00EF7012"/>
    <w:rsid w:val="00EF7165"/>
    <w:rsid w:val="00EF7268"/>
    <w:rsid w:val="00EF7486"/>
    <w:rsid w:val="00F0006C"/>
    <w:rsid w:val="00F00483"/>
    <w:rsid w:val="00F00B31"/>
    <w:rsid w:val="00F00D40"/>
    <w:rsid w:val="00F01838"/>
    <w:rsid w:val="00F03875"/>
    <w:rsid w:val="00F038A4"/>
    <w:rsid w:val="00F0500B"/>
    <w:rsid w:val="00F051D4"/>
    <w:rsid w:val="00F0561D"/>
    <w:rsid w:val="00F06050"/>
    <w:rsid w:val="00F11F64"/>
    <w:rsid w:val="00F12156"/>
    <w:rsid w:val="00F13252"/>
    <w:rsid w:val="00F139CF"/>
    <w:rsid w:val="00F14667"/>
    <w:rsid w:val="00F14974"/>
    <w:rsid w:val="00F1504C"/>
    <w:rsid w:val="00F15214"/>
    <w:rsid w:val="00F153D2"/>
    <w:rsid w:val="00F157B9"/>
    <w:rsid w:val="00F1612C"/>
    <w:rsid w:val="00F165C8"/>
    <w:rsid w:val="00F169B9"/>
    <w:rsid w:val="00F16BF8"/>
    <w:rsid w:val="00F1732C"/>
    <w:rsid w:val="00F17428"/>
    <w:rsid w:val="00F17CC4"/>
    <w:rsid w:val="00F17FCC"/>
    <w:rsid w:val="00F20A99"/>
    <w:rsid w:val="00F212E5"/>
    <w:rsid w:val="00F2155A"/>
    <w:rsid w:val="00F21EDE"/>
    <w:rsid w:val="00F22066"/>
    <w:rsid w:val="00F2241B"/>
    <w:rsid w:val="00F22B8A"/>
    <w:rsid w:val="00F2304F"/>
    <w:rsid w:val="00F231D9"/>
    <w:rsid w:val="00F23C9B"/>
    <w:rsid w:val="00F24FB5"/>
    <w:rsid w:val="00F254FA"/>
    <w:rsid w:val="00F3077D"/>
    <w:rsid w:val="00F31132"/>
    <w:rsid w:val="00F3155F"/>
    <w:rsid w:val="00F317CC"/>
    <w:rsid w:val="00F31C9E"/>
    <w:rsid w:val="00F32C93"/>
    <w:rsid w:val="00F33932"/>
    <w:rsid w:val="00F339D4"/>
    <w:rsid w:val="00F34C58"/>
    <w:rsid w:val="00F36639"/>
    <w:rsid w:val="00F37825"/>
    <w:rsid w:val="00F4064F"/>
    <w:rsid w:val="00F40D44"/>
    <w:rsid w:val="00F415F2"/>
    <w:rsid w:val="00F43BAC"/>
    <w:rsid w:val="00F44A78"/>
    <w:rsid w:val="00F44F82"/>
    <w:rsid w:val="00F455B7"/>
    <w:rsid w:val="00F458DF"/>
    <w:rsid w:val="00F45DDD"/>
    <w:rsid w:val="00F46635"/>
    <w:rsid w:val="00F472E0"/>
    <w:rsid w:val="00F5001E"/>
    <w:rsid w:val="00F502FB"/>
    <w:rsid w:val="00F50962"/>
    <w:rsid w:val="00F53166"/>
    <w:rsid w:val="00F53438"/>
    <w:rsid w:val="00F53CF6"/>
    <w:rsid w:val="00F54B71"/>
    <w:rsid w:val="00F553DE"/>
    <w:rsid w:val="00F55DE9"/>
    <w:rsid w:val="00F5601C"/>
    <w:rsid w:val="00F56F7B"/>
    <w:rsid w:val="00F5732D"/>
    <w:rsid w:val="00F5796E"/>
    <w:rsid w:val="00F60931"/>
    <w:rsid w:val="00F622D0"/>
    <w:rsid w:val="00F625B3"/>
    <w:rsid w:val="00F62A28"/>
    <w:rsid w:val="00F62EB6"/>
    <w:rsid w:val="00F63C2E"/>
    <w:rsid w:val="00F64151"/>
    <w:rsid w:val="00F6549F"/>
    <w:rsid w:val="00F6578A"/>
    <w:rsid w:val="00F657CF"/>
    <w:rsid w:val="00F65CF2"/>
    <w:rsid w:val="00F65FA5"/>
    <w:rsid w:val="00F67900"/>
    <w:rsid w:val="00F701D4"/>
    <w:rsid w:val="00F702E5"/>
    <w:rsid w:val="00F70B1B"/>
    <w:rsid w:val="00F70DFF"/>
    <w:rsid w:val="00F720AD"/>
    <w:rsid w:val="00F744EE"/>
    <w:rsid w:val="00F74D86"/>
    <w:rsid w:val="00F7516B"/>
    <w:rsid w:val="00F766F1"/>
    <w:rsid w:val="00F77340"/>
    <w:rsid w:val="00F77570"/>
    <w:rsid w:val="00F80045"/>
    <w:rsid w:val="00F80EA9"/>
    <w:rsid w:val="00F81138"/>
    <w:rsid w:val="00F81C92"/>
    <w:rsid w:val="00F81DC6"/>
    <w:rsid w:val="00F8362A"/>
    <w:rsid w:val="00F842F4"/>
    <w:rsid w:val="00F8455E"/>
    <w:rsid w:val="00F8567C"/>
    <w:rsid w:val="00F85B4F"/>
    <w:rsid w:val="00F85DB1"/>
    <w:rsid w:val="00F87A47"/>
    <w:rsid w:val="00F904EA"/>
    <w:rsid w:val="00F90552"/>
    <w:rsid w:val="00F91181"/>
    <w:rsid w:val="00F9118F"/>
    <w:rsid w:val="00F951A5"/>
    <w:rsid w:val="00F957E1"/>
    <w:rsid w:val="00F96010"/>
    <w:rsid w:val="00F96610"/>
    <w:rsid w:val="00F97106"/>
    <w:rsid w:val="00F972C6"/>
    <w:rsid w:val="00F97A6D"/>
    <w:rsid w:val="00F97C54"/>
    <w:rsid w:val="00FA0279"/>
    <w:rsid w:val="00FA0855"/>
    <w:rsid w:val="00FA1231"/>
    <w:rsid w:val="00FA144A"/>
    <w:rsid w:val="00FA213C"/>
    <w:rsid w:val="00FA26EB"/>
    <w:rsid w:val="00FA388C"/>
    <w:rsid w:val="00FA4005"/>
    <w:rsid w:val="00FA48B2"/>
    <w:rsid w:val="00FA4AAC"/>
    <w:rsid w:val="00FA5419"/>
    <w:rsid w:val="00FA57BC"/>
    <w:rsid w:val="00FA792B"/>
    <w:rsid w:val="00FA7B28"/>
    <w:rsid w:val="00FB23C1"/>
    <w:rsid w:val="00FB2B30"/>
    <w:rsid w:val="00FB30E6"/>
    <w:rsid w:val="00FB3AE8"/>
    <w:rsid w:val="00FB49EC"/>
    <w:rsid w:val="00FB6091"/>
    <w:rsid w:val="00FB62BD"/>
    <w:rsid w:val="00FB63FA"/>
    <w:rsid w:val="00FB659E"/>
    <w:rsid w:val="00FC0610"/>
    <w:rsid w:val="00FC0DEC"/>
    <w:rsid w:val="00FC13ED"/>
    <w:rsid w:val="00FC1D49"/>
    <w:rsid w:val="00FC3A0C"/>
    <w:rsid w:val="00FC3DC6"/>
    <w:rsid w:val="00FC4566"/>
    <w:rsid w:val="00FC4CAC"/>
    <w:rsid w:val="00FC604F"/>
    <w:rsid w:val="00FC6BA4"/>
    <w:rsid w:val="00FC7233"/>
    <w:rsid w:val="00FC755B"/>
    <w:rsid w:val="00FC7AE9"/>
    <w:rsid w:val="00FC7DB0"/>
    <w:rsid w:val="00FD036E"/>
    <w:rsid w:val="00FD03FA"/>
    <w:rsid w:val="00FD12FF"/>
    <w:rsid w:val="00FD3EB7"/>
    <w:rsid w:val="00FD4204"/>
    <w:rsid w:val="00FD5B92"/>
    <w:rsid w:val="00FD60CE"/>
    <w:rsid w:val="00FD61E9"/>
    <w:rsid w:val="00FD65E5"/>
    <w:rsid w:val="00FD6DEE"/>
    <w:rsid w:val="00FD6F38"/>
    <w:rsid w:val="00FD6F4B"/>
    <w:rsid w:val="00FD75F8"/>
    <w:rsid w:val="00FD7AAD"/>
    <w:rsid w:val="00FD7E81"/>
    <w:rsid w:val="00FE10EC"/>
    <w:rsid w:val="00FE138E"/>
    <w:rsid w:val="00FE29BF"/>
    <w:rsid w:val="00FE3C6A"/>
    <w:rsid w:val="00FE3C81"/>
    <w:rsid w:val="00FE47FE"/>
    <w:rsid w:val="00FE6E13"/>
    <w:rsid w:val="00FE714B"/>
    <w:rsid w:val="00FF092A"/>
    <w:rsid w:val="00FF139F"/>
    <w:rsid w:val="00FF2727"/>
    <w:rsid w:val="00FF3634"/>
    <w:rsid w:val="00FF4956"/>
    <w:rsid w:val="00FF49F3"/>
    <w:rsid w:val="00FF4B57"/>
    <w:rsid w:val="00FF50FA"/>
    <w:rsid w:val="00FF519F"/>
    <w:rsid w:val="00FF56A8"/>
    <w:rsid w:val="00FF57B8"/>
    <w:rsid w:val="00FF5934"/>
    <w:rsid w:val="00FF633E"/>
    <w:rsid w:val="00FF6C26"/>
    <w:rsid w:val="00FF6E54"/>
    <w:rsid w:val="0117AE33"/>
    <w:rsid w:val="011DE52A"/>
    <w:rsid w:val="01320CE2"/>
    <w:rsid w:val="017AF32D"/>
    <w:rsid w:val="018FF6A1"/>
    <w:rsid w:val="019E7A6D"/>
    <w:rsid w:val="01EE8258"/>
    <w:rsid w:val="01F94BFC"/>
    <w:rsid w:val="020750F7"/>
    <w:rsid w:val="020F4C3D"/>
    <w:rsid w:val="0216D1F1"/>
    <w:rsid w:val="021D0802"/>
    <w:rsid w:val="023E4E45"/>
    <w:rsid w:val="025F8FA8"/>
    <w:rsid w:val="0274629A"/>
    <w:rsid w:val="028EC44C"/>
    <w:rsid w:val="02A57E28"/>
    <w:rsid w:val="02C26809"/>
    <w:rsid w:val="02CDE0B2"/>
    <w:rsid w:val="02CDE809"/>
    <w:rsid w:val="02D1C0B2"/>
    <w:rsid w:val="02F332FB"/>
    <w:rsid w:val="0306A6F6"/>
    <w:rsid w:val="03171253"/>
    <w:rsid w:val="032A525B"/>
    <w:rsid w:val="0350AB2E"/>
    <w:rsid w:val="03516D58"/>
    <w:rsid w:val="0388CC1D"/>
    <w:rsid w:val="03A046F9"/>
    <w:rsid w:val="03EFDBE5"/>
    <w:rsid w:val="0405D64D"/>
    <w:rsid w:val="040681FD"/>
    <w:rsid w:val="04550806"/>
    <w:rsid w:val="045C1070"/>
    <w:rsid w:val="04F74DE3"/>
    <w:rsid w:val="0503FB16"/>
    <w:rsid w:val="050444E1"/>
    <w:rsid w:val="05130304"/>
    <w:rsid w:val="051FD3C6"/>
    <w:rsid w:val="0539F1FF"/>
    <w:rsid w:val="05CBAFF9"/>
    <w:rsid w:val="05D72481"/>
    <w:rsid w:val="05EA0EE2"/>
    <w:rsid w:val="064CA7DF"/>
    <w:rsid w:val="06567508"/>
    <w:rsid w:val="0674220C"/>
    <w:rsid w:val="068B30B5"/>
    <w:rsid w:val="0695267D"/>
    <w:rsid w:val="06C76469"/>
    <w:rsid w:val="06CE645C"/>
    <w:rsid w:val="06DD23C9"/>
    <w:rsid w:val="06E293D6"/>
    <w:rsid w:val="06E55626"/>
    <w:rsid w:val="06F58564"/>
    <w:rsid w:val="07251C5B"/>
    <w:rsid w:val="0732B1B3"/>
    <w:rsid w:val="0738D63B"/>
    <w:rsid w:val="074D9E65"/>
    <w:rsid w:val="075FCAA1"/>
    <w:rsid w:val="07B66234"/>
    <w:rsid w:val="07DBFD44"/>
    <w:rsid w:val="07EB8845"/>
    <w:rsid w:val="080BC12F"/>
    <w:rsid w:val="08737B01"/>
    <w:rsid w:val="088CB81B"/>
    <w:rsid w:val="08936BBD"/>
    <w:rsid w:val="089B9160"/>
    <w:rsid w:val="08DD2F16"/>
    <w:rsid w:val="08DE7226"/>
    <w:rsid w:val="08E6BA80"/>
    <w:rsid w:val="08EF4B12"/>
    <w:rsid w:val="08F0AD64"/>
    <w:rsid w:val="08FF9FDC"/>
    <w:rsid w:val="091361D8"/>
    <w:rsid w:val="0957CDB4"/>
    <w:rsid w:val="0969E5C8"/>
    <w:rsid w:val="0986F29F"/>
    <w:rsid w:val="0988F13D"/>
    <w:rsid w:val="0989F80A"/>
    <w:rsid w:val="0993E012"/>
    <w:rsid w:val="09AC7208"/>
    <w:rsid w:val="09B0577E"/>
    <w:rsid w:val="09C6B988"/>
    <w:rsid w:val="09CE536D"/>
    <w:rsid w:val="09DA6996"/>
    <w:rsid w:val="0A00A692"/>
    <w:rsid w:val="0A0E3D32"/>
    <w:rsid w:val="0A289612"/>
    <w:rsid w:val="0A2C8E79"/>
    <w:rsid w:val="0A8F144B"/>
    <w:rsid w:val="0A9044F9"/>
    <w:rsid w:val="0A957674"/>
    <w:rsid w:val="0A96400D"/>
    <w:rsid w:val="0A983778"/>
    <w:rsid w:val="0AA3E3BE"/>
    <w:rsid w:val="0AC88C3F"/>
    <w:rsid w:val="0B06432D"/>
    <w:rsid w:val="0B28C89A"/>
    <w:rsid w:val="0B2D3080"/>
    <w:rsid w:val="0B3707E6"/>
    <w:rsid w:val="0BFD5553"/>
    <w:rsid w:val="0C01A931"/>
    <w:rsid w:val="0C04FC51"/>
    <w:rsid w:val="0C064D75"/>
    <w:rsid w:val="0C194F5A"/>
    <w:rsid w:val="0C228C46"/>
    <w:rsid w:val="0C5220C1"/>
    <w:rsid w:val="0C6A3162"/>
    <w:rsid w:val="0C883148"/>
    <w:rsid w:val="0C98D5C7"/>
    <w:rsid w:val="0CA83613"/>
    <w:rsid w:val="0CC458DB"/>
    <w:rsid w:val="0D0D320C"/>
    <w:rsid w:val="0D1A5F33"/>
    <w:rsid w:val="0D1F4C7A"/>
    <w:rsid w:val="0D689777"/>
    <w:rsid w:val="0D905F5F"/>
    <w:rsid w:val="0D9200FF"/>
    <w:rsid w:val="0D9A34B5"/>
    <w:rsid w:val="0D9B240F"/>
    <w:rsid w:val="0DBEE455"/>
    <w:rsid w:val="0DCF4E0C"/>
    <w:rsid w:val="0DFCD11E"/>
    <w:rsid w:val="0E0C8D1C"/>
    <w:rsid w:val="0E3DF27E"/>
    <w:rsid w:val="0E4084DB"/>
    <w:rsid w:val="0E43A9AF"/>
    <w:rsid w:val="0E54022F"/>
    <w:rsid w:val="0E79F2E9"/>
    <w:rsid w:val="0E7DDA86"/>
    <w:rsid w:val="0E898501"/>
    <w:rsid w:val="0E9D2F97"/>
    <w:rsid w:val="0E9FC6EC"/>
    <w:rsid w:val="0EA2DA02"/>
    <w:rsid w:val="0EC28243"/>
    <w:rsid w:val="0ED69071"/>
    <w:rsid w:val="0F3A4AF1"/>
    <w:rsid w:val="0F4A3133"/>
    <w:rsid w:val="0FE1D6C9"/>
    <w:rsid w:val="101A2C5C"/>
    <w:rsid w:val="102880E8"/>
    <w:rsid w:val="1043C62D"/>
    <w:rsid w:val="104EF111"/>
    <w:rsid w:val="104F74BC"/>
    <w:rsid w:val="10996245"/>
    <w:rsid w:val="10B7D650"/>
    <w:rsid w:val="10B8BD22"/>
    <w:rsid w:val="10BE5995"/>
    <w:rsid w:val="11048C13"/>
    <w:rsid w:val="113126C3"/>
    <w:rsid w:val="1142BC4C"/>
    <w:rsid w:val="115BA15F"/>
    <w:rsid w:val="1173FA43"/>
    <w:rsid w:val="11845387"/>
    <w:rsid w:val="11963425"/>
    <w:rsid w:val="11BFEAC4"/>
    <w:rsid w:val="11F72097"/>
    <w:rsid w:val="12099623"/>
    <w:rsid w:val="12342335"/>
    <w:rsid w:val="12461513"/>
    <w:rsid w:val="124B2299"/>
    <w:rsid w:val="125EF62D"/>
    <w:rsid w:val="126A3BD3"/>
    <w:rsid w:val="1273026B"/>
    <w:rsid w:val="129BE59C"/>
    <w:rsid w:val="12D90D84"/>
    <w:rsid w:val="13179B15"/>
    <w:rsid w:val="1317E077"/>
    <w:rsid w:val="133D901F"/>
    <w:rsid w:val="1342854E"/>
    <w:rsid w:val="135FE400"/>
    <w:rsid w:val="136FF32C"/>
    <w:rsid w:val="137C0084"/>
    <w:rsid w:val="1391174F"/>
    <w:rsid w:val="1396F72A"/>
    <w:rsid w:val="13C05BFF"/>
    <w:rsid w:val="13D91E13"/>
    <w:rsid w:val="13E0BDEC"/>
    <w:rsid w:val="1409F5D4"/>
    <w:rsid w:val="1431BE49"/>
    <w:rsid w:val="1434FCCF"/>
    <w:rsid w:val="1455534A"/>
    <w:rsid w:val="14777C89"/>
    <w:rsid w:val="14BBBD11"/>
    <w:rsid w:val="14C72173"/>
    <w:rsid w:val="14C73EF6"/>
    <w:rsid w:val="14D5F62B"/>
    <w:rsid w:val="14EAFC66"/>
    <w:rsid w:val="14EB5EAE"/>
    <w:rsid w:val="14EDDE47"/>
    <w:rsid w:val="155160C0"/>
    <w:rsid w:val="156B8C26"/>
    <w:rsid w:val="15B16523"/>
    <w:rsid w:val="15C26AAD"/>
    <w:rsid w:val="15D034B5"/>
    <w:rsid w:val="15E0B126"/>
    <w:rsid w:val="15F1E1C8"/>
    <w:rsid w:val="1600D635"/>
    <w:rsid w:val="16098337"/>
    <w:rsid w:val="1621576E"/>
    <w:rsid w:val="1653C0FF"/>
    <w:rsid w:val="166C8F22"/>
    <w:rsid w:val="16A8FB3A"/>
    <w:rsid w:val="16CB1F62"/>
    <w:rsid w:val="16D4435D"/>
    <w:rsid w:val="16E3077F"/>
    <w:rsid w:val="1703A240"/>
    <w:rsid w:val="171A25A4"/>
    <w:rsid w:val="17399157"/>
    <w:rsid w:val="173A2CCB"/>
    <w:rsid w:val="1784C6F0"/>
    <w:rsid w:val="1793D609"/>
    <w:rsid w:val="180ADE10"/>
    <w:rsid w:val="1830C7B1"/>
    <w:rsid w:val="18488D51"/>
    <w:rsid w:val="1853430B"/>
    <w:rsid w:val="18558AE6"/>
    <w:rsid w:val="1859C4D1"/>
    <w:rsid w:val="185E1471"/>
    <w:rsid w:val="1878043B"/>
    <w:rsid w:val="187C06FF"/>
    <w:rsid w:val="1897582C"/>
    <w:rsid w:val="18B51F3A"/>
    <w:rsid w:val="18C38E63"/>
    <w:rsid w:val="18D4CE67"/>
    <w:rsid w:val="18D9CF24"/>
    <w:rsid w:val="18DEDE16"/>
    <w:rsid w:val="18E1B25A"/>
    <w:rsid w:val="1907E5EA"/>
    <w:rsid w:val="190C08A8"/>
    <w:rsid w:val="19125761"/>
    <w:rsid w:val="192D113B"/>
    <w:rsid w:val="19306450"/>
    <w:rsid w:val="1935D9AA"/>
    <w:rsid w:val="1951DC5A"/>
    <w:rsid w:val="199B0DC8"/>
    <w:rsid w:val="19CDC849"/>
    <w:rsid w:val="1A11E125"/>
    <w:rsid w:val="1A2A0B97"/>
    <w:rsid w:val="1A7EE406"/>
    <w:rsid w:val="1A80FF8B"/>
    <w:rsid w:val="1A8740E6"/>
    <w:rsid w:val="1AC3C161"/>
    <w:rsid w:val="1AD8E327"/>
    <w:rsid w:val="1AFA38EB"/>
    <w:rsid w:val="1B1EAA20"/>
    <w:rsid w:val="1B389012"/>
    <w:rsid w:val="1B457925"/>
    <w:rsid w:val="1B4A07D3"/>
    <w:rsid w:val="1B576EDF"/>
    <w:rsid w:val="1BBCAA71"/>
    <w:rsid w:val="1BCE8BB6"/>
    <w:rsid w:val="1BD44234"/>
    <w:rsid w:val="1C4302C4"/>
    <w:rsid w:val="1C43EA94"/>
    <w:rsid w:val="1C513CC8"/>
    <w:rsid w:val="1C78B390"/>
    <w:rsid w:val="1C7996DF"/>
    <w:rsid w:val="1C7D01BB"/>
    <w:rsid w:val="1C9B45AC"/>
    <w:rsid w:val="1CC98B9E"/>
    <w:rsid w:val="1CD76107"/>
    <w:rsid w:val="1CFCB20C"/>
    <w:rsid w:val="1CFCBE21"/>
    <w:rsid w:val="1CFE51D1"/>
    <w:rsid w:val="1D32F34B"/>
    <w:rsid w:val="1D76AE9C"/>
    <w:rsid w:val="1DA487F6"/>
    <w:rsid w:val="1DCE831C"/>
    <w:rsid w:val="1DCFBCDB"/>
    <w:rsid w:val="1E0EF564"/>
    <w:rsid w:val="1E3987F8"/>
    <w:rsid w:val="1E46FFAC"/>
    <w:rsid w:val="1E512535"/>
    <w:rsid w:val="1E7403A0"/>
    <w:rsid w:val="1E779D9F"/>
    <w:rsid w:val="1E78718C"/>
    <w:rsid w:val="1ED44613"/>
    <w:rsid w:val="1EDFA522"/>
    <w:rsid w:val="1F1F3F76"/>
    <w:rsid w:val="1F378CB8"/>
    <w:rsid w:val="1F42711D"/>
    <w:rsid w:val="1F8252A3"/>
    <w:rsid w:val="1FB10972"/>
    <w:rsid w:val="1FC2961B"/>
    <w:rsid w:val="1FD781BE"/>
    <w:rsid w:val="1FDC63B1"/>
    <w:rsid w:val="200162FE"/>
    <w:rsid w:val="201502EC"/>
    <w:rsid w:val="20206E93"/>
    <w:rsid w:val="204AD9E1"/>
    <w:rsid w:val="205E081F"/>
    <w:rsid w:val="2064E8FB"/>
    <w:rsid w:val="206E3B9C"/>
    <w:rsid w:val="2086598C"/>
    <w:rsid w:val="2096779E"/>
    <w:rsid w:val="20987B0B"/>
    <w:rsid w:val="20F86746"/>
    <w:rsid w:val="21250ABE"/>
    <w:rsid w:val="215727BF"/>
    <w:rsid w:val="215C4960"/>
    <w:rsid w:val="21627800"/>
    <w:rsid w:val="217503D8"/>
    <w:rsid w:val="218B228B"/>
    <w:rsid w:val="218C2C43"/>
    <w:rsid w:val="21909B3C"/>
    <w:rsid w:val="21993D58"/>
    <w:rsid w:val="21C36755"/>
    <w:rsid w:val="21C70CA3"/>
    <w:rsid w:val="21CF13BD"/>
    <w:rsid w:val="21DCBC17"/>
    <w:rsid w:val="21E65231"/>
    <w:rsid w:val="21EFA569"/>
    <w:rsid w:val="22033B20"/>
    <w:rsid w:val="220DD711"/>
    <w:rsid w:val="22102BB8"/>
    <w:rsid w:val="22131669"/>
    <w:rsid w:val="22465237"/>
    <w:rsid w:val="2253EC20"/>
    <w:rsid w:val="225496B5"/>
    <w:rsid w:val="2290FEE7"/>
    <w:rsid w:val="22E494B5"/>
    <w:rsid w:val="22E8294B"/>
    <w:rsid w:val="22FE770B"/>
    <w:rsid w:val="23007E9A"/>
    <w:rsid w:val="232E0050"/>
    <w:rsid w:val="23370E32"/>
    <w:rsid w:val="23523FDD"/>
    <w:rsid w:val="235AD714"/>
    <w:rsid w:val="23617C5D"/>
    <w:rsid w:val="237B2EEE"/>
    <w:rsid w:val="2382FA2E"/>
    <w:rsid w:val="23846DA4"/>
    <w:rsid w:val="239C3C76"/>
    <w:rsid w:val="23B397E1"/>
    <w:rsid w:val="23C2FCFD"/>
    <w:rsid w:val="23D374FB"/>
    <w:rsid w:val="241463A7"/>
    <w:rsid w:val="24AFCB4C"/>
    <w:rsid w:val="24C2530B"/>
    <w:rsid w:val="24EACBF6"/>
    <w:rsid w:val="25055EC6"/>
    <w:rsid w:val="250F0BC9"/>
    <w:rsid w:val="2520CC2A"/>
    <w:rsid w:val="252DEC62"/>
    <w:rsid w:val="25533FA4"/>
    <w:rsid w:val="25A25FA8"/>
    <w:rsid w:val="25C3F7D5"/>
    <w:rsid w:val="25C6ED92"/>
    <w:rsid w:val="25D1B824"/>
    <w:rsid w:val="25D63D20"/>
    <w:rsid w:val="26018BDB"/>
    <w:rsid w:val="261EE2C8"/>
    <w:rsid w:val="263128FB"/>
    <w:rsid w:val="2631D030"/>
    <w:rsid w:val="26687A54"/>
    <w:rsid w:val="26E0D2B0"/>
    <w:rsid w:val="26E945D5"/>
    <w:rsid w:val="26F0FECC"/>
    <w:rsid w:val="26F8B138"/>
    <w:rsid w:val="271E1417"/>
    <w:rsid w:val="2761C808"/>
    <w:rsid w:val="27628C3B"/>
    <w:rsid w:val="277F30CD"/>
    <w:rsid w:val="278CFF9D"/>
    <w:rsid w:val="27A02AA2"/>
    <w:rsid w:val="27A1D5C0"/>
    <w:rsid w:val="27B86519"/>
    <w:rsid w:val="27C95663"/>
    <w:rsid w:val="27E8EF03"/>
    <w:rsid w:val="282985B9"/>
    <w:rsid w:val="28421DAB"/>
    <w:rsid w:val="28547E50"/>
    <w:rsid w:val="28737BE8"/>
    <w:rsid w:val="2873DA7E"/>
    <w:rsid w:val="288BE4D1"/>
    <w:rsid w:val="28A50009"/>
    <w:rsid w:val="28A5A05E"/>
    <w:rsid w:val="28ADC0CE"/>
    <w:rsid w:val="28F65F74"/>
    <w:rsid w:val="2921F965"/>
    <w:rsid w:val="29702F58"/>
    <w:rsid w:val="29739C44"/>
    <w:rsid w:val="297C8214"/>
    <w:rsid w:val="29992540"/>
    <w:rsid w:val="29A5F1B4"/>
    <w:rsid w:val="29AD61BC"/>
    <w:rsid w:val="29C39791"/>
    <w:rsid w:val="29DDC2CE"/>
    <w:rsid w:val="2A35C898"/>
    <w:rsid w:val="2A390B72"/>
    <w:rsid w:val="2A602EC8"/>
    <w:rsid w:val="2AA32554"/>
    <w:rsid w:val="2B077B49"/>
    <w:rsid w:val="2B28F2BA"/>
    <w:rsid w:val="2B2C42D8"/>
    <w:rsid w:val="2B34813E"/>
    <w:rsid w:val="2B436D25"/>
    <w:rsid w:val="2B4DD2F3"/>
    <w:rsid w:val="2B64020F"/>
    <w:rsid w:val="2B7F3229"/>
    <w:rsid w:val="2BA46B51"/>
    <w:rsid w:val="2BB30F4D"/>
    <w:rsid w:val="2BCFBE6C"/>
    <w:rsid w:val="2BF3488B"/>
    <w:rsid w:val="2C0FAE20"/>
    <w:rsid w:val="2C1CE697"/>
    <w:rsid w:val="2C39859F"/>
    <w:rsid w:val="2C3C25C0"/>
    <w:rsid w:val="2C576DC4"/>
    <w:rsid w:val="2C6A68D8"/>
    <w:rsid w:val="2C97AC54"/>
    <w:rsid w:val="2CB710EF"/>
    <w:rsid w:val="2CCC04BA"/>
    <w:rsid w:val="2D1629D7"/>
    <w:rsid w:val="2D2F573A"/>
    <w:rsid w:val="2D4BE0AD"/>
    <w:rsid w:val="2D9E236F"/>
    <w:rsid w:val="2DC7309B"/>
    <w:rsid w:val="2DF7ADF5"/>
    <w:rsid w:val="2DFD7DEA"/>
    <w:rsid w:val="2E1A7FED"/>
    <w:rsid w:val="2E21217A"/>
    <w:rsid w:val="2E2309D7"/>
    <w:rsid w:val="2E615423"/>
    <w:rsid w:val="2E62AF11"/>
    <w:rsid w:val="2E6BB226"/>
    <w:rsid w:val="2E6DD867"/>
    <w:rsid w:val="2EAB250B"/>
    <w:rsid w:val="2EBD7CF4"/>
    <w:rsid w:val="2ED972E9"/>
    <w:rsid w:val="2EDF4B93"/>
    <w:rsid w:val="2EE865C7"/>
    <w:rsid w:val="2EED0021"/>
    <w:rsid w:val="2EF943DF"/>
    <w:rsid w:val="2F308BD0"/>
    <w:rsid w:val="2F330A65"/>
    <w:rsid w:val="2F87424A"/>
    <w:rsid w:val="2F90DCE7"/>
    <w:rsid w:val="2FCF6D50"/>
    <w:rsid w:val="2FDEE07E"/>
    <w:rsid w:val="2FEA4D3E"/>
    <w:rsid w:val="2FFAFAF4"/>
    <w:rsid w:val="300D7889"/>
    <w:rsid w:val="304648C3"/>
    <w:rsid w:val="305D7029"/>
    <w:rsid w:val="30678FED"/>
    <w:rsid w:val="30919A9B"/>
    <w:rsid w:val="30A27600"/>
    <w:rsid w:val="31365F5D"/>
    <w:rsid w:val="3173CF85"/>
    <w:rsid w:val="3179CF56"/>
    <w:rsid w:val="31A3C78A"/>
    <w:rsid w:val="31A46F08"/>
    <w:rsid w:val="31A480A3"/>
    <w:rsid w:val="31AD92A9"/>
    <w:rsid w:val="31D0F882"/>
    <w:rsid w:val="31F32EC4"/>
    <w:rsid w:val="32160E23"/>
    <w:rsid w:val="3227CACC"/>
    <w:rsid w:val="323E8230"/>
    <w:rsid w:val="327B5E1A"/>
    <w:rsid w:val="32C5C175"/>
    <w:rsid w:val="32CB33B6"/>
    <w:rsid w:val="32E6E19C"/>
    <w:rsid w:val="330F1CAC"/>
    <w:rsid w:val="3344B30F"/>
    <w:rsid w:val="33461A25"/>
    <w:rsid w:val="33612CFA"/>
    <w:rsid w:val="33969C02"/>
    <w:rsid w:val="339E703D"/>
    <w:rsid w:val="33B6FC0F"/>
    <w:rsid w:val="33D00E43"/>
    <w:rsid w:val="33DE2DEA"/>
    <w:rsid w:val="3431A0E1"/>
    <w:rsid w:val="34346B8B"/>
    <w:rsid w:val="3436A349"/>
    <w:rsid w:val="3439F743"/>
    <w:rsid w:val="34435717"/>
    <w:rsid w:val="346AC017"/>
    <w:rsid w:val="3487F957"/>
    <w:rsid w:val="3494E64E"/>
    <w:rsid w:val="34986B36"/>
    <w:rsid w:val="349C68D3"/>
    <w:rsid w:val="34A65275"/>
    <w:rsid w:val="34B023BD"/>
    <w:rsid w:val="34C83D8F"/>
    <w:rsid w:val="35032B9D"/>
    <w:rsid w:val="3545027A"/>
    <w:rsid w:val="354D5109"/>
    <w:rsid w:val="3553F68D"/>
    <w:rsid w:val="355FEA2C"/>
    <w:rsid w:val="357F1FBF"/>
    <w:rsid w:val="358573E4"/>
    <w:rsid w:val="36132DFE"/>
    <w:rsid w:val="36267662"/>
    <w:rsid w:val="367AF24E"/>
    <w:rsid w:val="369E6C5F"/>
    <w:rsid w:val="36A54B22"/>
    <w:rsid w:val="36F11513"/>
    <w:rsid w:val="36F76A68"/>
    <w:rsid w:val="36F82C2F"/>
    <w:rsid w:val="373EDC21"/>
    <w:rsid w:val="374A88F4"/>
    <w:rsid w:val="3799FC22"/>
    <w:rsid w:val="37B32DAD"/>
    <w:rsid w:val="37F129F5"/>
    <w:rsid w:val="37FB96B9"/>
    <w:rsid w:val="380D88F6"/>
    <w:rsid w:val="381A777C"/>
    <w:rsid w:val="3840801F"/>
    <w:rsid w:val="3848E4F1"/>
    <w:rsid w:val="3865CD67"/>
    <w:rsid w:val="389DB661"/>
    <w:rsid w:val="38A237C7"/>
    <w:rsid w:val="38C4350E"/>
    <w:rsid w:val="38C7F976"/>
    <w:rsid w:val="38EA988B"/>
    <w:rsid w:val="38EAFBBF"/>
    <w:rsid w:val="38EFCEF6"/>
    <w:rsid w:val="38F6D157"/>
    <w:rsid w:val="39057462"/>
    <w:rsid w:val="3905A3F4"/>
    <w:rsid w:val="39096240"/>
    <w:rsid w:val="391538F5"/>
    <w:rsid w:val="392668F2"/>
    <w:rsid w:val="39633926"/>
    <w:rsid w:val="39696132"/>
    <w:rsid w:val="3976CB0F"/>
    <w:rsid w:val="3980D762"/>
    <w:rsid w:val="39F3E62E"/>
    <w:rsid w:val="3A076E5D"/>
    <w:rsid w:val="3A12712B"/>
    <w:rsid w:val="3A331199"/>
    <w:rsid w:val="3A530D37"/>
    <w:rsid w:val="3A774E51"/>
    <w:rsid w:val="3AAA3130"/>
    <w:rsid w:val="3AB36153"/>
    <w:rsid w:val="3ABFA7DD"/>
    <w:rsid w:val="3AC13671"/>
    <w:rsid w:val="3AC8235E"/>
    <w:rsid w:val="3B00D2CE"/>
    <w:rsid w:val="3B26075C"/>
    <w:rsid w:val="3B2E524F"/>
    <w:rsid w:val="3B5780E9"/>
    <w:rsid w:val="3B57D207"/>
    <w:rsid w:val="3B67F1A2"/>
    <w:rsid w:val="3B80BAE2"/>
    <w:rsid w:val="3BD6B1EE"/>
    <w:rsid w:val="3BF4EFCE"/>
    <w:rsid w:val="3C23CF02"/>
    <w:rsid w:val="3C5AB7B0"/>
    <w:rsid w:val="3C663191"/>
    <w:rsid w:val="3C80FF4C"/>
    <w:rsid w:val="3C85EB52"/>
    <w:rsid w:val="3CA6A8DC"/>
    <w:rsid w:val="3CD00521"/>
    <w:rsid w:val="3CF971C7"/>
    <w:rsid w:val="3D1FD892"/>
    <w:rsid w:val="3D32DC01"/>
    <w:rsid w:val="3D46A1AD"/>
    <w:rsid w:val="3D5F078C"/>
    <w:rsid w:val="3D7A9851"/>
    <w:rsid w:val="3DA727BD"/>
    <w:rsid w:val="3DC7E8DB"/>
    <w:rsid w:val="3DD525CB"/>
    <w:rsid w:val="3DDABAEC"/>
    <w:rsid w:val="3E4B9977"/>
    <w:rsid w:val="3E54FAF5"/>
    <w:rsid w:val="3E5B0267"/>
    <w:rsid w:val="3E5C6423"/>
    <w:rsid w:val="3EB938DB"/>
    <w:rsid w:val="3ECB274D"/>
    <w:rsid w:val="3ED3C892"/>
    <w:rsid w:val="3EE3C0CF"/>
    <w:rsid w:val="3F28DF29"/>
    <w:rsid w:val="3F3A81AC"/>
    <w:rsid w:val="3F423087"/>
    <w:rsid w:val="3F68FFCC"/>
    <w:rsid w:val="3F77593F"/>
    <w:rsid w:val="3F7B727D"/>
    <w:rsid w:val="3F874594"/>
    <w:rsid w:val="3F9A8BC1"/>
    <w:rsid w:val="3FBF6FBD"/>
    <w:rsid w:val="3FCC0FF6"/>
    <w:rsid w:val="3FD5948A"/>
    <w:rsid w:val="3FE72E85"/>
    <w:rsid w:val="4000BAC2"/>
    <w:rsid w:val="40381B81"/>
    <w:rsid w:val="403DFBCB"/>
    <w:rsid w:val="405C7965"/>
    <w:rsid w:val="406BF43D"/>
    <w:rsid w:val="40BFB4A9"/>
    <w:rsid w:val="40F811E1"/>
    <w:rsid w:val="41179D7F"/>
    <w:rsid w:val="411A6A7F"/>
    <w:rsid w:val="4156E421"/>
    <w:rsid w:val="4183E1C5"/>
    <w:rsid w:val="41A03A06"/>
    <w:rsid w:val="41EDFB4D"/>
    <w:rsid w:val="41F66897"/>
    <w:rsid w:val="41FE7BA4"/>
    <w:rsid w:val="4242A7DA"/>
    <w:rsid w:val="4250BE62"/>
    <w:rsid w:val="42888A6A"/>
    <w:rsid w:val="42C5456A"/>
    <w:rsid w:val="42DF8339"/>
    <w:rsid w:val="42E03BA9"/>
    <w:rsid w:val="42EC749B"/>
    <w:rsid w:val="43016925"/>
    <w:rsid w:val="4315358E"/>
    <w:rsid w:val="431D4F78"/>
    <w:rsid w:val="4325DD5B"/>
    <w:rsid w:val="433D0961"/>
    <w:rsid w:val="438F6984"/>
    <w:rsid w:val="43E4EA5B"/>
    <w:rsid w:val="43EB445B"/>
    <w:rsid w:val="4449C4A3"/>
    <w:rsid w:val="4467CDEF"/>
    <w:rsid w:val="44796191"/>
    <w:rsid w:val="4482EBD5"/>
    <w:rsid w:val="44A9D518"/>
    <w:rsid w:val="44C70939"/>
    <w:rsid w:val="44D490E2"/>
    <w:rsid w:val="44F26649"/>
    <w:rsid w:val="4502E630"/>
    <w:rsid w:val="4566B5C9"/>
    <w:rsid w:val="457542E4"/>
    <w:rsid w:val="45769D0F"/>
    <w:rsid w:val="45B6CB3E"/>
    <w:rsid w:val="45D013BB"/>
    <w:rsid w:val="45EFD8BB"/>
    <w:rsid w:val="45FCC000"/>
    <w:rsid w:val="460E14E3"/>
    <w:rsid w:val="4617E338"/>
    <w:rsid w:val="463637E6"/>
    <w:rsid w:val="4639A28D"/>
    <w:rsid w:val="468DEB00"/>
    <w:rsid w:val="46915659"/>
    <w:rsid w:val="46A287C0"/>
    <w:rsid w:val="46BC8EA7"/>
    <w:rsid w:val="46C13748"/>
    <w:rsid w:val="46D685DA"/>
    <w:rsid w:val="47033FB0"/>
    <w:rsid w:val="47246C00"/>
    <w:rsid w:val="4750E27E"/>
    <w:rsid w:val="4764EDE0"/>
    <w:rsid w:val="4792C640"/>
    <w:rsid w:val="47966A98"/>
    <w:rsid w:val="48013D56"/>
    <w:rsid w:val="4803A202"/>
    <w:rsid w:val="482D52CA"/>
    <w:rsid w:val="4844B52C"/>
    <w:rsid w:val="4845DED5"/>
    <w:rsid w:val="484B55A7"/>
    <w:rsid w:val="485567A7"/>
    <w:rsid w:val="48617DA1"/>
    <w:rsid w:val="48779C7A"/>
    <w:rsid w:val="48D9AF0B"/>
    <w:rsid w:val="48EA372B"/>
    <w:rsid w:val="4908F7C2"/>
    <w:rsid w:val="492ED0A2"/>
    <w:rsid w:val="4930D774"/>
    <w:rsid w:val="49503479"/>
    <w:rsid w:val="495D7704"/>
    <w:rsid w:val="49C65EBA"/>
    <w:rsid w:val="49E8E988"/>
    <w:rsid w:val="4A2E9EDC"/>
    <w:rsid w:val="4A75903D"/>
    <w:rsid w:val="4A760954"/>
    <w:rsid w:val="4A78CC53"/>
    <w:rsid w:val="4A7C5D65"/>
    <w:rsid w:val="4A862B47"/>
    <w:rsid w:val="4A92E882"/>
    <w:rsid w:val="4A9BB98F"/>
    <w:rsid w:val="4AA4D333"/>
    <w:rsid w:val="4AAE2DF9"/>
    <w:rsid w:val="4ABF2D0F"/>
    <w:rsid w:val="4ACB75B1"/>
    <w:rsid w:val="4AED0963"/>
    <w:rsid w:val="4AF2ABA0"/>
    <w:rsid w:val="4B02D9D9"/>
    <w:rsid w:val="4B08E46C"/>
    <w:rsid w:val="4B3A17E4"/>
    <w:rsid w:val="4B964075"/>
    <w:rsid w:val="4BC82FC7"/>
    <w:rsid w:val="4BED3E91"/>
    <w:rsid w:val="4C1D2F81"/>
    <w:rsid w:val="4C5B5B08"/>
    <w:rsid w:val="4C671A5D"/>
    <w:rsid w:val="4C6F44C2"/>
    <w:rsid w:val="4C8B6A25"/>
    <w:rsid w:val="4CBBEC65"/>
    <w:rsid w:val="4CD018EE"/>
    <w:rsid w:val="4CE47DF9"/>
    <w:rsid w:val="4CF53C52"/>
    <w:rsid w:val="4CFCD5D2"/>
    <w:rsid w:val="4D1BF8F0"/>
    <w:rsid w:val="4D26F1CA"/>
    <w:rsid w:val="4D380559"/>
    <w:rsid w:val="4D3C149F"/>
    <w:rsid w:val="4D44DE78"/>
    <w:rsid w:val="4D492E22"/>
    <w:rsid w:val="4D4B45A4"/>
    <w:rsid w:val="4D60C783"/>
    <w:rsid w:val="4D6FF11D"/>
    <w:rsid w:val="4D8B5786"/>
    <w:rsid w:val="4DCA84AA"/>
    <w:rsid w:val="4DEA9A30"/>
    <w:rsid w:val="4E172F65"/>
    <w:rsid w:val="4E416A7B"/>
    <w:rsid w:val="4E605555"/>
    <w:rsid w:val="4E6079BE"/>
    <w:rsid w:val="4E88ECA8"/>
    <w:rsid w:val="4E8BECFF"/>
    <w:rsid w:val="4E930D86"/>
    <w:rsid w:val="4E9B3B7F"/>
    <w:rsid w:val="4E9FC2A0"/>
    <w:rsid w:val="4EA721F1"/>
    <w:rsid w:val="4EBE95CF"/>
    <w:rsid w:val="4ECC1A3B"/>
    <w:rsid w:val="4EFA1203"/>
    <w:rsid w:val="4F1A96E2"/>
    <w:rsid w:val="4F5CC027"/>
    <w:rsid w:val="4F7115B3"/>
    <w:rsid w:val="4F79CFFA"/>
    <w:rsid w:val="4F837BC1"/>
    <w:rsid w:val="4F999001"/>
    <w:rsid w:val="4FB22781"/>
    <w:rsid w:val="4FC3820E"/>
    <w:rsid w:val="5006F680"/>
    <w:rsid w:val="50086988"/>
    <w:rsid w:val="50141BF6"/>
    <w:rsid w:val="5051450A"/>
    <w:rsid w:val="506C87A5"/>
    <w:rsid w:val="507A5FC8"/>
    <w:rsid w:val="507E609C"/>
    <w:rsid w:val="50806558"/>
    <w:rsid w:val="508F4150"/>
    <w:rsid w:val="50AD4445"/>
    <w:rsid w:val="50EFCB53"/>
    <w:rsid w:val="51134028"/>
    <w:rsid w:val="51178B7C"/>
    <w:rsid w:val="51B5D1CB"/>
    <w:rsid w:val="51BDCA3A"/>
    <w:rsid w:val="5207C5D2"/>
    <w:rsid w:val="521DCF55"/>
    <w:rsid w:val="5240AEBA"/>
    <w:rsid w:val="52530699"/>
    <w:rsid w:val="52727D89"/>
    <w:rsid w:val="527C9527"/>
    <w:rsid w:val="528774B8"/>
    <w:rsid w:val="52B372D2"/>
    <w:rsid w:val="52BEF686"/>
    <w:rsid w:val="52C47F56"/>
    <w:rsid w:val="52D03853"/>
    <w:rsid w:val="52DAA81F"/>
    <w:rsid w:val="52E9EE9C"/>
    <w:rsid w:val="5320B310"/>
    <w:rsid w:val="5328CC99"/>
    <w:rsid w:val="532B8356"/>
    <w:rsid w:val="53435959"/>
    <w:rsid w:val="535397C5"/>
    <w:rsid w:val="5356ECA9"/>
    <w:rsid w:val="536DDF29"/>
    <w:rsid w:val="539D1A6C"/>
    <w:rsid w:val="53A625CE"/>
    <w:rsid w:val="53D77EAF"/>
    <w:rsid w:val="53E78DC0"/>
    <w:rsid w:val="53E89613"/>
    <w:rsid w:val="5400C795"/>
    <w:rsid w:val="54102C5A"/>
    <w:rsid w:val="5414D158"/>
    <w:rsid w:val="548B16E4"/>
    <w:rsid w:val="54AB2534"/>
    <w:rsid w:val="54C861B6"/>
    <w:rsid w:val="54D2AC2D"/>
    <w:rsid w:val="54DA4FD5"/>
    <w:rsid w:val="54FD6BFB"/>
    <w:rsid w:val="5517641C"/>
    <w:rsid w:val="552FE742"/>
    <w:rsid w:val="55562F8B"/>
    <w:rsid w:val="555B0358"/>
    <w:rsid w:val="556C4C28"/>
    <w:rsid w:val="559F3CBA"/>
    <w:rsid w:val="55C38015"/>
    <w:rsid w:val="55CEEBEC"/>
    <w:rsid w:val="55D6608A"/>
    <w:rsid w:val="55F9C665"/>
    <w:rsid w:val="56212814"/>
    <w:rsid w:val="564D2996"/>
    <w:rsid w:val="5667C2BF"/>
    <w:rsid w:val="56ADBCD9"/>
    <w:rsid w:val="56C648D2"/>
    <w:rsid w:val="56D50F02"/>
    <w:rsid w:val="56ECB796"/>
    <w:rsid w:val="57861672"/>
    <w:rsid w:val="57AB2304"/>
    <w:rsid w:val="57C4C886"/>
    <w:rsid w:val="57D84AA9"/>
    <w:rsid w:val="57D8A176"/>
    <w:rsid w:val="57E3D669"/>
    <w:rsid w:val="57E4397A"/>
    <w:rsid w:val="57E763AA"/>
    <w:rsid w:val="57F541A5"/>
    <w:rsid w:val="57F94BD5"/>
    <w:rsid w:val="58012049"/>
    <w:rsid w:val="583B5DE3"/>
    <w:rsid w:val="5859ADEE"/>
    <w:rsid w:val="5861E84B"/>
    <w:rsid w:val="5877A029"/>
    <w:rsid w:val="58B683C2"/>
    <w:rsid w:val="58B9C1CD"/>
    <w:rsid w:val="58C998A5"/>
    <w:rsid w:val="58E183EE"/>
    <w:rsid w:val="58EA0770"/>
    <w:rsid w:val="58EE0BBC"/>
    <w:rsid w:val="59176CA2"/>
    <w:rsid w:val="59831403"/>
    <w:rsid w:val="5983A650"/>
    <w:rsid w:val="59A5007D"/>
    <w:rsid w:val="59BF21AC"/>
    <w:rsid w:val="59DD82A2"/>
    <w:rsid w:val="5A1406AC"/>
    <w:rsid w:val="5A224453"/>
    <w:rsid w:val="5A353A59"/>
    <w:rsid w:val="5A58DD18"/>
    <w:rsid w:val="5A5B7FB7"/>
    <w:rsid w:val="5A61441C"/>
    <w:rsid w:val="5A844126"/>
    <w:rsid w:val="5A887783"/>
    <w:rsid w:val="5A93A399"/>
    <w:rsid w:val="5A9B0A99"/>
    <w:rsid w:val="5AA57FCE"/>
    <w:rsid w:val="5ACCD4F4"/>
    <w:rsid w:val="5AD249AC"/>
    <w:rsid w:val="5AD9D1C7"/>
    <w:rsid w:val="5AF2EA69"/>
    <w:rsid w:val="5BB03C7D"/>
    <w:rsid w:val="5BC6AF1E"/>
    <w:rsid w:val="5C1578A6"/>
    <w:rsid w:val="5C579109"/>
    <w:rsid w:val="5C99B4A1"/>
    <w:rsid w:val="5CCA4CA4"/>
    <w:rsid w:val="5CD803F8"/>
    <w:rsid w:val="5CDB081E"/>
    <w:rsid w:val="5CFD9608"/>
    <w:rsid w:val="5D115AC3"/>
    <w:rsid w:val="5D1A7702"/>
    <w:rsid w:val="5D4E7CAE"/>
    <w:rsid w:val="5D5BE287"/>
    <w:rsid w:val="5D6509F5"/>
    <w:rsid w:val="5D77E107"/>
    <w:rsid w:val="5D7BFFFF"/>
    <w:rsid w:val="5DA1843F"/>
    <w:rsid w:val="5DEC4EA1"/>
    <w:rsid w:val="5DF20E81"/>
    <w:rsid w:val="5E173F4D"/>
    <w:rsid w:val="5E1BEFF7"/>
    <w:rsid w:val="5E3BAAA9"/>
    <w:rsid w:val="5E56D223"/>
    <w:rsid w:val="5E63E63A"/>
    <w:rsid w:val="5E6F690E"/>
    <w:rsid w:val="5E771267"/>
    <w:rsid w:val="5EAF6651"/>
    <w:rsid w:val="5ECEE284"/>
    <w:rsid w:val="5F0C3A23"/>
    <w:rsid w:val="5F2097B4"/>
    <w:rsid w:val="5F4C76DF"/>
    <w:rsid w:val="5F5B6989"/>
    <w:rsid w:val="5F71B1A5"/>
    <w:rsid w:val="5F7280C5"/>
    <w:rsid w:val="5F7B0B4B"/>
    <w:rsid w:val="5F89297E"/>
    <w:rsid w:val="5F9184A7"/>
    <w:rsid w:val="5F9E1B06"/>
    <w:rsid w:val="5FB7C995"/>
    <w:rsid w:val="5FC36CF6"/>
    <w:rsid w:val="5FD97146"/>
    <w:rsid w:val="5FDAFDA4"/>
    <w:rsid w:val="5FFD6271"/>
    <w:rsid w:val="60136557"/>
    <w:rsid w:val="60710DE4"/>
    <w:rsid w:val="60984BFE"/>
    <w:rsid w:val="60CE7857"/>
    <w:rsid w:val="60D0F846"/>
    <w:rsid w:val="610D433F"/>
    <w:rsid w:val="61412790"/>
    <w:rsid w:val="6147DD6E"/>
    <w:rsid w:val="618C75AF"/>
    <w:rsid w:val="619A86D3"/>
    <w:rsid w:val="619A9F0B"/>
    <w:rsid w:val="61C29435"/>
    <w:rsid w:val="61DFC232"/>
    <w:rsid w:val="61E5E473"/>
    <w:rsid w:val="61FD8493"/>
    <w:rsid w:val="6216FA5A"/>
    <w:rsid w:val="6228A589"/>
    <w:rsid w:val="6238A20C"/>
    <w:rsid w:val="62463BB4"/>
    <w:rsid w:val="6257213B"/>
    <w:rsid w:val="62A1F070"/>
    <w:rsid w:val="62B98AD4"/>
    <w:rsid w:val="62FDE93D"/>
    <w:rsid w:val="630B5510"/>
    <w:rsid w:val="63222505"/>
    <w:rsid w:val="63462998"/>
    <w:rsid w:val="637FA9EB"/>
    <w:rsid w:val="6382917F"/>
    <w:rsid w:val="639A7556"/>
    <w:rsid w:val="639E597B"/>
    <w:rsid w:val="63A7E7BF"/>
    <w:rsid w:val="63D1A8E4"/>
    <w:rsid w:val="6432D3EE"/>
    <w:rsid w:val="649F20A4"/>
    <w:rsid w:val="64A2A703"/>
    <w:rsid w:val="64D631D4"/>
    <w:rsid w:val="64FC0CFA"/>
    <w:rsid w:val="65025DB8"/>
    <w:rsid w:val="653725E2"/>
    <w:rsid w:val="6552E48D"/>
    <w:rsid w:val="6561FA7F"/>
    <w:rsid w:val="656FDF30"/>
    <w:rsid w:val="65816820"/>
    <w:rsid w:val="658C437C"/>
    <w:rsid w:val="65D1ED56"/>
    <w:rsid w:val="65EF8F54"/>
    <w:rsid w:val="65F47457"/>
    <w:rsid w:val="661293E6"/>
    <w:rsid w:val="6615A852"/>
    <w:rsid w:val="662FE49E"/>
    <w:rsid w:val="664A9B90"/>
    <w:rsid w:val="665F2D69"/>
    <w:rsid w:val="6665AD9D"/>
    <w:rsid w:val="668151DC"/>
    <w:rsid w:val="668BE609"/>
    <w:rsid w:val="66C46D15"/>
    <w:rsid w:val="675740BA"/>
    <w:rsid w:val="67812480"/>
    <w:rsid w:val="679FA1A0"/>
    <w:rsid w:val="67BF92BA"/>
    <w:rsid w:val="67F92510"/>
    <w:rsid w:val="6819D746"/>
    <w:rsid w:val="682C8EBF"/>
    <w:rsid w:val="684B2C21"/>
    <w:rsid w:val="68728C69"/>
    <w:rsid w:val="6893FE1A"/>
    <w:rsid w:val="68A923DB"/>
    <w:rsid w:val="68D09E39"/>
    <w:rsid w:val="68D98E6A"/>
    <w:rsid w:val="68FE94FD"/>
    <w:rsid w:val="69151B73"/>
    <w:rsid w:val="69163FC6"/>
    <w:rsid w:val="691F8F57"/>
    <w:rsid w:val="692F3476"/>
    <w:rsid w:val="6951D24E"/>
    <w:rsid w:val="6960AE7B"/>
    <w:rsid w:val="696965DA"/>
    <w:rsid w:val="69943B13"/>
    <w:rsid w:val="69952AC9"/>
    <w:rsid w:val="69A8CD92"/>
    <w:rsid w:val="69B1173A"/>
    <w:rsid w:val="69CD0636"/>
    <w:rsid w:val="69DB1C87"/>
    <w:rsid w:val="69E753E4"/>
    <w:rsid w:val="6A08FED1"/>
    <w:rsid w:val="6A6CE7D7"/>
    <w:rsid w:val="6AE8CE20"/>
    <w:rsid w:val="6B0E1986"/>
    <w:rsid w:val="6B2D3EAB"/>
    <w:rsid w:val="6B4D104D"/>
    <w:rsid w:val="6BA09926"/>
    <w:rsid w:val="6BA9A823"/>
    <w:rsid w:val="6BEA0EC1"/>
    <w:rsid w:val="6C0B31E8"/>
    <w:rsid w:val="6C37D9FD"/>
    <w:rsid w:val="6C568967"/>
    <w:rsid w:val="6C72F6A7"/>
    <w:rsid w:val="6C8C3212"/>
    <w:rsid w:val="6C9C4DD4"/>
    <w:rsid w:val="6C9D22F6"/>
    <w:rsid w:val="6CAA12D6"/>
    <w:rsid w:val="6CAB3FD5"/>
    <w:rsid w:val="6CC5A7BF"/>
    <w:rsid w:val="6CFDAD16"/>
    <w:rsid w:val="6D13D885"/>
    <w:rsid w:val="6D1623F2"/>
    <w:rsid w:val="6D1725B6"/>
    <w:rsid w:val="6D97F9CF"/>
    <w:rsid w:val="6DB8F4EC"/>
    <w:rsid w:val="6DC24203"/>
    <w:rsid w:val="6DDC2277"/>
    <w:rsid w:val="6E1F5FA2"/>
    <w:rsid w:val="6E21B1FB"/>
    <w:rsid w:val="6E3B8B67"/>
    <w:rsid w:val="6E4EE278"/>
    <w:rsid w:val="6E6D3C88"/>
    <w:rsid w:val="6EB6DEDA"/>
    <w:rsid w:val="6EC007E7"/>
    <w:rsid w:val="6F5C00AF"/>
    <w:rsid w:val="6F7DE674"/>
    <w:rsid w:val="6F8DB976"/>
    <w:rsid w:val="6FC2B66A"/>
    <w:rsid w:val="6FC7E1DE"/>
    <w:rsid w:val="6FED9399"/>
    <w:rsid w:val="70156B29"/>
    <w:rsid w:val="704A2F4F"/>
    <w:rsid w:val="708766B6"/>
    <w:rsid w:val="70A82A17"/>
    <w:rsid w:val="70E93A72"/>
    <w:rsid w:val="70EA6278"/>
    <w:rsid w:val="70FE5193"/>
    <w:rsid w:val="71127A81"/>
    <w:rsid w:val="71285C06"/>
    <w:rsid w:val="71400A31"/>
    <w:rsid w:val="7148125B"/>
    <w:rsid w:val="714A2104"/>
    <w:rsid w:val="71647D6C"/>
    <w:rsid w:val="717E1EED"/>
    <w:rsid w:val="71907C49"/>
    <w:rsid w:val="71B4DD96"/>
    <w:rsid w:val="71ED3629"/>
    <w:rsid w:val="71FE87FC"/>
    <w:rsid w:val="7213FBA7"/>
    <w:rsid w:val="723B8123"/>
    <w:rsid w:val="729BC7FB"/>
    <w:rsid w:val="72A5B674"/>
    <w:rsid w:val="72BB5D91"/>
    <w:rsid w:val="7301EC8B"/>
    <w:rsid w:val="73310D11"/>
    <w:rsid w:val="733FB01E"/>
    <w:rsid w:val="734DC7E2"/>
    <w:rsid w:val="7351E702"/>
    <w:rsid w:val="73710038"/>
    <w:rsid w:val="73D5AE44"/>
    <w:rsid w:val="73F7B05A"/>
    <w:rsid w:val="74031316"/>
    <w:rsid w:val="74055340"/>
    <w:rsid w:val="740B8954"/>
    <w:rsid w:val="74224454"/>
    <w:rsid w:val="7460E359"/>
    <w:rsid w:val="7469CD6A"/>
    <w:rsid w:val="7477A604"/>
    <w:rsid w:val="74821A70"/>
    <w:rsid w:val="754A19CF"/>
    <w:rsid w:val="7570ABD3"/>
    <w:rsid w:val="757B5296"/>
    <w:rsid w:val="7584D042"/>
    <w:rsid w:val="75C1E60C"/>
    <w:rsid w:val="75C4EB6E"/>
    <w:rsid w:val="75D4B26A"/>
    <w:rsid w:val="75EA79B5"/>
    <w:rsid w:val="760F5010"/>
    <w:rsid w:val="762B6318"/>
    <w:rsid w:val="765622E3"/>
    <w:rsid w:val="7673486B"/>
    <w:rsid w:val="76A7943B"/>
    <w:rsid w:val="76B5E067"/>
    <w:rsid w:val="76B7812D"/>
    <w:rsid w:val="76D8360D"/>
    <w:rsid w:val="76DE1FC2"/>
    <w:rsid w:val="76DFEC82"/>
    <w:rsid w:val="76F06AF6"/>
    <w:rsid w:val="76F6DAB2"/>
    <w:rsid w:val="7712B9AC"/>
    <w:rsid w:val="7737C9C0"/>
    <w:rsid w:val="773B1559"/>
    <w:rsid w:val="77433D61"/>
    <w:rsid w:val="779B9024"/>
    <w:rsid w:val="77A6FC27"/>
    <w:rsid w:val="77ACECEA"/>
    <w:rsid w:val="77B65066"/>
    <w:rsid w:val="77D6BEDD"/>
    <w:rsid w:val="77EC7456"/>
    <w:rsid w:val="77F91120"/>
    <w:rsid w:val="780DF265"/>
    <w:rsid w:val="7849400B"/>
    <w:rsid w:val="78630858"/>
    <w:rsid w:val="78A2989D"/>
    <w:rsid w:val="78B157F3"/>
    <w:rsid w:val="78B33F8C"/>
    <w:rsid w:val="78BD05C4"/>
    <w:rsid w:val="78D778EA"/>
    <w:rsid w:val="78F3FA22"/>
    <w:rsid w:val="79098F67"/>
    <w:rsid w:val="7910DB06"/>
    <w:rsid w:val="7920429C"/>
    <w:rsid w:val="793339D1"/>
    <w:rsid w:val="7968992B"/>
    <w:rsid w:val="7968CED4"/>
    <w:rsid w:val="79A1FF81"/>
    <w:rsid w:val="79BAE187"/>
    <w:rsid w:val="79F9F599"/>
    <w:rsid w:val="7A0E6474"/>
    <w:rsid w:val="7A1AC88A"/>
    <w:rsid w:val="7A42B711"/>
    <w:rsid w:val="7A5173B5"/>
    <w:rsid w:val="7A6A08B0"/>
    <w:rsid w:val="7A79DF07"/>
    <w:rsid w:val="7A8C5AF1"/>
    <w:rsid w:val="7A9342B9"/>
    <w:rsid w:val="7A995924"/>
    <w:rsid w:val="7A9FA7A4"/>
    <w:rsid w:val="7AA2D761"/>
    <w:rsid w:val="7AAAC581"/>
    <w:rsid w:val="7AAD779E"/>
    <w:rsid w:val="7AD65F31"/>
    <w:rsid w:val="7ADAC253"/>
    <w:rsid w:val="7B04BFDB"/>
    <w:rsid w:val="7B69AA79"/>
    <w:rsid w:val="7B7A2C34"/>
    <w:rsid w:val="7B8BE07A"/>
    <w:rsid w:val="7BA17948"/>
    <w:rsid w:val="7BA8A77F"/>
    <w:rsid w:val="7BB6E373"/>
    <w:rsid w:val="7C11C851"/>
    <w:rsid w:val="7C22AD04"/>
    <w:rsid w:val="7C78C80F"/>
    <w:rsid w:val="7C8DF3C6"/>
    <w:rsid w:val="7C9C44EF"/>
    <w:rsid w:val="7CA1F6E4"/>
    <w:rsid w:val="7CC175D8"/>
    <w:rsid w:val="7CD4EE99"/>
    <w:rsid w:val="7CE3232F"/>
    <w:rsid w:val="7D0F6D57"/>
    <w:rsid w:val="7D11349D"/>
    <w:rsid w:val="7D11C823"/>
    <w:rsid w:val="7D200141"/>
    <w:rsid w:val="7D3B9A1D"/>
    <w:rsid w:val="7D42EF31"/>
    <w:rsid w:val="7D5B4BCD"/>
    <w:rsid w:val="7D6CDA37"/>
    <w:rsid w:val="7D7074C5"/>
    <w:rsid w:val="7D71717D"/>
    <w:rsid w:val="7DF924E9"/>
    <w:rsid w:val="7E229175"/>
    <w:rsid w:val="7E41AA90"/>
    <w:rsid w:val="7E591DF3"/>
    <w:rsid w:val="7EA70F12"/>
    <w:rsid w:val="7ED707FA"/>
    <w:rsid w:val="7EF2EF7C"/>
    <w:rsid w:val="7F78470D"/>
    <w:rsid w:val="7F83D879"/>
    <w:rsid w:val="7FEAD714"/>
    <w:rsid w:val="7FF10025"/>
    <w:rsid w:val="7FFB09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B8C7"/>
  <w15:chartTrackingRefBased/>
  <w15:docId w15:val="{4CCF07C7-9392-4235-9819-CA2AB828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sz w:val="24"/>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sz w:val="20"/>
      <w:lang w:eastAsia="en-GB"/>
    </w:rPr>
  </w:style>
  <w:style w:type="paragraph" w:styleId="Heading1">
    <w:name w:val="heading 1"/>
    <w:basedOn w:val="Normal"/>
    <w:next w:val="Normal"/>
    <w:link w:val="Heading1Char"/>
    <w:uiPriority w:val="9"/>
    <w:qFormat/>
    <w:rsid w:val="005C39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C39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392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C392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C392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C39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39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39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39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92C"/>
    <w:rPr>
      <w:rFonts w:asciiTheme="majorHAnsi" w:eastAsiaTheme="majorEastAsia" w:hAnsiTheme="majorHAnsi" w:cstheme="majorBidi"/>
      <w:color w:val="365F91" w:themeColor="accent1" w:themeShade="BF"/>
      <w:sz w:val="40"/>
      <w:szCs w:val="40"/>
      <w:lang w:eastAsia="en-GB"/>
    </w:rPr>
  </w:style>
  <w:style w:type="character" w:customStyle="1" w:styleId="Heading2Char">
    <w:name w:val="Heading 2 Char"/>
    <w:basedOn w:val="DefaultParagraphFont"/>
    <w:link w:val="Heading2"/>
    <w:uiPriority w:val="9"/>
    <w:rsid w:val="005C392C"/>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semiHidden/>
    <w:rsid w:val="005C392C"/>
    <w:rPr>
      <w:rFonts w:asciiTheme="minorHAnsi" w:eastAsiaTheme="majorEastAsia" w:hAnsiTheme="minorHAnsi" w:cstheme="majorBidi"/>
      <w:color w:val="365F91" w:themeColor="accent1" w:themeShade="BF"/>
      <w:sz w:val="28"/>
      <w:szCs w:val="28"/>
      <w:lang w:eastAsia="en-GB"/>
    </w:rPr>
  </w:style>
  <w:style w:type="character" w:customStyle="1" w:styleId="Heading4Char">
    <w:name w:val="Heading 4 Char"/>
    <w:basedOn w:val="DefaultParagraphFont"/>
    <w:link w:val="Heading4"/>
    <w:uiPriority w:val="9"/>
    <w:semiHidden/>
    <w:rsid w:val="005C392C"/>
    <w:rPr>
      <w:rFonts w:asciiTheme="minorHAnsi" w:eastAsiaTheme="majorEastAsia" w:hAnsiTheme="minorHAnsi" w:cstheme="majorBidi"/>
      <w:i/>
      <w:iCs/>
      <w:color w:val="365F91" w:themeColor="accent1" w:themeShade="BF"/>
      <w:sz w:val="20"/>
      <w:lang w:eastAsia="en-GB"/>
    </w:rPr>
  </w:style>
  <w:style w:type="character" w:customStyle="1" w:styleId="Heading5Char">
    <w:name w:val="Heading 5 Char"/>
    <w:basedOn w:val="DefaultParagraphFont"/>
    <w:link w:val="Heading5"/>
    <w:uiPriority w:val="9"/>
    <w:semiHidden/>
    <w:rsid w:val="005C392C"/>
    <w:rPr>
      <w:rFonts w:asciiTheme="minorHAnsi" w:eastAsiaTheme="majorEastAsia" w:hAnsiTheme="minorHAnsi" w:cstheme="majorBidi"/>
      <w:color w:val="365F91" w:themeColor="accent1" w:themeShade="BF"/>
      <w:sz w:val="20"/>
      <w:lang w:eastAsia="en-GB"/>
    </w:rPr>
  </w:style>
  <w:style w:type="character" w:customStyle="1" w:styleId="Heading6Char">
    <w:name w:val="Heading 6 Char"/>
    <w:basedOn w:val="DefaultParagraphFont"/>
    <w:link w:val="Heading6"/>
    <w:uiPriority w:val="9"/>
    <w:semiHidden/>
    <w:rsid w:val="005C392C"/>
    <w:rPr>
      <w:rFonts w:asciiTheme="minorHAnsi" w:eastAsiaTheme="majorEastAsia" w:hAnsiTheme="minorHAnsi" w:cstheme="majorBidi"/>
      <w:i/>
      <w:iCs/>
      <w:color w:val="595959" w:themeColor="text1" w:themeTint="A6"/>
      <w:sz w:val="20"/>
      <w:lang w:eastAsia="en-GB"/>
    </w:rPr>
  </w:style>
  <w:style w:type="character" w:customStyle="1" w:styleId="Heading7Char">
    <w:name w:val="Heading 7 Char"/>
    <w:basedOn w:val="DefaultParagraphFont"/>
    <w:link w:val="Heading7"/>
    <w:uiPriority w:val="9"/>
    <w:semiHidden/>
    <w:rsid w:val="005C392C"/>
    <w:rPr>
      <w:rFonts w:asciiTheme="minorHAnsi" w:eastAsiaTheme="majorEastAsia" w:hAnsiTheme="minorHAnsi" w:cstheme="majorBidi"/>
      <w:color w:val="595959" w:themeColor="text1" w:themeTint="A6"/>
      <w:sz w:val="20"/>
      <w:lang w:eastAsia="en-GB"/>
    </w:rPr>
  </w:style>
  <w:style w:type="character" w:customStyle="1" w:styleId="Heading8Char">
    <w:name w:val="Heading 8 Char"/>
    <w:basedOn w:val="DefaultParagraphFont"/>
    <w:link w:val="Heading8"/>
    <w:uiPriority w:val="9"/>
    <w:semiHidden/>
    <w:rsid w:val="005C392C"/>
    <w:rPr>
      <w:rFonts w:asciiTheme="minorHAnsi" w:eastAsiaTheme="majorEastAsia" w:hAnsiTheme="minorHAnsi" w:cstheme="majorBidi"/>
      <w:i/>
      <w:iCs/>
      <w:color w:val="272727" w:themeColor="text1" w:themeTint="D8"/>
      <w:sz w:val="20"/>
      <w:lang w:eastAsia="en-GB"/>
    </w:rPr>
  </w:style>
  <w:style w:type="character" w:customStyle="1" w:styleId="Heading9Char">
    <w:name w:val="Heading 9 Char"/>
    <w:basedOn w:val="DefaultParagraphFont"/>
    <w:link w:val="Heading9"/>
    <w:uiPriority w:val="9"/>
    <w:semiHidden/>
    <w:rsid w:val="005C392C"/>
    <w:rPr>
      <w:rFonts w:asciiTheme="minorHAnsi" w:eastAsiaTheme="majorEastAsia" w:hAnsiTheme="minorHAnsi" w:cstheme="majorBidi"/>
      <w:color w:val="272727" w:themeColor="text1" w:themeTint="D8"/>
      <w:sz w:val="20"/>
      <w:lang w:eastAsia="en-GB"/>
    </w:rPr>
  </w:style>
  <w:style w:type="paragraph" w:styleId="Title">
    <w:name w:val="Title"/>
    <w:basedOn w:val="Normal"/>
    <w:next w:val="Normal"/>
    <w:link w:val="TitleChar"/>
    <w:uiPriority w:val="10"/>
    <w:qFormat/>
    <w:rsid w:val="005C39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92C"/>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5C39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92C"/>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5C39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392C"/>
    <w:rPr>
      <w:i/>
      <w:iCs/>
      <w:color w:val="404040" w:themeColor="text1" w:themeTint="BF"/>
      <w:sz w:val="20"/>
      <w:lang w:eastAsia="en-GB"/>
    </w:rPr>
  </w:style>
  <w:style w:type="paragraph" w:styleId="ListParagraph">
    <w:name w:val="List Paragraph"/>
    <w:basedOn w:val="Normal"/>
    <w:uiPriority w:val="34"/>
    <w:qFormat/>
    <w:rsid w:val="005C392C"/>
    <w:pPr>
      <w:ind w:left="720"/>
      <w:contextualSpacing/>
    </w:pPr>
  </w:style>
  <w:style w:type="character" w:styleId="IntenseEmphasis">
    <w:name w:val="Intense Emphasis"/>
    <w:basedOn w:val="DefaultParagraphFont"/>
    <w:uiPriority w:val="21"/>
    <w:qFormat/>
    <w:rsid w:val="005C392C"/>
    <w:rPr>
      <w:i/>
      <w:iCs/>
      <w:color w:val="365F91" w:themeColor="accent1" w:themeShade="BF"/>
    </w:rPr>
  </w:style>
  <w:style w:type="paragraph" w:styleId="IntenseQuote">
    <w:name w:val="Intense Quote"/>
    <w:basedOn w:val="Normal"/>
    <w:next w:val="Normal"/>
    <w:link w:val="IntenseQuoteChar"/>
    <w:uiPriority w:val="30"/>
    <w:qFormat/>
    <w:rsid w:val="005C39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392C"/>
    <w:rPr>
      <w:i/>
      <w:iCs/>
      <w:color w:val="365F91" w:themeColor="accent1" w:themeShade="BF"/>
      <w:sz w:val="20"/>
      <w:lang w:eastAsia="en-GB"/>
    </w:rPr>
  </w:style>
  <w:style w:type="character" w:styleId="IntenseReference">
    <w:name w:val="Intense Reference"/>
    <w:basedOn w:val="DefaultParagraphFont"/>
    <w:uiPriority w:val="32"/>
    <w:qFormat/>
    <w:rsid w:val="005C392C"/>
    <w:rPr>
      <w:b/>
      <w:bCs/>
      <w:smallCaps/>
      <w:color w:val="365F91" w:themeColor="accent1" w:themeShade="BF"/>
      <w:spacing w:val="5"/>
    </w:rPr>
  </w:style>
  <w:style w:type="paragraph" w:customStyle="1" w:styleId="Default">
    <w:name w:val="Default"/>
    <w:rsid w:val="005C392C"/>
    <w:pPr>
      <w:autoSpaceDE w:val="0"/>
      <w:autoSpaceDN w:val="0"/>
      <w:adjustRightInd w:val="0"/>
      <w:jc w:val="left"/>
    </w:pPr>
    <w:rPr>
      <w:rFonts w:eastAsia="Times New Roman"/>
      <w:color w:val="000000"/>
      <w:kern w:val="0"/>
      <w:szCs w:val="24"/>
      <w:lang w:val="fr-FR" w:eastAsia="fr-FR"/>
      <w14:ligatures w14:val="none"/>
    </w:rPr>
  </w:style>
  <w:style w:type="paragraph" w:customStyle="1" w:styleId="ZnakZnak">
    <w:name w:val="Znak Znak"/>
    <w:basedOn w:val="Normal"/>
    <w:rsid w:val="005C392C"/>
    <w:pPr>
      <w:spacing w:line="360" w:lineRule="auto"/>
      <w:jc w:val="both"/>
    </w:pPr>
    <w:rPr>
      <w:rFonts w:ascii="Verdana" w:eastAsia="Times New Roman" w:hAnsi="Verdana"/>
      <w:kern w:val="0"/>
      <w:lang w:val="pl-PL" w:eastAsia="pl-PL"/>
      <w14:ligatures w14:val="none"/>
    </w:rPr>
  </w:style>
  <w:style w:type="character" w:styleId="CommentReference">
    <w:name w:val="annotation reference"/>
    <w:basedOn w:val="DefaultParagraphFont"/>
    <w:uiPriority w:val="99"/>
    <w:semiHidden/>
    <w:unhideWhenUsed/>
    <w:rsid w:val="001236A3"/>
    <w:rPr>
      <w:sz w:val="16"/>
      <w:szCs w:val="16"/>
    </w:rPr>
  </w:style>
  <w:style w:type="paragraph" w:styleId="CommentText">
    <w:name w:val="annotation text"/>
    <w:basedOn w:val="Normal"/>
    <w:link w:val="CommentTextChar"/>
    <w:uiPriority w:val="99"/>
    <w:unhideWhenUsed/>
    <w:rsid w:val="001236A3"/>
  </w:style>
  <w:style w:type="character" w:customStyle="1" w:styleId="CommentTextChar">
    <w:name w:val="Comment Text Char"/>
    <w:basedOn w:val="DefaultParagraphFont"/>
    <w:link w:val="CommentText"/>
    <w:uiPriority w:val="99"/>
    <w:rsid w:val="001236A3"/>
    <w:rPr>
      <w:sz w:val="20"/>
      <w:lang w:eastAsia="en-GB"/>
    </w:rPr>
  </w:style>
  <w:style w:type="paragraph" w:styleId="CommentSubject">
    <w:name w:val="annotation subject"/>
    <w:basedOn w:val="CommentText"/>
    <w:next w:val="CommentText"/>
    <w:link w:val="CommentSubjectChar"/>
    <w:uiPriority w:val="99"/>
    <w:semiHidden/>
    <w:unhideWhenUsed/>
    <w:rsid w:val="001236A3"/>
    <w:rPr>
      <w:b/>
      <w:bCs/>
    </w:rPr>
  </w:style>
  <w:style w:type="character" w:customStyle="1" w:styleId="CommentSubjectChar">
    <w:name w:val="Comment Subject Char"/>
    <w:basedOn w:val="CommentTextChar"/>
    <w:link w:val="CommentSubject"/>
    <w:uiPriority w:val="99"/>
    <w:semiHidden/>
    <w:rsid w:val="001236A3"/>
    <w:rPr>
      <w:b/>
      <w:bCs/>
      <w:sz w:val="20"/>
      <w:lang w:eastAsia="en-GB"/>
    </w:rPr>
  </w:style>
  <w:style w:type="paragraph" w:styleId="Header">
    <w:name w:val="header"/>
    <w:basedOn w:val="Normal"/>
    <w:link w:val="HeaderChar"/>
    <w:uiPriority w:val="99"/>
    <w:unhideWhenUsed/>
    <w:rsid w:val="00E317CE"/>
    <w:pPr>
      <w:tabs>
        <w:tab w:val="center" w:pos="4513"/>
        <w:tab w:val="right" w:pos="9026"/>
      </w:tabs>
    </w:pPr>
  </w:style>
  <w:style w:type="character" w:customStyle="1" w:styleId="HeaderChar">
    <w:name w:val="Header Char"/>
    <w:basedOn w:val="DefaultParagraphFont"/>
    <w:link w:val="Header"/>
    <w:uiPriority w:val="99"/>
    <w:rsid w:val="00E317CE"/>
    <w:rPr>
      <w:sz w:val="20"/>
      <w:lang w:eastAsia="en-GB"/>
    </w:rPr>
  </w:style>
  <w:style w:type="paragraph" w:styleId="Footer">
    <w:name w:val="footer"/>
    <w:basedOn w:val="Normal"/>
    <w:link w:val="FooterChar"/>
    <w:uiPriority w:val="99"/>
    <w:unhideWhenUsed/>
    <w:rsid w:val="00E317CE"/>
    <w:pPr>
      <w:tabs>
        <w:tab w:val="center" w:pos="4513"/>
        <w:tab w:val="right" w:pos="9026"/>
      </w:tabs>
    </w:pPr>
  </w:style>
  <w:style w:type="character" w:customStyle="1" w:styleId="FooterChar">
    <w:name w:val="Footer Char"/>
    <w:basedOn w:val="DefaultParagraphFont"/>
    <w:link w:val="Footer"/>
    <w:uiPriority w:val="99"/>
    <w:rsid w:val="00E317CE"/>
    <w:rPr>
      <w:sz w:val="20"/>
      <w:lang w:eastAsia="en-GB"/>
    </w:rPr>
  </w:style>
  <w:style w:type="paragraph" w:styleId="Revision">
    <w:name w:val="Revision"/>
    <w:hidden/>
    <w:uiPriority w:val="99"/>
    <w:semiHidden/>
    <w:rsid w:val="00291DEE"/>
    <w:pPr>
      <w:jc w:val="left"/>
    </w:pPr>
    <w:rPr>
      <w:sz w:val="20"/>
      <w:lang w:eastAsia="en-GB"/>
    </w:rPr>
  </w:style>
  <w:style w:type="character" w:styleId="Hyperlink">
    <w:name w:val="Hyperlink"/>
    <w:basedOn w:val="DefaultParagraphFont"/>
    <w:uiPriority w:val="99"/>
    <w:unhideWhenUsed/>
    <w:rsid w:val="00A60B2E"/>
    <w:rPr>
      <w:color w:val="0000FF" w:themeColor="hyperlink"/>
      <w:u w:val="single"/>
    </w:rPr>
  </w:style>
  <w:style w:type="character" w:styleId="Mention">
    <w:name w:val="Mention"/>
    <w:basedOn w:val="DefaultParagraphFont"/>
    <w:uiPriority w:val="99"/>
    <w:unhideWhenUsed/>
    <w:rsid w:val="00A60B2E"/>
    <w:rPr>
      <w:color w:val="2B579A"/>
      <w:shd w:val="clear" w:color="auto" w:fill="E1DFDD"/>
    </w:rPr>
  </w:style>
  <w:style w:type="paragraph" w:styleId="FootnoteText">
    <w:name w:val="footnote text"/>
    <w:basedOn w:val="Normal"/>
    <w:link w:val="FootnoteTextChar"/>
    <w:uiPriority w:val="99"/>
    <w:semiHidden/>
    <w:unhideWhenUsed/>
    <w:rsid w:val="00E25A90"/>
  </w:style>
  <w:style w:type="character" w:customStyle="1" w:styleId="FootnoteTextChar">
    <w:name w:val="Footnote Text Char"/>
    <w:basedOn w:val="DefaultParagraphFont"/>
    <w:link w:val="FootnoteText"/>
    <w:uiPriority w:val="99"/>
    <w:semiHidden/>
    <w:rsid w:val="00E25A90"/>
    <w:rPr>
      <w:sz w:val="20"/>
      <w:lang w:eastAsia="en-GB"/>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uiPriority w:val="99"/>
    <w:unhideWhenUsed/>
    <w:qFormat/>
    <w:rsid w:val="00E25A90"/>
    <w:rPr>
      <w:vertAlign w:val="superscript"/>
    </w:rPr>
  </w:style>
  <w:style w:type="character" w:styleId="UnresolvedMention">
    <w:name w:val="Unresolved Mention"/>
    <w:basedOn w:val="DefaultParagraphFont"/>
    <w:uiPriority w:val="99"/>
    <w:semiHidden/>
    <w:unhideWhenUsed/>
    <w:rsid w:val="00092E05"/>
    <w:rPr>
      <w:color w:val="605E5C"/>
      <w:shd w:val="clear" w:color="auto" w:fill="E1DFDD"/>
    </w:rPr>
  </w:style>
  <w:style w:type="character" w:styleId="FollowedHyperlink">
    <w:name w:val="FollowedHyperlink"/>
    <w:basedOn w:val="DefaultParagraphFont"/>
    <w:uiPriority w:val="99"/>
    <w:semiHidden/>
    <w:unhideWhenUsed/>
    <w:rsid w:val="00FD42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030">
      <w:bodyDiv w:val="1"/>
      <w:marLeft w:val="0"/>
      <w:marRight w:val="0"/>
      <w:marTop w:val="0"/>
      <w:marBottom w:val="0"/>
      <w:divBdr>
        <w:top w:val="none" w:sz="0" w:space="0" w:color="auto"/>
        <w:left w:val="none" w:sz="0" w:space="0" w:color="auto"/>
        <w:bottom w:val="none" w:sz="0" w:space="0" w:color="auto"/>
        <w:right w:val="none" w:sz="0" w:space="0" w:color="auto"/>
      </w:divBdr>
    </w:div>
    <w:div w:id="29229364">
      <w:bodyDiv w:val="1"/>
      <w:marLeft w:val="0"/>
      <w:marRight w:val="0"/>
      <w:marTop w:val="0"/>
      <w:marBottom w:val="0"/>
      <w:divBdr>
        <w:top w:val="none" w:sz="0" w:space="0" w:color="auto"/>
        <w:left w:val="none" w:sz="0" w:space="0" w:color="auto"/>
        <w:bottom w:val="none" w:sz="0" w:space="0" w:color="auto"/>
        <w:right w:val="none" w:sz="0" w:space="0" w:color="auto"/>
      </w:divBdr>
    </w:div>
    <w:div w:id="150829519">
      <w:bodyDiv w:val="1"/>
      <w:marLeft w:val="0"/>
      <w:marRight w:val="0"/>
      <w:marTop w:val="0"/>
      <w:marBottom w:val="0"/>
      <w:divBdr>
        <w:top w:val="none" w:sz="0" w:space="0" w:color="auto"/>
        <w:left w:val="none" w:sz="0" w:space="0" w:color="auto"/>
        <w:bottom w:val="none" w:sz="0" w:space="0" w:color="auto"/>
        <w:right w:val="none" w:sz="0" w:space="0" w:color="auto"/>
      </w:divBdr>
    </w:div>
    <w:div w:id="186329678">
      <w:bodyDiv w:val="1"/>
      <w:marLeft w:val="0"/>
      <w:marRight w:val="0"/>
      <w:marTop w:val="0"/>
      <w:marBottom w:val="0"/>
      <w:divBdr>
        <w:top w:val="none" w:sz="0" w:space="0" w:color="auto"/>
        <w:left w:val="none" w:sz="0" w:space="0" w:color="auto"/>
        <w:bottom w:val="none" w:sz="0" w:space="0" w:color="auto"/>
        <w:right w:val="none" w:sz="0" w:space="0" w:color="auto"/>
      </w:divBdr>
    </w:div>
    <w:div w:id="195821767">
      <w:bodyDiv w:val="1"/>
      <w:marLeft w:val="0"/>
      <w:marRight w:val="0"/>
      <w:marTop w:val="0"/>
      <w:marBottom w:val="0"/>
      <w:divBdr>
        <w:top w:val="none" w:sz="0" w:space="0" w:color="auto"/>
        <w:left w:val="none" w:sz="0" w:space="0" w:color="auto"/>
        <w:bottom w:val="none" w:sz="0" w:space="0" w:color="auto"/>
        <w:right w:val="none" w:sz="0" w:space="0" w:color="auto"/>
      </w:divBdr>
    </w:div>
    <w:div w:id="305280214">
      <w:bodyDiv w:val="1"/>
      <w:marLeft w:val="0"/>
      <w:marRight w:val="0"/>
      <w:marTop w:val="0"/>
      <w:marBottom w:val="0"/>
      <w:divBdr>
        <w:top w:val="none" w:sz="0" w:space="0" w:color="auto"/>
        <w:left w:val="none" w:sz="0" w:space="0" w:color="auto"/>
        <w:bottom w:val="none" w:sz="0" w:space="0" w:color="auto"/>
        <w:right w:val="none" w:sz="0" w:space="0" w:color="auto"/>
      </w:divBdr>
    </w:div>
    <w:div w:id="424304651">
      <w:bodyDiv w:val="1"/>
      <w:marLeft w:val="0"/>
      <w:marRight w:val="0"/>
      <w:marTop w:val="0"/>
      <w:marBottom w:val="0"/>
      <w:divBdr>
        <w:top w:val="none" w:sz="0" w:space="0" w:color="auto"/>
        <w:left w:val="none" w:sz="0" w:space="0" w:color="auto"/>
        <w:bottom w:val="none" w:sz="0" w:space="0" w:color="auto"/>
        <w:right w:val="none" w:sz="0" w:space="0" w:color="auto"/>
      </w:divBdr>
    </w:div>
    <w:div w:id="507446699">
      <w:bodyDiv w:val="1"/>
      <w:marLeft w:val="0"/>
      <w:marRight w:val="0"/>
      <w:marTop w:val="0"/>
      <w:marBottom w:val="0"/>
      <w:divBdr>
        <w:top w:val="none" w:sz="0" w:space="0" w:color="auto"/>
        <w:left w:val="none" w:sz="0" w:space="0" w:color="auto"/>
        <w:bottom w:val="none" w:sz="0" w:space="0" w:color="auto"/>
        <w:right w:val="none" w:sz="0" w:space="0" w:color="auto"/>
      </w:divBdr>
    </w:div>
    <w:div w:id="757601260">
      <w:bodyDiv w:val="1"/>
      <w:marLeft w:val="0"/>
      <w:marRight w:val="0"/>
      <w:marTop w:val="0"/>
      <w:marBottom w:val="0"/>
      <w:divBdr>
        <w:top w:val="none" w:sz="0" w:space="0" w:color="auto"/>
        <w:left w:val="none" w:sz="0" w:space="0" w:color="auto"/>
        <w:bottom w:val="none" w:sz="0" w:space="0" w:color="auto"/>
        <w:right w:val="none" w:sz="0" w:space="0" w:color="auto"/>
      </w:divBdr>
    </w:div>
    <w:div w:id="765730494">
      <w:bodyDiv w:val="1"/>
      <w:marLeft w:val="0"/>
      <w:marRight w:val="0"/>
      <w:marTop w:val="0"/>
      <w:marBottom w:val="0"/>
      <w:divBdr>
        <w:top w:val="none" w:sz="0" w:space="0" w:color="auto"/>
        <w:left w:val="none" w:sz="0" w:space="0" w:color="auto"/>
        <w:bottom w:val="none" w:sz="0" w:space="0" w:color="auto"/>
        <w:right w:val="none" w:sz="0" w:space="0" w:color="auto"/>
      </w:divBdr>
    </w:div>
    <w:div w:id="1023751519">
      <w:bodyDiv w:val="1"/>
      <w:marLeft w:val="0"/>
      <w:marRight w:val="0"/>
      <w:marTop w:val="0"/>
      <w:marBottom w:val="0"/>
      <w:divBdr>
        <w:top w:val="none" w:sz="0" w:space="0" w:color="auto"/>
        <w:left w:val="none" w:sz="0" w:space="0" w:color="auto"/>
        <w:bottom w:val="none" w:sz="0" w:space="0" w:color="auto"/>
        <w:right w:val="none" w:sz="0" w:space="0" w:color="auto"/>
      </w:divBdr>
    </w:div>
    <w:div w:id="1136214404">
      <w:bodyDiv w:val="1"/>
      <w:marLeft w:val="0"/>
      <w:marRight w:val="0"/>
      <w:marTop w:val="0"/>
      <w:marBottom w:val="0"/>
      <w:divBdr>
        <w:top w:val="none" w:sz="0" w:space="0" w:color="auto"/>
        <w:left w:val="none" w:sz="0" w:space="0" w:color="auto"/>
        <w:bottom w:val="none" w:sz="0" w:space="0" w:color="auto"/>
        <w:right w:val="none" w:sz="0" w:space="0" w:color="auto"/>
      </w:divBdr>
    </w:div>
    <w:div w:id="1153984471">
      <w:bodyDiv w:val="1"/>
      <w:marLeft w:val="0"/>
      <w:marRight w:val="0"/>
      <w:marTop w:val="0"/>
      <w:marBottom w:val="0"/>
      <w:divBdr>
        <w:top w:val="none" w:sz="0" w:space="0" w:color="auto"/>
        <w:left w:val="none" w:sz="0" w:space="0" w:color="auto"/>
        <w:bottom w:val="none" w:sz="0" w:space="0" w:color="auto"/>
        <w:right w:val="none" w:sz="0" w:space="0" w:color="auto"/>
      </w:divBdr>
    </w:div>
    <w:div w:id="1181354707">
      <w:bodyDiv w:val="1"/>
      <w:marLeft w:val="0"/>
      <w:marRight w:val="0"/>
      <w:marTop w:val="0"/>
      <w:marBottom w:val="0"/>
      <w:divBdr>
        <w:top w:val="none" w:sz="0" w:space="0" w:color="auto"/>
        <w:left w:val="none" w:sz="0" w:space="0" w:color="auto"/>
        <w:bottom w:val="none" w:sz="0" w:space="0" w:color="auto"/>
        <w:right w:val="none" w:sz="0" w:space="0" w:color="auto"/>
      </w:divBdr>
    </w:div>
    <w:div w:id="1183325395">
      <w:bodyDiv w:val="1"/>
      <w:marLeft w:val="0"/>
      <w:marRight w:val="0"/>
      <w:marTop w:val="0"/>
      <w:marBottom w:val="0"/>
      <w:divBdr>
        <w:top w:val="none" w:sz="0" w:space="0" w:color="auto"/>
        <w:left w:val="none" w:sz="0" w:space="0" w:color="auto"/>
        <w:bottom w:val="none" w:sz="0" w:space="0" w:color="auto"/>
        <w:right w:val="none" w:sz="0" w:space="0" w:color="auto"/>
      </w:divBdr>
    </w:div>
    <w:div w:id="1277175737">
      <w:bodyDiv w:val="1"/>
      <w:marLeft w:val="0"/>
      <w:marRight w:val="0"/>
      <w:marTop w:val="0"/>
      <w:marBottom w:val="0"/>
      <w:divBdr>
        <w:top w:val="none" w:sz="0" w:space="0" w:color="auto"/>
        <w:left w:val="none" w:sz="0" w:space="0" w:color="auto"/>
        <w:bottom w:val="none" w:sz="0" w:space="0" w:color="auto"/>
        <w:right w:val="none" w:sz="0" w:space="0" w:color="auto"/>
      </w:divBdr>
    </w:div>
    <w:div w:id="1482231955">
      <w:bodyDiv w:val="1"/>
      <w:marLeft w:val="0"/>
      <w:marRight w:val="0"/>
      <w:marTop w:val="0"/>
      <w:marBottom w:val="0"/>
      <w:divBdr>
        <w:top w:val="none" w:sz="0" w:space="0" w:color="auto"/>
        <w:left w:val="none" w:sz="0" w:space="0" w:color="auto"/>
        <w:bottom w:val="none" w:sz="0" w:space="0" w:color="auto"/>
        <w:right w:val="none" w:sz="0" w:space="0" w:color="auto"/>
      </w:divBdr>
    </w:div>
    <w:div w:id="1649438240">
      <w:bodyDiv w:val="1"/>
      <w:marLeft w:val="0"/>
      <w:marRight w:val="0"/>
      <w:marTop w:val="0"/>
      <w:marBottom w:val="0"/>
      <w:divBdr>
        <w:top w:val="none" w:sz="0" w:space="0" w:color="auto"/>
        <w:left w:val="none" w:sz="0" w:space="0" w:color="auto"/>
        <w:bottom w:val="none" w:sz="0" w:space="0" w:color="auto"/>
        <w:right w:val="none" w:sz="0" w:space="0" w:color="auto"/>
      </w:divBdr>
    </w:div>
    <w:div w:id="1682272420">
      <w:bodyDiv w:val="1"/>
      <w:marLeft w:val="0"/>
      <w:marRight w:val="0"/>
      <w:marTop w:val="0"/>
      <w:marBottom w:val="0"/>
      <w:divBdr>
        <w:top w:val="none" w:sz="0" w:space="0" w:color="auto"/>
        <w:left w:val="none" w:sz="0" w:space="0" w:color="auto"/>
        <w:bottom w:val="none" w:sz="0" w:space="0" w:color="auto"/>
        <w:right w:val="none" w:sz="0" w:space="0" w:color="auto"/>
      </w:divBdr>
    </w:div>
    <w:div w:id="1813592845">
      <w:bodyDiv w:val="1"/>
      <w:marLeft w:val="0"/>
      <w:marRight w:val="0"/>
      <w:marTop w:val="0"/>
      <w:marBottom w:val="0"/>
      <w:divBdr>
        <w:top w:val="none" w:sz="0" w:space="0" w:color="auto"/>
        <w:left w:val="none" w:sz="0" w:space="0" w:color="auto"/>
        <w:bottom w:val="none" w:sz="0" w:space="0" w:color="auto"/>
        <w:right w:val="none" w:sz="0" w:space="0" w:color="auto"/>
      </w:divBdr>
    </w:div>
    <w:div w:id="1815641186">
      <w:bodyDiv w:val="1"/>
      <w:marLeft w:val="0"/>
      <w:marRight w:val="0"/>
      <w:marTop w:val="0"/>
      <w:marBottom w:val="0"/>
      <w:divBdr>
        <w:top w:val="none" w:sz="0" w:space="0" w:color="auto"/>
        <w:left w:val="none" w:sz="0" w:space="0" w:color="auto"/>
        <w:bottom w:val="none" w:sz="0" w:space="0" w:color="auto"/>
        <w:right w:val="none" w:sz="0" w:space="0" w:color="auto"/>
      </w:divBdr>
    </w:div>
    <w:div w:id="1839420133">
      <w:bodyDiv w:val="1"/>
      <w:marLeft w:val="0"/>
      <w:marRight w:val="0"/>
      <w:marTop w:val="0"/>
      <w:marBottom w:val="0"/>
      <w:divBdr>
        <w:top w:val="none" w:sz="0" w:space="0" w:color="auto"/>
        <w:left w:val="none" w:sz="0" w:space="0" w:color="auto"/>
        <w:bottom w:val="none" w:sz="0" w:space="0" w:color="auto"/>
        <w:right w:val="none" w:sz="0" w:space="0" w:color="auto"/>
      </w:divBdr>
    </w:div>
    <w:div w:id="1912307273">
      <w:bodyDiv w:val="1"/>
      <w:marLeft w:val="0"/>
      <w:marRight w:val="0"/>
      <w:marTop w:val="0"/>
      <w:marBottom w:val="0"/>
      <w:divBdr>
        <w:top w:val="none" w:sz="0" w:space="0" w:color="auto"/>
        <w:left w:val="none" w:sz="0" w:space="0" w:color="auto"/>
        <w:bottom w:val="none" w:sz="0" w:space="0" w:color="auto"/>
        <w:right w:val="none" w:sz="0" w:space="0" w:color="auto"/>
      </w:divBdr>
    </w:div>
    <w:div w:id="1949000847">
      <w:bodyDiv w:val="1"/>
      <w:marLeft w:val="0"/>
      <w:marRight w:val="0"/>
      <w:marTop w:val="0"/>
      <w:marBottom w:val="0"/>
      <w:divBdr>
        <w:top w:val="none" w:sz="0" w:space="0" w:color="auto"/>
        <w:left w:val="none" w:sz="0" w:space="0" w:color="auto"/>
        <w:bottom w:val="none" w:sz="0" w:space="0" w:color="auto"/>
        <w:right w:val="none" w:sz="0" w:space="0" w:color="auto"/>
      </w:divBdr>
    </w:div>
    <w:div w:id="21005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kpmg.com/content/dam/kpmg/pl/pdf/2023/10/kpmg-network-and-information-security-directive-nis2.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c.europa.eu/info/law/better-regulation/have-your-say/initiatives/14672-European-grid-package/public-consultation_en" TargetMode="External"/><Relationship Id="rId17" Type="http://schemas.openxmlformats.org/officeDocument/2006/relationships/hyperlink" Target="https://energy.ec.europa.eu/document/download/d911cc86-121d-445c-bd27-a14098ede7e2_en?filename=C_2025_4010_1_EN_ACT_part1_v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ergy.ec.europa.eu/document/download/fd9542e8-6eae-423a-a0ed-cc710a600473_en?filename=C_2025_4024_1_EN_ACT_part1_v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better-regulation/have-your-say/initiatives/14672-European-grid-package_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p.europa.eu/en/publication-detail/-/publication/82e2011b-be3e-11e9-9d01-01aa75ed71a1/language-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kpmg.com/content/dam/kpmg/pl/pdf/2023/10/kpmg-network-and-information-security-directive-nis2.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strategy-and-policy/eu-budget/long-term-eu-budget/eu-budget-2028-2034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6ca9873e2a7db54e5b1e914c7b2b311">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205db79fe1fdc6bfd03002612792673c"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Props1.xml><?xml version="1.0" encoding="utf-8"?>
<ds:datastoreItem xmlns:ds="http://schemas.openxmlformats.org/officeDocument/2006/customXml" ds:itemID="{9DA9C2FB-B419-4A34-B31C-FFB9E7A6E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BC990-4B50-47AA-8DE9-DEBC27378D31}">
  <ds:schemaRefs>
    <ds:schemaRef ds:uri="http://schemas.openxmlformats.org/officeDocument/2006/bibliography"/>
  </ds:schemaRefs>
</ds:datastoreItem>
</file>

<file path=customXml/itemProps3.xml><?xml version="1.0" encoding="utf-8"?>
<ds:datastoreItem xmlns:ds="http://schemas.openxmlformats.org/officeDocument/2006/customXml" ds:itemID="{760D08DC-F824-4299-A711-D61B704C2110}">
  <ds:schemaRefs>
    <ds:schemaRef ds:uri="http://schemas.microsoft.com/sharepoint/v3/contenttype/forms"/>
  </ds:schemaRefs>
</ds:datastoreItem>
</file>

<file path=customXml/itemProps4.xml><?xml version="1.0" encoding="utf-8"?>
<ds:datastoreItem xmlns:ds="http://schemas.openxmlformats.org/officeDocument/2006/customXml" ds:itemID="{E3AA93DF-8DD8-4887-BAF3-D19219DE95D8}">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4030</Words>
  <Characters>23416</Characters>
  <Application>Microsoft Office Word</Application>
  <DocSecurity>0</DocSecurity>
  <Lines>390</Lines>
  <Paragraphs>112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LIUTVINSKAITE Dovile (ENER)</dc:creator>
  <cp:keywords/>
  <dc:description/>
  <cp:lastModifiedBy>OSTERBERG Mette (SG)</cp:lastModifiedBy>
  <cp:revision>5</cp:revision>
  <cp:lastPrinted>2025-07-05T20:18:00Z</cp:lastPrinted>
  <dcterms:created xsi:type="dcterms:W3CDTF">2025-10-24T13:15:00Z</dcterms:created>
  <dcterms:modified xsi:type="dcterms:W3CDTF">2025-11-19T10:39:00Z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2025-06-26T10:01:27Z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e1f56a21-c3ac-4550-adc7-4200994c0949</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