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CF434" w14:textId="493B230F" w:rsidR="00AC3C06" w:rsidRPr="006B6ECE" w:rsidRDefault="00AC3C06" w:rsidP="00AC3C06">
      <w:pPr>
        <w:spacing w:after="600" w:line="259" w:lineRule="auto"/>
        <w:ind w:left="720" w:hanging="720"/>
        <w:jc w:val="center"/>
        <w:rPr>
          <w:rFonts w:ascii="Times New Roman" w:eastAsia="Calibri" w:hAnsi="Times New Roman"/>
          <w:b/>
          <w:bCs/>
          <w:szCs w:val="24"/>
          <w:lang w:val="en-IE" w:eastAsia="en-US"/>
        </w:rPr>
      </w:pPr>
      <w:bookmarkStart w:id="0" w:name="Objection"/>
      <w:r w:rsidRPr="006B6ECE">
        <w:rPr>
          <w:rFonts w:ascii="Times New Roman" w:eastAsia="Calibri" w:hAnsi="Times New Roman"/>
          <w:b/>
          <w:bCs/>
          <w:szCs w:val="24"/>
          <w:lang w:val="en-IE" w:eastAsia="en-US"/>
        </w:rPr>
        <w:t>Follow up to the European Parliament non-legislative resolution on the Commission implementing decision</w:t>
      </w:r>
      <w:r w:rsidR="006B6ECE" w:rsidRPr="006B6ECE">
        <w:rPr>
          <w:rFonts w:ascii="Times New Roman" w:eastAsia="Calibri" w:hAnsi="Times New Roman"/>
          <w:b/>
          <w:bCs/>
          <w:szCs w:val="24"/>
          <w:lang w:val="en-IE" w:eastAsia="en-US"/>
        </w:rPr>
        <w:t xml:space="preserve"> (EU) 2025/1898 of 22 September 2025 </w:t>
      </w:r>
      <w:r w:rsidRPr="006B6ECE">
        <w:rPr>
          <w:rFonts w:ascii="Times New Roman" w:eastAsia="Calibri" w:hAnsi="Times New Roman"/>
          <w:b/>
          <w:bCs/>
          <w:szCs w:val="24"/>
          <w:lang w:val="en-IE" w:eastAsia="en-US"/>
        </w:rPr>
        <w:t xml:space="preserve">authorising the placing on the market of products containing, consisting of or produced from genetically </w:t>
      </w:r>
      <w:r w:rsidR="00DD27EB" w:rsidRPr="006B6ECE">
        <w:rPr>
          <w:rFonts w:ascii="Times New Roman" w:eastAsia="Calibri" w:hAnsi="Times New Roman"/>
          <w:b/>
          <w:bCs/>
          <w:szCs w:val="24"/>
          <w:lang w:val="en-IE" w:eastAsia="en-US"/>
        </w:rPr>
        <w:t xml:space="preserve">modified </w:t>
      </w:r>
      <w:r w:rsidR="00C94A75" w:rsidRPr="006B6ECE">
        <w:rPr>
          <w:rFonts w:ascii="Times New Roman" w:eastAsia="Calibri" w:hAnsi="Times New Roman"/>
          <w:b/>
          <w:bCs/>
          <w:szCs w:val="24"/>
          <w:lang w:val="en-IE" w:eastAsia="en-US"/>
        </w:rPr>
        <w:t>maize DP51291</w:t>
      </w:r>
      <w:r w:rsidR="00DD27EB" w:rsidRPr="006B6ECE">
        <w:rPr>
          <w:rFonts w:ascii="Times New Roman" w:eastAsia="Calibri" w:hAnsi="Times New Roman"/>
          <w:b/>
          <w:bCs/>
          <w:szCs w:val="24"/>
          <w:lang w:val="en-IE" w:eastAsia="en-US"/>
        </w:rPr>
        <w:t xml:space="preserve"> </w:t>
      </w:r>
      <w:r w:rsidRPr="006B6ECE">
        <w:rPr>
          <w:rFonts w:ascii="Times New Roman" w:eastAsia="Calibri" w:hAnsi="Times New Roman"/>
          <w:b/>
          <w:bCs/>
          <w:szCs w:val="24"/>
          <w:lang w:val="en-IE" w:eastAsia="en-US"/>
        </w:rPr>
        <w:t>pursuant to Regulation (EC) No 1829/2003 of the European Parliament and of the Council</w:t>
      </w:r>
    </w:p>
    <w:bookmarkEnd w:id="0"/>
    <w:p w14:paraId="6E468E57" w14:textId="210685AC" w:rsidR="005125FE" w:rsidRPr="00A64BF9" w:rsidRDefault="005125FE" w:rsidP="005125FE">
      <w:pPr>
        <w:spacing w:line="259" w:lineRule="auto"/>
        <w:ind w:left="720" w:hanging="720"/>
        <w:rPr>
          <w:rFonts w:ascii="Times New Roman" w:eastAsia="Calibri" w:hAnsi="Times New Roman"/>
          <w:szCs w:val="24"/>
          <w:lang w:val="en-IE" w:eastAsia="en-US"/>
        </w:rPr>
      </w:pPr>
      <w:r w:rsidRPr="0074107D">
        <w:rPr>
          <w:rFonts w:ascii="Times New Roman" w:eastAsia="Calibri" w:hAnsi="Times New Roman"/>
          <w:b/>
          <w:bCs/>
          <w:szCs w:val="24"/>
          <w:lang w:val="en-IE" w:eastAsia="en-US"/>
        </w:rPr>
        <w:t>1</w:t>
      </w:r>
      <w:r w:rsidRPr="00A64BF9">
        <w:rPr>
          <w:rFonts w:ascii="Times New Roman" w:eastAsia="Calibri" w:hAnsi="Times New Roman"/>
          <w:b/>
          <w:bCs/>
          <w:szCs w:val="24"/>
          <w:lang w:val="en-IE" w:eastAsia="en-US"/>
        </w:rPr>
        <w:t>.</w:t>
      </w:r>
      <w:r w:rsidRPr="00A64BF9">
        <w:rPr>
          <w:rFonts w:ascii="Times New Roman" w:eastAsia="Calibri" w:hAnsi="Times New Roman"/>
          <w:szCs w:val="24"/>
          <w:lang w:val="en-IE" w:eastAsia="en-US"/>
        </w:rPr>
        <w:tab/>
      </w:r>
      <w:r w:rsidRPr="00A64BF9">
        <w:rPr>
          <w:rFonts w:ascii="Times New Roman" w:eastAsia="Calibri" w:hAnsi="Times New Roman"/>
          <w:b/>
          <w:bCs/>
          <w:szCs w:val="24"/>
          <w:lang w:val="en-IE" w:eastAsia="en-US"/>
        </w:rPr>
        <w:t>Resolution tabled pursuant to Rules 11</w:t>
      </w:r>
      <w:r w:rsidR="00D92D7E" w:rsidRPr="00A64BF9">
        <w:rPr>
          <w:rFonts w:ascii="Times New Roman" w:eastAsia="Calibri" w:hAnsi="Times New Roman"/>
          <w:b/>
          <w:bCs/>
          <w:szCs w:val="24"/>
          <w:lang w:val="en-IE" w:eastAsia="en-US"/>
        </w:rPr>
        <w:t>5</w:t>
      </w:r>
      <w:r w:rsidRPr="00A64BF9">
        <w:rPr>
          <w:rFonts w:ascii="Times New Roman" w:eastAsia="Calibri" w:hAnsi="Times New Roman"/>
          <w:b/>
          <w:bCs/>
          <w:szCs w:val="24"/>
          <w:lang w:val="en-IE" w:eastAsia="en-US"/>
        </w:rPr>
        <w:t>(2) and (3) of the European Parliament’s Rules of procedure</w:t>
      </w:r>
    </w:p>
    <w:p w14:paraId="23CF86DC" w14:textId="0768C534" w:rsidR="005125FE" w:rsidRPr="00A4174C" w:rsidRDefault="005125FE" w:rsidP="005125FE">
      <w:pPr>
        <w:spacing w:line="259" w:lineRule="auto"/>
        <w:ind w:left="720" w:hanging="720"/>
        <w:rPr>
          <w:rFonts w:ascii="Times New Roman" w:eastAsia="Calibri" w:hAnsi="Times New Roman"/>
          <w:szCs w:val="24"/>
          <w:lang w:val="en-IE" w:eastAsia="en-US"/>
        </w:rPr>
      </w:pPr>
      <w:r w:rsidRPr="009204A8">
        <w:rPr>
          <w:rFonts w:ascii="Times New Roman" w:eastAsia="Calibri" w:hAnsi="Times New Roman"/>
          <w:b/>
          <w:bCs/>
          <w:szCs w:val="24"/>
          <w:lang w:val="en-IE" w:eastAsia="en-US"/>
        </w:rPr>
        <w:t>2.</w:t>
      </w:r>
      <w:r w:rsidRPr="009204A8">
        <w:rPr>
          <w:rFonts w:ascii="Times New Roman" w:eastAsia="Calibri" w:hAnsi="Times New Roman"/>
          <w:szCs w:val="24"/>
          <w:lang w:val="en-IE" w:eastAsia="en-US"/>
        </w:rPr>
        <w:tab/>
      </w:r>
      <w:r w:rsidRPr="009204A8">
        <w:rPr>
          <w:rFonts w:ascii="Times New Roman" w:eastAsia="Calibri" w:hAnsi="Times New Roman"/>
          <w:b/>
          <w:bCs/>
          <w:szCs w:val="24"/>
          <w:lang w:val="en-IE" w:eastAsia="en-US"/>
        </w:rPr>
        <w:t>Reference</w:t>
      </w:r>
      <w:r w:rsidR="00D92D7E" w:rsidRPr="009204A8">
        <w:rPr>
          <w:rFonts w:ascii="Times New Roman" w:eastAsia="Calibri" w:hAnsi="Times New Roman"/>
          <w:b/>
          <w:bCs/>
          <w:szCs w:val="24"/>
          <w:lang w:val="en-IE" w:eastAsia="en-US"/>
        </w:rPr>
        <w:t>s</w:t>
      </w:r>
      <w:r w:rsidRPr="009204A8">
        <w:rPr>
          <w:rFonts w:ascii="Times New Roman" w:eastAsia="Calibri" w:hAnsi="Times New Roman"/>
          <w:b/>
          <w:bCs/>
          <w:szCs w:val="24"/>
          <w:lang w:val="en-IE" w:eastAsia="en-US"/>
        </w:rPr>
        <w:t>:</w:t>
      </w:r>
      <w:r w:rsidR="00DB2BA1" w:rsidRPr="009204A8">
        <w:rPr>
          <w:rFonts w:ascii="Times New Roman" w:eastAsia="Calibri" w:hAnsi="Times New Roman"/>
          <w:b/>
          <w:bCs/>
          <w:szCs w:val="24"/>
          <w:lang w:val="en-IE" w:eastAsia="en-US"/>
        </w:rPr>
        <w:t xml:space="preserve"> </w:t>
      </w:r>
      <w:r w:rsidR="00C94A75" w:rsidRPr="009204A8">
        <w:rPr>
          <w:rFonts w:ascii="Times New Roman" w:eastAsia="Calibri" w:hAnsi="Times New Roman"/>
          <w:szCs w:val="24"/>
          <w:lang w:val="en-IE" w:eastAsia="en-US"/>
        </w:rPr>
        <w:t>2025/2807 (RSP)</w:t>
      </w:r>
      <w:r w:rsidR="00A04A7B">
        <w:rPr>
          <w:rFonts w:ascii="Times New Roman" w:eastAsia="Calibri" w:hAnsi="Times New Roman"/>
          <w:szCs w:val="24"/>
          <w:lang w:val="en-IE" w:eastAsia="en-US"/>
        </w:rPr>
        <w:t xml:space="preserve"> </w:t>
      </w:r>
      <w:r w:rsidR="00DB2BA1" w:rsidRPr="009204A8">
        <w:rPr>
          <w:rFonts w:ascii="Times New Roman" w:eastAsia="Calibri" w:hAnsi="Times New Roman"/>
          <w:szCs w:val="24"/>
          <w:lang w:val="en-IE" w:eastAsia="en-US"/>
        </w:rPr>
        <w:t xml:space="preserve">/ </w:t>
      </w:r>
      <w:r w:rsidR="007472AB" w:rsidRPr="009204A8">
        <w:rPr>
          <w:rFonts w:ascii="Times New Roman" w:eastAsia="Calibri" w:hAnsi="Times New Roman"/>
          <w:szCs w:val="24"/>
          <w:lang w:val="en-IE" w:eastAsia="en-US"/>
        </w:rPr>
        <w:t>B10-</w:t>
      </w:r>
      <w:r w:rsidR="00A64BF9" w:rsidRPr="009204A8">
        <w:rPr>
          <w:rFonts w:ascii="Times New Roman" w:eastAsia="Calibri" w:hAnsi="Times New Roman"/>
          <w:szCs w:val="24"/>
          <w:lang w:val="en-IE" w:eastAsia="en-US"/>
        </w:rPr>
        <w:t>0407</w:t>
      </w:r>
      <w:r w:rsidR="007472AB" w:rsidRPr="009204A8">
        <w:rPr>
          <w:rFonts w:ascii="Times New Roman" w:eastAsia="Calibri" w:hAnsi="Times New Roman"/>
          <w:szCs w:val="24"/>
          <w:lang w:val="en-IE" w:eastAsia="en-US"/>
        </w:rPr>
        <w:t xml:space="preserve">/2025 </w:t>
      </w:r>
      <w:r w:rsidR="00DB2BA1" w:rsidRPr="009204A8">
        <w:rPr>
          <w:rFonts w:ascii="Times New Roman" w:eastAsia="Calibri" w:hAnsi="Times New Roman"/>
          <w:szCs w:val="24"/>
          <w:lang w:val="en-IE" w:eastAsia="en-US"/>
        </w:rPr>
        <w:t>/ P10_TA</w:t>
      </w:r>
      <w:r w:rsidR="00A64BF9" w:rsidRPr="009204A8">
        <w:rPr>
          <w:rFonts w:ascii="Times New Roman" w:eastAsia="Calibri" w:hAnsi="Times New Roman"/>
          <w:szCs w:val="24"/>
          <w:lang w:val="en-IE" w:eastAsia="en-US"/>
        </w:rPr>
        <w:t xml:space="preserve"> </w:t>
      </w:r>
      <w:r w:rsidR="00DB2BA1" w:rsidRPr="009204A8">
        <w:rPr>
          <w:rFonts w:ascii="Times New Roman" w:eastAsia="Calibri" w:hAnsi="Times New Roman"/>
          <w:szCs w:val="24"/>
          <w:lang w:val="en-IE" w:eastAsia="en-US"/>
        </w:rPr>
        <w:t>(2025)0</w:t>
      </w:r>
      <w:r w:rsidR="002C4773" w:rsidRPr="009204A8">
        <w:rPr>
          <w:rFonts w:ascii="Times New Roman" w:eastAsia="Calibri" w:hAnsi="Times New Roman"/>
          <w:szCs w:val="24"/>
          <w:lang w:val="en-IE" w:eastAsia="en-US"/>
        </w:rPr>
        <w:t>222</w:t>
      </w:r>
    </w:p>
    <w:p w14:paraId="13A96AEC" w14:textId="605229F7" w:rsidR="0059507A" w:rsidRPr="00046A87" w:rsidRDefault="0059507A" w:rsidP="0059507A">
      <w:pPr>
        <w:spacing w:line="259" w:lineRule="auto"/>
        <w:ind w:left="720" w:hanging="720"/>
        <w:rPr>
          <w:rFonts w:ascii="Times New Roman" w:eastAsia="Calibri" w:hAnsi="Times New Roman"/>
          <w:szCs w:val="24"/>
          <w:lang w:val="en-IE" w:eastAsia="en-US"/>
        </w:rPr>
      </w:pPr>
      <w:r w:rsidRPr="00046A87">
        <w:rPr>
          <w:rFonts w:ascii="Times New Roman" w:eastAsia="Calibri" w:hAnsi="Times New Roman"/>
          <w:b/>
          <w:bCs/>
          <w:szCs w:val="24"/>
          <w:lang w:val="en-IE" w:eastAsia="en-US"/>
        </w:rPr>
        <w:t>3.</w:t>
      </w:r>
      <w:r w:rsidRPr="00046A87">
        <w:rPr>
          <w:rFonts w:ascii="Times New Roman" w:eastAsia="Calibri" w:hAnsi="Times New Roman"/>
          <w:b/>
          <w:bCs/>
          <w:szCs w:val="24"/>
          <w:lang w:val="en-IE" w:eastAsia="en-US"/>
        </w:rPr>
        <w:tab/>
        <w:t xml:space="preserve">Rapporterus: </w:t>
      </w:r>
      <w:r w:rsidRPr="00046A87">
        <w:rPr>
          <w:rFonts w:ascii="Times New Roman" w:eastAsia="Calibri" w:hAnsi="Times New Roman"/>
          <w:szCs w:val="24"/>
          <w:lang w:val="en-IE" w:eastAsia="en-US"/>
        </w:rPr>
        <w:t>Martin H</w:t>
      </w:r>
      <w:r w:rsidR="00B778CB" w:rsidRPr="00046A87">
        <w:rPr>
          <w:rFonts w:ascii="Times New Roman" w:eastAsia="Calibri" w:hAnsi="Times New Roman"/>
          <w:szCs w:val="24"/>
          <w:lang w:val="en-IE" w:eastAsia="en-US"/>
        </w:rPr>
        <w:t>ÄUSLING</w:t>
      </w:r>
      <w:r w:rsidRPr="00046A87">
        <w:rPr>
          <w:rFonts w:ascii="Times New Roman" w:eastAsia="Calibri" w:hAnsi="Times New Roman"/>
          <w:szCs w:val="24"/>
          <w:lang w:val="en-IE" w:eastAsia="en-US"/>
        </w:rPr>
        <w:t xml:space="preserve"> (Greens/EFA</w:t>
      </w:r>
      <w:r w:rsidR="00B778CB" w:rsidRPr="00046A87">
        <w:rPr>
          <w:rFonts w:ascii="Times New Roman" w:eastAsia="Calibri" w:hAnsi="Times New Roman"/>
          <w:szCs w:val="24"/>
          <w:lang w:val="en-IE" w:eastAsia="en-US"/>
        </w:rPr>
        <w:t>/</w:t>
      </w:r>
      <w:r w:rsidR="0065418E" w:rsidRPr="00046A87">
        <w:rPr>
          <w:rFonts w:ascii="Times New Roman" w:eastAsia="Calibri" w:hAnsi="Times New Roman"/>
          <w:szCs w:val="24"/>
          <w:lang w:val="en-IE" w:eastAsia="en-US"/>
        </w:rPr>
        <w:t>DE</w:t>
      </w:r>
      <w:r w:rsidRPr="00046A87">
        <w:rPr>
          <w:rFonts w:ascii="Times New Roman" w:eastAsia="Calibri" w:hAnsi="Times New Roman"/>
          <w:szCs w:val="24"/>
          <w:lang w:val="en-IE" w:eastAsia="en-US"/>
        </w:rPr>
        <w:t>), Biljana B</w:t>
      </w:r>
      <w:r w:rsidR="00B778CB" w:rsidRPr="00046A87">
        <w:rPr>
          <w:rFonts w:ascii="Times New Roman" w:eastAsia="Calibri" w:hAnsi="Times New Roman"/>
          <w:szCs w:val="24"/>
          <w:lang w:val="en-IE" w:eastAsia="en-US"/>
        </w:rPr>
        <w:t xml:space="preserve">ORZAN </w:t>
      </w:r>
      <w:r w:rsidRPr="00046A87">
        <w:rPr>
          <w:rFonts w:ascii="Times New Roman" w:eastAsia="Calibri" w:hAnsi="Times New Roman"/>
          <w:szCs w:val="24"/>
          <w:lang w:val="en-IE" w:eastAsia="en-US"/>
        </w:rPr>
        <w:t>(S&amp;D</w:t>
      </w:r>
      <w:r w:rsidR="00B778CB" w:rsidRPr="009204A8">
        <w:rPr>
          <w:rFonts w:ascii="Times New Roman" w:eastAsia="Calibri" w:hAnsi="Times New Roman"/>
          <w:szCs w:val="24"/>
          <w:lang w:val="en-IE" w:eastAsia="en-US"/>
        </w:rPr>
        <w:t>/</w:t>
      </w:r>
      <w:r w:rsidR="00266CF2" w:rsidRPr="009204A8">
        <w:rPr>
          <w:rFonts w:ascii="Times New Roman" w:eastAsia="Calibri" w:hAnsi="Times New Roman"/>
          <w:szCs w:val="24"/>
          <w:lang w:val="en-IE" w:eastAsia="en-US"/>
        </w:rPr>
        <w:t>H</w:t>
      </w:r>
      <w:r w:rsidR="00266CF2" w:rsidRPr="00046A87">
        <w:rPr>
          <w:rFonts w:ascii="Times New Roman" w:eastAsia="Calibri" w:hAnsi="Times New Roman"/>
          <w:szCs w:val="24"/>
          <w:lang w:val="en-IE" w:eastAsia="en-US"/>
        </w:rPr>
        <w:t>R</w:t>
      </w:r>
      <w:r w:rsidRPr="00046A87">
        <w:rPr>
          <w:rFonts w:ascii="Times New Roman" w:eastAsia="Calibri" w:hAnsi="Times New Roman"/>
          <w:szCs w:val="24"/>
          <w:lang w:val="en-IE" w:eastAsia="en-US"/>
        </w:rPr>
        <w:t>), Anja H</w:t>
      </w:r>
      <w:r w:rsidR="00B778CB" w:rsidRPr="00046A87">
        <w:rPr>
          <w:rFonts w:ascii="Times New Roman" w:eastAsia="Calibri" w:hAnsi="Times New Roman"/>
          <w:szCs w:val="24"/>
          <w:lang w:val="en-IE" w:eastAsia="en-US"/>
        </w:rPr>
        <w:t>AZEKAMP</w:t>
      </w:r>
      <w:r w:rsidRPr="00046A87">
        <w:rPr>
          <w:rFonts w:ascii="Times New Roman" w:eastAsia="Calibri" w:hAnsi="Times New Roman"/>
          <w:szCs w:val="24"/>
          <w:lang w:val="en-IE" w:eastAsia="en-US"/>
        </w:rPr>
        <w:t xml:space="preserve"> (The Left</w:t>
      </w:r>
      <w:r w:rsidR="00B778CB" w:rsidRPr="00046A87">
        <w:rPr>
          <w:rFonts w:ascii="Times New Roman" w:eastAsia="Calibri" w:hAnsi="Times New Roman"/>
          <w:szCs w:val="24"/>
          <w:lang w:val="en-IE" w:eastAsia="en-US"/>
        </w:rPr>
        <w:t>/</w:t>
      </w:r>
      <w:r w:rsidR="0065418E" w:rsidRPr="00046A87">
        <w:rPr>
          <w:rFonts w:ascii="Times New Roman" w:eastAsia="Calibri" w:hAnsi="Times New Roman"/>
          <w:szCs w:val="24"/>
          <w:lang w:val="en-IE" w:eastAsia="en-US"/>
        </w:rPr>
        <w:t>NL</w:t>
      </w:r>
      <w:r w:rsidRPr="00046A87">
        <w:rPr>
          <w:rFonts w:ascii="Times New Roman" w:eastAsia="Calibri" w:hAnsi="Times New Roman"/>
          <w:szCs w:val="24"/>
          <w:lang w:val="en-IE" w:eastAsia="en-US"/>
        </w:rPr>
        <w:t xml:space="preserve">) and Sirpa </w:t>
      </w:r>
      <w:r w:rsidR="00B778CB" w:rsidRPr="00046A87">
        <w:rPr>
          <w:rFonts w:ascii="Times New Roman" w:eastAsia="Calibri" w:hAnsi="Times New Roman"/>
          <w:szCs w:val="24"/>
          <w:lang w:val="en-IE" w:eastAsia="en-US"/>
        </w:rPr>
        <w:t>PIETIKÄINEN</w:t>
      </w:r>
      <w:r w:rsidRPr="00046A87">
        <w:rPr>
          <w:rFonts w:ascii="Times New Roman" w:eastAsia="Calibri" w:hAnsi="Times New Roman"/>
          <w:szCs w:val="24"/>
          <w:lang w:val="en-IE" w:eastAsia="en-US"/>
        </w:rPr>
        <w:t xml:space="preserve"> (EPP</w:t>
      </w:r>
      <w:r w:rsidR="00B778CB" w:rsidRPr="00046A87">
        <w:rPr>
          <w:rFonts w:ascii="Times New Roman" w:eastAsia="Calibri" w:hAnsi="Times New Roman"/>
          <w:szCs w:val="24"/>
          <w:lang w:val="en-IE" w:eastAsia="en-US"/>
        </w:rPr>
        <w:t>/</w:t>
      </w:r>
      <w:r w:rsidR="00266CF2" w:rsidRPr="00046A87">
        <w:rPr>
          <w:rFonts w:ascii="Times New Roman" w:eastAsia="Calibri" w:hAnsi="Times New Roman"/>
          <w:szCs w:val="24"/>
          <w:lang w:val="en-IE" w:eastAsia="en-US"/>
        </w:rPr>
        <w:t>FI</w:t>
      </w:r>
      <w:r w:rsidRPr="00046A87">
        <w:rPr>
          <w:rFonts w:ascii="Times New Roman" w:eastAsia="Calibri" w:hAnsi="Times New Roman"/>
          <w:szCs w:val="24"/>
          <w:lang w:val="en-IE" w:eastAsia="en-US"/>
        </w:rPr>
        <w:t>)</w:t>
      </w:r>
    </w:p>
    <w:p w14:paraId="6B756516" w14:textId="4DA9A6A2" w:rsidR="005125FE" w:rsidRPr="0074107D" w:rsidRDefault="00B778CB" w:rsidP="005125FE">
      <w:pPr>
        <w:spacing w:line="259" w:lineRule="auto"/>
        <w:ind w:left="720" w:hanging="720"/>
        <w:rPr>
          <w:rFonts w:ascii="Times New Roman" w:eastAsia="Calibri" w:hAnsi="Times New Roman"/>
          <w:szCs w:val="24"/>
          <w:lang w:val="en-IE" w:eastAsia="en-US"/>
        </w:rPr>
      </w:pPr>
      <w:r>
        <w:rPr>
          <w:rFonts w:ascii="Times New Roman" w:eastAsia="Calibri" w:hAnsi="Times New Roman"/>
          <w:b/>
          <w:bCs/>
          <w:szCs w:val="24"/>
          <w:lang w:val="en-IE" w:eastAsia="en-US"/>
        </w:rPr>
        <w:t>4</w:t>
      </w:r>
      <w:r w:rsidR="005125FE" w:rsidRPr="00A64BF9">
        <w:rPr>
          <w:rFonts w:ascii="Times New Roman" w:eastAsia="Calibri" w:hAnsi="Times New Roman"/>
          <w:b/>
          <w:bCs/>
          <w:szCs w:val="24"/>
          <w:lang w:val="en-IE" w:eastAsia="en-US"/>
        </w:rPr>
        <w:t>.</w:t>
      </w:r>
      <w:r w:rsidR="005125FE" w:rsidRPr="00A64BF9">
        <w:rPr>
          <w:rFonts w:ascii="Times New Roman" w:eastAsia="Calibri" w:hAnsi="Times New Roman"/>
          <w:szCs w:val="24"/>
          <w:lang w:val="en-IE" w:eastAsia="en-US"/>
        </w:rPr>
        <w:tab/>
      </w:r>
      <w:r w:rsidR="005125FE" w:rsidRPr="00A64BF9">
        <w:rPr>
          <w:rFonts w:ascii="Times New Roman" w:eastAsia="Calibri" w:hAnsi="Times New Roman"/>
          <w:b/>
          <w:bCs/>
          <w:szCs w:val="24"/>
          <w:lang w:val="en-IE" w:eastAsia="en-US"/>
        </w:rPr>
        <w:t>Date of adoption of the resolution:</w:t>
      </w:r>
      <w:r w:rsidR="005125FE" w:rsidRPr="00A64BF9">
        <w:rPr>
          <w:rFonts w:ascii="Times New Roman" w:eastAsia="Calibri" w:hAnsi="Times New Roman"/>
          <w:szCs w:val="24"/>
          <w:lang w:val="en-IE" w:eastAsia="en-US"/>
        </w:rPr>
        <w:t xml:space="preserve"> </w:t>
      </w:r>
      <w:r w:rsidR="00DD27EB" w:rsidRPr="00A64BF9">
        <w:rPr>
          <w:rFonts w:ascii="Times New Roman" w:eastAsia="Calibri" w:hAnsi="Times New Roman"/>
          <w:szCs w:val="24"/>
          <w:lang w:val="en-IE" w:eastAsia="en-US"/>
        </w:rPr>
        <w:t xml:space="preserve">8 </w:t>
      </w:r>
      <w:r w:rsidR="00C94A75" w:rsidRPr="00A64BF9">
        <w:rPr>
          <w:rFonts w:ascii="Times New Roman" w:eastAsia="Calibri" w:hAnsi="Times New Roman"/>
          <w:szCs w:val="24"/>
          <w:lang w:val="en-IE" w:eastAsia="en-US"/>
        </w:rPr>
        <w:t>October</w:t>
      </w:r>
      <w:r w:rsidR="00E9170A" w:rsidRPr="00A64BF9">
        <w:rPr>
          <w:rFonts w:ascii="Times New Roman" w:eastAsia="Calibri" w:hAnsi="Times New Roman"/>
          <w:szCs w:val="24"/>
          <w:lang w:val="en-IE" w:eastAsia="en-US"/>
        </w:rPr>
        <w:t xml:space="preserve"> </w:t>
      </w:r>
      <w:r w:rsidR="005125FE" w:rsidRPr="00A64BF9">
        <w:rPr>
          <w:rFonts w:ascii="Times New Roman" w:eastAsia="Calibri" w:hAnsi="Times New Roman"/>
          <w:szCs w:val="24"/>
          <w:lang w:val="en-IE" w:eastAsia="en-US"/>
        </w:rPr>
        <w:t>202</w:t>
      </w:r>
      <w:r w:rsidR="00AC3C06" w:rsidRPr="00A64BF9">
        <w:rPr>
          <w:rFonts w:ascii="Times New Roman" w:eastAsia="Calibri" w:hAnsi="Times New Roman"/>
          <w:szCs w:val="24"/>
          <w:lang w:val="en-IE" w:eastAsia="en-US"/>
        </w:rPr>
        <w:t>5</w:t>
      </w:r>
    </w:p>
    <w:p w14:paraId="11B3DB8E" w14:textId="006A80D4" w:rsidR="005125FE" w:rsidRPr="0074107D" w:rsidRDefault="00B778CB" w:rsidP="005125FE">
      <w:pPr>
        <w:spacing w:line="259" w:lineRule="auto"/>
        <w:ind w:left="720" w:hanging="720"/>
        <w:rPr>
          <w:rFonts w:ascii="Times New Roman" w:eastAsia="Calibri" w:hAnsi="Times New Roman"/>
          <w:szCs w:val="24"/>
          <w:lang w:val="en-IE" w:eastAsia="en-US"/>
        </w:rPr>
      </w:pPr>
      <w:r>
        <w:rPr>
          <w:rFonts w:ascii="Times New Roman" w:eastAsia="Calibri" w:hAnsi="Times New Roman"/>
          <w:b/>
          <w:bCs/>
          <w:szCs w:val="24"/>
          <w:lang w:val="en-IE" w:eastAsia="en-US"/>
        </w:rPr>
        <w:t>5</w:t>
      </w:r>
      <w:r w:rsidR="005125FE" w:rsidRPr="0074107D">
        <w:rPr>
          <w:rFonts w:ascii="Times New Roman" w:eastAsia="Calibri" w:hAnsi="Times New Roman"/>
          <w:b/>
          <w:bCs/>
          <w:szCs w:val="24"/>
          <w:lang w:val="en-IE" w:eastAsia="en-US"/>
        </w:rPr>
        <w:t>.</w:t>
      </w:r>
      <w:r w:rsidR="005125FE" w:rsidRPr="0074107D">
        <w:rPr>
          <w:rFonts w:ascii="Times New Roman" w:eastAsia="Calibri" w:hAnsi="Times New Roman"/>
          <w:b/>
          <w:bCs/>
          <w:szCs w:val="24"/>
          <w:lang w:val="en-IE" w:eastAsia="en-US"/>
        </w:rPr>
        <w:tab/>
        <w:t>Competent Parliamentary Committee:</w:t>
      </w:r>
      <w:r w:rsidR="005125FE" w:rsidRPr="0074107D">
        <w:rPr>
          <w:rFonts w:ascii="Times New Roman" w:eastAsia="Calibri" w:hAnsi="Times New Roman"/>
          <w:szCs w:val="24"/>
          <w:lang w:val="en-IE" w:eastAsia="en-US"/>
        </w:rPr>
        <w:t xml:space="preserve"> Committee on </w:t>
      </w:r>
      <w:r w:rsidR="005522B6" w:rsidRPr="005522B6">
        <w:rPr>
          <w:rFonts w:ascii="Times New Roman" w:eastAsia="Calibri" w:hAnsi="Times New Roman"/>
          <w:szCs w:val="24"/>
          <w:lang w:val="en-IE" w:eastAsia="en-US"/>
        </w:rPr>
        <w:t>the Environment, Climate and Food Safety</w:t>
      </w:r>
      <w:r w:rsidR="005522B6">
        <w:rPr>
          <w:rFonts w:ascii="Times New Roman" w:eastAsia="Calibri" w:hAnsi="Times New Roman"/>
          <w:szCs w:val="24"/>
          <w:lang w:val="en-IE" w:eastAsia="en-US"/>
        </w:rPr>
        <w:t xml:space="preserve"> </w:t>
      </w:r>
      <w:r w:rsidR="005125FE" w:rsidRPr="0074107D">
        <w:rPr>
          <w:rFonts w:ascii="Times New Roman" w:eastAsia="Calibri" w:hAnsi="Times New Roman"/>
          <w:szCs w:val="24"/>
          <w:lang w:val="en-IE" w:eastAsia="en-US"/>
        </w:rPr>
        <w:t>(ENVI)</w:t>
      </w:r>
    </w:p>
    <w:p w14:paraId="3BFA930E" w14:textId="10DCEEAE" w:rsidR="005125FE" w:rsidRPr="0074107D" w:rsidRDefault="00B778CB" w:rsidP="005125FE">
      <w:pPr>
        <w:spacing w:line="259" w:lineRule="auto"/>
        <w:ind w:left="720" w:hanging="720"/>
        <w:rPr>
          <w:rFonts w:ascii="Times New Roman" w:eastAsia="Calibri" w:hAnsi="Times New Roman"/>
          <w:b/>
          <w:bCs/>
          <w:szCs w:val="24"/>
          <w:lang w:val="en-IE" w:eastAsia="en-US"/>
        </w:rPr>
      </w:pPr>
      <w:r>
        <w:rPr>
          <w:rFonts w:ascii="Times New Roman" w:eastAsia="Calibri" w:hAnsi="Times New Roman"/>
          <w:b/>
          <w:bCs/>
          <w:szCs w:val="24"/>
          <w:lang w:val="en-IE" w:eastAsia="en-US"/>
        </w:rPr>
        <w:t>6</w:t>
      </w:r>
      <w:r w:rsidR="005125FE" w:rsidRPr="0074107D">
        <w:rPr>
          <w:rFonts w:ascii="Times New Roman" w:eastAsia="Calibri" w:hAnsi="Times New Roman"/>
          <w:b/>
          <w:bCs/>
          <w:szCs w:val="24"/>
          <w:lang w:val="en-IE" w:eastAsia="en-US"/>
        </w:rPr>
        <w:t>.</w:t>
      </w:r>
      <w:r w:rsidR="005125FE" w:rsidRPr="0074107D">
        <w:rPr>
          <w:rFonts w:ascii="Times New Roman" w:eastAsia="Calibri" w:hAnsi="Times New Roman"/>
          <w:b/>
          <w:bCs/>
          <w:szCs w:val="24"/>
          <w:lang w:val="en-IE" w:eastAsia="en-US"/>
        </w:rPr>
        <w:tab/>
        <w:t>Brief analysis/assessment of the resolution and requests made in it:</w:t>
      </w:r>
    </w:p>
    <w:p w14:paraId="2D50AF0B" w14:textId="5420839D" w:rsidR="00AC3C06" w:rsidRDefault="00AC3C06" w:rsidP="005125FE">
      <w:pPr>
        <w:spacing w:after="120"/>
        <w:rPr>
          <w:rFonts w:ascii="Times New Roman" w:eastAsia="Calibri" w:hAnsi="Times New Roman"/>
          <w:szCs w:val="24"/>
          <w:lang w:val="en-IE" w:eastAsia="en-US"/>
        </w:rPr>
      </w:pPr>
      <w:r w:rsidRPr="00AC3C06">
        <w:rPr>
          <w:rFonts w:ascii="Times New Roman" w:eastAsia="Calibri" w:hAnsi="Times New Roman"/>
          <w:szCs w:val="24"/>
          <w:lang w:val="en-IE" w:eastAsia="en-US"/>
        </w:rPr>
        <w:t xml:space="preserve">The resolution calls on the Commission to </w:t>
      </w:r>
      <w:r w:rsidR="002C4773">
        <w:rPr>
          <w:rFonts w:ascii="Times New Roman" w:eastAsia="Calibri" w:hAnsi="Times New Roman"/>
          <w:szCs w:val="24"/>
          <w:lang w:val="en-IE" w:eastAsia="en-US"/>
        </w:rPr>
        <w:t>repeal</w:t>
      </w:r>
      <w:r w:rsidRPr="00AC3C06">
        <w:rPr>
          <w:rFonts w:ascii="Times New Roman" w:eastAsia="Calibri" w:hAnsi="Times New Roman"/>
          <w:szCs w:val="24"/>
          <w:lang w:val="en-IE" w:eastAsia="en-US"/>
        </w:rPr>
        <w:t xml:space="preserve"> the Commission implementing decision </w:t>
      </w:r>
      <w:r w:rsidR="002C4773">
        <w:rPr>
          <w:rFonts w:ascii="Times New Roman" w:eastAsia="Calibri" w:hAnsi="Times New Roman"/>
          <w:szCs w:val="24"/>
          <w:lang w:val="en-IE" w:eastAsia="en-US"/>
        </w:rPr>
        <w:t xml:space="preserve">(EU) 2025/1898 </w:t>
      </w:r>
      <w:r>
        <w:rPr>
          <w:rFonts w:ascii="Times New Roman" w:eastAsia="Calibri" w:hAnsi="Times New Roman"/>
          <w:szCs w:val="24"/>
          <w:lang w:val="en-IE" w:eastAsia="en-US"/>
        </w:rPr>
        <w:t xml:space="preserve">and to submit a new draft to the committee </w:t>
      </w:r>
      <w:r w:rsidRPr="00AC3C06">
        <w:rPr>
          <w:rFonts w:ascii="Times New Roman" w:eastAsia="Calibri" w:hAnsi="Times New Roman"/>
          <w:szCs w:val="24"/>
          <w:lang w:val="en-IE" w:eastAsia="en-US"/>
        </w:rPr>
        <w:t>(</w:t>
      </w:r>
      <w:r w:rsidRPr="00AC3C06">
        <w:rPr>
          <w:rFonts w:ascii="Times New Roman" w:eastAsia="Calibri" w:hAnsi="Times New Roman"/>
          <w:b/>
          <w:bCs/>
          <w:szCs w:val="24"/>
          <w:lang w:val="en-IE" w:eastAsia="en-US"/>
        </w:rPr>
        <w:t>paragraph 3</w:t>
      </w:r>
      <w:r w:rsidRPr="00AC3C06">
        <w:rPr>
          <w:rFonts w:ascii="Times New Roman" w:eastAsia="Calibri" w:hAnsi="Times New Roman"/>
          <w:szCs w:val="24"/>
          <w:lang w:val="en-IE" w:eastAsia="en-US"/>
        </w:rPr>
        <w:t>) on the grounds that it exceeds the implementing powers provided for in Regulation (EC) No 1829/2003 (</w:t>
      </w:r>
      <w:r w:rsidRPr="00AC3C06">
        <w:rPr>
          <w:rFonts w:ascii="Times New Roman" w:eastAsia="Calibri" w:hAnsi="Times New Roman"/>
          <w:b/>
          <w:bCs/>
          <w:szCs w:val="24"/>
          <w:lang w:val="en-IE" w:eastAsia="en-US"/>
        </w:rPr>
        <w:t>paragraph 1</w:t>
      </w:r>
      <w:r w:rsidRPr="00AC3C06">
        <w:rPr>
          <w:rFonts w:ascii="Times New Roman" w:eastAsia="Calibri" w:hAnsi="Times New Roman"/>
          <w:szCs w:val="24"/>
          <w:lang w:val="en-IE" w:eastAsia="en-US"/>
        </w:rPr>
        <w:t>) and that it is not compatible with the aim of that Regulation and the general principles of Regulation (EC) No 178/2002, i.e. the protection of human life and health, animal health and welfare, the environment and consumer interests</w:t>
      </w:r>
      <w:r w:rsidR="0002645E">
        <w:rPr>
          <w:rFonts w:ascii="Times New Roman" w:eastAsia="Calibri" w:hAnsi="Times New Roman"/>
          <w:szCs w:val="24"/>
          <w:lang w:val="en-IE" w:eastAsia="en-US"/>
        </w:rPr>
        <w:t xml:space="preserve">, </w:t>
      </w:r>
      <w:r w:rsidR="0002645E" w:rsidRPr="0002645E">
        <w:rPr>
          <w:rFonts w:ascii="Times New Roman" w:eastAsia="Calibri" w:hAnsi="Times New Roman"/>
          <w:szCs w:val="24"/>
          <w:lang w:val="en-IE" w:eastAsia="en-US"/>
        </w:rPr>
        <w:t>whilst ensuring effective functioning of the internal market</w:t>
      </w:r>
      <w:r w:rsidRPr="00AC3C06">
        <w:rPr>
          <w:rFonts w:ascii="Times New Roman" w:eastAsia="Calibri" w:hAnsi="Times New Roman"/>
          <w:szCs w:val="24"/>
          <w:lang w:val="en-IE" w:eastAsia="en-US"/>
        </w:rPr>
        <w:t xml:space="preserve"> (</w:t>
      </w:r>
      <w:r w:rsidRPr="00AC3C06">
        <w:rPr>
          <w:rFonts w:ascii="Times New Roman" w:eastAsia="Calibri" w:hAnsi="Times New Roman"/>
          <w:b/>
          <w:bCs/>
          <w:szCs w:val="24"/>
          <w:lang w:val="en-IE" w:eastAsia="en-US"/>
        </w:rPr>
        <w:t>paragraph 2</w:t>
      </w:r>
      <w:r w:rsidRPr="00AC3C06">
        <w:rPr>
          <w:rFonts w:ascii="Times New Roman" w:eastAsia="Calibri" w:hAnsi="Times New Roman"/>
          <w:szCs w:val="24"/>
          <w:lang w:val="en-IE" w:eastAsia="en-US"/>
        </w:rPr>
        <w:t>).</w:t>
      </w:r>
    </w:p>
    <w:p w14:paraId="367A6091" w14:textId="1CB6301B" w:rsidR="00C33727" w:rsidRPr="000749BE" w:rsidRDefault="00C33727" w:rsidP="000749BE">
      <w:pPr>
        <w:pStyle w:val="NoSpacing"/>
        <w:spacing w:after="180"/>
        <w:rPr>
          <w:lang w:val="en-IE"/>
        </w:rPr>
      </w:pPr>
      <w:r w:rsidRPr="008B0098">
        <w:rPr>
          <w:lang w:val="en-IE"/>
        </w:rPr>
        <w:t xml:space="preserve">In particular, the resolution </w:t>
      </w:r>
      <w:r w:rsidRPr="008B0098">
        <w:t>raises concerns about the complex genetic modification used to develop maize DP51291, that resulted in the creation of several new gene sequences, raising concerns about potential genomic disruptions and allergenicity risks</w:t>
      </w:r>
      <w:r w:rsidR="006B6ECE">
        <w:t xml:space="preserve"> (</w:t>
      </w:r>
      <w:r w:rsidR="006B6ECE" w:rsidRPr="009C4F76">
        <w:rPr>
          <w:b/>
          <w:bCs/>
        </w:rPr>
        <w:t xml:space="preserve">recitals E </w:t>
      </w:r>
      <w:r w:rsidR="006B6ECE" w:rsidRPr="006B6ECE">
        <w:t>and</w:t>
      </w:r>
      <w:r w:rsidR="006B6ECE" w:rsidRPr="009C4F76">
        <w:rPr>
          <w:b/>
          <w:bCs/>
        </w:rPr>
        <w:t xml:space="preserve"> F</w:t>
      </w:r>
      <w:r w:rsidR="006B6ECE" w:rsidRPr="00661591">
        <w:t>)</w:t>
      </w:r>
      <w:r w:rsidRPr="00661591">
        <w:t>.</w:t>
      </w:r>
      <w:r w:rsidRPr="008B0098">
        <w:t xml:space="preserve"> It also raises questions on </w:t>
      </w:r>
      <w:r w:rsidR="006B6ECE">
        <w:t>European Food Safety Authority’s (</w:t>
      </w:r>
      <w:r w:rsidRPr="008B0098">
        <w:rPr>
          <w:lang w:val="en-IE"/>
        </w:rPr>
        <w:t>EFSA</w:t>
      </w:r>
      <w:r w:rsidR="006B6ECE">
        <w:rPr>
          <w:lang w:val="en-IE"/>
        </w:rPr>
        <w:t>)</w:t>
      </w:r>
      <w:r w:rsidRPr="008B0098">
        <w:rPr>
          <w:lang w:val="en-IE"/>
        </w:rPr>
        <w:t xml:space="preserve"> risk assessment in terms of </w:t>
      </w:r>
      <w:r w:rsidRPr="008B0098">
        <w:t>the toxicological assessment of the IPD072Aa toxin due to its novelty</w:t>
      </w:r>
      <w:r>
        <w:t xml:space="preserve"> </w:t>
      </w:r>
      <w:r w:rsidR="00E7708B">
        <w:t xml:space="preserve">and </w:t>
      </w:r>
      <w:r w:rsidR="00E7708B" w:rsidRPr="006B6ECE">
        <w:rPr>
          <w:lang w:val="en-IE"/>
        </w:rPr>
        <w:t xml:space="preserve">on potential gene flow to </w:t>
      </w:r>
      <w:r w:rsidR="00E7708B" w:rsidRPr="00A64BF9">
        <w:rPr>
          <w:lang w:val="en-IE"/>
        </w:rPr>
        <w:t>wild relatives</w:t>
      </w:r>
      <w:r w:rsidR="00E7708B">
        <w:t xml:space="preserve"> </w:t>
      </w:r>
      <w:r>
        <w:t>(</w:t>
      </w:r>
      <w:r w:rsidRPr="006B6ECE">
        <w:rPr>
          <w:b/>
          <w:bCs/>
        </w:rPr>
        <w:t>recitals Q</w:t>
      </w:r>
      <w:r w:rsidRPr="006B6ECE">
        <w:t xml:space="preserve"> to</w:t>
      </w:r>
      <w:r w:rsidRPr="006B6ECE">
        <w:rPr>
          <w:b/>
          <w:bCs/>
        </w:rPr>
        <w:t xml:space="preserve"> X</w:t>
      </w:r>
      <w:r>
        <w:t>)</w:t>
      </w:r>
      <w:r w:rsidRPr="008B0098">
        <w:t>.</w:t>
      </w:r>
      <w:r w:rsidRPr="008B0098">
        <w:rPr>
          <w:lang w:val="en-IE"/>
        </w:rPr>
        <w:t xml:space="preserve"> </w:t>
      </w:r>
      <w:r w:rsidRPr="008B0098">
        <w:t xml:space="preserve">It highlights insufficient data on agricultural </w:t>
      </w:r>
      <w:r w:rsidRPr="006B6ECE">
        <w:t xml:space="preserve">practices and environmental factors affecting the risk assessment of the </w:t>
      </w:r>
      <w:r w:rsidR="002729B3" w:rsidRPr="000749BE">
        <w:rPr>
          <w:rFonts w:eastAsia="Calibri"/>
          <w:lang w:val="en-IE"/>
        </w:rPr>
        <w:t>genetically modified</w:t>
      </w:r>
      <w:r w:rsidR="00A64BF9">
        <w:rPr>
          <w:rFonts w:eastAsia="Calibri"/>
          <w:lang w:val="en-IE"/>
        </w:rPr>
        <w:t xml:space="preserve"> (GM)</w:t>
      </w:r>
      <w:r w:rsidRPr="006B6ECE">
        <w:t xml:space="preserve"> maize (</w:t>
      </w:r>
      <w:r w:rsidRPr="006B6ECE">
        <w:rPr>
          <w:b/>
          <w:bCs/>
        </w:rPr>
        <w:t>recitals G</w:t>
      </w:r>
      <w:r w:rsidRPr="006B6ECE">
        <w:t xml:space="preserve"> to</w:t>
      </w:r>
      <w:r w:rsidRPr="006B6ECE">
        <w:rPr>
          <w:b/>
          <w:bCs/>
        </w:rPr>
        <w:t xml:space="preserve"> </w:t>
      </w:r>
      <w:r w:rsidR="006B6ECE">
        <w:rPr>
          <w:b/>
          <w:bCs/>
        </w:rPr>
        <w:t>J</w:t>
      </w:r>
      <w:r w:rsidRPr="006B6ECE">
        <w:t>)</w:t>
      </w:r>
      <w:r w:rsidR="00430A99">
        <w:rPr>
          <w:lang w:val="en-IE"/>
        </w:rPr>
        <w:t xml:space="preserve"> and</w:t>
      </w:r>
      <w:r w:rsidRPr="006B6ECE">
        <w:rPr>
          <w:lang w:val="en-IE"/>
        </w:rPr>
        <w:t xml:space="preserve"> </w:t>
      </w:r>
      <w:r w:rsidR="00430A99">
        <w:rPr>
          <w:lang w:val="en-IE"/>
        </w:rPr>
        <w:t xml:space="preserve">questions </w:t>
      </w:r>
      <w:r w:rsidR="00430A99" w:rsidRPr="006B6ECE">
        <w:rPr>
          <w:lang w:val="en-IE"/>
        </w:rPr>
        <w:t>the</w:t>
      </w:r>
      <w:r w:rsidRPr="00A64BF9">
        <w:rPr>
          <w:lang w:val="en-IE"/>
        </w:rPr>
        <w:t xml:space="preserve"> appropriateness of field trials</w:t>
      </w:r>
      <w:r w:rsidR="00FA13BD" w:rsidRPr="00A64BF9">
        <w:rPr>
          <w:lang w:val="en-IE"/>
        </w:rPr>
        <w:t xml:space="preserve"> (</w:t>
      </w:r>
      <w:r w:rsidR="00FA13BD" w:rsidRPr="00A64BF9">
        <w:rPr>
          <w:b/>
          <w:bCs/>
          <w:lang w:val="en-IE"/>
        </w:rPr>
        <w:t>recital K</w:t>
      </w:r>
      <w:r w:rsidR="00FA13BD" w:rsidRPr="00A64BF9">
        <w:rPr>
          <w:lang w:val="en-IE"/>
        </w:rPr>
        <w:t>)</w:t>
      </w:r>
      <w:r w:rsidRPr="00A64BF9">
        <w:rPr>
          <w:lang w:val="en-IE"/>
        </w:rPr>
        <w:t>.</w:t>
      </w:r>
    </w:p>
    <w:p w14:paraId="6B239AAB" w14:textId="73660835" w:rsidR="00CC4D64" w:rsidRDefault="00CC4D64" w:rsidP="001A4E57">
      <w:pPr>
        <w:pStyle w:val="NoSpacing"/>
        <w:spacing w:after="180"/>
        <w:rPr>
          <w:color w:val="000000" w:themeColor="text1"/>
          <w:lang w:val="en-IE"/>
        </w:rPr>
      </w:pPr>
      <w:r w:rsidRPr="000749BE">
        <w:rPr>
          <w:rFonts w:eastAsia="Calibri"/>
          <w:lang w:val="en-IE"/>
        </w:rPr>
        <w:t xml:space="preserve">The resolution calls on the Commission not to authorise </w:t>
      </w:r>
      <w:r w:rsidR="00511D76" w:rsidRPr="000749BE">
        <w:rPr>
          <w:rFonts w:eastAsia="Calibri"/>
          <w:lang w:val="en-IE"/>
        </w:rPr>
        <w:t>the</w:t>
      </w:r>
      <w:r w:rsidRPr="000749BE">
        <w:rPr>
          <w:rFonts w:eastAsia="Calibri"/>
          <w:lang w:val="en-IE"/>
        </w:rPr>
        <w:t xml:space="preserve"> GM </w:t>
      </w:r>
      <w:r w:rsidR="00511D76" w:rsidRPr="000749BE">
        <w:rPr>
          <w:rFonts w:eastAsia="Calibri"/>
          <w:lang w:val="en-IE"/>
        </w:rPr>
        <w:t>maize</w:t>
      </w:r>
      <w:r w:rsidRPr="000749BE">
        <w:rPr>
          <w:rFonts w:eastAsia="Calibri"/>
          <w:lang w:val="en-IE"/>
        </w:rPr>
        <w:t xml:space="preserve"> due to the increased use </w:t>
      </w:r>
      <w:r w:rsidR="004302C3" w:rsidRPr="000749BE">
        <w:rPr>
          <w:rFonts w:eastAsia="Calibri"/>
          <w:lang w:val="en-IE"/>
        </w:rPr>
        <w:t xml:space="preserve">and lack of assessment </w:t>
      </w:r>
      <w:r w:rsidRPr="000749BE">
        <w:rPr>
          <w:rFonts w:eastAsia="Calibri"/>
          <w:lang w:val="en-IE"/>
        </w:rPr>
        <w:t xml:space="preserve">of </w:t>
      </w:r>
      <w:r w:rsidR="004302C3" w:rsidRPr="000749BE">
        <w:rPr>
          <w:rFonts w:eastAsia="Calibri"/>
          <w:lang w:val="en-IE"/>
        </w:rPr>
        <w:t xml:space="preserve">the </w:t>
      </w:r>
      <w:r w:rsidRPr="000749BE">
        <w:rPr>
          <w:rFonts w:eastAsia="Calibri"/>
          <w:lang w:val="en-IE"/>
        </w:rPr>
        <w:t xml:space="preserve">complementary herbicides and the associated risks </w:t>
      </w:r>
      <w:r w:rsidR="006E7B26" w:rsidRPr="000749BE">
        <w:rPr>
          <w:color w:val="000000" w:themeColor="text1"/>
          <w:lang w:val="en-IE"/>
        </w:rPr>
        <w:t xml:space="preserve">to biodiversity, food safety and workers’ health </w:t>
      </w:r>
      <w:r w:rsidR="00511D76" w:rsidRPr="000749BE">
        <w:rPr>
          <w:color w:val="000000" w:themeColor="text1"/>
          <w:lang w:val="en-IE"/>
        </w:rPr>
        <w:t>in line with the On</w:t>
      </w:r>
      <w:r w:rsidR="009C2A67">
        <w:rPr>
          <w:color w:val="000000" w:themeColor="text1"/>
          <w:lang w:val="en-IE"/>
        </w:rPr>
        <w:t>e</w:t>
      </w:r>
      <w:r w:rsidR="00511D76" w:rsidRPr="000749BE">
        <w:rPr>
          <w:color w:val="000000" w:themeColor="text1"/>
          <w:lang w:val="en-IE"/>
        </w:rPr>
        <w:t xml:space="preserve"> Health Approach </w:t>
      </w:r>
      <w:r w:rsidR="006E7B26" w:rsidRPr="000749BE">
        <w:rPr>
          <w:color w:val="000000" w:themeColor="text1"/>
          <w:lang w:val="en-IE"/>
        </w:rPr>
        <w:t>(</w:t>
      </w:r>
      <w:r w:rsidR="006E7B26" w:rsidRPr="000749BE">
        <w:rPr>
          <w:b/>
          <w:bCs/>
          <w:color w:val="000000" w:themeColor="text1"/>
          <w:lang w:val="en-IE"/>
        </w:rPr>
        <w:t xml:space="preserve">paragraph </w:t>
      </w:r>
      <w:r w:rsidR="002C4773" w:rsidRPr="000749BE">
        <w:rPr>
          <w:b/>
          <w:bCs/>
          <w:color w:val="000000" w:themeColor="text1"/>
          <w:lang w:val="en-IE"/>
        </w:rPr>
        <w:t>5</w:t>
      </w:r>
      <w:r w:rsidR="00D508E2" w:rsidRPr="000749BE">
        <w:rPr>
          <w:b/>
          <w:bCs/>
          <w:color w:val="000000" w:themeColor="text1"/>
          <w:lang w:val="en-IE"/>
        </w:rPr>
        <w:t xml:space="preserve"> </w:t>
      </w:r>
      <w:r w:rsidR="00D508E2" w:rsidRPr="000749BE">
        <w:rPr>
          <w:color w:val="000000" w:themeColor="text1"/>
          <w:lang w:val="en-IE"/>
        </w:rPr>
        <w:t>and</w:t>
      </w:r>
      <w:r w:rsidR="00D508E2" w:rsidRPr="000749BE">
        <w:rPr>
          <w:b/>
          <w:bCs/>
          <w:color w:val="000000" w:themeColor="text1"/>
          <w:lang w:val="en-IE"/>
        </w:rPr>
        <w:t xml:space="preserve"> </w:t>
      </w:r>
      <w:r w:rsidR="00D508E2" w:rsidRPr="000749BE">
        <w:rPr>
          <w:rFonts w:eastAsia="Calibri"/>
          <w:b/>
          <w:bCs/>
          <w:lang w:val="en-IE"/>
        </w:rPr>
        <w:t xml:space="preserve">recitals </w:t>
      </w:r>
      <w:r w:rsidR="002C4773" w:rsidRPr="000749BE">
        <w:rPr>
          <w:rFonts w:eastAsia="Calibri"/>
          <w:b/>
          <w:bCs/>
          <w:lang w:val="en-IE"/>
        </w:rPr>
        <w:t>L</w:t>
      </w:r>
      <w:r w:rsidR="00D508E2" w:rsidRPr="000749BE">
        <w:rPr>
          <w:rFonts w:eastAsia="Calibri"/>
          <w:lang w:val="en-IE"/>
        </w:rPr>
        <w:t xml:space="preserve"> to</w:t>
      </w:r>
      <w:r w:rsidR="00D508E2" w:rsidRPr="000749BE">
        <w:rPr>
          <w:rFonts w:eastAsia="Calibri"/>
          <w:b/>
          <w:bCs/>
          <w:lang w:val="en-IE"/>
        </w:rPr>
        <w:t xml:space="preserve"> P</w:t>
      </w:r>
      <w:r w:rsidR="006E7B26" w:rsidRPr="000749BE">
        <w:rPr>
          <w:color w:val="000000" w:themeColor="text1"/>
          <w:lang w:val="en-IE"/>
        </w:rPr>
        <w:t xml:space="preserve">). </w:t>
      </w:r>
      <w:r w:rsidR="001A4E57" w:rsidRPr="00FB7F5F">
        <w:rPr>
          <w:lang w:val="en-IE"/>
        </w:rPr>
        <w:t>It expects the Commission, as a matter of urgency</w:t>
      </w:r>
      <w:r w:rsidR="001A4E57">
        <w:rPr>
          <w:lang w:val="en-IE"/>
        </w:rPr>
        <w:t xml:space="preserve">, </w:t>
      </w:r>
      <w:r w:rsidR="001A4E57" w:rsidRPr="50097BA2">
        <w:rPr>
          <w:lang w:val="en-IE"/>
        </w:rPr>
        <w:t xml:space="preserve">to deliver </w:t>
      </w:r>
      <w:r w:rsidR="001A4E57">
        <w:t xml:space="preserve">on its commitment </w:t>
      </w:r>
      <w:r w:rsidR="001A4E57" w:rsidRPr="00FB7F5F">
        <w:rPr>
          <w:lang w:val="en-IE"/>
        </w:rPr>
        <w:t>to come forward with a proposal to ensure that hazardous chemicals banned in the EU are not produced for export</w:t>
      </w:r>
      <w:r w:rsidR="001A4E57">
        <w:rPr>
          <w:lang w:val="en-IE"/>
        </w:rPr>
        <w:t xml:space="preserve"> (</w:t>
      </w:r>
      <w:r w:rsidR="001A4E57" w:rsidRPr="000749BE">
        <w:rPr>
          <w:b/>
          <w:bCs/>
          <w:lang w:val="en-IE"/>
        </w:rPr>
        <w:t>paragraph 6</w:t>
      </w:r>
      <w:r w:rsidR="001A4E57">
        <w:rPr>
          <w:lang w:val="en-IE"/>
        </w:rPr>
        <w:t>).</w:t>
      </w:r>
    </w:p>
    <w:p w14:paraId="4B8D8DC2" w14:textId="77777777" w:rsidR="00A64BF9" w:rsidRDefault="00A64BF9" w:rsidP="00A64BF9">
      <w:pPr>
        <w:pStyle w:val="Text1"/>
        <w:spacing w:after="180"/>
        <w:ind w:left="0"/>
        <w:rPr>
          <w:color w:val="000000" w:themeColor="text1"/>
          <w:lang w:val="en-IE"/>
        </w:rPr>
      </w:pPr>
      <w:r>
        <w:rPr>
          <w:lang w:val="en-IE"/>
        </w:rPr>
        <w:lastRenderedPageBreak/>
        <w:t>In addition, i</w:t>
      </w:r>
      <w:r w:rsidRPr="00B36DB6">
        <w:rPr>
          <w:lang w:val="en-IE"/>
        </w:rPr>
        <w:t>t urges the Commission to consider the EU’s obligations under international agreements, such as the Paris Climate Agreement, the United Nations (UN) Convention on Biological Diversity and the UN Sustainable Development Goals</w:t>
      </w:r>
      <w:r>
        <w:rPr>
          <w:lang w:val="en-IE"/>
        </w:rPr>
        <w:t>,</w:t>
      </w:r>
      <w:r w:rsidRPr="00B36DB6">
        <w:rPr>
          <w:lang w:val="en-IE"/>
        </w:rPr>
        <w:t xml:space="preserve"> as regards pesticide reduction </w:t>
      </w:r>
      <w:r w:rsidRPr="00721D5B">
        <w:rPr>
          <w:lang w:val="en-IE"/>
        </w:rPr>
        <w:t>(</w:t>
      </w:r>
      <w:r w:rsidRPr="00721D5B">
        <w:rPr>
          <w:b/>
          <w:bCs/>
          <w:lang w:val="en-IE"/>
        </w:rPr>
        <w:t>recitals AA</w:t>
      </w:r>
      <w:r w:rsidRPr="00A64BF9">
        <w:rPr>
          <w:lang w:val="en-IE"/>
        </w:rPr>
        <w:t xml:space="preserve"> and</w:t>
      </w:r>
      <w:r w:rsidRPr="00721D5B">
        <w:rPr>
          <w:b/>
          <w:bCs/>
          <w:lang w:val="en-IE"/>
        </w:rPr>
        <w:t xml:space="preserve"> AB</w:t>
      </w:r>
      <w:r w:rsidRPr="00721D5B">
        <w:rPr>
          <w:lang w:val="en-IE"/>
        </w:rPr>
        <w:t>)</w:t>
      </w:r>
      <w:r>
        <w:rPr>
          <w:lang w:val="en-IE"/>
        </w:rPr>
        <w:t xml:space="preserve"> and to consider them as other legitimate factors when drafting its decision </w:t>
      </w:r>
      <w:r w:rsidRPr="00721D5B">
        <w:rPr>
          <w:lang w:val="en-IE"/>
        </w:rPr>
        <w:t>(</w:t>
      </w:r>
      <w:r w:rsidRPr="00721D5B">
        <w:rPr>
          <w:b/>
          <w:bCs/>
          <w:lang w:val="en-IE"/>
        </w:rPr>
        <w:t>recital AC</w:t>
      </w:r>
      <w:r w:rsidRPr="00721D5B">
        <w:rPr>
          <w:lang w:val="en-IE"/>
        </w:rPr>
        <w:t>).</w:t>
      </w:r>
      <w:r>
        <w:rPr>
          <w:lang w:val="en-IE"/>
        </w:rPr>
        <w:t xml:space="preserve"> It </w:t>
      </w:r>
      <w:r w:rsidRPr="00B36DB6">
        <w:rPr>
          <w:lang w:val="en-IE"/>
        </w:rPr>
        <w:t xml:space="preserve">reiterates </w:t>
      </w:r>
      <w:r>
        <w:rPr>
          <w:lang w:val="en-IE"/>
        </w:rPr>
        <w:t>its</w:t>
      </w:r>
      <w:r w:rsidRPr="00B36DB6">
        <w:rPr>
          <w:lang w:val="en-IE"/>
        </w:rPr>
        <w:t xml:space="preserve"> call on the Commission for draft implementing acts to be accompanied by an explanatory memorandum explaining how they uphold the principle of ‘do no harm’ (</w:t>
      </w:r>
      <w:r w:rsidRPr="00B36DB6">
        <w:rPr>
          <w:b/>
          <w:bCs/>
          <w:lang w:val="en-IE"/>
        </w:rPr>
        <w:t xml:space="preserve">paragraph </w:t>
      </w:r>
      <w:r>
        <w:rPr>
          <w:b/>
          <w:bCs/>
          <w:lang w:val="en-IE"/>
        </w:rPr>
        <w:t>8</w:t>
      </w:r>
      <w:r w:rsidRPr="00B36DB6">
        <w:rPr>
          <w:lang w:val="en-IE"/>
        </w:rPr>
        <w:t>).</w:t>
      </w:r>
      <w:r w:rsidRPr="004302C3">
        <w:rPr>
          <w:color w:val="000000" w:themeColor="text1"/>
          <w:lang w:val="en-IE"/>
        </w:rPr>
        <w:t xml:space="preserve"> </w:t>
      </w:r>
    </w:p>
    <w:p w14:paraId="031ED92B" w14:textId="04F110BF" w:rsidR="00944E7A" w:rsidRPr="00046A87" w:rsidRDefault="00A64BF9" w:rsidP="00944E7A">
      <w:pPr>
        <w:widowControl w:val="0"/>
        <w:spacing w:after="120"/>
        <w:rPr>
          <w:rFonts w:asciiTheme="majorHAnsi" w:hAnsiTheme="majorHAnsi" w:cstheme="majorHAnsi"/>
          <w:lang w:val="en-IE"/>
        </w:rPr>
      </w:pPr>
      <w:r>
        <w:rPr>
          <w:rFonts w:ascii="Times New Roman" w:eastAsia="Calibri" w:hAnsi="Times New Roman"/>
          <w:szCs w:val="24"/>
          <w:lang w:val="en-IE" w:eastAsia="en-US"/>
        </w:rPr>
        <w:t>T</w:t>
      </w:r>
      <w:r w:rsidR="00944E7A" w:rsidRPr="00944E7A">
        <w:rPr>
          <w:rFonts w:ascii="Times New Roman" w:eastAsia="Calibri" w:hAnsi="Times New Roman"/>
          <w:szCs w:val="24"/>
          <w:lang w:val="en-IE" w:eastAsia="en-US"/>
        </w:rPr>
        <w:t xml:space="preserve">he resolution recalls the conclusions of the Strategic Dialogue on the Future of EU Agriculture that call on the Commission to reassess its approach on market access for agri-food imports and exports, given the challenge of diverging standards of the EU and its trading partners and </w:t>
      </w:r>
      <w:r w:rsidR="001A4E57">
        <w:rPr>
          <w:rFonts w:ascii="Times New Roman" w:eastAsia="Calibri" w:hAnsi="Times New Roman"/>
          <w:szCs w:val="24"/>
          <w:lang w:val="en-IE" w:eastAsia="en-US"/>
        </w:rPr>
        <w:t xml:space="preserve">in order to </w:t>
      </w:r>
      <w:r w:rsidR="00944E7A" w:rsidRPr="00944E7A">
        <w:rPr>
          <w:rFonts w:ascii="Times New Roman" w:eastAsia="Calibri" w:hAnsi="Times New Roman"/>
          <w:szCs w:val="24"/>
          <w:lang w:val="en-IE" w:eastAsia="en-US"/>
        </w:rPr>
        <w:t>ensur</w:t>
      </w:r>
      <w:r w:rsidR="001A4E57">
        <w:rPr>
          <w:rFonts w:ascii="Times New Roman" w:eastAsia="Calibri" w:hAnsi="Times New Roman"/>
          <w:szCs w:val="24"/>
          <w:lang w:val="en-IE" w:eastAsia="en-US"/>
        </w:rPr>
        <w:t>e</w:t>
      </w:r>
      <w:r w:rsidR="00944E7A" w:rsidRPr="00944E7A">
        <w:rPr>
          <w:rFonts w:ascii="Times New Roman" w:eastAsia="Calibri" w:hAnsi="Times New Roman"/>
          <w:szCs w:val="24"/>
          <w:lang w:val="en-IE" w:eastAsia="en-US"/>
        </w:rPr>
        <w:t xml:space="preserve"> </w:t>
      </w:r>
      <w:r w:rsidR="00944E7A" w:rsidRPr="00944E7A">
        <w:rPr>
          <w:rFonts w:ascii="Times New Roman" w:eastAsia="Calibri" w:hAnsi="Times New Roman"/>
          <w:szCs w:val="24"/>
          <w:lang w:eastAsia="en-US"/>
        </w:rPr>
        <w:t xml:space="preserve">a global level playing field </w:t>
      </w:r>
      <w:r w:rsidR="00944E7A" w:rsidRPr="00944E7A">
        <w:rPr>
          <w:rFonts w:ascii="Times New Roman" w:eastAsia="Calibri" w:hAnsi="Times New Roman"/>
          <w:szCs w:val="24"/>
          <w:lang w:val="en-IE" w:eastAsia="en-US"/>
        </w:rPr>
        <w:t>(</w:t>
      </w:r>
      <w:r w:rsidR="00944E7A" w:rsidRPr="00944E7A">
        <w:rPr>
          <w:rFonts w:ascii="Times New Roman" w:eastAsia="Calibri" w:hAnsi="Times New Roman"/>
          <w:b/>
          <w:bCs/>
          <w:szCs w:val="24"/>
          <w:lang w:val="en-IE" w:eastAsia="en-US"/>
        </w:rPr>
        <w:t>recital</w:t>
      </w:r>
      <w:r w:rsidR="00430A99">
        <w:rPr>
          <w:rFonts w:ascii="Times New Roman" w:eastAsia="Calibri" w:hAnsi="Times New Roman"/>
          <w:b/>
          <w:bCs/>
          <w:szCs w:val="24"/>
          <w:lang w:val="en-IE" w:eastAsia="en-US"/>
        </w:rPr>
        <w:t>s</w:t>
      </w:r>
      <w:r w:rsidR="00944E7A" w:rsidRPr="00944E7A">
        <w:rPr>
          <w:rFonts w:ascii="Times New Roman" w:eastAsia="Calibri" w:hAnsi="Times New Roman"/>
          <w:szCs w:val="24"/>
          <w:lang w:val="en-IE" w:eastAsia="en-US"/>
        </w:rPr>
        <w:t xml:space="preserve"> </w:t>
      </w:r>
      <w:r w:rsidR="00430A99" w:rsidRPr="00430A99">
        <w:rPr>
          <w:rFonts w:ascii="Times New Roman" w:eastAsia="Calibri" w:hAnsi="Times New Roman"/>
          <w:b/>
          <w:bCs/>
          <w:szCs w:val="24"/>
          <w:lang w:val="en-IE" w:eastAsia="en-US"/>
        </w:rPr>
        <w:t>Y</w:t>
      </w:r>
      <w:r w:rsidR="00430A99">
        <w:rPr>
          <w:rFonts w:ascii="Times New Roman" w:eastAsia="Calibri" w:hAnsi="Times New Roman"/>
          <w:szCs w:val="24"/>
          <w:lang w:val="en-IE" w:eastAsia="en-US"/>
        </w:rPr>
        <w:t xml:space="preserve"> and </w:t>
      </w:r>
      <w:r w:rsidR="00944E7A" w:rsidRPr="00944E7A">
        <w:rPr>
          <w:rFonts w:ascii="Times New Roman" w:eastAsia="Calibri" w:hAnsi="Times New Roman"/>
          <w:b/>
          <w:bCs/>
          <w:szCs w:val="24"/>
          <w:lang w:val="en-IE" w:eastAsia="en-US"/>
        </w:rPr>
        <w:t>Z</w:t>
      </w:r>
      <w:r w:rsidR="00944E7A" w:rsidRPr="00944E7A">
        <w:rPr>
          <w:rFonts w:ascii="Times New Roman" w:eastAsia="Calibri" w:hAnsi="Times New Roman"/>
          <w:szCs w:val="24"/>
          <w:lang w:val="en-IE" w:eastAsia="en-US"/>
        </w:rPr>
        <w:t>), and to the need to reduce dependency on imported feed (</w:t>
      </w:r>
      <w:r w:rsidR="00944E7A" w:rsidRPr="00944E7A">
        <w:rPr>
          <w:rFonts w:ascii="Times New Roman" w:eastAsia="Calibri" w:hAnsi="Times New Roman"/>
          <w:b/>
          <w:bCs/>
          <w:szCs w:val="24"/>
          <w:lang w:val="en-IE" w:eastAsia="en-US"/>
        </w:rPr>
        <w:t>recital AD</w:t>
      </w:r>
      <w:r w:rsidR="00944E7A" w:rsidRPr="00944E7A">
        <w:rPr>
          <w:rFonts w:ascii="Times New Roman" w:eastAsia="Calibri" w:hAnsi="Times New Roman"/>
          <w:szCs w:val="24"/>
          <w:lang w:val="en-IE" w:eastAsia="en-US"/>
        </w:rPr>
        <w:t xml:space="preserve">). It therefore calls on the Commission to ensure convergence of standards between the EU and its partners in free trade agreement negotiations, </w:t>
      </w:r>
      <w:proofErr w:type="gramStart"/>
      <w:r w:rsidR="00944E7A" w:rsidRPr="00944E7A">
        <w:rPr>
          <w:rFonts w:ascii="Times New Roman" w:eastAsia="Calibri" w:hAnsi="Times New Roman"/>
          <w:szCs w:val="24"/>
          <w:lang w:val="en-IE" w:eastAsia="en-US"/>
        </w:rPr>
        <w:t>in order to</w:t>
      </w:r>
      <w:proofErr w:type="gramEnd"/>
      <w:r w:rsidR="00944E7A" w:rsidRPr="00944E7A">
        <w:rPr>
          <w:rFonts w:ascii="Times New Roman" w:eastAsia="Calibri" w:hAnsi="Times New Roman"/>
          <w:szCs w:val="24"/>
          <w:lang w:val="en-IE" w:eastAsia="en-US"/>
        </w:rPr>
        <w:t xml:space="preserve"> meet the EU’s safety standards (</w:t>
      </w:r>
      <w:r w:rsidR="00944E7A" w:rsidRPr="00944E7A">
        <w:rPr>
          <w:rFonts w:ascii="Times New Roman" w:eastAsia="Calibri" w:hAnsi="Times New Roman"/>
          <w:b/>
          <w:bCs/>
          <w:szCs w:val="24"/>
          <w:lang w:val="en-IE" w:eastAsia="en-US"/>
        </w:rPr>
        <w:t>paragraph 4</w:t>
      </w:r>
      <w:r w:rsidR="00944E7A" w:rsidRPr="00944E7A">
        <w:rPr>
          <w:rFonts w:ascii="Times New Roman" w:eastAsia="Calibri" w:hAnsi="Times New Roman"/>
          <w:szCs w:val="24"/>
          <w:lang w:val="en-IE" w:eastAsia="en-US"/>
        </w:rPr>
        <w:t>).</w:t>
      </w:r>
    </w:p>
    <w:p w14:paraId="4AD06A0A" w14:textId="2F1C1B12" w:rsidR="005125FE" w:rsidRDefault="005125FE" w:rsidP="005125FE">
      <w:pPr>
        <w:spacing w:after="120"/>
        <w:rPr>
          <w:rFonts w:ascii="Times New Roman" w:eastAsia="Calibri" w:hAnsi="Times New Roman"/>
          <w:szCs w:val="24"/>
          <w:lang w:val="en-IE" w:eastAsia="en-US"/>
        </w:rPr>
      </w:pPr>
      <w:r w:rsidRPr="0074107D">
        <w:rPr>
          <w:rFonts w:ascii="Times New Roman" w:eastAsia="Calibri" w:hAnsi="Times New Roman"/>
          <w:szCs w:val="24"/>
          <w:lang w:val="en-IE" w:eastAsia="en-US"/>
        </w:rPr>
        <w:t xml:space="preserve">The resolution welcomes that the Commission </w:t>
      </w:r>
      <w:r w:rsidR="001A4E57" w:rsidRPr="0074107D">
        <w:rPr>
          <w:rFonts w:ascii="Times New Roman" w:eastAsia="Calibri" w:hAnsi="Times New Roman"/>
          <w:szCs w:val="24"/>
          <w:lang w:val="en-IE" w:eastAsia="en-US"/>
        </w:rPr>
        <w:t>recognise</w:t>
      </w:r>
      <w:r w:rsidR="001A4E57">
        <w:rPr>
          <w:rFonts w:ascii="Times New Roman" w:eastAsia="Calibri" w:hAnsi="Times New Roman"/>
          <w:szCs w:val="24"/>
          <w:lang w:val="en-IE" w:eastAsia="en-US"/>
        </w:rPr>
        <w:t>d</w:t>
      </w:r>
      <w:r w:rsidR="001A4E57" w:rsidRPr="0074107D">
        <w:rPr>
          <w:rFonts w:ascii="Times New Roman" w:eastAsia="Calibri" w:hAnsi="Times New Roman"/>
          <w:szCs w:val="24"/>
          <w:lang w:val="en-IE" w:eastAsia="en-US"/>
        </w:rPr>
        <w:t xml:space="preserve"> </w:t>
      </w:r>
      <w:r w:rsidRPr="0074107D">
        <w:rPr>
          <w:rFonts w:ascii="Times New Roman" w:eastAsia="Calibri" w:hAnsi="Times New Roman"/>
          <w:szCs w:val="24"/>
          <w:lang w:val="en-IE" w:eastAsia="en-US"/>
        </w:rPr>
        <w:t xml:space="preserve">the need to take sustainability into account for the authorisation of </w:t>
      </w:r>
      <w:r w:rsidR="00F45AC9">
        <w:rPr>
          <w:rFonts w:ascii="Times New Roman" w:eastAsia="Calibri" w:hAnsi="Times New Roman"/>
          <w:szCs w:val="24"/>
          <w:lang w:val="en-IE" w:eastAsia="en-US"/>
        </w:rPr>
        <w:t>genetically modified organisms</w:t>
      </w:r>
      <w:r w:rsidR="00800EC9">
        <w:rPr>
          <w:rFonts w:ascii="Times New Roman" w:eastAsia="Calibri" w:hAnsi="Times New Roman"/>
          <w:szCs w:val="24"/>
          <w:lang w:val="en-IE" w:eastAsia="en-US"/>
        </w:rPr>
        <w:t xml:space="preserve"> (GMOs</w:t>
      </w:r>
      <w:r w:rsidR="00F45AC9">
        <w:rPr>
          <w:rFonts w:ascii="Times New Roman" w:eastAsia="Calibri" w:hAnsi="Times New Roman"/>
          <w:szCs w:val="24"/>
          <w:lang w:val="en-IE" w:eastAsia="en-US"/>
        </w:rPr>
        <w:t>)</w:t>
      </w:r>
      <w:r w:rsidRPr="0074107D">
        <w:rPr>
          <w:rFonts w:ascii="Times New Roman" w:eastAsia="Calibri" w:hAnsi="Times New Roman"/>
          <w:szCs w:val="24"/>
          <w:lang w:val="en-IE" w:eastAsia="en-US"/>
        </w:rPr>
        <w:t xml:space="preserve"> and expresses its disappointment that the Commission proceeds with GMO authorisations for import despite ongoing European Parliament objections and </w:t>
      </w:r>
      <w:proofErr w:type="gramStart"/>
      <w:r w:rsidR="00DF3477">
        <w:rPr>
          <w:rFonts w:ascii="Times New Roman" w:eastAsia="Calibri" w:hAnsi="Times New Roman"/>
          <w:szCs w:val="24"/>
          <w:lang w:val="en-IE" w:eastAsia="en-US"/>
        </w:rPr>
        <w:t>a majority of</w:t>
      </w:r>
      <w:proofErr w:type="gramEnd"/>
      <w:r w:rsidR="00DF3477">
        <w:rPr>
          <w:rFonts w:ascii="Times New Roman" w:eastAsia="Calibri" w:hAnsi="Times New Roman"/>
          <w:szCs w:val="24"/>
          <w:lang w:val="en-IE" w:eastAsia="en-US"/>
        </w:rPr>
        <w:t xml:space="preserve"> </w:t>
      </w:r>
      <w:r w:rsidRPr="0074107D">
        <w:rPr>
          <w:rFonts w:ascii="Times New Roman" w:eastAsia="Calibri" w:hAnsi="Times New Roman"/>
          <w:szCs w:val="24"/>
          <w:lang w:val="en-IE" w:eastAsia="en-US"/>
        </w:rPr>
        <w:t xml:space="preserve">Member States voting </w:t>
      </w:r>
      <w:r w:rsidR="00DF3477">
        <w:rPr>
          <w:rFonts w:ascii="Times New Roman" w:eastAsia="Calibri" w:hAnsi="Times New Roman"/>
          <w:szCs w:val="24"/>
          <w:lang w:val="en-IE" w:eastAsia="en-US"/>
        </w:rPr>
        <w:t>against</w:t>
      </w:r>
      <w:r w:rsidRPr="0074107D">
        <w:rPr>
          <w:rFonts w:ascii="Times New Roman" w:eastAsia="Calibri" w:hAnsi="Times New Roman"/>
          <w:szCs w:val="24"/>
          <w:lang w:val="en-IE" w:eastAsia="en-US"/>
        </w:rPr>
        <w:t xml:space="preserve"> (</w:t>
      </w:r>
      <w:r w:rsidRPr="0074107D">
        <w:rPr>
          <w:rFonts w:ascii="Times New Roman" w:eastAsia="Calibri" w:hAnsi="Times New Roman"/>
          <w:b/>
          <w:bCs/>
          <w:szCs w:val="24"/>
          <w:lang w:val="en-IE" w:eastAsia="en-US"/>
        </w:rPr>
        <w:t xml:space="preserve">paragraph </w:t>
      </w:r>
      <w:r w:rsidR="002C4773">
        <w:rPr>
          <w:rFonts w:ascii="Times New Roman" w:eastAsia="Calibri" w:hAnsi="Times New Roman"/>
          <w:b/>
          <w:bCs/>
          <w:szCs w:val="24"/>
          <w:lang w:val="en-IE" w:eastAsia="en-US"/>
        </w:rPr>
        <w:t>7</w:t>
      </w:r>
      <w:r w:rsidRPr="0074107D">
        <w:rPr>
          <w:rFonts w:ascii="Times New Roman" w:eastAsia="Calibri" w:hAnsi="Times New Roman"/>
          <w:szCs w:val="24"/>
          <w:lang w:val="en-IE" w:eastAsia="en-US"/>
        </w:rPr>
        <w:t>).</w:t>
      </w:r>
    </w:p>
    <w:p w14:paraId="52F4D2BB" w14:textId="1FF110C4" w:rsidR="004302C3" w:rsidRPr="0074107D" w:rsidRDefault="005125FE" w:rsidP="004302C3">
      <w:pPr>
        <w:widowControl w:val="0"/>
        <w:spacing w:after="120"/>
        <w:rPr>
          <w:rFonts w:ascii="Times New Roman" w:eastAsia="Calibri" w:hAnsi="Times New Roman"/>
          <w:szCs w:val="24"/>
          <w:lang w:val="en-IE" w:eastAsia="en-US"/>
        </w:rPr>
      </w:pPr>
      <w:r w:rsidRPr="0074107D">
        <w:rPr>
          <w:rFonts w:ascii="Times New Roman" w:eastAsia="Calibri" w:hAnsi="Times New Roman"/>
          <w:szCs w:val="24"/>
          <w:lang w:val="en-IE" w:eastAsia="en-US"/>
        </w:rPr>
        <w:t xml:space="preserve">The resolution </w:t>
      </w:r>
      <w:r w:rsidR="002B4980" w:rsidRPr="002B4980">
        <w:rPr>
          <w:rFonts w:ascii="Times New Roman" w:eastAsia="Calibri" w:hAnsi="Times New Roman"/>
          <w:szCs w:val="24"/>
          <w:lang w:val="en-IE" w:eastAsia="en-US"/>
        </w:rPr>
        <w:t xml:space="preserve">refers </w:t>
      </w:r>
      <w:r w:rsidR="006E7B26">
        <w:rPr>
          <w:rFonts w:ascii="Times New Roman" w:eastAsia="Calibri" w:hAnsi="Times New Roman"/>
          <w:szCs w:val="24"/>
          <w:lang w:val="en-IE" w:eastAsia="en-US"/>
        </w:rPr>
        <w:t xml:space="preserve">to </w:t>
      </w:r>
      <w:r w:rsidR="00545349">
        <w:rPr>
          <w:rFonts w:ascii="Times New Roman" w:eastAsia="Calibri" w:hAnsi="Times New Roman"/>
          <w:szCs w:val="24"/>
          <w:lang w:val="en-IE" w:eastAsia="en-US"/>
        </w:rPr>
        <w:t>‘</w:t>
      </w:r>
      <w:r w:rsidR="006E7B26">
        <w:rPr>
          <w:rFonts w:ascii="Times New Roman" w:eastAsia="Calibri" w:hAnsi="Times New Roman"/>
          <w:szCs w:val="24"/>
          <w:lang w:val="en-IE" w:eastAsia="en-US"/>
        </w:rPr>
        <w:t>undemocratic</w:t>
      </w:r>
      <w:r w:rsidR="00545349">
        <w:rPr>
          <w:rFonts w:ascii="Times New Roman" w:eastAsia="Calibri" w:hAnsi="Times New Roman"/>
          <w:szCs w:val="24"/>
          <w:lang w:val="en-IE" w:eastAsia="en-US"/>
        </w:rPr>
        <w:t>’</w:t>
      </w:r>
      <w:r w:rsidR="006E7B26">
        <w:rPr>
          <w:rFonts w:ascii="Times New Roman" w:eastAsia="Calibri" w:hAnsi="Times New Roman"/>
          <w:szCs w:val="24"/>
          <w:lang w:val="en-IE" w:eastAsia="en-US"/>
        </w:rPr>
        <w:t xml:space="preserve"> decision-making </w:t>
      </w:r>
      <w:r w:rsidR="006E7B26" w:rsidRPr="0074107D">
        <w:rPr>
          <w:rFonts w:ascii="Times New Roman" w:eastAsia="Calibri" w:hAnsi="Times New Roman"/>
          <w:szCs w:val="24"/>
          <w:lang w:val="en-IE" w:eastAsia="en-US"/>
        </w:rPr>
        <w:t>recall</w:t>
      </w:r>
      <w:r w:rsidR="006E7B26">
        <w:rPr>
          <w:rFonts w:ascii="Times New Roman" w:eastAsia="Calibri" w:hAnsi="Times New Roman"/>
          <w:szCs w:val="24"/>
          <w:lang w:val="en-IE" w:eastAsia="en-US"/>
        </w:rPr>
        <w:t>ing</w:t>
      </w:r>
      <w:r w:rsidR="006E7B26" w:rsidRPr="0074107D">
        <w:rPr>
          <w:rFonts w:ascii="Times New Roman" w:eastAsia="Calibri" w:hAnsi="Times New Roman"/>
          <w:szCs w:val="24"/>
          <w:lang w:val="en-IE" w:eastAsia="en-US"/>
        </w:rPr>
        <w:t xml:space="preserve"> the numerous </w:t>
      </w:r>
      <w:r w:rsidR="006E7B26">
        <w:rPr>
          <w:rFonts w:ascii="Times New Roman" w:eastAsia="Calibri" w:hAnsi="Times New Roman"/>
          <w:szCs w:val="24"/>
          <w:lang w:val="en-IE" w:eastAsia="en-US"/>
        </w:rPr>
        <w:t xml:space="preserve">resolutions </w:t>
      </w:r>
      <w:r w:rsidR="006E7B26" w:rsidRPr="0074107D">
        <w:rPr>
          <w:rFonts w:ascii="Times New Roman" w:eastAsia="Calibri" w:hAnsi="Times New Roman"/>
          <w:szCs w:val="24"/>
          <w:lang w:val="en-IE" w:eastAsia="en-US"/>
        </w:rPr>
        <w:t>objecti</w:t>
      </w:r>
      <w:r w:rsidR="006E7B26">
        <w:rPr>
          <w:rFonts w:ascii="Times New Roman" w:eastAsia="Calibri" w:hAnsi="Times New Roman"/>
          <w:szCs w:val="24"/>
          <w:lang w:val="en-IE" w:eastAsia="en-US"/>
        </w:rPr>
        <w:t>n</w:t>
      </w:r>
      <w:r w:rsidR="001A4E57">
        <w:rPr>
          <w:rFonts w:ascii="Times New Roman" w:eastAsia="Calibri" w:hAnsi="Times New Roman"/>
          <w:szCs w:val="24"/>
          <w:lang w:val="en-IE" w:eastAsia="en-US"/>
        </w:rPr>
        <w:t>g</w:t>
      </w:r>
      <w:r w:rsidR="006E7B26" w:rsidRPr="0074107D">
        <w:rPr>
          <w:rFonts w:ascii="Times New Roman" w:eastAsia="Calibri" w:hAnsi="Times New Roman"/>
          <w:szCs w:val="24"/>
          <w:lang w:val="en-IE" w:eastAsia="en-US"/>
        </w:rPr>
        <w:t xml:space="preserve"> to GMO authorisations adopted by the European Parliament </w:t>
      </w:r>
      <w:r w:rsidR="006E7B26" w:rsidRPr="006653F2">
        <w:rPr>
          <w:rFonts w:ascii="Times New Roman" w:eastAsia="Calibri" w:hAnsi="Times New Roman"/>
          <w:szCs w:val="24"/>
          <w:lang w:val="en-IE" w:eastAsia="en-US"/>
        </w:rPr>
        <w:t>in its eighth, ninth</w:t>
      </w:r>
      <w:r w:rsidR="006E7B26">
        <w:rPr>
          <w:rFonts w:ascii="Times New Roman" w:eastAsia="Calibri" w:hAnsi="Times New Roman"/>
          <w:szCs w:val="24"/>
          <w:lang w:val="en-IE" w:eastAsia="en-US"/>
        </w:rPr>
        <w:t>,</w:t>
      </w:r>
      <w:r w:rsidR="006E7B26" w:rsidRPr="006653F2">
        <w:rPr>
          <w:rFonts w:ascii="Times New Roman" w:eastAsia="Calibri" w:hAnsi="Times New Roman"/>
          <w:szCs w:val="24"/>
          <w:lang w:val="en-IE" w:eastAsia="en-US"/>
        </w:rPr>
        <w:t xml:space="preserve"> and the current tenth terms</w:t>
      </w:r>
      <w:r w:rsidR="006E7B26" w:rsidRPr="0074107D">
        <w:rPr>
          <w:rFonts w:ascii="Times New Roman" w:eastAsia="Calibri" w:hAnsi="Times New Roman"/>
          <w:szCs w:val="24"/>
          <w:lang w:val="en-IE" w:eastAsia="en-US"/>
        </w:rPr>
        <w:t xml:space="preserve"> (</w:t>
      </w:r>
      <w:r w:rsidR="006E7B26" w:rsidRPr="0074107D">
        <w:rPr>
          <w:rFonts w:ascii="Times New Roman" w:eastAsia="Calibri" w:hAnsi="Times New Roman"/>
          <w:b/>
          <w:szCs w:val="24"/>
          <w:lang w:val="en-IE" w:eastAsia="en-US"/>
        </w:rPr>
        <w:t xml:space="preserve">recital </w:t>
      </w:r>
      <w:r w:rsidR="006E7B26">
        <w:rPr>
          <w:rFonts w:ascii="Times New Roman" w:eastAsia="Calibri" w:hAnsi="Times New Roman"/>
          <w:b/>
          <w:szCs w:val="24"/>
          <w:lang w:val="en-IE" w:eastAsia="en-US"/>
        </w:rPr>
        <w:t>A</w:t>
      </w:r>
      <w:r w:rsidR="002C4773">
        <w:rPr>
          <w:rFonts w:ascii="Times New Roman" w:eastAsia="Calibri" w:hAnsi="Times New Roman"/>
          <w:b/>
          <w:szCs w:val="24"/>
          <w:lang w:val="en-IE" w:eastAsia="en-US"/>
        </w:rPr>
        <w:t>E</w:t>
      </w:r>
      <w:r w:rsidR="006E7B26" w:rsidRPr="0074107D">
        <w:rPr>
          <w:rFonts w:ascii="Times New Roman" w:eastAsia="Calibri" w:hAnsi="Times New Roman"/>
          <w:szCs w:val="24"/>
          <w:lang w:val="en-IE" w:eastAsia="en-US"/>
        </w:rPr>
        <w:t>)</w:t>
      </w:r>
      <w:r w:rsidR="007165ED">
        <w:rPr>
          <w:rFonts w:ascii="Times New Roman" w:eastAsia="Calibri" w:hAnsi="Times New Roman"/>
          <w:szCs w:val="24"/>
          <w:lang w:val="en-IE" w:eastAsia="en-US"/>
        </w:rPr>
        <w:t xml:space="preserve"> </w:t>
      </w:r>
      <w:r w:rsidR="00613222">
        <w:rPr>
          <w:rFonts w:ascii="Times New Roman" w:eastAsia="Calibri" w:hAnsi="Times New Roman"/>
          <w:szCs w:val="24"/>
          <w:lang w:val="en-IE" w:eastAsia="en-US"/>
        </w:rPr>
        <w:t xml:space="preserve">and </w:t>
      </w:r>
      <w:r w:rsidRPr="0074107D">
        <w:rPr>
          <w:rFonts w:ascii="Times New Roman" w:eastAsia="Calibri" w:hAnsi="Times New Roman"/>
          <w:szCs w:val="24"/>
          <w:lang w:val="en-IE" w:eastAsia="en-US"/>
        </w:rPr>
        <w:t>the fact that authorising decisions continue to be adopted by the Commission with</w:t>
      </w:r>
      <w:r w:rsidR="005918C1">
        <w:rPr>
          <w:rFonts w:ascii="Times New Roman" w:eastAsia="Calibri" w:hAnsi="Times New Roman"/>
          <w:szCs w:val="24"/>
          <w:lang w:val="en-IE" w:eastAsia="en-US"/>
        </w:rPr>
        <w:t xml:space="preserve"> a</w:t>
      </w:r>
      <w:r w:rsidR="00CD3495">
        <w:rPr>
          <w:rFonts w:ascii="Times New Roman" w:eastAsia="Calibri" w:hAnsi="Times New Roman"/>
          <w:szCs w:val="24"/>
          <w:lang w:val="en-IE" w:eastAsia="en-US"/>
        </w:rPr>
        <w:t xml:space="preserve"> lack of support from</w:t>
      </w:r>
      <w:r w:rsidRPr="0074107D">
        <w:rPr>
          <w:rFonts w:ascii="Times New Roman" w:eastAsia="Calibri" w:hAnsi="Times New Roman"/>
          <w:szCs w:val="24"/>
          <w:lang w:val="en-IE" w:eastAsia="en-US"/>
        </w:rPr>
        <w:t xml:space="preserve"> Member States</w:t>
      </w:r>
      <w:r w:rsidR="00613222">
        <w:rPr>
          <w:rFonts w:ascii="Times New Roman" w:eastAsia="Calibri" w:hAnsi="Times New Roman"/>
          <w:szCs w:val="24"/>
          <w:lang w:val="en-IE" w:eastAsia="en-US"/>
        </w:rPr>
        <w:t xml:space="preserve"> and the objections of European Parliament</w:t>
      </w:r>
      <w:r w:rsidR="007165ED">
        <w:rPr>
          <w:rFonts w:ascii="Times New Roman" w:eastAsia="Calibri" w:hAnsi="Times New Roman"/>
          <w:szCs w:val="24"/>
          <w:lang w:val="en-IE" w:eastAsia="en-US"/>
        </w:rPr>
        <w:t xml:space="preserve"> </w:t>
      </w:r>
      <w:r w:rsidRPr="0074107D">
        <w:rPr>
          <w:rFonts w:ascii="Times New Roman" w:eastAsia="Calibri" w:hAnsi="Times New Roman"/>
          <w:szCs w:val="24"/>
          <w:lang w:val="en-IE" w:eastAsia="en-US"/>
        </w:rPr>
        <w:t>(</w:t>
      </w:r>
      <w:r w:rsidRPr="0074107D">
        <w:rPr>
          <w:rFonts w:ascii="Times New Roman" w:eastAsia="Calibri" w:hAnsi="Times New Roman"/>
          <w:b/>
          <w:szCs w:val="24"/>
          <w:lang w:val="en-IE" w:eastAsia="en-US"/>
        </w:rPr>
        <w:t>recital</w:t>
      </w:r>
      <w:r w:rsidR="00613222">
        <w:rPr>
          <w:rFonts w:ascii="Times New Roman" w:eastAsia="Calibri" w:hAnsi="Times New Roman"/>
          <w:b/>
          <w:szCs w:val="24"/>
          <w:lang w:val="en-IE" w:eastAsia="en-US"/>
        </w:rPr>
        <w:t>s A</w:t>
      </w:r>
      <w:r w:rsidR="002C4773">
        <w:rPr>
          <w:rFonts w:ascii="Times New Roman" w:eastAsia="Calibri" w:hAnsi="Times New Roman"/>
          <w:b/>
          <w:szCs w:val="24"/>
          <w:lang w:val="en-IE" w:eastAsia="en-US"/>
        </w:rPr>
        <w:t>F</w:t>
      </w:r>
      <w:r w:rsidR="000749BE">
        <w:rPr>
          <w:rFonts w:ascii="Times New Roman" w:eastAsia="Calibri" w:hAnsi="Times New Roman"/>
          <w:b/>
          <w:szCs w:val="24"/>
          <w:lang w:val="en-IE" w:eastAsia="en-US"/>
        </w:rPr>
        <w:t xml:space="preserve"> </w:t>
      </w:r>
      <w:r w:rsidR="00DF3477" w:rsidRPr="00DF3477">
        <w:rPr>
          <w:rFonts w:ascii="Times New Roman" w:eastAsia="Calibri" w:hAnsi="Times New Roman"/>
          <w:bCs/>
          <w:szCs w:val="24"/>
          <w:lang w:val="en-IE" w:eastAsia="en-US"/>
        </w:rPr>
        <w:t>and</w:t>
      </w:r>
      <w:r w:rsidR="00DF3477">
        <w:rPr>
          <w:rFonts w:ascii="Times New Roman" w:eastAsia="Calibri" w:hAnsi="Times New Roman"/>
          <w:b/>
          <w:szCs w:val="24"/>
          <w:lang w:val="en-IE" w:eastAsia="en-US"/>
        </w:rPr>
        <w:t xml:space="preserve"> </w:t>
      </w:r>
      <w:r w:rsidR="00613222">
        <w:rPr>
          <w:rFonts w:ascii="Times New Roman" w:eastAsia="Calibri" w:hAnsi="Times New Roman"/>
          <w:b/>
          <w:szCs w:val="24"/>
          <w:lang w:val="en-IE" w:eastAsia="en-US"/>
        </w:rPr>
        <w:t>A</w:t>
      </w:r>
      <w:r w:rsidR="002C4773">
        <w:rPr>
          <w:rFonts w:ascii="Times New Roman" w:eastAsia="Calibri" w:hAnsi="Times New Roman"/>
          <w:b/>
          <w:szCs w:val="24"/>
          <w:lang w:val="en-IE" w:eastAsia="en-US"/>
        </w:rPr>
        <w:t>H</w:t>
      </w:r>
      <w:r w:rsidR="00613222" w:rsidRPr="00CC4341">
        <w:rPr>
          <w:rFonts w:ascii="Times New Roman" w:eastAsia="Calibri" w:hAnsi="Times New Roman"/>
          <w:bCs/>
          <w:szCs w:val="24"/>
          <w:lang w:val="en-IE" w:eastAsia="en-US"/>
        </w:rPr>
        <w:t>)</w:t>
      </w:r>
      <w:r w:rsidR="007510AF" w:rsidRPr="00CC4341">
        <w:rPr>
          <w:rFonts w:ascii="Times New Roman" w:eastAsia="Calibri" w:hAnsi="Times New Roman"/>
          <w:bCs/>
          <w:szCs w:val="24"/>
          <w:lang w:val="en-IE" w:eastAsia="en-US"/>
        </w:rPr>
        <w:t xml:space="preserve"> </w:t>
      </w:r>
      <w:r w:rsidR="007165ED" w:rsidRPr="00DF3477">
        <w:rPr>
          <w:rFonts w:ascii="Times New Roman" w:eastAsia="Calibri" w:hAnsi="Times New Roman"/>
          <w:bCs/>
          <w:szCs w:val="24"/>
          <w:lang w:val="en-IE" w:eastAsia="en-US"/>
        </w:rPr>
        <w:t>and</w:t>
      </w:r>
      <w:r w:rsidR="007B24ED" w:rsidRPr="0074107D">
        <w:rPr>
          <w:rFonts w:ascii="Times New Roman" w:eastAsia="Calibri" w:hAnsi="Times New Roman"/>
          <w:szCs w:val="24"/>
          <w:lang w:val="en-IE" w:eastAsia="en-US"/>
        </w:rPr>
        <w:t xml:space="preserve"> states that no change of law is required for the Commission not to authorise GMOs in the absence of a qualified majority of Member States in favour in the </w:t>
      </w:r>
      <w:r w:rsidR="007B24ED">
        <w:rPr>
          <w:rFonts w:ascii="Times New Roman" w:eastAsia="Calibri" w:hAnsi="Times New Roman"/>
          <w:szCs w:val="24"/>
          <w:lang w:val="en-IE" w:eastAsia="en-US"/>
        </w:rPr>
        <w:t>A</w:t>
      </w:r>
      <w:r w:rsidR="007B24ED" w:rsidRPr="0074107D">
        <w:rPr>
          <w:rFonts w:ascii="Times New Roman" w:eastAsia="Calibri" w:hAnsi="Times New Roman"/>
          <w:szCs w:val="24"/>
          <w:lang w:val="en-IE" w:eastAsia="en-US"/>
        </w:rPr>
        <w:t xml:space="preserve">ppeal </w:t>
      </w:r>
      <w:r w:rsidR="007B24ED">
        <w:rPr>
          <w:rFonts w:ascii="Times New Roman" w:eastAsia="Calibri" w:hAnsi="Times New Roman"/>
          <w:szCs w:val="24"/>
          <w:lang w:val="en-IE" w:eastAsia="en-US"/>
        </w:rPr>
        <w:t>C</w:t>
      </w:r>
      <w:r w:rsidR="007B24ED" w:rsidRPr="0074107D">
        <w:rPr>
          <w:rFonts w:ascii="Times New Roman" w:eastAsia="Calibri" w:hAnsi="Times New Roman"/>
          <w:szCs w:val="24"/>
          <w:lang w:val="en-IE" w:eastAsia="en-US"/>
        </w:rPr>
        <w:t>ommittee (</w:t>
      </w:r>
      <w:r w:rsidR="007B24ED" w:rsidRPr="0074107D">
        <w:rPr>
          <w:rFonts w:ascii="Times New Roman" w:eastAsia="Calibri" w:hAnsi="Times New Roman"/>
          <w:b/>
          <w:szCs w:val="24"/>
          <w:lang w:val="en-IE" w:eastAsia="en-US"/>
        </w:rPr>
        <w:t xml:space="preserve">recital </w:t>
      </w:r>
      <w:r w:rsidR="007B24ED">
        <w:rPr>
          <w:rFonts w:ascii="Times New Roman" w:eastAsia="Calibri" w:hAnsi="Times New Roman"/>
          <w:b/>
          <w:szCs w:val="24"/>
          <w:lang w:val="en-IE" w:eastAsia="en-US"/>
        </w:rPr>
        <w:t>A</w:t>
      </w:r>
      <w:r w:rsidR="002C4773">
        <w:rPr>
          <w:rFonts w:ascii="Times New Roman" w:eastAsia="Calibri" w:hAnsi="Times New Roman"/>
          <w:b/>
          <w:szCs w:val="24"/>
          <w:lang w:val="en-IE" w:eastAsia="en-US"/>
        </w:rPr>
        <w:t>G</w:t>
      </w:r>
      <w:r w:rsidR="007B24ED">
        <w:rPr>
          <w:rFonts w:ascii="Times New Roman" w:eastAsia="Calibri" w:hAnsi="Times New Roman"/>
          <w:bCs/>
          <w:szCs w:val="24"/>
          <w:lang w:val="en-IE" w:eastAsia="en-US"/>
        </w:rPr>
        <w:t>)</w:t>
      </w:r>
      <w:r w:rsidR="007B24ED" w:rsidRPr="0074107D">
        <w:rPr>
          <w:rFonts w:ascii="Times New Roman" w:eastAsia="Calibri" w:hAnsi="Times New Roman"/>
          <w:szCs w:val="24"/>
          <w:lang w:val="en-IE" w:eastAsia="en-US"/>
        </w:rPr>
        <w:t>.</w:t>
      </w:r>
    </w:p>
    <w:p w14:paraId="5D717F7D" w14:textId="77777777" w:rsidR="005125FE" w:rsidRPr="0074107D" w:rsidRDefault="005125FE" w:rsidP="00FA2376">
      <w:pPr>
        <w:keepNext/>
        <w:widowControl w:val="0"/>
        <w:spacing w:before="240" w:line="259" w:lineRule="auto"/>
        <w:ind w:left="720" w:hanging="720"/>
        <w:rPr>
          <w:rFonts w:ascii="Times New Roman" w:eastAsia="Calibri" w:hAnsi="Times New Roman"/>
          <w:b/>
          <w:bCs/>
          <w:szCs w:val="24"/>
          <w:lang w:val="en-IE" w:eastAsia="en-US"/>
        </w:rPr>
      </w:pPr>
      <w:r w:rsidRPr="0074107D">
        <w:rPr>
          <w:rFonts w:ascii="Times New Roman" w:eastAsia="Calibri" w:hAnsi="Times New Roman"/>
          <w:b/>
          <w:bCs/>
          <w:szCs w:val="24"/>
          <w:lang w:val="en-IE" w:eastAsia="en-US"/>
        </w:rPr>
        <w:t>6.</w:t>
      </w:r>
      <w:r w:rsidRPr="0074107D">
        <w:rPr>
          <w:rFonts w:ascii="Times New Roman" w:eastAsia="Calibri" w:hAnsi="Times New Roman"/>
          <w:b/>
          <w:bCs/>
          <w:szCs w:val="24"/>
          <w:lang w:val="en-IE" w:eastAsia="en-US"/>
        </w:rPr>
        <w:tab/>
        <w:t>Response to the requests and overview of actions taken, or intended to be taken, by the Commission:</w:t>
      </w:r>
    </w:p>
    <w:p w14:paraId="6634D039" w14:textId="2068631B" w:rsidR="005125FE" w:rsidRPr="0074107D" w:rsidRDefault="005125FE" w:rsidP="005125FE">
      <w:pPr>
        <w:spacing w:after="120"/>
        <w:rPr>
          <w:rFonts w:ascii="Times New Roman" w:eastAsia="Calibri" w:hAnsi="Times New Roman"/>
          <w:szCs w:val="24"/>
          <w:lang w:val="en-IE" w:eastAsia="en-US"/>
        </w:rPr>
      </w:pPr>
      <w:r w:rsidRPr="0074107D">
        <w:rPr>
          <w:rFonts w:ascii="Times New Roman" w:eastAsia="Calibri" w:hAnsi="Times New Roman"/>
          <w:szCs w:val="24"/>
          <w:lang w:val="en-IE" w:eastAsia="en-US"/>
        </w:rPr>
        <w:t xml:space="preserve">The Commission would like to recall that the implementing decision concerns the authorisation for </w:t>
      </w:r>
      <w:r w:rsidR="00E46255">
        <w:rPr>
          <w:rFonts w:ascii="Times New Roman" w:eastAsia="Calibri" w:hAnsi="Times New Roman"/>
          <w:szCs w:val="24"/>
          <w:lang w:val="en-IE" w:eastAsia="en-US"/>
        </w:rPr>
        <w:t xml:space="preserve">the </w:t>
      </w:r>
      <w:r w:rsidRPr="0074107D">
        <w:rPr>
          <w:rFonts w:ascii="Times New Roman" w:eastAsia="Calibri" w:hAnsi="Times New Roman"/>
          <w:szCs w:val="24"/>
          <w:lang w:val="en-IE" w:eastAsia="en-US"/>
        </w:rPr>
        <w:t xml:space="preserve">placing on the market of products containing, consisting of or produced from GM </w:t>
      </w:r>
      <w:r w:rsidR="00C94A75" w:rsidRPr="00C94A75">
        <w:rPr>
          <w:rFonts w:ascii="Times New Roman" w:eastAsia="Calibri" w:hAnsi="Times New Roman"/>
          <w:szCs w:val="24"/>
          <w:lang w:val="en-IE" w:eastAsia="en-US"/>
        </w:rPr>
        <w:t>maize DP51291</w:t>
      </w:r>
      <w:r w:rsidRPr="00E9170A">
        <w:rPr>
          <w:rFonts w:ascii="Times New Roman" w:eastAsia="Calibri" w:hAnsi="Times New Roman"/>
          <w:szCs w:val="24"/>
          <w:lang w:val="en-IE" w:eastAsia="en-US"/>
        </w:rPr>
        <w:t>,</w:t>
      </w:r>
      <w:r w:rsidRPr="0074107D">
        <w:rPr>
          <w:rFonts w:ascii="Times New Roman" w:eastAsia="Calibri" w:hAnsi="Times New Roman"/>
          <w:szCs w:val="24"/>
          <w:lang w:val="en-IE" w:eastAsia="en-US"/>
        </w:rPr>
        <w:t xml:space="preserve"> but not the cultivation of this </w:t>
      </w:r>
      <w:r w:rsidR="00C94A75">
        <w:rPr>
          <w:rFonts w:ascii="Times New Roman" w:eastAsia="Calibri" w:hAnsi="Times New Roman"/>
          <w:szCs w:val="24"/>
          <w:lang w:val="en-IE" w:eastAsia="en-US"/>
        </w:rPr>
        <w:t>maize</w:t>
      </w:r>
      <w:r w:rsidRPr="0074107D">
        <w:rPr>
          <w:rFonts w:ascii="Times New Roman" w:eastAsia="Calibri" w:hAnsi="Times New Roman"/>
          <w:szCs w:val="24"/>
          <w:lang w:val="en-IE" w:eastAsia="en-US"/>
        </w:rPr>
        <w:t>.</w:t>
      </w:r>
    </w:p>
    <w:p w14:paraId="1325178A" w14:textId="37B5515C" w:rsidR="005125FE" w:rsidRPr="0074107D" w:rsidRDefault="005125FE" w:rsidP="005125FE">
      <w:pPr>
        <w:spacing w:after="120"/>
        <w:rPr>
          <w:rFonts w:ascii="Times New Roman" w:eastAsia="Calibri" w:hAnsi="Times New Roman"/>
          <w:szCs w:val="24"/>
          <w:lang w:val="en-IE" w:eastAsia="en-US"/>
        </w:rPr>
      </w:pPr>
      <w:r w:rsidRPr="0074107D">
        <w:rPr>
          <w:rFonts w:ascii="Times New Roman" w:eastAsia="Calibri" w:hAnsi="Times New Roman"/>
          <w:szCs w:val="24"/>
          <w:lang w:val="en-IE" w:eastAsia="en-US"/>
        </w:rPr>
        <w:t xml:space="preserve">With respect to </w:t>
      </w:r>
      <w:r w:rsidRPr="0074107D">
        <w:rPr>
          <w:rFonts w:ascii="Times New Roman" w:eastAsia="Calibri" w:hAnsi="Times New Roman"/>
          <w:b/>
          <w:bCs/>
          <w:szCs w:val="24"/>
          <w:lang w:val="en-IE" w:eastAsia="en-US"/>
        </w:rPr>
        <w:t>paragraphs 1</w:t>
      </w:r>
      <w:r w:rsidR="002B024C">
        <w:rPr>
          <w:rFonts w:ascii="Times New Roman" w:eastAsia="Calibri" w:hAnsi="Times New Roman"/>
          <w:b/>
          <w:bCs/>
          <w:szCs w:val="24"/>
          <w:lang w:val="en-IE" w:eastAsia="en-US"/>
        </w:rPr>
        <w:t xml:space="preserve"> </w:t>
      </w:r>
      <w:r w:rsidR="002B024C" w:rsidRPr="00AD31F4">
        <w:rPr>
          <w:rFonts w:ascii="Times New Roman" w:eastAsia="Calibri" w:hAnsi="Times New Roman"/>
          <w:szCs w:val="24"/>
          <w:lang w:val="en-IE" w:eastAsia="en-US"/>
        </w:rPr>
        <w:t>and</w:t>
      </w:r>
      <w:r w:rsidR="002B024C">
        <w:rPr>
          <w:rFonts w:ascii="Times New Roman" w:eastAsia="Calibri" w:hAnsi="Times New Roman"/>
          <w:b/>
          <w:bCs/>
          <w:szCs w:val="24"/>
          <w:lang w:val="en-IE" w:eastAsia="en-US"/>
        </w:rPr>
        <w:t xml:space="preserve"> </w:t>
      </w:r>
      <w:r w:rsidR="00D762A4">
        <w:rPr>
          <w:rFonts w:ascii="Times New Roman" w:eastAsia="Calibri" w:hAnsi="Times New Roman"/>
          <w:b/>
          <w:bCs/>
          <w:szCs w:val="24"/>
          <w:lang w:val="en-IE" w:eastAsia="en-US"/>
        </w:rPr>
        <w:t>3</w:t>
      </w:r>
      <w:r w:rsidR="002B024C">
        <w:rPr>
          <w:rFonts w:ascii="Times New Roman" w:eastAsia="Calibri" w:hAnsi="Times New Roman"/>
          <w:b/>
          <w:bCs/>
          <w:szCs w:val="24"/>
          <w:lang w:val="en-IE" w:eastAsia="en-US"/>
        </w:rPr>
        <w:t xml:space="preserve"> </w:t>
      </w:r>
      <w:r w:rsidRPr="0074107D">
        <w:rPr>
          <w:rFonts w:ascii="Times New Roman" w:eastAsia="Calibri" w:hAnsi="Times New Roman"/>
          <w:szCs w:val="24"/>
          <w:lang w:val="en-IE" w:eastAsia="en-US"/>
        </w:rPr>
        <w:t xml:space="preserve">of the resolution, the Commission would like to point out that the </w:t>
      </w:r>
      <w:r w:rsidR="00A64BF9">
        <w:rPr>
          <w:rFonts w:ascii="Times New Roman" w:eastAsia="Calibri" w:hAnsi="Times New Roman"/>
          <w:szCs w:val="24"/>
          <w:lang w:val="en-IE" w:eastAsia="en-US"/>
        </w:rPr>
        <w:t xml:space="preserve">draft </w:t>
      </w:r>
      <w:r w:rsidRPr="0074107D">
        <w:rPr>
          <w:rFonts w:ascii="Times New Roman" w:eastAsia="Calibri" w:hAnsi="Times New Roman"/>
          <w:szCs w:val="24"/>
          <w:lang w:val="en-IE" w:eastAsia="en-US"/>
        </w:rPr>
        <w:t>decision has been prepared in line with and has undergone the procedural steps set out in Regulation (EC) No 1829/2003 on GM food and feed and in Regulation (EU) No 182/2011 on comitology, as illustrated below:</w:t>
      </w:r>
    </w:p>
    <w:p w14:paraId="298E6089" w14:textId="7E1CFCD3" w:rsidR="003A1CB2" w:rsidRDefault="00266E38" w:rsidP="00BF12FD">
      <w:pPr>
        <w:numPr>
          <w:ilvl w:val="0"/>
          <w:numId w:val="3"/>
        </w:numPr>
        <w:spacing w:after="120"/>
        <w:rPr>
          <w:rFonts w:ascii="Times New Roman" w:eastAsia="Calibri" w:hAnsi="Times New Roman"/>
          <w:szCs w:val="24"/>
          <w:lang w:val="en-IE" w:eastAsia="en-US"/>
        </w:rPr>
      </w:pPr>
      <w:r w:rsidRPr="000749BE">
        <w:rPr>
          <w:rFonts w:ascii="Times New Roman" w:eastAsia="Calibri" w:hAnsi="Times New Roman"/>
          <w:szCs w:val="24"/>
          <w:lang w:val="en-IE" w:eastAsia="en-US"/>
        </w:rPr>
        <w:t>o</w:t>
      </w:r>
      <w:r w:rsidR="00E9170A" w:rsidRPr="000749BE">
        <w:rPr>
          <w:rFonts w:ascii="Times New Roman" w:eastAsia="Calibri" w:hAnsi="Times New Roman"/>
          <w:szCs w:val="24"/>
          <w:lang w:val="en-IE" w:eastAsia="en-US"/>
        </w:rPr>
        <w:t xml:space="preserve">n </w:t>
      </w:r>
      <w:r w:rsidR="00C94A75" w:rsidRPr="000749BE">
        <w:rPr>
          <w:rFonts w:ascii="Times New Roman" w:eastAsia="Calibri" w:hAnsi="Times New Roman"/>
          <w:szCs w:val="24"/>
          <w:lang w:val="en-IE" w:eastAsia="en-US"/>
        </w:rPr>
        <w:t>27 January 202</w:t>
      </w:r>
      <w:r w:rsidR="002C4773" w:rsidRPr="000749BE">
        <w:rPr>
          <w:rFonts w:ascii="Times New Roman" w:eastAsia="Calibri" w:hAnsi="Times New Roman"/>
          <w:szCs w:val="24"/>
          <w:lang w:val="en-IE" w:eastAsia="en-US"/>
        </w:rPr>
        <w:t>3</w:t>
      </w:r>
      <w:r w:rsidR="00E9170A" w:rsidRPr="000749BE">
        <w:rPr>
          <w:rFonts w:ascii="Times New Roman" w:eastAsia="Calibri" w:hAnsi="Times New Roman"/>
          <w:szCs w:val="24"/>
          <w:lang w:val="en-IE" w:eastAsia="en-US"/>
        </w:rPr>
        <w:t>,</w:t>
      </w:r>
      <w:r w:rsidR="00E9170A" w:rsidRPr="007165ED">
        <w:rPr>
          <w:rFonts w:ascii="Times New Roman" w:eastAsia="Calibri" w:hAnsi="Times New Roman"/>
          <w:szCs w:val="24"/>
          <w:lang w:val="en-IE" w:eastAsia="en-US"/>
        </w:rPr>
        <w:t xml:space="preserve"> </w:t>
      </w:r>
      <w:r w:rsidR="00C94A75" w:rsidRPr="00C94A75">
        <w:rPr>
          <w:rFonts w:ascii="Times New Roman" w:eastAsia="Calibri" w:hAnsi="Times New Roman"/>
          <w:szCs w:val="24"/>
          <w:lang w:val="en-IE" w:eastAsia="en-US"/>
        </w:rPr>
        <w:t xml:space="preserve">Corteva Agriscience Belgium B.V., </w:t>
      </w:r>
      <w:r w:rsidR="00967E68" w:rsidRPr="007165ED">
        <w:rPr>
          <w:rFonts w:ascii="Times New Roman" w:eastAsia="Calibri" w:hAnsi="Times New Roman"/>
          <w:szCs w:val="24"/>
          <w:lang w:val="en-IE" w:eastAsia="en-US"/>
        </w:rPr>
        <w:t xml:space="preserve">on behalf </w:t>
      </w:r>
      <w:r w:rsidR="00E7098A">
        <w:rPr>
          <w:rFonts w:ascii="Times New Roman" w:eastAsia="Calibri" w:hAnsi="Times New Roman"/>
          <w:szCs w:val="24"/>
          <w:lang w:val="en-IE" w:eastAsia="en-US"/>
        </w:rPr>
        <w:t xml:space="preserve">of </w:t>
      </w:r>
      <w:r w:rsidR="00C94A75" w:rsidRPr="00C94A75">
        <w:rPr>
          <w:rFonts w:ascii="Times New Roman" w:eastAsia="Calibri" w:hAnsi="Times New Roman"/>
          <w:szCs w:val="24"/>
          <w:lang w:val="en-IE" w:eastAsia="en-US"/>
        </w:rPr>
        <w:t>Corteva Agriscience LLC</w:t>
      </w:r>
      <w:r w:rsidR="00C94A75" w:rsidRPr="00C94A75" w:rsidDel="00C94A75">
        <w:rPr>
          <w:rFonts w:ascii="Times New Roman" w:eastAsia="Calibri" w:hAnsi="Times New Roman"/>
          <w:szCs w:val="24"/>
          <w:lang w:val="en-IE" w:eastAsia="en-US"/>
        </w:rPr>
        <w:t xml:space="preserve"> </w:t>
      </w:r>
      <w:r w:rsidR="00E9170A" w:rsidRPr="007165ED">
        <w:rPr>
          <w:rFonts w:ascii="Times New Roman" w:eastAsia="Calibri" w:hAnsi="Times New Roman"/>
          <w:szCs w:val="24"/>
          <w:lang w:val="en-IE" w:eastAsia="en-US"/>
        </w:rPr>
        <w:t xml:space="preserve">based in the United States, </w:t>
      </w:r>
      <w:r w:rsidR="00967E68" w:rsidRPr="007165ED">
        <w:rPr>
          <w:rFonts w:ascii="Times New Roman" w:eastAsia="Calibri" w:hAnsi="Times New Roman"/>
          <w:szCs w:val="24"/>
          <w:lang w:val="en-IE" w:eastAsia="en-US"/>
        </w:rPr>
        <w:t xml:space="preserve">submitted </w:t>
      </w:r>
      <w:r w:rsidR="00E9170A" w:rsidRPr="007165ED">
        <w:rPr>
          <w:rFonts w:ascii="Times New Roman" w:eastAsia="Calibri" w:hAnsi="Times New Roman"/>
          <w:szCs w:val="24"/>
          <w:lang w:val="en-IE" w:eastAsia="en-US"/>
        </w:rPr>
        <w:t xml:space="preserve">to the national competent authority of the Netherlands </w:t>
      </w:r>
      <w:r w:rsidR="008B47A6" w:rsidRPr="007165ED">
        <w:rPr>
          <w:rFonts w:ascii="Times New Roman" w:eastAsia="Calibri" w:hAnsi="Times New Roman"/>
          <w:szCs w:val="24"/>
          <w:lang w:val="en-IE" w:eastAsia="en-US"/>
        </w:rPr>
        <w:t xml:space="preserve">an application </w:t>
      </w:r>
      <w:r w:rsidR="00E9170A" w:rsidRPr="007165ED">
        <w:rPr>
          <w:rFonts w:ascii="Times New Roman" w:eastAsia="Calibri" w:hAnsi="Times New Roman"/>
          <w:szCs w:val="24"/>
          <w:lang w:val="en-IE" w:eastAsia="en-US"/>
        </w:rPr>
        <w:t xml:space="preserve">for authorisation for the placing on the market </w:t>
      </w:r>
      <w:r w:rsidR="005125FE" w:rsidRPr="007165ED">
        <w:rPr>
          <w:rFonts w:ascii="Times New Roman" w:eastAsia="Calibri" w:hAnsi="Times New Roman"/>
          <w:szCs w:val="24"/>
          <w:lang w:val="en-IE" w:eastAsia="en-US"/>
        </w:rPr>
        <w:t xml:space="preserve">of GM </w:t>
      </w:r>
      <w:r w:rsidR="00C94A75" w:rsidRPr="00C94A75">
        <w:rPr>
          <w:rFonts w:ascii="Times New Roman" w:eastAsia="Calibri" w:hAnsi="Times New Roman"/>
          <w:szCs w:val="24"/>
          <w:lang w:val="en-IE" w:eastAsia="en-US"/>
        </w:rPr>
        <w:t>maize DP51291</w:t>
      </w:r>
      <w:r w:rsidR="005125FE" w:rsidRPr="007165ED">
        <w:rPr>
          <w:rFonts w:ascii="Times New Roman" w:eastAsia="Calibri" w:hAnsi="Times New Roman"/>
          <w:szCs w:val="24"/>
          <w:lang w:val="en-IE" w:eastAsia="en-US"/>
        </w:rPr>
        <w:t xml:space="preserve">for food/feed and other uses, except of </w:t>
      </w:r>
      <w:proofErr w:type="gramStart"/>
      <w:r w:rsidR="005125FE" w:rsidRPr="007165ED">
        <w:rPr>
          <w:rFonts w:ascii="Times New Roman" w:eastAsia="Calibri" w:hAnsi="Times New Roman"/>
          <w:szCs w:val="24"/>
          <w:lang w:val="en-IE" w:eastAsia="en-US"/>
        </w:rPr>
        <w:t>cultivation;</w:t>
      </w:r>
      <w:proofErr w:type="gramEnd"/>
    </w:p>
    <w:p w14:paraId="740DDAB3" w14:textId="757C1D06" w:rsidR="00715E09" w:rsidRPr="005B1CB0" w:rsidRDefault="006770A2" w:rsidP="00BF12FD">
      <w:pPr>
        <w:numPr>
          <w:ilvl w:val="0"/>
          <w:numId w:val="3"/>
        </w:numPr>
        <w:spacing w:after="120"/>
        <w:rPr>
          <w:rFonts w:ascii="Times New Roman" w:eastAsia="Calibri" w:hAnsi="Times New Roman"/>
          <w:szCs w:val="24"/>
          <w:lang w:val="en-IE" w:eastAsia="en-US"/>
        </w:rPr>
      </w:pPr>
      <w:r>
        <w:rPr>
          <w:rFonts w:ascii="Times New Roman" w:eastAsia="Calibri" w:hAnsi="Times New Roman"/>
          <w:szCs w:val="24"/>
          <w:lang w:eastAsia="en-US"/>
        </w:rPr>
        <w:t>o</w:t>
      </w:r>
      <w:r w:rsidRPr="006770A2">
        <w:rPr>
          <w:rFonts w:ascii="Times New Roman" w:eastAsia="Calibri" w:hAnsi="Times New Roman"/>
          <w:szCs w:val="24"/>
          <w:lang w:eastAsia="en-US"/>
        </w:rPr>
        <w:t>n 1</w:t>
      </w:r>
      <w:r w:rsidR="00C94A75">
        <w:rPr>
          <w:rFonts w:ascii="Times New Roman" w:eastAsia="Calibri" w:hAnsi="Times New Roman"/>
          <w:szCs w:val="24"/>
          <w:lang w:eastAsia="en-US"/>
        </w:rPr>
        <w:t>1 November</w:t>
      </w:r>
      <w:r w:rsidRPr="006770A2">
        <w:rPr>
          <w:rFonts w:ascii="Times New Roman" w:eastAsia="Calibri" w:hAnsi="Times New Roman"/>
          <w:szCs w:val="24"/>
          <w:lang w:eastAsia="en-US"/>
        </w:rPr>
        <w:t xml:space="preserve"> 202</w:t>
      </w:r>
      <w:r w:rsidR="00C94A75">
        <w:rPr>
          <w:rFonts w:ascii="Times New Roman" w:eastAsia="Calibri" w:hAnsi="Times New Roman"/>
          <w:szCs w:val="24"/>
          <w:lang w:eastAsia="en-US"/>
        </w:rPr>
        <w:t>4</w:t>
      </w:r>
      <w:r w:rsidR="005B1CB0">
        <w:rPr>
          <w:rFonts w:ascii="Times New Roman" w:eastAsia="Calibri" w:hAnsi="Times New Roman"/>
          <w:szCs w:val="24"/>
          <w:lang w:eastAsia="en-US"/>
        </w:rPr>
        <w:t>,</w:t>
      </w:r>
      <w:r w:rsidR="002729B3">
        <w:rPr>
          <w:rFonts w:ascii="Times New Roman" w:eastAsia="Calibri" w:hAnsi="Times New Roman"/>
          <w:szCs w:val="24"/>
          <w:lang w:eastAsia="en-US"/>
        </w:rPr>
        <w:t xml:space="preserve"> </w:t>
      </w:r>
      <w:r w:rsidR="005B1CB0" w:rsidRPr="005B1CB0">
        <w:rPr>
          <w:rFonts w:ascii="Times New Roman" w:eastAsia="Calibri" w:hAnsi="Times New Roman"/>
          <w:szCs w:val="24"/>
          <w:lang w:eastAsia="en-US"/>
        </w:rPr>
        <w:t xml:space="preserve">EFSA issued a favourable scientific opinion and concluded that GM maize DP910521 is as safe as its conventional counterpart and the tested non-GM </w:t>
      </w:r>
      <w:r w:rsidR="005B1CB0" w:rsidRPr="005B1CB0">
        <w:rPr>
          <w:rFonts w:ascii="Times New Roman" w:eastAsia="Calibri" w:hAnsi="Times New Roman"/>
          <w:szCs w:val="24"/>
          <w:lang w:eastAsia="en-US"/>
        </w:rPr>
        <w:lastRenderedPageBreak/>
        <w:t xml:space="preserve">maize reference varieties with respect to the potential effects on human and animal health and the </w:t>
      </w:r>
      <w:proofErr w:type="gramStart"/>
      <w:r w:rsidR="005B1CB0" w:rsidRPr="005B1CB0">
        <w:rPr>
          <w:rFonts w:ascii="Times New Roman" w:eastAsia="Calibri" w:hAnsi="Times New Roman"/>
          <w:szCs w:val="24"/>
          <w:lang w:eastAsia="en-US"/>
        </w:rPr>
        <w:t>environment;</w:t>
      </w:r>
      <w:proofErr w:type="gramEnd"/>
    </w:p>
    <w:p w14:paraId="7AA7BDAC" w14:textId="77777777" w:rsidR="005B1CB0" w:rsidRDefault="005B1CB0" w:rsidP="005B1CB0">
      <w:pPr>
        <w:numPr>
          <w:ilvl w:val="0"/>
          <w:numId w:val="3"/>
        </w:numPr>
        <w:spacing w:after="120"/>
        <w:rPr>
          <w:rFonts w:ascii="Times New Roman" w:eastAsia="Calibri" w:hAnsi="Times New Roman"/>
          <w:szCs w:val="24"/>
          <w:lang w:val="en-IE" w:eastAsia="en-US"/>
        </w:rPr>
      </w:pPr>
      <w:r>
        <w:rPr>
          <w:rFonts w:ascii="Times New Roman" w:eastAsia="Calibri" w:hAnsi="Times New Roman"/>
          <w:szCs w:val="24"/>
          <w:lang w:val="en-IE" w:eastAsia="en-US"/>
        </w:rPr>
        <w:t>i</w:t>
      </w:r>
      <w:r w:rsidRPr="0074107D">
        <w:rPr>
          <w:rFonts w:ascii="Times New Roman" w:eastAsia="Calibri" w:hAnsi="Times New Roman"/>
          <w:szCs w:val="24"/>
          <w:lang w:val="en-IE" w:eastAsia="en-US"/>
        </w:rPr>
        <w:t xml:space="preserve">n its scientific opinion, EFSA considered all the questions and concerns raised by the Member States in the context of the consultation of the national competent authorities as provided for by Article 6(4) and Article 18(4) of Regulation (EC) No </w:t>
      </w:r>
      <w:proofErr w:type="gramStart"/>
      <w:r w:rsidRPr="0074107D">
        <w:rPr>
          <w:rFonts w:ascii="Times New Roman" w:eastAsia="Calibri" w:hAnsi="Times New Roman"/>
          <w:szCs w:val="24"/>
          <w:lang w:val="en-IE" w:eastAsia="en-US"/>
        </w:rPr>
        <w:t>1829/2003;</w:t>
      </w:r>
      <w:proofErr w:type="gramEnd"/>
    </w:p>
    <w:p w14:paraId="0535D192" w14:textId="37AFE582" w:rsidR="005B1CB0" w:rsidRPr="00FA13BD" w:rsidRDefault="005B1CB0" w:rsidP="00FA13BD">
      <w:pPr>
        <w:numPr>
          <w:ilvl w:val="0"/>
          <w:numId w:val="3"/>
        </w:numPr>
        <w:spacing w:after="120"/>
        <w:rPr>
          <w:rFonts w:ascii="Times New Roman" w:eastAsia="Calibri" w:hAnsi="Times New Roman"/>
          <w:szCs w:val="24"/>
          <w:lang w:val="en-IE" w:eastAsia="en-US"/>
        </w:rPr>
      </w:pPr>
      <w:r w:rsidRPr="00266E38">
        <w:rPr>
          <w:rFonts w:ascii="Times New Roman" w:eastAsia="Calibri" w:hAnsi="Times New Roman"/>
          <w:szCs w:val="24"/>
          <w:lang w:val="en-IE" w:eastAsia="en-US"/>
        </w:rPr>
        <w:t xml:space="preserve">the public commented on the EFSA opinion, and all the scientific comments received were scrutinised by EFSA, which confirmed the conclusions of its initial scientific </w:t>
      </w:r>
      <w:proofErr w:type="gramStart"/>
      <w:r w:rsidRPr="00266E38">
        <w:rPr>
          <w:rFonts w:ascii="Times New Roman" w:eastAsia="Calibri" w:hAnsi="Times New Roman"/>
          <w:szCs w:val="24"/>
          <w:lang w:val="en-IE" w:eastAsia="en-US"/>
        </w:rPr>
        <w:t>opinion;</w:t>
      </w:r>
      <w:proofErr w:type="gramEnd"/>
    </w:p>
    <w:p w14:paraId="703B8701" w14:textId="72047129" w:rsidR="003A1CB2" w:rsidRPr="007165ED" w:rsidRDefault="003A1CB2" w:rsidP="00BF12FD">
      <w:pPr>
        <w:numPr>
          <w:ilvl w:val="0"/>
          <w:numId w:val="3"/>
        </w:numPr>
        <w:spacing w:after="120"/>
        <w:rPr>
          <w:rFonts w:ascii="Times New Roman" w:eastAsia="Calibri" w:hAnsi="Times New Roman"/>
          <w:szCs w:val="24"/>
          <w:lang w:val="en-IE" w:eastAsia="en-US"/>
        </w:rPr>
      </w:pPr>
      <w:r w:rsidRPr="007165ED">
        <w:rPr>
          <w:rFonts w:ascii="Times New Roman" w:eastAsia="Calibri" w:hAnsi="Times New Roman"/>
          <w:szCs w:val="24"/>
          <w:lang w:val="en-IE" w:eastAsia="en-US"/>
        </w:rPr>
        <w:t>t</w:t>
      </w:r>
      <w:r w:rsidR="005125FE" w:rsidRPr="007165ED">
        <w:rPr>
          <w:rFonts w:ascii="Times New Roman" w:eastAsia="Calibri" w:hAnsi="Times New Roman"/>
          <w:szCs w:val="24"/>
          <w:lang w:val="en-IE" w:eastAsia="en-US"/>
        </w:rPr>
        <w:t xml:space="preserve">he draft decision was voted in the Standing Committee on </w:t>
      </w:r>
      <w:r w:rsidR="005B1CB0">
        <w:rPr>
          <w:rFonts w:ascii="Times New Roman" w:eastAsia="Calibri" w:hAnsi="Times New Roman"/>
          <w:szCs w:val="24"/>
          <w:lang w:val="en-IE" w:eastAsia="en-US"/>
        </w:rPr>
        <w:t>13 June</w:t>
      </w:r>
      <w:r w:rsidR="008B47A6" w:rsidRPr="007165ED">
        <w:rPr>
          <w:rFonts w:ascii="Times New Roman" w:eastAsia="Calibri" w:hAnsi="Times New Roman"/>
          <w:szCs w:val="24"/>
          <w:lang w:val="en-IE" w:eastAsia="en-US"/>
        </w:rPr>
        <w:t xml:space="preserve"> </w:t>
      </w:r>
      <w:r w:rsidR="00266E38" w:rsidRPr="007165ED">
        <w:rPr>
          <w:rFonts w:ascii="Times New Roman" w:eastAsia="Calibri" w:hAnsi="Times New Roman"/>
          <w:szCs w:val="24"/>
          <w:lang w:val="en-IE" w:eastAsia="en-US"/>
        </w:rPr>
        <w:t>202</w:t>
      </w:r>
      <w:r w:rsidR="008B47A6" w:rsidRPr="007165ED">
        <w:rPr>
          <w:rFonts w:ascii="Times New Roman" w:eastAsia="Calibri" w:hAnsi="Times New Roman"/>
          <w:szCs w:val="24"/>
          <w:lang w:val="en-IE" w:eastAsia="en-US"/>
        </w:rPr>
        <w:t>5</w:t>
      </w:r>
      <w:r w:rsidR="00266E38" w:rsidRPr="007165ED">
        <w:rPr>
          <w:rFonts w:ascii="Times New Roman" w:eastAsia="Calibri" w:hAnsi="Times New Roman"/>
          <w:szCs w:val="24"/>
          <w:lang w:val="en-IE" w:eastAsia="en-US"/>
        </w:rPr>
        <w:t xml:space="preserve"> </w:t>
      </w:r>
      <w:r w:rsidR="005125FE" w:rsidRPr="007165ED">
        <w:rPr>
          <w:rFonts w:ascii="Times New Roman" w:eastAsia="Calibri" w:hAnsi="Times New Roman"/>
          <w:szCs w:val="24"/>
          <w:lang w:val="en-IE" w:eastAsia="en-US"/>
        </w:rPr>
        <w:t xml:space="preserve">with no qualified majority against or in </w:t>
      </w:r>
      <w:proofErr w:type="gramStart"/>
      <w:r w:rsidR="005125FE" w:rsidRPr="007165ED">
        <w:rPr>
          <w:rFonts w:ascii="Times New Roman" w:eastAsia="Calibri" w:hAnsi="Times New Roman"/>
          <w:szCs w:val="24"/>
          <w:lang w:val="en-IE" w:eastAsia="en-US"/>
        </w:rPr>
        <w:t>favour;</w:t>
      </w:r>
      <w:proofErr w:type="gramEnd"/>
    </w:p>
    <w:p w14:paraId="366EFE43" w14:textId="33698A72" w:rsidR="005125FE" w:rsidRDefault="003A1CB2" w:rsidP="00BF12FD">
      <w:pPr>
        <w:numPr>
          <w:ilvl w:val="0"/>
          <w:numId w:val="3"/>
        </w:numPr>
        <w:spacing w:after="120"/>
        <w:rPr>
          <w:rFonts w:ascii="Times New Roman" w:eastAsia="Calibri" w:hAnsi="Times New Roman"/>
          <w:szCs w:val="24"/>
          <w:lang w:val="en-IE" w:eastAsia="en-US"/>
        </w:rPr>
      </w:pPr>
      <w:r w:rsidRPr="007165ED">
        <w:rPr>
          <w:rFonts w:ascii="Times New Roman" w:eastAsia="Calibri" w:hAnsi="Times New Roman"/>
          <w:szCs w:val="24"/>
          <w:lang w:val="en-IE" w:eastAsia="en-US"/>
        </w:rPr>
        <w:t>t</w:t>
      </w:r>
      <w:r w:rsidR="005125FE" w:rsidRPr="007165ED">
        <w:rPr>
          <w:rFonts w:ascii="Times New Roman" w:eastAsia="Calibri" w:hAnsi="Times New Roman"/>
          <w:szCs w:val="24"/>
          <w:lang w:val="en-IE" w:eastAsia="en-US"/>
        </w:rPr>
        <w:t xml:space="preserve">he draft decision was voted in the Appeal Committee on </w:t>
      </w:r>
      <w:r w:rsidR="005B1CB0">
        <w:rPr>
          <w:rFonts w:ascii="Times New Roman" w:eastAsia="Calibri" w:hAnsi="Times New Roman"/>
          <w:szCs w:val="24"/>
          <w:lang w:val="en-IE" w:eastAsia="en-US"/>
        </w:rPr>
        <w:t>15 July</w:t>
      </w:r>
      <w:r w:rsidR="00DD33EE" w:rsidRPr="007165ED">
        <w:rPr>
          <w:rFonts w:ascii="Times New Roman" w:eastAsia="Calibri" w:hAnsi="Times New Roman"/>
          <w:szCs w:val="24"/>
          <w:lang w:val="en-IE" w:eastAsia="en-US"/>
        </w:rPr>
        <w:t xml:space="preserve"> </w:t>
      </w:r>
      <w:r w:rsidR="005125FE" w:rsidRPr="007165ED">
        <w:rPr>
          <w:rFonts w:ascii="Times New Roman" w:eastAsia="Calibri" w:hAnsi="Times New Roman"/>
          <w:szCs w:val="24"/>
          <w:lang w:val="en-IE" w:eastAsia="en-US"/>
        </w:rPr>
        <w:t>202</w:t>
      </w:r>
      <w:r w:rsidR="008B47A6" w:rsidRPr="007165ED">
        <w:rPr>
          <w:rFonts w:ascii="Times New Roman" w:eastAsia="Calibri" w:hAnsi="Times New Roman"/>
          <w:szCs w:val="24"/>
          <w:lang w:val="en-IE" w:eastAsia="en-US"/>
        </w:rPr>
        <w:t>5</w:t>
      </w:r>
      <w:r w:rsidR="005125FE" w:rsidRPr="007165ED">
        <w:rPr>
          <w:rFonts w:ascii="Times New Roman" w:eastAsia="Calibri" w:hAnsi="Times New Roman"/>
          <w:szCs w:val="24"/>
          <w:lang w:val="en-IE" w:eastAsia="en-US"/>
        </w:rPr>
        <w:t xml:space="preserve"> with no qualified majority against or in </w:t>
      </w:r>
      <w:proofErr w:type="gramStart"/>
      <w:r w:rsidR="005125FE" w:rsidRPr="007165ED">
        <w:rPr>
          <w:rFonts w:ascii="Times New Roman" w:eastAsia="Calibri" w:hAnsi="Times New Roman"/>
          <w:szCs w:val="24"/>
          <w:lang w:val="en-IE" w:eastAsia="en-US"/>
        </w:rPr>
        <w:t>favour;</w:t>
      </w:r>
      <w:proofErr w:type="gramEnd"/>
    </w:p>
    <w:p w14:paraId="15DFE5A1" w14:textId="7B00C492" w:rsidR="00B50812" w:rsidRPr="007165ED" w:rsidRDefault="00B50812" w:rsidP="00BF12FD">
      <w:pPr>
        <w:numPr>
          <w:ilvl w:val="0"/>
          <w:numId w:val="3"/>
        </w:numPr>
        <w:spacing w:after="120"/>
        <w:rPr>
          <w:rFonts w:ascii="Times New Roman" w:eastAsia="Calibri" w:hAnsi="Times New Roman"/>
          <w:szCs w:val="24"/>
          <w:lang w:val="en-IE" w:eastAsia="en-US"/>
        </w:rPr>
      </w:pPr>
      <w:r w:rsidRPr="00B50812">
        <w:rPr>
          <w:rFonts w:ascii="Times New Roman" w:eastAsia="Calibri" w:hAnsi="Times New Roman"/>
          <w:szCs w:val="24"/>
          <w:lang w:val="en-IE" w:eastAsia="en-US"/>
        </w:rPr>
        <w:t>in accordance with the rules set out in Regulation (EC)</w:t>
      </w:r>
      <w:r w:rsidR="004B6386">
        <w:rPr>
          <w:rFonts w:ascii="Times New Roman" w:eastAsia="Calibri" w:hAnsi="Times New Roman"/>
          <w:szCs w:val="24"/>
          <w:lang w:val="en-IE" w:eastAsia="en-US"/>
        </w:rPr>
        <w:t xml:space="preserve"> No</w:t>
      </w:r>
      <w:r w:rsidRPr="00B50812">
        <w:rPr>
          <w:rFonts w:ascii="Times New Roman" w:eastAsia="Calibri" w:hAnsi="Times New Roman"/>
          <w:szCs w:val="24"/>
          <w:lang w:val="en-IE" w:eastAsia="en-US"/>
        </w:rPr>
        <w:t xml:space="preserve"> 1829/2003, a decision has to be taken on the </w:t>
      </w:r>
      <w:proofErr w:type="gramStart"/>
      <w:r w:rsidRPr="00B50812">
        <w:rPr>
          <w:rFonts w:ascii="Times New Roman" w:eastAsia="Calibri" w:hAnsi="Times New Roman"/>
          <w:szCs w:val="24"/>
          <w:lang w:val="en-IE" w:eastAsia="en-US"/>
        </w:rPr>
        <w:t>application</w:t>
      </w:r>
      <w:r>
        <w:rPr>
          <w:rFonts w:ascii="Times New Roman" w:eastAsia="Calibri" w:hAnsi="Times New Roman"/>
          <w:szCs w:val="24"/>
          <w:lang w:val="en-IE" w:eastAsia="en-US"/>
        </w:rPr>
        <w:t>;</w:t>
      </w:r>
      <w:proofErr w:type="gramEnd"/>
    </w:p>
    <w:p w14:paraId="7488F574" w14:textId="4E96E86E" w:rsidR="003A1CB2" w:rsidRPr="00B14043" w:rsidRDefault="003A1CB2" w:rsidP="00B50812">
      <w:pPr>
        <w:pStyle w:val="ListParagraph"/>
        <w:numPr>
          <w:ilvl w:val="0"/>
          <w:numId w:val="3"/>
        </w:numPr>
        <w:spacing w:after="120"/>
        <w:contextualSpacing w:val="0"/>
        <w:rPr>
          <w:rFonts w:ascii="Times New Roman" w:eastAsia="Calibri" w:hAnsi="Times New Roman"/>
          <w:szCs w:val="24"/>
          <w:lang w:val="en-IE" w:eastAsia="en-US"/>
        </w:rPr>
      </w:pPr>
      <w:r w:rsidRPr="007165ED">
        <w:rPr>
          <w:rFonts w:ascii="Times New Roman" w:eastAsia="Calibri" w:hAnsi="Times New Roman"/>
          <w:szCs w:val="24"/>
          <w:lang w:val="en-IE" w:eastAsia="en-US"/>
        </w:rPr>
        <w:t>i</w:t>
      </w:r>
      <w:r w:rsidR="005125FE" w:rsidRPr="007165ED">
        <w:rPr>
          <w:rFonts w:ascii="Times New Roman" w:eastAsia="Calibri" w:hAnsi="Times New Roman"/>
          <w:szCs w:val="24"/>
          <w:lang w:val="en-IE" w:eastAsia="en-US"/>
        </w:rPr>
        <w:t xml:space="preserve">n accordance with the rules set out in Regulation (EC) No 182/2011 on comitology, it is for the Commission to decide on the </w:t>
      </w:r>
      <w:proofErr w:type="gramStart"/>
      <w:r w:rsidR="001C31EB" w:rsidRPr="007165ED">
        <w:rPr>
          <w:rFonts w:ascii="Times New Roman" w:eastAsia="Calibri" w:hAnsi="Times New Roman"/>
          <w:szCs w:val="24"/>
          <w:lang w:val="en-IE" w:eastAsia="en-US"/>
        </w:rPr>
        <w:t>adoption</w:t>
      </w:r>
      <w:r w:rsidR="00B50812">
        <w:rPr>
          <w:rFonts w:ascii="Times New Roman" w:eastAsia="Calibri" w:hAnsi="Times New Roman"/>
          <w:szCs w:val="24"/>
          <w:lang w:val="en-IE" w:eastAsia="en-US"/>
        </w:rPr>
        <w:t>;</w:t>
      </w:r>
      <w:proofErr w:type="gramEnd"/>
    </w:p>
    <w:p w14:paraId="7EDC23A1" w14:textId="72F0FC32" w:rsidR="00DD33EE" w:rsidRPr="005F16F9" w:rsidRDefault="00DD33EE" w:rsidP="00DD33EE">
      <w:pPr>
        <w:pStyle w:val="ListParagraph"/>
        <w:numPr>
          <w:ilvl w:val="0"/>
          <w:numId w:val="3"/>
        </w:numPr>
        <w:spacing w:after="120"/>
        <w:contextualSpacing w:val="0"/>
        <w:rPr>
          <w:rFonts w:ascii="Times New Roman" w:eastAsia="Calibri" w:hAnsi="Times New Roman"/>
          <w:szCs w:val="24"/>
          <w:lang w:val="en-IE" w:eastAsia="en-US"/>
        </w:rPr>
      </w:pPr>
      <w:r w:rsidRPr="005F16F9">
        <w:rPr>
          <w:rFonts w:ascii="Times New Roman" w:eastAsia="Calibri" w:hAnsi="Times New Roman"/>
          <w:szCs w:val="24"/>
          <w:lang w:val="en-IE" w:eastAsia="en-US"/>
        </w:rPr>
        <w:t xml:space="preserve">on that basis, the Commission </w:t>
      </w:r>
      <w:r w:rsidR="00066E3D" w:rsidRPr="005F16F9">
        <w:rPr>
          <w:rFonts w:ascii="Times New Roman" w:eastAsia="Calibri" w:hAnsi="Times New Roman"/>
          <w:szCs w:val="24"/>
          <w:lang w:val="en-IE" w:eastAsia="en-US"/>
        </w:rPr>
        <w:t xml:space="preserve">adopted the decision on </w:t>
      </w:r>
      <w:r w:rsidR="005B1CB0" w:rsidRPr="005F16F9">
        <w:rPr>
          <w:rFonts w:ascii="Times New Roman" w:eastAsia="Calibri" w:hAnsi="Times New Roman"/>
          <w:szCs w:val="24"/>
          <w:lang w:val="en-IE" w:eastAsia="en-US"/>
        </w:rPr>
        <w:t>22 September</w:t>
      </w:r>
      <w:r w:rsidR="00066E3D" w:rsidRPr="005F16F9">
        <w:rPr>
          <w:rFonts w:ascii="Times New Roman" w:eastAsia="Calibri" w:hAnsi="Times New Roman"/>
          <w:szCs w:val="24"/>
          <w:lang w:val="en-IE" w:eastAsia="en-US"/>
        </w:rPr>
        <w:t xml:space="preserve"> 2025</w:t>
      </w:r>
      <w:r w:rsidRPr="005F16F9">
        <w:rPr>
          <w:rFonts w:ascii="Times New Roman" w:eastAsia="Calibri" w:hAnsi="Times New Roman"/>
          <w:szCs w:val="24"/>
          <w:lang w:val="en-IE" w:eastAsia="en-US"/>
        </w:rPr>
        <w:t xml:space="preserve">. </w:t>
      </w:r>
    </w:p>
    <w:p w14:paraId="7832857D" w14:textId="1DEF8704" w:rsidR="005F16F9" w:rsidRPr="0074107D" w:rsidRDefault="005125FE" w:rsidP="005125FE">
      <w:pPr>
        <w:spacing w:after="120"/>
        <w:rPr>
          <w:rFonts w:ascii="Times New Roman" w:eastAsia="Calibri" w:hAnsi="Times New Roman"/>
          <w:szCs w:val="24"/>
          <w:lang w:val="en-IE" w:eastAsia="en-US"/>
        </w:rPr>
      </w:pPr>
      <w:r w:rsidRPr="005F16F9">
        <w:rPr>
          <w:rFonts w:ascii="Times New Roman" w:eastAsia="Calibri" w:hAnsi="Times New Roman"/>
          <w:szCs w:val="24"/>
          <w:lang w:val="en-IE" w:eastAsia="en-US"/>
        </w:rPr>
        <w:t>The Commission therefore considers that by going forward with the adoption process of a decision that fully complies with the procedural steps set out by the co-legislators in the GMO legislation, it does not exceed its implementing powers.</w:t>
      </w:r>
      <w:r w:rsidRPr="00F15C12">
        <w:rPr>
          <w:rFonts w:ascii="Times New Roman" w:eastAsia="Calibri" w:hAnsi="Times New Roman"/>
          <w:szCs w:val="24"/>
          <w:lang w:val="en-IE" w:eastAsia="en-US"/>
        </w:rPr>
        <w:t xml:space="preserve"> </w:t>
      </w:r>
    </w:p>
    <w:p w14:paraId="6F779681" w14:textId="77777777" w:rsidR="005125FE" w:rsidRDefault="005125FE" w:rsidP="005125FE">
      <w:pPr>
        <w:spacing w:after="120"/>
        <w:rPr>
          <w:rFonts w:ascii="Times New Roman" w:eastAsia="Calibri" w:hAnsi="Times New Roman"/>
          <w:szCs w:val="24"/>
          <w:lang w:val="en-IE" w:eastAsia="en-US"/>
        </w:rPr>
      </w:pPr>
      <w:r w:rsidRPr="0074107D">
        <w:rPr>
          <w:rFonts w:ascii="Times New Roman" w:eastAsia="Calibri" w:hAnsi="Times New Roman"/>
          <w:szCs w:val="24"/>
          <w:lang w:val="en-IE" w:eastAsia="en-US"/>
        </w:rPr>
        <w:t>With respect to the other provisions of the resolution, the Commission considers that they fall outside the remit of the right of scrutiny, which is limited to the question of whether the implementing act exceeds the implementing powers provided for in the basic act. The Commission is not required to justify the implementing act as regards these points. Nevertheless, the Commission has carefully considered the position expressed by the Parliament and would like to make the following comments:</w:t>
      </w:r>
    </w:p>
    <w:p w14:paraId="293ACD23" w14:textId="08E193AD" w:rsidR="002058BC" w:rsidRDefault="004D14E4" w:rsidP="002058BC">
      <w:pPr>
        <w:spacing w:after="120"/>
        <w:rPr>
          <w:rFonts w:ascii="Times New Roman" w:eastAsia="Calibri" w:hAnsi="Times New Roman"/>
          <w:szCs w:val="24"/>
          <w:lang w:val="en-IE" w:eastAsia="en-US"/>
        </w:rPr>
      </w:pPr>
      <w:r>
        <w:rPr>
          <w:rFonts w:ascii="Times New Roman" w:eastAsia="Calibri" w:hAnsi="Times New Roman"/>
          <w:szCs w:val="24"/>
          <w:lang w:val="en-IE" w:eastAsia="en-US"/>
        </w:rPr>
        <w:t>EFSA</w:t>
      </w:r>
      <w:r w:rsidR="00691A24" w:rsidRPr="002B4980">
        <w:rPr>
          <w:rFonts w:ascii="Times New Roman" w:eastAsia="Calibri" w:hAnsi="Times New Roman"/>
          <w:szCs w:val="24"/>
          <w:lang w:val="en-IE" w:eastAsia="en-US"/>
        </w:rPr>
        <w:t xml:space="preserve"> performed a comprehensive risk assessment </w:t>
      </w:r>
      <w:r w:rsidR="005875AB">
        <w:rPr>
          <w:rFonts w:ascii="Times New Roman" w:eastAsia="Calibri" w:hAnsi="Times New Roman"/>
          <w:szCs w:val="24"/>
          <w:lang w:val="en-IE" w:eastAsia="en-US"/>
        </w:rPr>
        <w:t xml:space="preserve">of this GM crop </w:t>
      </w:r>
      <w:r w:rsidR="00691A24" w:rsidRPr="002B4980">
        <w:rPr>
          <w:rFonts w:ascii="Times New Roman" w:eastAsia="Calibri" w:hAnsi="Times New Roman"/>
          <w:szCs w:val="24"/>
          <w:lang w:val="en-IE" w:eastAsia="en-US"/>
        </w:rPr>
        <w:t>which concluded positively, after considering Member States’ comments</w:t>
      </w:r>
      <w:r w:rsidR="009205A5">
        <w:rPr>
          <w:rFonts w:ascii="Times New Roman" w:eastAsia="Calibri" w:hAnsi="Times New Roman"/>
          <w:szCs w:val="24"/>
          <w:lang w:val="en-IE" w:eastAsia="en-US"/>
        </w:rPr>
        <w:t xml:space="preserve"> </w:t>
      </w:r>
      <w:r w:rsidR="00691A24" w:rsidRPr="002B4980">
        <w:rPr>
          <w:rFonts w:ascii="Times New Roman" w:eastAsia="Calibri" w:hAnsi="Times New Roman"/>
          <w:szCs w:val="24"/>
          <w:lang w:val="en-IE" w:eastAsia="en-US"/>
        </w:rPr>
        <w:t xml:space="preserve">as well as comments from the public. </w:t>
      </w:r>
      <w:r w:rsidR="009205A5" w:rsidRPr="002B4980">
        <w:rPr>
          <w:rFonts w:ascii="Times New Roman" w:eastAsia="Calibri" w:hAnsi="Times New Roman"/>
          <w:szCs w:val="24"/>
          <w:lang w:val="en-IE" w:eastAsia="en-US"/>
        </w:rPr>
        <w:t>Therefore, the Commission considers that its decision is fully in line with the objectives of EU legislation on GM food and feed and of the EU’s General Food Law to protect health and the environment (</w:t>
      </w:r>
      <w:r w:rsidR="009205A5" w:rsidRPr="00AD31F4">
        <w:rPr>
          <w:rFonts w:ascii="Times New Roman" w:eastAsia="Calibri" w:hAnsi="Times New Roman"/>
          <w:b/>
          <w:bCs/>
          <w:szCs w:val="24"/>
          <w:lang w:val="en-IE" w:eastAsia="en-US"/>
        </w:rPr>
        <w:t>paragraph 2</w:t>
      </w:r>
      <w:r w:rsidR="009205A5" w:rsidRPr="002B4980">
        <w:rPr>
          <w:rFonts w:ascii="Times New Roman" w:eastAsia="Calibri" w:hAnsi="Times New Roman"/>
          <w:szCs w:val="24"/>
          <w:lang w:val="en-IE" w:eastAsia="en-US"/>
        </w:rPr>
        <w:t>).</w:t>
      </w:r>
    </w:p>
    <w:p w14:paraId="21E82C75" w14:textId="668A4AC1" w:rsidR="00661591" w:rsidRPr="00C21136" w:rsidRDefault="005F16F9" w:rsidP="00FA13BD">
      <w:pPr>
        <w:pStyle w:val="Text1"/>
        <w:spacing w:after="180"/>
        <w:ind w:left="0"/>
        <w:rPr>
          <w:color w:val="000000" w:themeColor="text1"/>
        </w:rPr>
      </w:pPr>
      <w:r>
        <w:rPr>
          <w:color w:val="000000" w:themeColor="text1"/>
          <w:lang w:val="en-IE"/>
        </w:rPr>
        <w:t xml:space="preserve">Regarding the concerns </w:t>
      </w:r>
      <w:r>
        <w:t>raised</w:t>
      </w:r>
      <w:r w:rsidRPr="008B0098">
        <w:t xml:space="preserve"> about the complex genetic modification used to develop </w:t>
      </w:r>
      <w:r w:rsidR="00661591">
        <w:t xml:space="preserve">the GM </w:t>
      </w:r>
      <w:r w:rsidRPr="008B0098">
        <w:t>maize DP51291</w:t>
      </w:r>
      <w:r w:rsidR="00661591">
        <w:t xml:space="preserve"> (</w:t>
      </w:r>
      <w:r w:rsidR="00661591" w:rsidRPr="009C4F76">
        <w:rPr>
          <w:b/>
          <w:bCs/>
        </w:rPr>
        <w:t xml:space="preserve">recitals E </w:t>
      </w:r>
      <w:r w:rsidR="00661591" w:rsidRPr="006B6ECE">
        <w:t>and</w:t>
      </w:r>
      <w:r w:rsidR="00661591" w:rsidRPr="009C4F76">
        <w:rPr>
          <w:b/>
          <w:bCs/>
        </w:rPr>
        <w:t xml:space="preserve"> F</w:t>
      </w:r>
      <w:r w:rsidR="00661591">
        <w:rPr>
          <w:color w:val="000000" w:themeColor="text1"/>
          <w:lang w:val="en-IE"/>
        </w:rPr>
        <w:t xml:space="preserve">) and </w:t>
      </w:r>
      <w:r w:rsidR="00661591">
        <w:t>outstanding questions concerning</w:t>
      </w:r>
      <w:r w:rsidR="00661591" w:rsidRPr="008B0098">
        <w:t xml:space="preserve"> the IPD072Aa toxin </w:t>
      </w:r>
      <w:r w:rsidR="00661591">
        <w:t>(</w:t>
      </w:r>
      <w:r w:rsidR="00661591" w:rsidRPr="006B6ECE">
        <w:rPr>
          <w:b/>
          <w:bCs/>
        </w:rPr>
        <w:t>recitals Q</w:t>
      </w:r>
      <w:r w:rsidR="00661591" w:rsidRPr="006B6ECE">
        <w:t xml:space="preserve"> to</w:t>
      </w:r>
      <w:r w:rsidR="00661591" w:rsidRPr="006B6ECE">
        <w:rPr>
          <w:b/>
          <w:bCs/>
        </w:rPr>
        <w:t xml:space="preserve"> X</w:t>
      </w:r>
      <w:r w:rsidR="00661591">
        <w:t>)</w:t>
      </w:r>
      <w:r w:rsidR="00FA13BD" w:rsidRPr="431FC148">
        <w:rPr>
          <w:color w:val="000000" w:themeColor="text1"/>
          <w:lang w:val="en-IE"/>
        </w:rPr>
        <w:t xml:space="preserve">, </w:t>
      </w:r>
      <w:r w:rsidR="00FA13BD" w:rsidRPr="431FC148">
        <w:rPr>
          <w:color w:val="000000" w:themeColor="text1"/>
        </w:rPr>
        <w:t>EFSA thoroughly evaluated the genetic modification process and the resulting molecular changes in maize DP51291, including the assessment of the novel gene sequences, and performed a toxicological assessment of the IPD072Aa toxin.</w:t>
      </w:r>
      <w:r w:rsidR="00FA13BD" w:rsidRPr="431FC148">
        <w:rPr>
          <w:color w:val="000000" w:themeColor="text1"/>
          <w:lang w:val="en-IE"/>
        </w:rPr>
        <w:t xml:space="preserve"> EFSA did not identify safety concerns with respect to the potential effects on human and animal health and the environment of the products concerned, including regarding the novel gene sequences,</w:t>
      </w:r>
      <w:r w:rsidR="000749BE">
        <w:rPr>
          <w:color w:val="000000" w:themeColor="text1"/>
          <w:lang w:val="en-IE"/>
        </w:rPr>
        <w:t xml:space="preserve"> </w:t>
      </w:r>
      <w:r w:rsidR="00FA13BD" w:rsidRPr="431FC148">
        <w:rPr>
          <w:color w:val="000000" w:themeColor="text1"/>
          <w:lang w:val="en-IE"/>
        </w:rPr>
        <w:t xml:space="preserve">toxicity of the </w:t>
      </w:r>
      <w:r w:rsidR="00FA13BD" w:rsidRPr="431FC148">
        <w:rPr>
          <w:color w:val="000000" w:themeColor="text1"/>
        </w:rPr>
        <w:t>IPD072Aa</w:t>
      </w:r>
      <w:r w:rsidR="00FA13BD" w:rsidRPr="431FC148">
        <w:rPr>
          <w:i/>
          <w:iCs/>
          <w:color w:val="000000" w:themeColor="text1"/>
          <w:lang w:val="en-IE"/>
        </w:rPr>
        <w:t xml:space="preserve"> </w:t>
      </w:r>
      <w:r w:rsidR="00FA13BD" w:rsidRPr="431FC148">
        <w:rPr>
          <w:color w:val="000000" w:themeColor="text1"/>
          <w:lang w:val="en-IE"/>
        </w:rPr>
        <w:t xml:space="preserve">protein and </w:t>
      </w:r>
      <w:r w:rsidR="00FA13BD" w:rsidRPr="431FC148">
        <w:rPr>
          <w:color w:val="000000" w:themeColor="text1"/>
        </w:rPr>
        <w:t>potentially increased allergenicity</w:t>
      </w:r>
      <w:r w:rsidR="00FA13BD" w:rsidRPr="431FC148">
        <w:rPr>
          <w:color w:val="000000" w:themeColor="text1"/>
          <w:lang w:val="en-IE"/>
        </w:rPr>
        <w:t xml:space="preserve"> of newly expressed protein.</w:t>
      </w:r>
      <w:r w:rsidR="00FA13BD" w:rsidRPr="431FC148">
        <w:rPr>
          <w:color w:val="000000" w:themeColor="text1"/>
        </w:rPr>
        <w:t xml:space="preserve"> </w:t>
      </w:r>
    </w:p>
    <w:p w14:paraId="7C89699C" w14:textId="391C31C0" w:rsidR="00FA13BD" w:rsidRPr="000749BE" w:rsidRDefault="00FA13BD" w:rsidP="000749BE">
      <w:pPr>
        <w:pStyle w:val="Text1"/>
        <w:spacing w:after="180"/>
        <w:ind w:left="0"/>
        <w:rPr>
          <w:color w:val="000000"/>
        </w:rPr>
      </w:pPr>
      <w:r w:rsidRPr="008B0098">
        <w:rPr>
          <w:color w:val="000000"/>
        </w:rPr>
        <w:t>Regarding concerns about environmental impact</w:t>
      </w:r>
      <w:r w:rsidR="00C21136">
        <w:rPr>
          <w:color w:val="000000"/>
        </w:rPr>
        <w:t xml:space="preserve">, </w:t>
      </w:r>
      <w:r w:rsidR="00C21136" w:rsidRPr="008B0098">
        <w:t>insufficient data on agricultural practices</w:t>
      </w:r>
      <w:r w:rsidR="00C21136">
        <w:t xml:space="preserve"> and appropriateness of field trials (</w:t>
      </w:r>
      <w:r w:rsidR="00C21136" w:rsidRPr="006B6ECE">
        <w:rPr>
          <w:b/>
          <w:bCs/>
        </w:rPr>
        <w:t>recitals G</w:t>
      </w:r>
      <w:r w:rsidR="00C21136" w:rsidRPr="006B6ECE">
        <w:t xml:space="preserve"> to</w:t>
      </w:r>
      <w:r w:rsidR="00C21136" w:rsidRPr="006B6ECE">
        <w:rPr>
          <w:b/>
          <w:bCs/>
        </w:rPr>
        <w:t xml:space="preserve"> </w:t>
      </w:r>
      <w:r w:rsidR="001A4E57">
        <w:rPr>
          <w:b/>
          <w:bCs/>
        </w:rPr>
        <w:t>K</w:t>
      </w:r>
      <w:r w:rsidR="00C21136" w:rsidRPr="006B6ECE">
        <w:t>)</w:t>
      </w:r>
      <w:r w:rsidR="00C21136">
        <w:t xml:space="preserve"> and </w:t>
      </w:r>
      <w:r w:rsidRPr="008B0098">
        <w:rPr>
          <w:color w:val="000000"/>
        </w:rPr>
        <w:t>gene flow to wild relatives like teosinte</w:t>
      </w:r>
      <w:r w:rsidR="00C21136">
        <w:rPr>
          <w:color w:val="000000"/>
        </w:rPr>
        <w:t xml:space="preserve"> (</w:t>
      </w:r>
      <w:r w:rsidR="00C21136" w:rsidRPr="00C21136">
        <w:rPr>
          <w:b/>
          <w:bCs/>
          <w:color w:val="000000"/>
        </w:rPr>
        <w:t>recital W</w:t>
      </w:r>
      <w:r w:rsidR="00C21136">
        <w:rPr>
          <w:color w:val="000000"/>
        </w:rPr>
        <w:t>)</w:t>
      </w:r>
      <w:r w:rsidRPr="008B0098">
        <w:rPr>
          <w:color w:val="000000"/>
        </w:rPr>
        <w:t xml:space="preserve">, EFSA reviewed the traits, agronomic data, and exposure levels </w:t>
      </w:r>
      <w:r w:rsidRPr="008B0098">
        <w:rPr>
          <w:lang w:val="en-IE"/>
        </w:rPr>
        <w:t xml:space="preserve">in accordance with </w:t>
      </w:r>
      <w:r w:rsidRPr="008B0098">
        <w:t xml:space="preserve">the EFSA </w:t>
      </w:r>
      <w:r w:rsidRPr="008B0098">
        <w:lastRenderedPageBreak/>
        <w:t>guidance documents</w:t>
      </w:r>
      <w:r w:rsidRPr="008B0098">
        <w:rPr>
          <w:color w:val="000000"/>
        </w:rPr>
        <w:t xml:space="preserve">. EFSA concluded that maize DP51291 poses no safety risks if accidentally released and is unlikely to persist differently from conventional maize in Europe. </w:t>
      </w:r>
      <w:r w:rsidRPr="008B0098">
        <w:rPr>
          <w:lang w:val="en-IE"/>
        </w:rPr>
        <w:t xml:space="preserve">EFSA confirmed that environmental effects will not differ from that of conventional maize varieties, that there is no indication of an increased likelihood of gene flow to non-target organisms, and that the field trials were appropriate to support the risk assessment and the post-market environmental monitoring. </w:t>
      </w:r>
    </w:p>
    <w:p w14:paraId="4AD7DD42" w14:textId="77777777" w:rsidR="001A4E57" w:rsidRDefault="005875AB" w:rsidP="0024548D">
      <w:pPr>
        <w:spacing w:after="120"/>
        <w:rPr>
          <w:rFonts w:ascii="Times New Roman" w:eastAsia="Calibri" w:hAnsi="Times New Roman"/>
          <w:szCs w:val="24"/>
          <w:lang w:val="en-IE" w:eastAsia="en-US"/>
        </w:rPr>
      </w:pPr>
      <w:r>
        <w:rPr>
          <w:rFonts w:ascii="Times New Roman" w:eastAsia="Calibri" w:hAnsi="Times New Roman"/>
          <w:szCs w:val="24"/>
          <w:lang w:val="en-IE" w:eastAsia="en-US"/>
        </w:rPr>
        <w:t xml:space="preserve">In relation to the </w:t>
      </w:r>
      <w:r w:rsidRPr="00B376FE">
        <w:rPr>
          <w:rFonts w:ascii="Times New Roman" w:eastAsia="Calibri" w:hAnsi="Times New Roman"/>
          <w:szCs w:val="24"/>
          <w:lang w:val="en-IE" w:eastAsia="en-US"/>
        </w:rPr>
        <w:t>call</w:t>
      </w:r>
      <w:r>
        <w:rPr>
          <w:rFonts w:ascii="Times New Roman" w:eastAsia="Calibri" w:hAnsi="Times New Roman"/>
          <w:szCs w:val="24"/>
          <w:lang w:val="en-IE" w:eastAsia="en-US"/>
        </w:rPr>
        <w:t xml:space="preserve"> </w:t>
      </w:r>
      <w:r w:rsidRPr="00B376FE">
        <w:rPr>
          <w:rFonts w:ascii="Times New Roman" w:eastAsia="Calibri" w:hAnsi="Times New Roman"/>
          <w:szCs w:val="24"/>
          <w:lang w:val="en-IE" w:eastAsia="en-US"/>
        </w:rPr>
        <w:t xml:space="preserve">on the Commission not to authorise the GM crop due to </w:t>
      </w:r>
      <w:r>
        <w:rPr>
          <w:rFonts w:ascii="Times New Roman" w:eastAsia="Calibri" w:hAnsi="Times New Roman"/>
          <w:szCs w:val="24"/>
          <w:lang w:val="en-IE" w:eastAsia="en-US"/>
        </w:rPr>
        <w:t xml:space="preserve">risks of increased use of herbicides resulting in </w:t>
      </w:r>
      <w:r w:rsidRPr="00B376FE">
        <w:rPr>
          <w:rFonts w:ascii="Times New Roman" w:eastAsia="Calibri" w:hAnsi="Times New Roman"/>
          <w:szCs w:val="24"/>
          <w:lang w:val="en-IE" w:eastAsia="en-US"/>
        </w:rPr>
        <w:t xml:space="preserve">risks to biodiversity, food safety and workers’ </w:t>
      </w:r>
      <w:r>
        <w:rPr>
          <w:rFonts w:ascii="Times New Roman" w:eastAsia="Calibri" w:hAnsi="Times New Roman"/>
          <w:szCs w:val="24"/>
          <w:lang w:val="en-IE" w:eastAsia="en-US"/>
        </w:rPr>
        <w:t>health (</w:t>
      </w:r>
      <w:r w:rsidRPr="00E74C75">
        <w:rPr>
          <w:rFonts w:ascii="Times New Roman" w:eastAsia="Calibri" w:hAnsi="Times New Roman"/>
          <w:b/>
          <w:bCs/>
          <w:szCs w:val="24"/>
          <w:lang w:val="en-IE" w:eastAsia="en-US"/>
        </w:rPr>
        <w:t xml:space="preserve">paragraph </w:t>
      </w:r>
      <w:r w:rsidR="000849CB">
        <w:rPr>
          <w:rFonts w:ascii="Times New Roman" w:eastAsia="Calibri" w:hAnsi="Times New Roman"/>
          <w:b/>
          <w:bCs/>
          <w:szCs w:val="24"/>
          <w:lang w:val="en-IE" w:eastAsia="en-US"/>
        </w:rPr>
        <w:t>5</w:t>
      </w:r>
      <w:r>
        <w:rPr>
          <w:rFonts w:ascii="Times New Roman" w:eastAsia="Calibri" w:hAnsi="Times New Roman"/>
          <w:szCs w:val="24"/>
          <w:lang w:val="en-IE" w:eastAsia="en-US"/>
        </w:rPr>
        <w:t xml:space="preserve">) and </w:t>
      </w:r>
      <w:r w:rsidRPr="005D4EAC">
        <w:rPr>
          <w:rFonts w:ascii="Times New Roman" w:eastAsia="Calibri" w:hAnsi="Times New Roman"/>
          <w:szCs w:val="24"/>
          <w:lang w:val="en-IE" w:eastAsia="en-US"/>
        </w:rPr>
        <w:t xml:space="preserve">concerns raised </w:t>
      </w:r>
      <w:r>
        <w:rPr>
          <w:rFonts w:ascii="Times New Roman" w:eastAsia="Calibri" w:hAnsi="Times New Roman"/>
          <w:szCs w:val="24"/>
          <w:lang w:val="en-IE" w:eastAsia="en-US"/>
        </w:rPr>
        <w:t>about lack of assessment of the complementary herbicides (</w:t>
      </w:r>
      <w:r w:rsidRPr="009205A5">
        <w:rPr>
          <w:rFonts w:ascii="Times New Roman" w:eastAsia="Calibri" w:hAnsi="Times New Roman"/>
          <w:b/>
          <w:bCs/>
          <w:szCs w:val="24"/>
          <w:lang w:val="en-IE" w:eastAsia="en-US"/>
        </w:rPr>
        <w:t xml:space="preserve">recitals </w:t>
      </w:r>
      <w:r w:rsidR="00C21136">
        <w:rPr>
          <w:rFonts w:ascii="Times New Roman" w:eastAsia="Calibri" w:hAnsi="Times New Roman"/>
          <w:b/>
          <w:bCs/>
          <w:szCs w:val="24"/>
          <w:lang w:val="en-IE" w:eastAsia="en-US"/>
        </w:rPr>
        <w:t>L</w:t>
      </w:r>
      <w:r w:rsidRPr="009205A5">
        <w:rPr>
          <w:rFonts w:ascii="Times New Roman" w:eastAsia="Calibri" w:hAnsi="Times New Roman"/>
          <w:b/>
          <w:bCs/>
          <w:szCs w:val="24"/>
          <w:lang w:val="en-IE" w:eastAsia="en-US"/>
        </w:rPr>
        <w:t xml:space="preserve"> </w:t>
      </w:r>
      <w:r w:rsidRPr="009205A5">
        <w:rPr>
          <w:rFonts w:ascii="Times New Roman" w:eastAsia="Calibri" w:hAnsi="Times New Roman"/>
          <w:szCs w:val="24"/>
          <w:lang w:val="en-IE" w:eastAsia="en-US"/>
        </w:rPr>
        <w:t>to</w:t>
      </w:r>
      <w:r w:rsidRPr="009205A5">
        <w:rPr>
          <w:rFonts w:ascii="Times New Roman" w:eastAsia="Calibri" w:hAnsi="Times New Roman"/>
          <w:b/>
          <w:bCs/>
          <w:szCs w:val="24"/>
          <w:lang w:val="en-IE" w:eastAsia="en-US"/>
        </w:rPr>
        <w:t xml:space="preserve"> P</w:t>
      </w:r>
      <w:r>
        <w:rPr>
          <w:rFonts w:ascii="Times New Roman" w:eastAsia="Calibri" w:hAnsi="Times New Roman"/>
          <w:szCs w:val="24"/>
          <w:lang w:val="en-IE" w:eastAsia="en-US"/>
        </w:rPr>
        <w:t xml:space="preserve">) and </w:t>
      </w:r>
      <w:r w:rsidR="001C1B7D">
        <w:rPr>
          <w:rFonts w:ascii="Times New Roman" w:eastAsia="Calibri" w:hAnsi="Times New Roman"/>
          <w:szCs w:val="24"/>
          <w:lang w:val="en-IE" w:eastAsia="en-US"/>
        </w:rPr>
        <w:t xml:space="preserve">inconsistency with the </w:t>
      </w:r>
      <w:r w:rsidR="001C1B7D" w:rsidRPr="001C1B7D">
        <w:rPr>
          <w:rFonts w:ascii="Times New Roman" w:eastAsia="Calibri" w:hAnsi="Times New Roman"/>
          <w:szCs w:val="24"/>
          <w:lang w:val="en-IE" w:eastAsia="en-US"/>
        </w:rPr>
        <w:t>EU</w:t>
      </w:r>
      <w:r w:rsidR="001C1B7D">
        <w:rPr>
          <w:rFonts w:ascii="Times New Roman" w:eastAsia="Calibri" w:hAnsi="Times New Roman"/>
          <w:szCs w:val="24"/>
          <w:lang w:val="en-IE" w:eastAsia="en-US"/>
        </w:rPr>
        <w:t xml:space="preserve"> </w:t>
      </w:r>
      <w:r w:rsidR="001C1B7D" w:rsidRPr="001C1B7D">
        <w:rPr>
          <w:rFonts w:ascii="Times New Roman" w:eastAsia="Calibri" w:hAnsi="Times New Roman"/>
          <w:szCs w:val="24"/>
          <w:lang w:val="en-IE" w:eastAsia="en-US"/>
        </w:rPr>
        <w:t>international commitments</w:t>
      </w:r>
      <w:r w:rsidR="001C1B7D">
        <w:rPr>
          <w:rFonts w:ascii="Times New Roman" w:eastAsia="Calibri" w:hAnsi="Times New Roman"/>
          <w:szCs w:val="24"/>
          <w:lang w:val="en-IE" w:eastAsia="en-US"/>
        </w:rPr>
        <w:t xml:space="preserve"> (</w:t>
      </w:r>
      <w:r w:rsidR="001C1B7D" w:rsidRPr="000F70B6">
        <w:rPr>
          <w:rFonts w:ascii="Times New Roman" w:eastAsia="Calibri" w:hAnsi="Times New Roman"/>
          <w:b/>
          <w:bCs/>
          <w:szCs w:val="24"/>
          <w:lang w:val="en-IE" w:eastAsia="en-US"/>
        </w:rPr>
        <w:t xml:space="preserve">paragraph </w:t>
      </w:r>
      <w:r w:rsidR="000849CB">
        <w:rPr>
          <w:rFonts w:ascii="Times New Roman" w:eastAsia="Calibri" w:hAnsi="Times New Roman"/>
          <w:b/>
          <w:bCs/>
          <w:szCs w:val="24"/>
          <w:lang w:val="en-IE" w:eastAsia="en-US"/>
        </w:rPr>
        <w:t>8</w:t>
      </w:r>
      <w:r w:rsidR="001B4985">
        <w:rPr>
          <w:rFonts w:ascii="Times New Roman" w:eastAsia="Calibri" w:hAnsi="Times New Roman"/>
          <w:b/>
          <w:bCs/>
          <w:szCs w:val="24"/>
          <w:lang w:val="en-IE" w:eastAsia="en-US"/>
        </w:rPr>
        <w:t>)</w:t>
      </w:r>
      <w:r w:rsidR="001C1B7D">
        <w:rPr>
          <w:rFonts w:ascii="Times New Roman" w:eastAsia="Calibri" w:hAnsi="Times New Roman"/>
          <w:szCs w:val="24"/>
          <w:lang w:val="en-IE" w:eastAsia="en-US"/>
        </w:rPr>
        <w:t xml:space="preserve">, </w:t>
      </w:r>
      <w:r w:rsidR="00B43F08" w:rsidRPr="002B4980">
        <w:rPr>
          <w:rFonts w:ascii="Times New Roman" w:eastAsia="Calibri" w:hAnsi="Times New Roman"/>
          <w:szCs w:val="24"/>
          <w:lang w:val="en-IE" w:eastAsia="en-US"/>
        </w:rPr>
        <w:t xml:space="preserve">the Commission would like to point out that, while the authorisation of GMOs is not linked to the authorisation of herbicides, the two authorisation systems are geared to ensure a high level of protection of health and the environment. </w:t>
      </w:r>
      <w:r w:rsidR="000F70B6" w:rsidRPr="000F70B6">
        <w:rPr>
          <w:rFonts w:ascii="Times New Roman" w:eastAsia="Calibri" w:hAnsi="Times New Roman"/>
          <w:szCs w:val="24"/>
          <w:lang w:eastAsia="en-US"/>
        </w:rPr>
        <w:t>The risk assessment of an application for food and feed uses of an herbicide-tolerant GM crop includes assessment of the safety of the GM crop sprayed with the herbicide by comparison to its conventional counterparts. EFSA concluded favourably for the GM crop concerned by this resolution</w:t>
      </w:r>
      <w:r w:rsidR="00495CC8">
        <w:rPr>
          <w:rFonts w:ascii="Times New Roman" w:eastAsia="Calibri" w:hAnsi="Times New Roman"/>
          <w:szCs w:val="24"/>
          <w:lang w:eastAsia="en-US"/>
        </w:rPr>
        <w:t xml:space="preserve"> as mentioned above</w:t>
      </w:r>
      <w:r w:rsidR="000F70B6" w:rsidRPr="000F70B6">
        <w:rPr>
          <w:rFonts w:ascii="Times New Roman" w:eastAsia="Calibri" w:hAnsi="Times New Roman"/>
          <w:szCs w:val="24"/>
          <w:lang w:eastAsia="en-US"/>
        </w:rPr>
        <w:t>.</w:t>
      </w:r>
      <w:r w:rsidR="001C1B7D">
        <w:rPr>
          <w:rFonts w:ascii="Times New Roman" w:eastAsia="Calibri" w:hAnsi="Times New Roman"/>
          <w:szCs w:val="24"/>
          <w:lang w:val="en-IE" w:eastAsia="en-US"/>
        </w:rPr>
        <w:t xml:space="preserve"> </w:t>
      </w:r>
    </w:p>
    <w:p w14:paraId="567316F7" w14:textId="7C224C59" w:rsidR="001C1B7D" w:rsidRPr="000F70B6" w:rsidRDefault="000F70B6" w:rsidP="0024548D">
      <w:pPr>
        <w:spacing w:after="120"/>
        <w:rPr>
          <w:rFonts w:ascii="Times New Roman" w:eastAsia="Calibri" w:hAnsi="Times New Roman"/>
          <w:szCs w:val="24"/>
          <w:lang w:eastAsia="en-US"/>
        </w:rPr>
      </w:pPr>
      <w:r w:rsidRPr="00B43F08">
        <w:rPr>
          <w:rFonts w:ascii="Times New Roman" w:eastAsia="Calibri" w:hAnsi="Times New Roman"/>
          <w:szCs w:val="24"/>
          <w:lang w:eastAsia="en-US"/>
        </w:rPr>
        <w:t>The environmental risk assessment of active substances and plant protection products is done in accordance with Regulation (EC) No 1107/2009 concerning the placing of plant protection products on the market. Maximum residue limits (MRLs) apply to all relevant imported food/ feed, including to GM products and ensure that the health of EU consumers is fully protected.</w:t>
      </w:r>
      <w:r w:rsidR="001A4E57">
        <w:rPr>
          <w:rFonts w:ascii="Times New Roman" w:eastAsia="Calibri" w:hAnsi="Times New Roman"/>
          <w:szCs w:val="24"/>
          <w:lang w:eastAsia="en-US"/>
        </w:rPr>
        <w:t xml:space="preserve"> </w:t>
      </w:r>
      <w:r w:rsidR="001A4E57" w:rsidRPr="001A4E57">
        <w:rPr>
          <w:rFonts w:ascii="Times New Roman" w:eastAsia="Calibri" w:hAnsi="Times New Roman"/>
          <w:szCs w:val="24"/>
          <w:lang w:eastAsia="en-US"/>
        </w:rPr>
        <w:t>For substances no longer approved in the EU because of health concerns related to residues, the MRLs are set at the “technical zero”, the lowest level at which analytical methods allow quantification of residues.</w:t>
      </w:r>
    </w:p>
    <w:p w14:paraId="00A07ABA" w14:textId="59BF94B5" w:rsidR="005875AB" w:rsidRDefault="000F70B6" w:rsidP="009E7EE5">
      <w:pPr>
        <w:pStyle w:val="NoSpacing"/>
        <w:spacing w:after="180" w:line="240" w:lineRule="auto"/>
        <w:rPr>
          <w:rFonts w:eastAsia="Calibri"/>
          <w:lang w:val="en-IE"/>
        </w:rPr>
      </w:pPr>
      <w:r w:rsidRPr="0039002F">
        <w:rPr>
          <w:rFonts w:eastAsia="Calibri"/>
        </w:rPr>
        <w:t>R</w:t>
      </w:r>
      <w:proofErr w:type="spellStart"/>
      <w:r w:rsidRPr="0039002F">
        <w:rPr>
          <w:rFonts w:eastAsia="Calibri"/>
          <w:lang w:val="en-IE"/>
        </w:rPr>
        <w:t>egarding</w:t>
      </w:r>
      <w:proofErr w:type="spellEnd"/>
      <w:r w:rsidRPr="0039002F">
        <w:rPr>
          <w:rFonts w:eastAsia="Calibri"/>
          <w:lang w:val="en-IE"/>
        </w:rPr>
        <w:t xml:space="preserve"> the call </w:t>
      </w:r>
      <w:r w:rsidR="0039002F" w:rsidRPr="0039002F">
        <w:rPr>
          <w:rFonts w:eastAsia="Calibri"/>
          <w:lang w:val="en-IE"/>
        </w:rPr>
        <w:t xml:space="preserve">on the Commission </w:t>
      </w:r>
      <w:r w:rsidRPr="0039002F">
        <w:rPr>
          <w:rFonts w:eastAsia="Calibri"/>
          <w:lang w:val="en-IE"/>
        </w:rPr>
        <w:t xml:space="preserve">expressed in </w:t>
      </w:r>
      <w:r w:rsidRPr="0039002F">
        <w:rPr>
          <w:rFonts w:eastAsia="Calibri"/>
          <w:b/>
          <w:bCs/>
          <w:lang w:val="en-IE"/>
        </w:rPr>
        <w:t>paragraph 6</w:t>
      </w:r>
      <w:r w:rsidRPr="0039002F">
        <w:rPr>
          <w:lang w:val="en-IE"/>
        </w:rPr>
        <w:t xml:space="preserve"> to come forward with a proposal to ensure that hazardous chemicals banned in the EU are not produced for export, and to deliver </w:t>
      </w:r>
      <w:r w:rsidRPr="0039002F">
        <w:t>on its commitment to ensure reciprocity by better aligning our domestic production standard</w:t>
      </w:r>
      <w:r w:rsidR="005875AB">
        <w:t>s</w:t>
      </w:r>
      <w:r w:rsidRPr="0039002F">
        <w:t xml:space="preserve"> with those applied to imports, notably for pesticides</w:t>
      </w:r>
      <w:r w:rsidR="00B43F08" w:rsidRPr="0039002F">
        <w:rPr>
          <w:rFonts w:eastAsia="Calibri"/>
          <w:lang w:val="en-IE"/>
        </w:rPr>
        <w:t xml:space="preserve">, </w:t>
      </w:r>
      <w:r w:rsidR="00065711">
        <w:t>t</w:t>
      </w:r>
      <w:r w:rsidR="00065711" w:rsidRPr="00802423">
        <w:t xml:space="preserve">he Commission </w:t>
      </w:r>
      <w:r w:rsidR="004B1AE4">
        <w:t>refers to the</w:t>
      </w:r>
      <w:r w:rsidR="00065711" w:rsidRPr="00802423">
        <w:t xml:space="preserve"> Chemical Strategy for Sustainability</w:t>
      </w:r>
      <w:r w:rsidR="00065711" w:rsidRPr="00AF6F69">
        <w:t xml:space="preserve"> from October 2020 </w:t>
      </w:r>
      <w:r w:rsidR="004B1AE4">
        <w:t xml:space="preserve">in which the Commission committed </w:t>
      </w:r>
      <w:r w:rsidR="00065711" w:rsidRPr="00AF6F69">
        <w:t xml:space="preserve">to work on ensuring that hazardous chemicals banned in the EU are not produced for export </w:t>
      </w:r>
      <w:r w:rsidR="00065711" w:rsidRPr="00AF6F69">
        <w:rPr>
          <w:lang w:val="en-IE"/>
        </w:rPr>
        <w:t xml:space="preserve">and to promote the EU industry as a global frontrunner in the production and use of safe and sustainable chemicals. </w:t>
      </w:r>
      <w:r w:rsidR="00065711" w:rsidRPr="004020F0">
        <w:rPr>
          <w:rFonts w:eastAsia="Calibri"/>
          <w:lang w:val="en-IE"/>
        </w:rPr>
        <w:t xml:space="preserve">The Commission has launched a study to examine various options for the possible preparation of an impact </w:t>
      </w:r>
      <w:r w:rsidR="00065711" w:rsidRPr="00273EF9">
        <w:rPr>
          <w:rFonts w:eastAsia="Calibri"/>
          <w:lang w:val="en-IE"/>
        </w:rPr>
        <w:t>assessment. Further work on this initiative will be considered after the finalisation of the study</w:t>
      </w:r>
      <w:r w:rsidR="00065711">
        <w:rPr>
          <w:rFonts w:eastAsia="Calibri"/>
          <w:lang w:val="en-IE"/>
        </w:rPr>
        <w:t xml:space="preserve">. </w:t>
      </w:r>
    </w:p>
    <w:p w14:paraId="71C54E6C" w14:textId="4A2B711F" w:rsidR="00065711" w:rsidRDefault="00065711" w:rsidP="009E7EE5">
      <w:pPr>
        <w:pStyle w:val="NoSpacing"/>
        <w:spacing w:after="180" w:line="240" w:lineRule="auto"/>
        <w:rPr>
          <w:rFonts w:eastAsia="Calibri"/>
          <w:lang w:val="en-IE"/>
        </w:rPr>
      </w:pPr>
      <w:r>
        <w:rPr>
          <w:rFonts w:eastAsia="Calibri"/>
          <w:lang w:val="en-IE"/>
        </w:rPr>
        <w:t xml:space="preserve">In addition, </w:t>
      </w:r>
      <w:r w:rsidR="00B43F08" w:rsidRPr="0039002F">
        <w:rPr>
          <w:rFonts w:eastAsia="Calibri"/>
          <w:lang w:val="en-IE"/>
        </w:rPr>
        <w:t xml:space="preserve">as </w:t>
      </w:r>
      <w:r w:rsidR="0037552C">
        <w:rPr>
          <w:rFonts w:eastAsia="Calibri"/>
          <w:lang w:val="en-IE"/>
        </w:rPr>
        <w:t>stated</w:t>
      </w:r>
      <w:r>
        <w:rPr>
          <w:rFonts w:eastAsia="Calibri"/>
          <w:lang w:val="en-IE"/>
        </w:rPr>
        <w:t xml:space="preserve"> </w:t>
      </w:r>
      <w:r w:rsidRPr="0039002F">
        <w:rPr>
          <w:rFonts w:eastAsia="Calibri"/>
          <w:lang w:val="en-IE"/>
        </w:rPr>
        <w:t>in</w:t>
      </w:r>
      <w:r w:rsidR="00B43F08" w:rsidRPr="0039002F">
        <w:rPr>
          <w:rFonts w:eastAsia="Calibri"/>
          <w:lang w:val="en-IE"/>
        </w:rPr>
        <w:t xml:space="preserve"> the Vision for Agriculture and Food</w:t>
      </w:r>
      <w:r w:rsidR="0076060B">
        <w:rPr>
          <w:rFonts w:eastAsia="Calibri"/>
          <w:lang w:val="en-IE"/>
        </w:rPr>
        <w:t xml:space="preserve"> adopted on 19 February 2025</w:t>
      </w:r>
      <w:r w:rsidR="00B43F08" w:rsidRPr="0039002F">
        <w:rPr>
          <w:rFonts w:eastAsia="Calibri"/>
          <w:lang w:val="en-IE"/>
        </w:rPr>
        <w:t xml:space="preserve">, </w:t>
      </w:r>
      <w:r w:rsidR="004B1AE4" w:rsidRPr="009E7EE5">
        <w:rPr>
          <w:rFonts w:eastAsia="Calibri"/>
          <w:lang w:val="en-IE"/>
        </w:rPr>
        <w:t xml:space="preserve">the Commission </w:t>
      </w:r>
      <w:r w:rsidR="0037552C" w:rsidRPr="009E7EE5">
        <w:rPr>
          <w:rFonts w:eastAsia="Calibri"/>
          <w:lang w:val="en-IE"/>
        </w:rPr>
        <w:t xml:space="preserve">will </w:t>
      </w:r>
      <w:r w:rsidR="004B1AE4" w:rsidRPr="009E7EE5">
        <w:rPr>
          <w:rFonts w:eastAsia="Calibri"/>
          <w:lang w:val="en-IE"/>
        </w:rPr>
        <w:t xml:space="preserve">establish </w:t>
      </w:r>
      <w:r w:rsidR="0037552C" w:rsidRPr="009E7EE5">
        <w:rPr>
          <w:rFonts w:eastAsia="Calibri"/>
          <w:lang w:val="en-IE"/>
        </w:rPr>
        <w:t xml:space="preserve">a </w:t>
      </w:r>
      <w:r w:rsidR="004B1AE4" w:rsidRPr="009E7EE5">
        <w:rPr>
          <w:rFonts w:eastAsia="Calibri"/>
          <w:lang w:val="en-IE"/>
        </w:rPr>
        <w:t xml:space="preserve">principle that </w:t>
      </w:r>
      <w:r w:rsidR="00B43F08" w:rsidRPr="009E7EE5">
        <w:rPr>
          <w:rFonts w:eastAsia="Calibri"/>
          <w:lang w:val="en-IE"/>
        </w:rPr>
        <w:t xml:space="preserve">the most hazardous pesticides banned in the EU for health and environmental reasons </w:t>
      </w:r>
      <w:r w:rsidR="004B1AE4" w:rsidRPr="009E7EE5">
        <w:rPr>
          <w:rFonts w:eastAsia="Calibri"/>
        </w:rPr>
        <w:t>are</w:t>
      </w:r>
      <w:r w:rsidR="0039002F" w:rsidRPr="009E7EE5">
        <w:rPr>
          <w:rFonts w:eastAsia="Calibri"/>
        </w:rPr>
        <w:t xml:space="preserve"> not </w:t>
      </w:r>
      <w:r w:rsidR="00B43F08" w:rsidRPr="009E7EE5">
        <w:rPr>
          <w:rFonts w:eastAsia="Calibri"/>
          <w:lang w:val="en-IE"/>
        </w:rPr>
        <w:t xml:space="preserve">allowed back </w:t>
      </w:r>
      <w:r w:rsidR="002058BC" w:rsidRPr="009E7EE5">
        <w:rPr>
          <w:rFonts w:eastAsia="Calibri"/>
          <w:lang w:val="en-IE"/>
        </w:rPr>
        <w:t>in</w:t>
      </w:r>
      <w:r w:rsidR="00B43F08" w:rsidRPr="009E7EE5">
        <w:rPr>
          <w:rFonts w:eastAsia="Calibri"/>
          <w:lang w:val="en-IE"/>
        </w:rPr>
        <w:t>to the EU through imported products. To</w:t>
      </w:r>
      <w:r w:rsidR="00B43F08" w:rsidRPr="0039002F">
        <w:rPr>
          <w:rFonts w:eastAsia="Calibri"/>
          <w:lang w:val="en-IE"/>
        </w:rPr>
        <w:t xml:space="preserve"> advance on this, the Commission will launch in 2025 an impact assessment that will consider the impact</w:t>
      </w:r>
      <w:r w:rsidR="0039002F">
        <w:rPr>
          <w:rFonts w:eastAsia="Calibri"/>
          <w:lang w:val="en-IE"/>
        </w:rPr>
        <w:t xml:space="preserve"> </w:t>
      </w:r>
      <w:r w:rsidR="00B43F08" w:rsidRPr="0039002F">
        <w:rPr>
          <w:rFonts w:eastAsia="Calibri"/>
          <w:lang w:val="en-IE"/>
        </w:rPr>
        <w:t>on the EU competitive position and the international implications and, if appropriate, propose amendments to the applicable legal framework.</w:t>
      </w:r>
    </w:p>
    <w:p w14:paraId="55197CD8" w14:textId="46F24183" w:rsidR="0039002F" w:rsidRPr="0039002F" w:rsidRDefault="0039002F" w:rsidP="0039002F">
      <w:pPr>
        <w:spacing w:after="120"/>
        <w:rPr>
          <w:rFonts w:ascii="Times New Roman" w:eastAsia="Calibri" w:hAnsi="Times New Roman"/>
          <w:szCs w:val="24"/>
          <w:lang w:val="en-IE" w:eastAsia="en-US"/>
        </w:rPr>
      </w:pPr>
      <w:r>
        <w:rPr>
          <w:rFonts w:ascii="Times New Roman" w:eastAsia="Calibri" w:hAnsi="Times New Roman"/>
          <w:szCs w:val="24"/>
          <w:lang w:val="en-IE" w:eastAsia="en-US"/>
        </w:rPr>
        <w:t>Concerning</w:t>
      </w:r>
      <w:r w:rsidRPr="002B4980">
        <w:rPr>
          <w:rFonts w:ascii="Times New Roman" w:eastAsia="Calibri" w:hAnsi="Times New Roman"/>
          <w:szCs w:val="24"/>
          <w:lang w:val="en-IE" w:eastAsia="en-US"/>
        </w:rPr>
        <w:t xml:space="preserve"> the call </w:t>
      </w:r>
      <w:r>
        <w:rPr>
          <w:rFonts w:ascii="Times New Roman" w:eastAsia="Calibri" w:hAnsi="Times New Roman"/>
          <w:szCs w:val="24"/>
          <w:lang w:val="en-IE" w:eastAsia="en-US"/>
        </w:rPr>
        <w:t>on</w:t>
      </w:r>
      <w:r w:rsidRPr="002B4980">
        <w:rPr>
          <w:rFonts w:ascii="Times New Roman" w:eastAsia="Calibri" w:hAnsi="Times New Roman"/>
          <w:szCs w:val="24"/>
          <w:lang w:val="en-IE" w:eastAsia="en-US"/>
        </w:rPr>
        <w:t xml:space="preserve"> the Commission to ensure convergence of standards between the EU and its partners in free trade agreement negotiations, </w:t>
      </w:r>
      <w:proofErr w:type="gramStart"/>
      <w:r w:rsidRPr="002B4980">
        <w:rPr>
          <w:rFonts w:ascii="Times New Roman" w:eastAsia="Calibri" w:hAnsi="Times New Roman"/>
          <w:szCs w:val="24"/>
          <w:lang w:val="en-IE" w:eastAsia="en-US"/>
        </w:rPr>
        <w:t>in order to</w:t>
      </w:r>
      <w:proofErr w:type="gramEnd"/>
      <w:r w:rsidRPr="002B4980">
        <w:rPr>
          <w:rFonts w:ascii="Times New Roman" w:eastAsia="Calibri" w:hAnsi="Times New Roman"/>
          <w:szCs w:val="24"/>
          <w:lang w:val="en-IE" w:eastAsia="en-US"/>
        </w:rPr>
        <w:t xml:space="preserve"> meet the EU’s safety standards</w:t>
      </w:r>
      <w:r>
        <w:rPr>
          <w:rFonts w:ascii="Times New Roman" w:eastAsia="Calibri" w:hAnsi="Times New Roman"/>
          <w:szCs w:val="24"/>
          <w:lang w:val="en-IE" w:eastAsia="en-US"/>
        </w:rPr>
        <w:t xml:space="preserve"> </w:t>
      </w:r>
      <w:r w:rsidRPr="002B4980">
        <w:rPr>
          <w:rFonts w:ascii="Times New Roman" w:eastAsia="Calibri" w:hAnsi="Times New Roman"/>
          <w:szCs w:val="24"/>
          <w:lang w:val="en-IE" w:eastAsia="en-US"/>
        </w:rPr>
        <w:t>(</w:t>
      </w:r>
      <w:r w:rsidRPr="00046908">
        <w:rPr>
          <w:rFonts w:ascii="Times New Roman" w:eastAsia="Calibri" w:hAnsi="Times New Roman"/>
          <w:b/>
          <w:bCs/>
          <w:szCs w:val="24"/>
          <w:lang w:val="en-IE" w:eastAsia="en-US"/>
        </w:rPr>
        <w:t xml:space="preserve">paragraph </w:t>
      </w:r>
      <w:r w:rsidR="00CA10F5">
        <w:rPr>
          <w:rFonts w:ascii="Times New Roman" w:eastAsia="Calibri" w:hAnsi="Times New Roman"/>
          <w:b/>
          <w:bCs/>
          <w:szCs w:val="24"/>
          <w:lang w:val="en-IE" w:eastAsia="en-US"/>
        </w:rPr>
        <w:t>4</w:t>
      </w:r>
      <w:r w:rsidRPr="0039002F">
        <w:rPr>
          <w:rFonts w:ascii="Times New Roman" w:eastAsia="Calibri" w:hAnsi="Times New Roman"/>
          <w:szCs w:val="24"/>
          <w:lang w:val="en-IE" w:eastAsia="en-US"/>
        </w:rPr>
        <w:t>), all</w:t>
      </w:r>
      <w:r w:rsidRPr="00377D28">
        <w:rPr>
          <w:rFonts w:ascii="Times New Roman" w:eastAsia="Calibri" w:hAnsi="Times New Roman"/>
          <w:szCs w:val="24"/>
          <w:lang w:val="en-IE" w:eastAsia="en-US"/>
        </w:rPr>
        <w:t xml:space="preserve"> imported food and feed must comply with relevant EU regulations and standards relating to safety and health, which are applicable irrespective of whether the product is produced domestically or imported.</w:t>
      </w:r>
      <w:r>
        <w:rPr>
          <w:rFonts w:ascii="Times New Roman" w:eastAsia="Calibri" w:hAnsi="Times New Roman"/>
          <w:szCs w:val="24"/>
          <w:lang w:val="en-IE" w:eastAsia="en-US"/>
        </w:rPr>
        <w:t xml:space="preserve"> </w:t>
      </w:r>
    </w:p>
    <w:p w14:paraId="71BAD3A2" w14:textId="17149693" w:rsidR="006A7C58" w:rsidRDefault="007B7FCB" w:rsidP="009E7EE5">
      <w:pPr>
        <w:pStyle w:val="NoSpacing"/>
        <w:spacing w:after="180" w:line="240" w:lineRule="auto"/>
        <w:rPr>
          <w:lang w:val="en-IE"/>
        </w:rPr>
      </w:pPr>
      <w:r>
        <w:rPr>
          <w:lang w:val="en-IE"/>
        </w:rPr>
        <w:lastRenderedPageBreak/>
        <w:t>In relation to</w:t>
      </w:r>
      <w:r w:rsidR="00CC2DB5" w:rsidRPr="00F26419">
        <w:rPr>
          <w:lang w:val="en-IE"/>
        </w:rPr>
        <w:t xml:space="preserve"> the </w:t>
      </w:r>
      <w:r w:rsidR="006A7C58">
        <w:rPr>
          <w:lang w:val="en-IE"/>
        </w:rPr>
        <w:t xml:space="preserve">need </w:t>
      </w:r>
      <w:r w:rsidR="00CC2DB5" w:rsidRPr="00F26419">
        <w:rPr>
          <w:lang w:val="en-IE"/>
        </w:rPr>
        <w:t>to take sustainability into account in the authorisation of GMOs</w:t>
      </w:r>
      <w:r w:rsidR="006A7C58">
        <w:rPr>
          <w:lang w:val="en-IE"/>
        </w:rPr>
        <w:t xml:space="preserve"> (</w:t>
      </w:r>
      <w:r w:rsidR="006A7C58" w:rsidRPr="00EA63E0">
        <w:rPr>
          <w:b/>
          <w:bCs/>
          <w:lang w:val="en-IE"/>
        </w:rPr>
        <w:t xml:space="preserve">paragraph </w:t>
      </w:r>
      <w:r w:rsidR="00FA13BD" w:rsidRPr="001B4985">
        <w:rPr>
          <w:b/>
          <w:bCs/>
          <w:lang w:val="en-IE"/>
        </w:rPr>
        <w:t>7</w:t>
      </w:r>
      <w:r w:rsidR="006A7C58" w:rsidRPr="00C144EA">
        <w:rPr>
          <w:lang w:val="en-IE"/>
        </w:rPr>
        <w:t>)</w:t>
      </w:r>
      <w:r w:rsidR="00CC2DB5" w:rsidRPr="00F26419">
        <w:rPr>
          <w:lang w:val="en-IE"/>
        </w:rPr>
        <w:t>,</w:t>
      </w:r>
      <w:r w:rsidR="009E7EE5">
        <w:rPr>
          <w:lang w:val="en-IE"/>
        </w:rPr>
        <w:t xml:space="preserve"> </w:t>
      </w:r>
      <w:r w:rsidR="00011937">
        <w:rPr>
          <w:lang w:val="en-IE"/>
        </w:rPr>
        <w:t>t</w:t>
      </w:r>
      <w:r w:rsidR="006A7C58" w:rsidRPr="005233B4">
        <w:rPr>
          <w:lang w:val="en-IE"/>
        </w:rPr>
        <w:t xml:space="preserve">he Commission will shape the way forward </w:t>
      </w:r>
      <w:r w:rsidR="006A7C58">
        <w:rPr>
          <w:lang w:val="en-IE"/>
        </w:rPr>
        <w:t xml:space="preserve">as set out in the </w:t>
      </w:r>
      <w:r w:rsidR="006A7C58" w:rsidRPr="005233B4">
        <w:rPr>
          <w:lang w:val="en-IE"/>
        </w:rPr>
        <w:t>Vision for Agriculture and Food.</w:t>
      </w:r>
    </w:p>
    <w:p w14:paraId="233F1A9C" w14:textId="0BE146BE" w:rsidR="00FA2376" w:rsidRDefault="00FA2376" w:rsidP="00FA2376">
      <w:pPr>
        <w:spacing w:after="120"/>
        <w:rPr>
          <w:rFonts w:ascii="Times New Roman" w:hAnsi="Times New Roman"/>
          <w:lang w:val="en-IE"/>
        </w:rPr>
      </w:pPr>
      <w:r w:rsidRPr="00F215DB">
        <w:rPr>
          <w:rFonts w:ascii="Times New Roman" w:hAnsi="Times New Roman"/>
          <w:lang w:val="en-IE"/>
        </w:rPr>
        <w:t xml:space="preserve">As regards </w:t>
      </w:r>
      <w:r w:rsidR="0035287F" w:rsidRPr="002F3179">
        <w:rPr>
          <w:rFonts w:ascii="Times New Roman" w:hAnsi="Times New Roman"/>
          <w:lang w:val="en-IE"/>
        </w:rPr>
        <w:t>the call</w:t>
      </w:r>
      <w:r w:rsidR="0035287F" w:rsidRPr="00F215DB">
        <w:rPr>
          <w:rFonts w:ascii="Times New Roman" w:hAnsi="Times New Roman"/>
          <w:lang w:val="en-IE"/>
        </w:rPr>
        <w:t xml:space="preserve"> to consider </w:t>
      </w:r>
      <w:r w:rsidRPr="00F215DB">
        <w:rPr>
          <w:rFonts w:ascii="Times New Roman" w:hAnsi="Times New Roman"/>
          <w:lang w:val="en-IE"/>
        </w:rPr>
        <w:t>the</w:t>
      </w:r>
      <w:r w:rsidRPr="00F215DB">
        <w:rPr>
          <w:rFonts w:ascii="Times New Roman" w:eastAsia="Calibri" w:hAnsi="Times New Roman"/>
          <w:bCs/>
          <w:szCs w:val="24"/>
          <w:lang w:val="en-IE" w:eastAsia="en-US"/>
        </w:rPr>
        <w:t xml:space="preserve"> EU’s international obligations </w:t>
      </w:r>
      <w:r w:rsidRPr="00F215DB">
        <w:rPr>
          <w:rFonts w:ascii="Times New Roman" w:hAnsi="Times New Roman"/>
          <w:lang w:val="en-IE"/>
        </w:rPr>
        <w:t>(</w:t>
      </w:r>
      <w:r w:rsidRPr="00F215DB">
        <w:rPr>
          <w:rFonts w:ascii="Times New Roman" w:hAnsi="Times New Roman"/>
          <w:b/>
          <w:bCs/>
          <w:lang w:val="en-IE"/>
        </w:rPr>
        <w:t xml:space="preserve">paragraph </w:t>
      </w:r>
      <w:r w:rsidR="00FA13BD">
        <w:rPr>
          <w:rFonts w:ascii="Times New Roman" w:hAnsi="Times New Roman"/>
          <w:b/>
          <w:bCs/>
          <w:lang w:val="en-IE"/>
        </w:rPr>
        <w:t>8</w:t>
      </w:r>
      <w:r w:rsidRPr="00C144EA">
        <w:rPr>
          <w:rFonts w:ascii="Times New Roman" w:hAnsi="Times New Roman"/>
          <w:lang w:val="en-IE"/>
        </w:rPr>
        <w:t>)</w:t>
      </w:r>
      <w:r w:rsidRPr="00F215DB">
        <w:rPr>
          <w:rFonts w:ascii="Times New Roman" w:hAnsi="Times New Roman"/>
          <w:lang w:val="en-IE"/>
        </w:rPr>
        <w:t>, the Commission is highly committed to respecting the EU’s international commitments in the field of the environment. However, the adoption of Commission decisions for the placing on the market of GMOs that do not present risks to health or to the environment do</w:t>
      </w:r>
      <w:r w:rsidR="004B1AE4">
        <w:rPr>
          <w:rFonts w:ascii="Times New Roman" w:hAnsi="Times New Roman"/>
          <w:lang w:val="en-IE"/>
        </w:rPr>
        <w:t>es</w:t>
      </w:r>
      <w:r w:rsidRPr="00F215DB">
        <w:rPr>
          <w:rFonts w:ascii="Times New Roman" w:hAnsi="Times New Roman"/>
          <w:lang w:val="en-IE"/>
        </w:rPr>
        <w:t xml:space="preserve"> not run counter to such international commitments.</w:t>
      </w:r>
      <w:r w:rsidR="00F215DB" w:rsidRPr="00F215DB">
        <w:rPr>
          <w:lang w:val="en-IE"/>
        </w:rPr>
        <w:t xml:space="preserve"> </w:t>
      </w:r>
      <w:r w:rsidR="00F215DB" w:rsidRPr="00F215DB">
        <w:rPr>
          <w:rFonts w:ascii="Times New Roman" w:hAnsi="Times New Roman"/>
          <w:lang w:val="en-IE"/>
        </w:rPr>
        <w:t xml:space="preserve">With respect to </w:t>
      </w:r>
      <w:r w:rsidRPr="00F215DB">
        <w:rPr>
          <w:rFonts w:ascii="Times New Roman" w:hAnsi="Times New Roman"/>
          <w:lang w:val="en-IE"/>
        </w:rPr>
        <w:t xml:space="preserve">the call </w:t>
      </w:r>
      <w:r w:rsidR="00F215DB">
        <w:rPr>
          <w:rFonts w:ascii="Times New Roman" w:hAnsi="Times New Roman"/>
          <w:lang w:val="en-IE"/>
        </w:rPr>
        <w:t xml:space="preserve">expressed </w:t>
      </w:r>
      <w:r w:rsidRPr="00DF0BF9">
        <w:rPr>
          <w:rFonts w:ascii="Times New Roman" w:hAnsi="Times New Roman"/>
          <w:lang w:val="en-IE"/>
        </w:rPr>
        <w:t xml:space="preserve">in </w:t>
      </w:r>
      <w:r w:rsidR="00DF0BF9" w:rsidRPr="00DF0BF9">
        <w:rPr>
          <w:rFonts w:ascii="Times New Roman" w:hAnsi="Times New Roman"/>
          <w:lang w:val="en-IE"/>
        </w:rPr>
        <w:t>this paragraph</w:t>
      </w:r>
      <w:r w:rsidR="00DF0BF9">
        <w:rPr>
          <w:rFonts w:ascii="Times New Roman" w:hAnsi="Times New Roman"/>
          <w:b/>
          <w:bCs/>
          <w:lang w:val="en-IE"/>
        </w:rPr>
        <w:t xml:space="preserve"> </w:t>
      </w:r>
      <w:r w:rsidRPr="00F215DB">
        <w:rPr>
          <w:rFonts w:ascii="Times New Roman" w:hAnsi="Times New Roman"/>
          <w:lang w:val="en-IE"/>
        </w:rPr>
        <w:t>for draft implementing acts to be accompanied by an explanatory memorandum explaining how they uphold the principle of ‘do no harm’, the Commission would like to stress that the decision is based on a positive EFSA scientific opinion, as described above.</w:t>
      </w:r>
    </w:p>
    <w:p w14:paraId="6CB3BE06" w14:textId="5018819E" w:rsidR="00B756CF" w:rsidRPr="00B756CF" w:rsidRDefault="00333EC9" w:rsidP="00B756CF">
      <w:pPr>
        <w:rPr>
          <w:rFonts w:ascii="Times New Roman" w:eastAsia="Calibri" w:hAnsi="Times New Roman"/>
          <w:szCs w:val="24"/>
          <w:lang w:val="en-IE" w:eastAsia="en-US"/>
        </w:rPr>
      </w:pPr>
      <w:r>
        <w:rPr>
          <w:rFonts w:ascii="Times New Roman" w:eastAsia="Calibri" w:hAnsi="Times New Roman"/>
          <w:szCs w:val="24"/>
          <w:lang w:val="en-IE" w:eastAsia="en-US"/>
        </w:rPr>
        <w:t xml:space="preserve">Issues related to </w:t>
      </w:r>
      <w:r w:rsidR="00B756CF" w:rsidRPr="00952592">
        <w:rPr>
          <w:rFonts w:ascii="Times New Roman" w:eastAsia="Calibri" w:hAnsi="Times New Roman"/>
          <w:szCs w:val="24"/>
          <w:lang w:val="en-IE" w:eastAsia="en-US"/>
        </w:rPr>
        <w:t xml:space="preserve">market access for agri-food imports and exports, diverging standards of the </w:t>
      </w:r>
      <w:r w:rsidR="00B756CF">
        <w:rPr>
          <w:rFonts w:ascii="Times New Roman" w:eastAsia="Calibri" w:hAnsi="Times New Roman"/>
          <w:szCs w:val="24"/>
          <w:lang w:val="en-IE" w:eastAsia="en-US"/>
        </w:rPr>
        <w:t>EU</w:t>
      </w:r>
      <w:r w:rsidR="00B756CF" w:rsidRPr="00952592">
        <w:rPr>
          <w:rFonts w:ascii="Times New Roman" w:eastAsia="Calibri" w:hAnsi="Times New Roman"/>
          <w:szCs w:val="24"/>
          <w:lang w:val="en-IE" w:eastAsia="en-US"/>
        </w:rPr>
        <w:t xml:space="preserve"> and its trading partners </w:t>
      </w:r>
      <w:r w:rsidR="00B756CF">
        <w:rPr>
          <w:rFonts w:ascii="Times New Roman" w:eastAsia="Calibri" w:hAnsi="Times New Roman"/>
          <w:szCs w:val="24"/>
          <w:lang w:val="en-IE" w:eastAsia="en-US"/>
        </w:rPr>
        <w:t>(</w:t>
      </w:r>
      <w:r w:rsidR="00B756CF" w:rsidRPr="00FA2376">
        <w:rPr>
          <w:rFonts w:ascii="Times New Roman" w:eastAsia="Calibri" w:hAnsi="Times New Roman"/>
          <w:b/>
          <w:bCs/>
          <w:szCs w:val="24"/>
          <w:lang w:val="en-IE" w:eastAsia="en-US"/>
        </w:rPr>
        <w:t xml:space="preserve">recital </w:t>
      </w:r>
      <w:r w:rsidR="00FA13BD">
        <w:rPr>
          <w:rFonts w:ascii="Times New Roman" w:eastAsia="Calibri" w:hAnsi="Times New Roman"/>
          <w:b/>
          <w:bCs/>
          <w:szCs w:val="24"/>
          <w:lang w:val="en-IE" w:eastAsia="en-US"/>
        </w:rPr>
        <w:t>Z</w:t>
      </w:r>
      <w:r w:rsidR="00B756CF">
        <w:rPr>
          <w:rFonts w:ascii="Times New Roman" w:eastAsia="Calibri" w:hAnsi="Times New Roman"/>
          <w:szCs w:val="24"/>
          <w:lang w:val="en-IE" w:eastAsia="en-US"/>
        </w:rPr>
        <w:t>) and reducing dependency of imported critical commodities (</w:t>
      </w:r>
      <w:r w:rsidR="00B756CF" w:rsidRPr="00FA2376">
        <w:rPr>
          <w:rFonts w:ascii="Times New Roman" w:eastAsia="Calibri" w:hAnsi="Times New Roman"/>
          <w:b/>
          <w:bCs/>
          <w:szCs w:val="24"/>
          <w:lang w:val="en-IE" w:eastAsia="en-US"/>
        </w:rPr>
        <w:t xml:space="preserve">recital </w:t>
      </w:r>
      <w:r w:rsidR="00B756CF">
        <w:rPr>
          <w:rFonts w:ascii="Times New Roman" w:eastAsia="Calibri" w:hAnsi="Times New Roman"/>
          <w:b/>
          <w:bCs/>
          <w:szCs w:val="24"/>
          <w:lang w:val="en-IE" w:eastAsia="en-US"/>
        </w:rPr>
        <w:t>A</w:t>
      </w:r>
      <w:r w:rsidR="00FA13BD">
        <w:rPr>
          <w:rFonts w:ascii="Times New Roman" w:eastAsia="Calibri" w:hAnsi="Times New Roman"/>
          <w:b/>
          <w:bCs/>
          <w:szCs w:val="24"/>
          <w:lang w:val="en-IE" w:eastAsia="en-US"/>
        </w:rPr>
        <w:t>D</w:t>
      </w:r>
      <w:r w:rsidR="00B756CF">
        <w:rPr>
          <w:rFonts w:ascii="Times New Roman" w:eastAsia="Calibri" w:hAnsi="Times New Roman"/>
          <w:szCs w:val="24"/>
          <w:lang w:val="en-IE" w:eastAsia="en-US"/>
        </w:rPr>
        <w:t xml:space="preserve">) will be part of the Commission’s work in accordance with its political guidelines and the mission letters of the responsible Commissioners. However, such issues cannot be addressed in the context of the </w:t>
      </w:r>
      <w:r w:rsidR="00B756CF" w:rsidRPr="00EA63E0">
        <w:rPr>
          <w:rFonts w:ascii="Times New Roman" w:hAnsi="Times New Roman"/>
          <w:lang w:val="en-IE"/>
        </w:rPr>
        <w:t>Commission decisions for the placing on the market of GMOs</w:t>
      </w:r>
      <w:r w:rsidR="00B756CF">
        <w:rPr>
          <w:rFonts w:ascii="Times New Roman" w:hAnsi="Times New Roman"/>
          <w:lang w:val="en-IE"/>
        </w:rPr>
        <w:t>.</w:t>
      </w:r>
      <w:r w:rsidR="002058BC">
        <w:rPr>
          <w:rFonts w:ascii="Times New Roman" w:hAnsi="Times New Roman"/>
          <w:lang w:val="en-IE"/>
        </w:rPr>
        <w:t xml:space="preserve"> </w:t>
      </w:r>
    </w:p>
    <w:p w14:paraId="712F7D88" w14:textId="0EF6C8A5" w:rsidR="002058BC" w:rsidRPr="001A4E57" w:rsidRDefault="005125FE" w:rsidP="002058BC">
      <w:pPr>
        <w:spacing w:after="120"/>
        <w:rPr>
          <w:rFonts w:ascii="Times New Roman" w:eastAsia="Calibri" w:hAnsi="Times New Roman"/>
          <w:szCs w:val="24"/>
          <w:lang w:val="en-IE" w:eastAsia="en-US"/>
        </w:rPr>
      </w:pPr>
      <w:r w:rsidRPr="0074107D">
        <w:rPr>
          <w:rFonts w:ascii="Times New Roman" w:eastAsia="Calibri" w:hAnsi="Times New Roman"/>
          <w:szCs w:val="24"/>
          <w:lang w:val="en-IE" w:eastAsia="en-US"/>
        </w:rPr>
        <w:t xml:space="preserve">Finally, with regards to the arguments concerning the </w:t>
      </w:r>
      <w:r w:rsidR="00521266">
        <w:rPr>
          <w:rFonts w:ascii="Times New Roman" w:eastAsia="Calibri" w:hAnsi="Times New Roman"/>
          <w:szCs w:val="24"/>
          <w:lang w:val="en-IE" w:eastAsia="en-US"/>
        </w:rPr>
        <w:t>‘</w:t>
      </w:r>
      <w:r w:rsidR="006A2E86">
        <w:rPr>
          <w:rFonts w:ascii="Times New Roman" w:eastAsia="Calibri" w:hAnsi="Times New Roman"/>
          <w:szCs w:val="24"/>
          <w:lang w:val="en-IE" w:eastAsia="en-US"/>
        </w:rPr>
        <w:t>undemocratic</w:t>
      </w:r>
      <w:r w:rsidR="00521266">
        <w:rPr>
          <w:rFonts w:ascii="Times New Roman" w:eastAsia="Calibri" w:hAnsi="Times New Roman"/>
          <w:szCs w:val="24"/>
          <w:lang w:val="en-IE" w:eastAsia="en-US"/>
        </w:rPr>
        <w:t>’</w:t>
      </w:r>
      <w:r w:rsidR="006A2E86">
        <w:rPr>
          <w:rFonts w:ascii="Times New Roman" w:eastAsia="Calibri" w:hAnsi="Times New Roman"/>
          <w:szCs w:val="24"/>
          <w:lang w:val="en-IE" w:eastAsia="en-US"/>
        </w:rPr>
        <w:t xml:space="preserve"> </w:t>
      </w:r>
      <w:r w:rsidRPr="0074107D">
        <w:rPr>
          <w:rFonts w:ascii="Times New Roman" w:eastAsia="Calibri" w:hAnsi="Times New Roman"/>
          <w:szCs w:val="24"/>
          <w:lang w:val="en-IE" w:eastAsia="en-US"/>
        </w:rPr>
        <w:t xml:space="preserve">decision-making process and the lack of support by the Member States for any GMO authorisation for food and feed uses </w:t>
      </w:r>
      <w:r w:rsidRPr="00161EF9">
        <w:rPr>
          <w:rFonts w:ascii="Times New Roman" w:eastAsia="Calibri" w:hAnsi="Times New Roman"/>
          <w:szCs w:val="24"/>
          <w:lang w:val="en-IE" w:eastAsia="en-US"/>
        </w:rPr>
        <w:t>(</w:t>
      </w:r>
      <w:r w:rsidRPr="00161EF9">
        <w:rPr>
          <w:rFonts w:ascii="Times New Roman" w:eastAsia="Calibri" w:hAnsi="Times New Roman"/>
          <w:b/>
          <w:bCs/>
          <w:szCs w:val="24"/>
          <w:lang w:val="en-IE" w:eastAsia="en-US"/>
        </w:rPr>
        <w:t>recital</w:t>
      </w:r>
      <w:r w:rsidR="002F3179">
        <w:rPr>
          <w:rFonts w:ascii="Times New Roman" w:eastAsia="Calibri" w:hAnsi="Times New Roman"/>
          <w:b/>
          <w:bCs/>
          <w:szCs w:val="24"/>
          <w:lang w:val="en-IE" w:eastAsia="en-US"/>
        </w:rPr>
        <w:t xml:space="preserve">s </w:t>
      </w:r>
      <w:r w:rsidR="00B756CF">
        <w:rPr>
          <w:rFonts w:ascii="Times New Roman" w:eastAsia="Calibri" w:hAnsi="Times New Roman"/>
          <w:b/>
          <w:bCs/>
          <w:szCs w:val="24"/>
          <w:lang w:val="en-IE" w:eastAsia="en-US"/>
        </w:rPr>
        <w:t>A</w:t>
      </w:r>
      <w:r w:rsidR="00FA13BD">
        <w:rPr>
          <w:rFonts w:ascii="Times New Roman" w:eastAsia="Calibri" w:hAnsi="Times New Roman"/>
          <w:b/>
          <w:bCs/>
          <w:szCs w:val="24"/>
          <w:lang w:val="en-IE" w:eastAsia="en-US"/>
        </w:rPr>
        <w:t>E</w:t>
      </w:r>
      <w:r w:rsidR="00B756CF">
        <w:rPr>
          <w:rFonts w:ascii="Times New Roman" w:eastAsia="Calibri" w:hAnsi="Times New Roman"/>
          <w:b/>
          <w:bCs/>
          <w:szCs w:val="24"/>
          <w:lang w:val="en-IE" w:eastAsia="en-US"/>
        </w:rPr>
        <w:t xml:space="preserve"> </w:t>
      </w:r>
      <w:r w:rsidR="00B756CF" w:rsidRPr="00B756CF">
        <w:rPr>
          <w:rFonts w:ascii="Times New Roman" w:eastAsia="Calibri" w:hAnsi="Times New Roman"/>
          <w:szCs w:val="24"/>
          <w:lang w:val="en-IE" w:eastAsia="en-US"/>
        </w:rPr>
        <w:t>to</w:t>
      </w:r>
      <w:r w:rsidR="00B756CF">
        <w:rPr>
          <w:rFonts w:ascii="Times New Roman" w:eastAsia="Calibri" w:hAnsi="Times New Roman"/>
          <w:b/>
          <w:bCs/>
          <w:szCs w:val="24"/>
          <w:lang w:val="en-IE" w:eastAsia="en-US"/>
        </w:rPr>
        <w:t xml:space="preserve"> A</w:t>
      </w:r>
      <w:r w:rsidR="00CA10F5">
        <w:rPr>
          <w:rFonts w:ascii="Times New Roman" w:eastAsia="Calibri" w:hAnsi="Times New Roman"/>
          <w:b/>
          <w:bCs/>
          <w:szCs w:val="24"/>
          <w:lang w:val="en-IE" w:eastAsia="en-US"/>
        </w:rPr>
        <w:t>H</w:t>
      </w:r>
      <w:r w:rsidR="00B756CF" w:rsidRPr="00C144EA">
        <w:rPr>
          <w:rFonts w:ascii="Times New Roman" w:eastAsia="Calibri" w:hAnsi="Times New Roman"/>
          <w:szCs w:val="24"/>
          <w:lang w:val="en-IE" w:eastAsia="en-US"/>
        </w:rPr>
        <w:t>)</w:t>
      </w:r>
      <w:r w:rsidRPr="00161EF9">
        <w:rPr>
          <w:rFonts w:ascii="Times New Roman" w:eastAsia="Calibri" w:hAnsi="Times New Roman"/>
          <w:szCs w:val="24"/>
          <w:lang w:val="en-IE" w:eastAsia="en-US"/>
        </w:rPr>
        <w:t>,</w:t>
      </w:r>
      <w:r w:rsidRPr="0074107D">
        <w:rPr>
          <w:rFonts w:ascii="Times New Roman" w:eastAsia="Calibri" w:hAnsi="Times New Roman"/>
          <w:szCs w:val="24"/>
          <w:lang w:val="en-IE" w:eastAsia="en-US"/>
        </w:rPr>
        <w:t xml:space="preserve"> the Commission submitted a proposal to the Council and the Parliament on 14 February 2017 to amend Regulation (EU) No 182/2011, changing the voting rules at the Appeal Committee</w:t>
      </w:r>
      <w:r w:rsidR="00247BAC" w:rsidRPr="00247BAC">
        <w:rPr>
          <w:rFonts w:ascii="Times New Roman" w:eastAsia="Calibri" w:hAnsi="Times New Roman"/>
          <w:szCs w:val="24"/>
          <w:lang w:val="en-IE" w:eastAsia="en-US"/>
        </w:rPr>
        <w:t xml:space="preserve"> </w:t>
      </w:r>
      <w:r w:rsidR="00247BAC">
        <w:rPr>
          <w:rFonts w:ascii="Times New Roman" w:eastAsia="Calibri" w:hAnsi="Times New Roman"/>
          <w:szCs w:val="24"/>
          <w:lang w:val="en-IE" w:eastAsia="en-US"/>
        </w:rPr>
        <w:t>to</w:t>
      </w:r>
      <w:r w:rsidR="00247BAC" w:rsidRPr="0074107D">
        <w:rPr>
          <w:rFonts w:ascii="Times New Roman" w:eastAsia="Calibri" w:hAnsi="Times New Roman"/>
          <w:szCs w:val="24"/>
          <w:lang w:val="en-IE" w:eastAsia="en-US"/>
        </w:rPr>
        <w:t xml:space="preserve"> increase transparency and accountability in the GMO decision-making process. </w:t>
      </w:r>
      <w:r w:rsidR="00247BAC">
        <w:rPr>
          <w:rFonts w:ascii="Times New Roman" w:eastAsia="Calibri" w:hAnsi="Times New Roman"/>
          <w:szCs w:val="24"/>
          <w:lang w:val="en-IE" w:eastAsia="en-US"/>
        </w:rPr>
        <w:t>However</w:t>
      </w:r>
      <w:r w:rsidR="00247BAC" w:rsidRPr="0074107D">
        <w:rPr>
          <w:rFonts w:ascii="Times New Roman" w:eastAsia="Calibri" w:hAnsi="Times New Roman"/>
          <w:szCs w:val="24"/>
          <w:lang w:val="en-IE" w:eastAsia="en-US"/>
        </w:rPr>
        <w:t>,</w:t>
      </w:r>
      <w:r w:rsidR="00247BAC">
        <w:rPr>
          <w:rFonts w:ascii="Times New Roman" w:eastAsia="Calibri" w:hAnsi="Times New Roman"/>
          <w:szCs w:val="24"/>
          <w:lang w:val="en-IE" w:eastAsia="en-US"/>
        </w:rPr>
        <w:t xml:space="preserve"> this proposal has not been adopted by the co-legislators</w:t>
      </w:r>
      <w:r w:rsidR="002058BC">
        <w:rPr>
          <w:rFonts w:ascii="Times New Roman" w:eastAsia="Calibri" w:hAnsi="Times New Roman"/>
          <w:szCs w:val="24"/>
          <w:lang w:val="en-IE" w:eastAsia="en-US"/>
        </w:rPr>
        <w:t xml:space="preserve">. </w:t>
      </w:r>
      <w:proofErr w:type="gramStart"/>
      <w:r w:rsidR="00D67731" w:rsidRPr="000C53F5">
        <w:rPr>
          <w:rFonts w:ascii="Times New Roman" w:eastAsia="Calibri" w:hAnsi="Times New Roman"/>
          <w:szCs w:val="24"/>
          <w:lang w:val="en-IE" w:eastAsia="en-US"/>
        </w:rPr>
        <w:t>In light of</w:t>
      </w:r>
      <w:proofErr w:type="gramEnd"/>
      <w:r w:rsidR="00D67731" w:rsidRPr="000C53F5">
        <w:rPr>
          <w:rFonts w:ascii="Times New Roman" w:eastAsia="Calibri" w:hAnsi="Times New Roman"/>
          <w:szCs w:val="24"/>
          <w:lang w:val="en-IE" w:eastAsia="en-US"/>
        </w:rPr>
        <w:t xml:space="preserve"> this situation, </w:t>
      </w:r>
      <w:r w:rsidR="00D67731" w:rsidRPr="00AD5A4B">
        <w:rPr>
          <w:rFonts w:ascii="Times New Roman" w:eastAsia="Calibri" w:hAnsi="Times New Roman"/>
          <w:szCs w:val="24"/>
          <w:lang w:val="en-IE" w:eastAsia="en-US"/>
        </w:rPr>
        <w:t xml:space="preserve">the Commission </w:t>
      </w:r>
      <w:r w:rsidR="009A7D36" w:rsidRPr="00AD5A4B">
        <w:rPr>
          <w:rFonts w:ascii="Times New Roman" w:eastAsia="Calibri" w:hAnsi="Times New Roman"/>
          <w:szCs w:val="24"/>
          <w:lang w:val="en-IE" w:eastAsia="en-US"/>
        </w:rPr>
        <w:t>approved</w:t>
      </w:r>
      <w:r w:rsidR="000C53F5" w:rsidRPr="00AD5A4B">
        <w:rPr>
          <w:rFonts w:ascii="Times New Roman" w:eastAsia="Calibri" w:hAnsi="Times New Roman"/>
          <w:szCs w:val="24"/>
          <w:lang w:val="en-IE" w:eastAsia="en-US"/>
        </w:rPr>
        <w:t xml:space="preserve"> the decision </w:t>
      </w:r>
      <w:r w:rsidR="00D67731" w:rsidRPr="00AD5A4B">
        <w:rPr>
          <w:rFonts w:ascii="Times New Roman" w:eastAsia="Calibri" w:hAnsi="Times New Roman"/>
          <w:szCs w:val="24"/>
          <w:lang w:val="en-IE" w:eastAsia="en-US"/>
        </w:rPr>
        <w:t xml:space="preserve">to withdraw the </w:t>
      </w:r>
      <w:r w:rsidR="000C53F5" w:rsidRPr="00AD5A4B">
        <w:rPr>
          <w:rFonts w:ascii="Times New Roman" w:eastAsia="Calibri" w:hAnsi="Times New Roman"/>
          <w:szCs w:val="24"/>
          <w:lang w:val="en-IE" w:eastAsia="en-US"/>
        </w:rPr>
        <w:t>proposal</w:t>
      </w:r>
      <w:r w:rsidR="009A7D36" w:rsidRPr="00AD5A4B">
        <w:rPr>
          <w:rFonts w:ascii="Times New Roman" w:eastAsia="Calibri" w:hAnsi="Times New Roman"/>
          <w:szCs w:val="24"/>
          <w:lang w:val="en-IE" w:eastAsia="en-US"/>
        </w:rPr>
        <w:t xml:space="preserve"> on 16 July 2025, and the withdrawal was published on 6 October 2025. </w:t>
      </w:r>
      <w:r w:rsidR="00037C1D">
        <w:rPr>
          <w:rFonts w:ascii="Times New Roman" w:eastAsia="Calibri" w:hAnsi="Times New Roman"/>
          <w:szCs w:val="24"/>
          <w:lang w:val="en-IE" w:eastAsia="en-US"/>
        </w:rPr>
        <w:t>As such</w:t>
      </w:r>
      <w:r w:rsidR="00247BAC">
        <w:rPr>
          <w:rFonts w:ascii="Times New Roman" w:eastAsia="Calibri" w:hAnsi="Times New Roman"/>
          <w:szCs w:val="24"/>
          <w:lang w:val="en-IE" w:eastAsia="en-US"/>
        </w:rPr>
        <w:t>,</w:t>
      </w:r>
      <w:r w:rsidR="00247BAC" w:rsidRPr="0074107D">
        <w:rPr>
          <w:rFonts w:ascii="Times New Roman" w:eastAsia="Calibri" w:hAnsi="Times New Roman"/>
          <w:szCs w:val="24"/>
          <w:lang w:val="en-IE" w:eastAsia="en-US"/>
        </w:rPr>
        <w:t xml:space="preserve"> the Commission </w:t>
      </w:r>
      <w:r w:rsidR="00247BAC">
        <w:rPr>
          <w:rFonts w:ascii="Times New Roman" w:eastAsia="Calibri" w:hAnsi="Times New Roman"/>
          <w:szCs w:val="24"/>
          <w:lang w:val="en-IE" w:eastAsia="en-US"/>
        </w:rPr>
        <w:t>is bound</w:t>
      </w:r>
      <w:r w:rsidR="00247BAC" w:rsidRPr="0074107D">
        <w:rPr>
          <w:rFonts w:ascii="Times New Roman" w:eastAsia="Calibri" w:hAnsi="Times New Roman"/>
          <w:szCs w:val="24"/>
          <w:lang w:val="en-IE" w:eastAsia="en-US"/>
        </w:rPr>
        <w:t xml:space="preserve"> to apply the procedures laid down in Regulation (EU) No 182/2011 on comitology and in Regulation (EC) No 1829/2003 on GM food and feed.</w:t>
      </w:r>
    </w:p>
    <w:sectPr w:rsidR="002058BC" w:rsidRPr="001A4E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975D2" w14:textId="77777777" w:rsidR="0048268F" w:rsidRDefault="0048268F" w:rsidP="00FA2376">
      <w:pPr>
        <w:spacing w:after="0"/>
      </w:pPr>
      <w:r>
        <w:separator/>
      </w:r>
    </w:p>
  </w:endnote>
  <w:endnote w:type="continuationSeparator" w:id="0">
    <w:p w14:paraId="7A67FDFC" w14:textId="77777777" w:rsidR="0048268F" w:rsidRDefault="0048268F" w:rsidP="00FA2376">
      <w:pPr>
        <w:spacing w:after="0"/>
      </w:pPr>
      <w:r>
        <w:continuationSeparator/>
      </w:r>
    </w:p>
  </w:endnote>
  <w:endnote w:type="continuationNotice" w:id="1">
    <w:p w14:paraId="29FDF34B" w14:textId="77777777" w:rsidR="0048268F" w:rsidRDefault="004826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83DB" w14:textId="77777777" w:rsidR="00FA2376" w:rsidRDefault="00FA2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907511"/>
      <w:docPartObj>
        <w:docPartGallery w:val="Page Numbers (Bottom of Page)"/>
        <w:docPartUnique/>
      </w:docPartObj>
    </w:sdtPr>
    <w:sdtEndPr>
      <w:rPr>
        <w:noProof/>
      </w:rPr>
    </w:sdtEndPr>
    <w:sdtContent>
      <w:p w14:paraId="13F7A459" w14:textId="5584468C" w:rsidR="00FA2376" w:rsidRDefault="00FA2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80222C" w14:textId="77777777" w:rsidR="00FA2376" w:rsidRDefault="00FA2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910F" w14:textId="77777777" w:rsidR="00FA2376" w:rsidRDefault="00FA2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010DA" w14:textId="77777777" w:rsidR="0048268F" w:rsidRDefault="0048268F" w:rsidP="00FA2376">
      <w:pPr>
        <w:spacing w:after="0"/>
      </w:pPr>
      <w:r>
        <w:separator/>
      </w:r>
    </w:p>
  </w:footnote>
  <w:footnote w:type="continuationSeparator" w:id="0">
    <w:p w14:paraId="5BE3E466" w14:textId="77777777" w:rsidR="0048268F" w:rsidRDefault="0048268F" w:rsidP="00FA2376">
      <w:pPr>
        <w:spacing w:after="0"/>
      </w:pPr>
      <w:r>
        <w:continuationSeparator/>
      </w:r>
    </w:p>
  </w:footnote>
  <w:footnote w:type="continuationNotice" w:id="1">
    <w:p w14:paraId="27890AC7" w14:textId="77777777" w:rsidR="0048268F" w:rsidRDefault="0048268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DB01" w14:textId="77777777" w:rsidR="00FA2376" w:rsidRDefault="00FA2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4F31" w14:textId="77777777" w:rsidR="00FA2376" w:rsidRDefault="00FA2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A295" w14:textId="77777777" w:rsidR="00FA2376" w:rsidRDefault="00FA2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A2F35"/>
    <w:multiLevelType w:val="hybridMultilevel"/>
    <w:tmpl w:val="7AA81C14"/>
    <w:lvl w:ilvl="0" w:tplc="9E825E12">
      <w:start w:val="1"/>
      <w:numFmt w:val="decimal"/>
      <w:lvlText w:val="%1)"/>
      <w:lvlJc w:val="left"/>
      <w:pPr>
        <w:ind w:left="720" w:hanging="360"/>
      </w:pPr>
    </w:lvl>
    <w:lvl w:ilvl="1" w:tplc="3F225888">
      <w:start w:val="1"/>
      <w:numFmt w:val="decimal"/>
      <w:lvlText w:val="%2)"/>
      <w:lvlJc w:val="left"/>
      <w:pPr>
        <w:ind w:left="720" w:hanging="360"/>
      </w:pPr>
    </w:lvl>
    <w:lvl w:ilvl="2" w:tplc="B464E192">
      <w:start w:val="1"/>
      <w:numFmt w:val="decimal"/>
      <w:lvlText w:val="%3)"/>
      <w:lvlJc w:val="left"/>
      <w:pPr>
        <w:ind w:left="720" w:hanging="360"/>
      </w:pPr>
    </w:lvl>
    <w:lvl w:ilvl="3" w:tplc="33EE77AC">
      <w:start w:val="1"/>
      <w:numFmt w:val="decimal"/>
      <w:lvlText w:val="%4)"/>
      <w:lvlJc w:val="left"/>
      <w:pPr>
        <w:ind w:left="720" w:hanging="360"/>
      </w:pPr>
    </w:lvl>
    <w:lvl w:ilvl="4" w:tplc="9D02F1C6">
      <w:start w:val="1"/>
      <w:numFmt w:val="decimal"/>
      <w:lvlText w:val="%5)"/>
      <w:lvlJc w:val="left"/>
      <w:pPr>
        <w:ind w:left="720" w:hanging="360"/>
      </w:pPr>
    </w:lvl>
    <w:lvl w:ilvl="5" w:tplc="C15EB5CA">
      <w:start w:val="1"/>
      <w:numFmt w:val="decimal"/>
      <w:lvlText w:val="%6)"/>
      <w:lvlJc w:val="left"/>
      <w:pPr>
        <w:ind w:left="720" w:hanging="360"/>
      </w:pPr>
    </w:lvl>
    <w:lvl w:ilvl="6" w:tplc="894EE976">
      <w:start w:val="1"/>
      <w:numFmt w:val="decimal"/>
      <w:lvlText w:val="%7)"/>
      <w:lvlJc w:val="left"/>
      <w:pPr>
        <w:ind w:left="720" w:hanging="360"/>
      </w:pPr>
    </w:lvl>
    <w:lvl w:ilvl="7" w:tplc="07104372">
      <w:start w:val="1"/>
      <w:numFmt w:val="decimal"/>
      <w:lvlText w:val="%8)"/>
      <w:lvlJc w:val="left"/>
      <w:pPr>
        <w:ind w:left="720" w:hanging="360"/>
      </w:pPr>
    </w:lvl>
    <w:lvl w:ilvl="8" w:tplc="FF42187E">
      <w:start w:val="1"/>
      <w:numFmt w:val="decimal"/>
      <w:lvlText w:val="%9)"/>
      <w:lvlJc w:val="left"/>
      <w:pPr>
        <w:ind w:left="720" w:hanging="360"/>
      </w:pPr>
    </w:lvl>
  </w:abstractNum>
  <w:abstractNum w:abstractNumId="1" w15:restartNumberingAfterBreak="0">
    <w:nsid w:val="468A6DE0"/>
    <w:multiLevelType w:val="hybridMultilevel"/>
    <w:tmpl w:val="959AE038"/>
    <w:lvl w:ilvl="0" w:tplc="F34A15AA">
      <w:numFmt w:val="bullet"/>
      <w:lvlText w:val="-"/>
      <w:lvlJc w:val="left"/>
      <w:pPr>
        <w:ind w:left="720" w:hanging="360"/>
      </w:pPr>
      <w:rPr>
        <w:rFonts w:ascii="Times New Roman" w:eastAsia="Arial Unicode MS" w:hAnsi="Times New Roman" w:cs="Times New Roman" w:hint="default"/>
        <w:b/>
        <w:i/>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76D6459"/>
    <w:multiLevelType w:val="hybridMultilevel"/>
    <w:tmpl w:val="6B1A5F26"/>
    <w:lvl w:ilvl="0" w:tplc="ACE42A70">
      <w:start w:val="6"/>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E9D4157"/>
    <w:multiLevelType w:val="hybridMultilevel"/>
    <w:tmpl w:val="B6A0B59A"/>
    <w:lvl w:ilvl="0" w:tplc="E178578E">
      <w:start w:val="6"/>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ECD5971"/>
    <w:multiLevelType w:val="hybridMultilevel"/>
    <w:tmpl w:val="B1244E9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9195007">
    <w:abstractNumId w:val="3"/>
  </w:num>
  <w:num w:numId="2" w16cid:durableId="338578912">
    <w:abstractNumId w:val="4"/>
  </w:num>
  <w:num w:numId="3" w16cid:durableId="58485251">
    <w:abstractNumId w:val="1"/>
  </w:num>
  <w:num w:numId="4" w16cid:durableId="169687601">
    <w:abstractNumId w:val="0"/>
  </w:num>
  <w:num w:numId="5" w16cid:durableId="93887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125FE"/>
    <w:rsid w:val="00006048"/>
    <w:rsid w:val="000116FA"/>
    <w:rsid w:val="00011937"/>
    <w:rsid w:val="0002645E"/>
    <w:rsid w:val="00033173"/>
    <w:rsid w:val="00037C1D"/>
    <w:rsid w:val="00046908"/>
    <w:rsid w:val="00046A87"/>
    <w:rsid w:val="00052388"/>
    <w:rsid w:val="00061376"/>
    <w:rsid w:val="00065711"/>
    <w:rsid w:val="00066E3D"/>
    <w:rsid w:val="000749BE"/>
    <w:rsid w:val="000849CB"/>
    <w:rsid w:val="000A02B6"/>
    <w:rsid w:val="000B698B"/>
    <w:rsid w:val="000C3A3A"/>
    <w:rsid w:val="000C53F5"/>
    <w:rsid w:val="000C5F19"/>
    <w:rsid w:val="000D1AF9"/>
    <w:rsid w:val="000D2A14"/>
    <w:rsid w:val="000E0CE7"/>
    <w:rsid w:val="000F70B6"/>
    <w:rsid w:val="00110F67"/>
    <w:rsid w:val="00111A6A"/>
    <w:rsid w:val="00114ADD"/>
    <w:rsid w:val="0012338F"/>
    <w:rsid w:val="0013721E"/>
    <w:rsid w:val="0015499D"/>
    <w:rsid w:val="00161EF9"/>
    <w:rsid w:val="00176E0B"/>
    <w:rsid w:val="00182202"/>
    <w:rsid w:val="00193938"/>
    <w:rsid w:val="001A4E57"/>
    <w:rsid w:val="001B4985"/>
    <w:rsid w:val="001C1B7D"/>
    <w:rsid w:val="001C31EB"/>
    <w:rsid w:val="001D5CF8"/>
    <w:rsid w:val="002058BC"/>
    <w:rsid w:val="00222494"/>
    <w:rsid w:val="00223FC9"/>
    <w:rsid w:val="002428B3"/>
    <w:rsid w:val="0024548D"/>
    <w:rsid w:val="00247BAC"/>
    <w:rsid w:val="00266CF2"/>
    <w:rsid w:val="00266E38"/>
    <w:rsid w:val="002729B3"/>
    <w:rsid w:val="002758B1"/>
    <w:rsid w:val="00284547"/>
    <w:rsid w:val="0028497B"/>
    <w:rsid w:val="00286291"/>
    <w:rsid w:val="002A1806"/>
    <w:rsid w:val="002A62AF"/>
    <w:rsid w:val="002B024C"/>
    <w:rsid w:val="002B4980"/>
    <w:rsid w:val="002C4773"/>
    <w:rsid w:val="002E7BED"/>
    <w:rsid w:val="002F3179"/>
    <w:rsid w:val="0030499C"/>
    <w:rsid w:val="00311EAE"/>
    <w:rsid w:val="00313A96"/>
    <w:rsid w:val="00320A81"/>
    <w:rsid w:val="00322673"/>
    <w:rsid w:val="00324C27"/>
    <w:rsid w:val="0032730E"/>
    <w:rsid w:val="00333EC9"/>
    <w:rsid w:val="00335568"/>
    <w:rsid w:val="00337EFE"/>
    <w:rsid w:val="00342D1A"/>
    <w:rsid w:val="0035287F"/>
    <w:rsid w:val="00356FE3"/>
    <w:rsid w:val="00374B59"/>
    <w:rsid w:val="0037552C"/>
    <w:rsid w:val="00377D28"/>
    <w:rsid w:val="00380751"/>
    <w:rsid w:val="0039002F"/>
    <w:rsid w:val="00390E4D"/>
    <w:rsid w:val="003941BD"/>
    <w:rsid w:val="003A1CB2"/>
    <w:rsid w:val="003A5783"/>
    <w:rsid w:val="003D7144"/>
    <w:rsid w:val="003E17AD"/>
    <w:rsid w:val="003E1843"/>
    <w:rsid w:val="003E453F"/>
    <w:rsid w:val="003E77F1"/>
    <w:rsid w:val="004010D3"/>
    <w:rsid w:val="00403423"/>
    <w:rsid w:val="00406717"/>
    <w:rsid w:val="004302C3"/>
    <w:rsid w:val="00430A99"/>
    <w:rsid w:val="00466FB6"/>
    <w:rsid w:val="00472BFC"/>
    <w:rsid w:val="00476926"/>
    <w:rsid w:val="00476E16"/>
    <w:rsid w:val="0048268F"/>
    <w:rsid w:val="0049544F"/>
    <w:rsid w:val="00495CC8"/>
    <w:rsid w:val="004965BB"/>
    <w:rsid w:val="004A5D3A"/>
    <w:rsid w:val="004B1AE4"/>
    <w:rsid w:val="004B6386"/>
    <w:rsid w:val="004B7DB8"/>
    <w:rsid w:val="004D14E4"/>
    <w:rsid w:val="004D5116"/>
    <w:rsid w:val="004E5C76"/>
    <w:rsid w:val="004F3EEA"/>
    <w:rsid w:val="00511D76"/>
    <w:rsid w:val="005124F3"/>
    <w:rsid w:val="005125FE"/>
    <w:rsid w:val="00521266"/>
    <w:rsid w:val="00521F0F"/>
    <w:rsid w:val="005255E1"/>
    <w:rsid w:val="0053665D"/>
    <w:rsid w:val="005377ED"/>
    <w:rsid w:val="00545349"/>
    <w:rsid w:val="00551B65"/>
    <w:rsid w:val="005522B6"/>
    <w:rsid w:val="00562C22"/>
    <w:rsid w:val="0058526A"/>
    <w:rsid w:val="00585BF8"/>
    <w:rsid w:val="005875AB"/>
    <w:rsid w:val="00587A12"/>
    <w:rsid w:val="005918C1"/>
    <w:rsid w:val="0059507A"/>
    <w:rsid w:val="0059593B"/>
    <w:rsid w:val="005A1902"/>
    <w:rsid w:val="005A7FC2"/>
    <w:rsid w:val="005B1CB0"/>
    <w:rsid w:val="005B2809"/>
    <w:rsid w:val="005C55E9"/>
    <w:rsid w:val="005D4EAC"/>
    <w:rsid w:val="005E12C6"/>
    <w:rsid w:val="005F16F9"/>
    <w:rsid w:val="00605E58"/>
    <w:rsid w:val="00613222"/>
    <w:rsid w:val="00623358"/>
    <w:rsid w:val="00630C96"/>
    <w:rsid w:val="00632FCE"/>
    <w:rsid w:val="00641422"/>
    <w:rsid w:val="00644846"/>
    <w:rsid w:val="0065418E"/>
    <w:rsid w:val="00661591"/>
    <w:rsid w:val="006653F2"/>
    <w:rsid w:val="00672BF1"/>
    <w:rsid w:val="00674C6D"/>
    <w:rsid w:val="006770A2"/>
    <w:rsid w:val="00684D28"/>
    <w:rsid w:val="0068500A"/>
    <w:rsid w:val="00686B20"/>
    <w:rsid w:val="00690710"/>
    <w:rsid w:val="00691A24"/>
    <w:rsid w:val="00693112"/>
    <w:rsid w:val="00693538"/>
    <w:rsid w:val="006A2E86"/>
    <w:rsid w:val="006A7C58"/>
    <w:rsid w:val="006B3C13"/>
    <w:rsid w:val="006B4A1E"/>
    <w:rsid w:val="006B6ECE"/>
    <w:rsid w:val="006C38BB"/>
    <w:rsid w:val="006D1B97"/>
    <w:rsid w:val="006E5429"/>
    <w:rsid w:val="006E7B26"/>
    <w:rsid w:val="00715E09"/>
    <w:rsid w:val="00715EE4"/>
    <w:rsid w:val="007165ED"/>
    <w:rsid w:val="00721D5B"/>
    <w:rsid w:val="00735A61"/>
    <w:rsid w:val="007411E8"/>
    <w:rsid w:val="00747212"/>
    <w:rsid w:val="007472AB"/>
    <w:rsid w:val="007510AF"/>
    <w:rsid w:val="007542EC"/>
    <w:rsid w:val="0076060B"/>
    <w:rsid w:val="00762421"/>
    <w:rsid w:val="00783E8D"/>
    <w:rsid w:val="00792434"/>
    <w:rsid w:val="00794645"/>
    <w:rsid w:val="00797A3E"/>
    <w:rsid w:val="007A0971"/>
    <w:rsid w:val="007A46E3"/>
    <w:rsid w:val="007A7EA3"/>
    <w:rsid w:val="007B24ED"/>
    <w:rsid w:val="007B7FCB"/>
    <w:rsid w:val="007C16C2"/>
    <w:rsid w:val="007C722C"/>
    <w:rsid w:val="007D3EA4"/>
    <w:rsid w:val="007E47B8"/>
    <w:rsid w:val="007F4F3C"/>
    <w:rsid w:val="007F5072"/>
    <w:rsid w:val="00800EC9"/>
    <w:rsid w:val="008344E7"/>
    <w:rsid w:val="00834DDF"/>
    <w:rsid w:val="00840BAE"/>
    <w:rsid w:val="00840C20"/>
    <w:rsid w:val="00841D4D"/>
    <w:rsid w:val="00861A05"/>
    <w:rsid w:val="0086521D"/>
    <w:rsid w:val="008677BD"/>
    <w:rsid w:val="00886F58"/>
    <w:rsid w:val="00887942"/>
    <w:rsid w:val="008A0FA3"/>
    <w:rsid w:val="008A509B"/>
    <w:rsid w:val="008A665C"/>
    <w:rsid w:val="008A6793"/>
    <w:rsid w:val="008B06C0"/>
    <w:rsid w:val="008B400E"/>
    <w:rsid w:val="008B47A6"/>
    <w:rsid w:val="008D6665"/>
    <w:rsid w:val="008D7C9C"/>
    <w:rsid w:val="008E08D5"/>
    <w:rsid w:val="008E6DE7"/>
    <w:rsid w:val="008F538E"/>
    <w:rsid w:val="009156DC"/>
    <w:rsid w:val="009204A8"/>
    <w:rsid w:val="009205A5"/>
    <w:rsid w:val="00925B05"/>
    <w:rsid w:val="0093382A"/>
    <w:rsid w:val="00933DD0"/>
    <w:rsid w:val="00944E7A"/>
    <w:rsid w:val="00967E68"/>
    <w:rsid w:val="009746F2"/>
    <w:rsid w:val="0098719F"/>
    <w:rsid w:val="00994F6A"/>
    <w:rsid w:val="00994FE6"/>
    <w:rsid w:val="009A0961"/>
    <w:rsid w:val="009A7D36"/>
    <w:rsid w:val="009B7C58"/>
    <w:rsid w:val="009C2A67"/>
    <w:rsid w:val="009D29B6"/>
    <w:rsid w:val="009E7EE5"/>
    <w:rsid w:val="009F5FC0"/>
    <w:rsid w:val="00A04A7B"/>
    <w:rsid w:val="00A07553"/>
    <w:rsid w:val="00A103E7"/>
    <w:rsid w:val="00A15CCF"/>
    <w:rsid w:val="00A176B8"/>
    <w:rsid w:val="00A17915"/>
    <w:rsid w:val="00A17C47"/>
    <w:rsid w:val="00A25D6D"/>
    <w:rsid w:val="00A5422D"/>
    <w:rsid w:val="00A64BF9"/>
    <w:rsid w:val="00A91F28"/>
    <w:rsid w:val="00AA3272"/>
    <w:rsid w:val="00AB4CB5"/>
    <w:rsid w:val="00AB5E6D"/>
    <w:rsid w:val="00AC1D5D"/>
    <w:rsid w:val="00AC2DE9"/>
    <w:rsid w:val="00AC3C06"/>
    <w:rsid w:val="00AC4457"/>
    <w:rsid w:val="00AC6D28"/>
    <w:rsid w:val="00AD3008"/>
    <w:rsid w:val="00AD31F4"/>
    <w:rsid w:val="00AD5A4B"/>
    <w:rsid w:val="00AE0320"/>
    <w:rsid w:val="00AF6D21"/>
    <w:rsid w:val="00B14043"/>
    <w:rsid w:val="00B17FEE"/>
    <w:rsid w:val="00B250D6"/>
    <w:rsid w:val="00B27924"/>
    <w:rsid w:val="00B36DB6"/>
    <w:rsid w:val="00B376FE"/>
    <w:rsid w:val="00B42594"/>
    <w:rsid w:val="00B434FD"/>
    <w:rsid w:val="00B43F08"/>
    <w:rsid w:val="00B50812"/>
    <w:rsid w:val="00B50FEB"/>
    <w:rsid w:val="00B5650A"/>
    <w:rsid w:val="00B657E5"/>
    <w:rsid w:val="00B70771"/>
    <w:rsid w:val="00B74703"/>
    <w:rsid w:val="00B756CF"/>
    <w:rsid w:val="00B778CB"/>
    <w:rsid w:val="00B77967"/>
    <w:rsid w:val="00B83F8B"/>
    <w:rsid w:val="00B92ABA"/>
    <w:rsid w:val="00B967CE"/>
    <w:rsid w:val="00BA39E6"/>
    <w:rsid w:val="00BC010D"/>
    <w:rsid w:val="00BF12FD"/>
    <w:rsid w:val="00C043BF"/>
    <w:rsid w:val="00C05549"/>
    <w:rsid w:val="00C0589B"/>
    <w:rsid w:val="00C144EA"/>
    <w:rsid w:val="00C17EE9"/>
    <w:rsid w:val="00C2050F"/>
    <w:rsid w:val="00C21136"/>
    <w:rsid w:val="00C33727"/>
    <w:rsid w:val="00C34B51"/>
    <w:rsid w:val="00C37524"/>
    <w:rsid w:val="00C55B7F"/>
    <w:rsid w:val="00C7135B"/>
    <w:rsid w:val="00C73B1A"/>
    <w:rsid w:val="00C741DE"/>
    <w:rsid w:val="00C9025E"/>
    <w:rsid w:val="00C94A75"/>
    <w:rsid w:val="00C96289"/>
    <w:rsid w:val="00CA10F5"/>
    <w:rsid w:val="00CA52BF"/>
    <w:rsid w:val="00CA5F49"/>
    <w:rsid w:val="00CB199C"/>
    <w:rsid w:val="00CC2DB5"/>
    <w:rsid w:val="00CC4341"/>
    <w:rsid w:val="00CC4D64"/>
    <w:rsid w:val="00CC7FED"/>
    <w:rsid w:val="00CD3495"/>
    <w:rsid w:val="00CD7779"/>
    <w:rsid w:val="00CE0AE3"/>
    <w:rsid w:val="00D03227"/>
    <w:rsid w:val="00D10C67"/>
    <w:rsid w:val="00D35D71"/>
    <w:rsid w:val="00D508E2"/>
    <w:rsid w:val="00D53B67"/>
    <w:rsid w:val="00D67731"/>
    <w:rsid w:val="00D762A4"/>
    <w:rsid w:val="00D7648D"/>
    <w:rsid w:val="00D92D7E"/>
    <w:rsid w:val="00DB2BA1"/>
    <w:rsid w:val="00DB7EF5"/>
    <w:rsid w:val="00DD07B3"/>
    <w:rsid w:val="00DD27EB"/>
    <w:rsid w:val="00DD33EE"/>
    <w:rsid w:val="00DD749A"/>
    <w:rsid w:val="00DF0BF9"/>
    <w:rsid w:val="00DF3477"/>
    <w:rsid w:val="00DF4C98"/>
    <w:rsid w:val="00DF4CA7"/>
    <w:rsid w:val="00DF75A6"/>
    <w:rsid w:val="00E038A1"/>
    <w:rsid w:val="00E1410A"/>
    <w:rsid w:val="00E267C4"/>
    <w:rsid w:val="00E32733"/>
    <w:rsid w:val="00E46255"/>
    <w:rsid w:val="00E60DC7"/>
    <w:rsid w:val="00E633A7"/>
    <w:rsid w:val="00E7098A"/>
    <w:rsid w:val="00E74C75"/>
    <w:rsid w:val="00E7708B"/>
    <w:rsid w:val="00E83807"/>
    <w:rsid w:val="00E84DE4"/>
    <w:rsid w:val="00E9170A"/>
    <w:rsid w:val="00E91D3A"/>
    <w:rsid w:val="00EB0BAD"/>
    <w:rsid w:val="00EB464A"/>
    <w:rsid w:val="00EC13AD"/>
    <w:rsid w:val="00ED5209"/>
    <w:rsid w:val="00EE3715"/>
    <w:rsid w:val="00EE778B"/>
    <w:rsid w:val="00EF06B2"/>
    <w:rsid w:val="00EF1030"/>
    <w:rsid w:val="00EF670A"/>
    <w:rsid w:val="00F02370"/>
    <w:rsid w:val="00F062A0"/>
    <w:rsid w:val="00F12BD7"/>
    <w:rsid w:val="00F15C12"/>
    <w:rsid w:val="00F215DB"/>
    <w:rsid w:val="00F241D5"/>
    <w:rsid w:val="00F45AC9"/>
    <w:rsid w:val="00F70A44"/>
    <w:rsid w:val="00F713C5"/>
    <w:rsid w:val="00F72B7C"/>
    <w:rsid w:val="00F949F6"/>
    <w:rsid w:val="00FA13BD"/>
    <w:rsid w:val="00FA2376"/>
    <w:rsid w:val="00FA663F"/>
    <w:rsid w:val="00FA791E"/>
    <w:rsid w:val="00FB3F2B"/>
    <w:rsid w:val="00FC5F51"/>
    <w:rsid w:val="00FC6083"/>
    <w:rsid w:val="00FE318D"/>
    <w:rsid w:val="00FF38A2"/>
    <w:rsid w:val="00FF520A"/>
    <w:rsid w:val="00FF76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56E1D"/>
  <w15:chartTrackingRefBased/>
  <w15:docId w15:val="{FCB86DEA-CA75-4A10-9A19-F3E38408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FE"/>
    <w:pPr>
      <w:spacing w:after="240" w:line="240" w:lineRule="auto"/>
      <w:jc w:val="both"/>
    </w:pPr>
    <w:rPr>
      <w:rFonts w:ascii="Courier New" w:eastAsia="Times New Roman" w:hAnsi="Courier New" w:cs="Times New Roman"/>
      <w:kern w:val="0"/>
      <w:sz w:val="24"/>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E38"/>
    <w:pPr>
      <w:ind w:left="720"/>
      <w:contextualSpacing/>
    </w:pPr>
  </w:style>
  <w:style w:type="character" w:styleId="CommentReference">
    <w:name w:val="annotation reference"/>
    <w:basedOn w:val="DefaultParagraphFont"/>
    <w:uiPriority w:val="99"/>
    <w:semiHidden/>
    <w:unhideWhenUsed/>
    <w:rsid w:val="00886F58"/>
    <w:rPr>
      <w:sz w:val="16"/>
      <w:szCs w:val="16"/>
    </w:rPr>
  </w:style>
  <w:style w:type="paragraph" w:styleId="CommentText">
    <w:name w:val="annotation text"/>
    <w:basedOn w:val="Normal"/>
    <w:link w:val="CommentTextChar"/>
    <w:uiPriority w:val="99"/>
    <w:unhideWhenUsed/>
    <w:rsid w:val="00886F58"/>
    <w:rPr>
      <w:sz w:val="20"/>
    </w:rPr>
  </w:style>
  <w:style w:type="character" w:customStyle="1" w:styleId="CommentTextChar">
    <w:name w:val="Comment Text Char"/>
    <w:basedOn w:val="DefaultParagraphFont"/>
    <w:link w:val="CommentText"/>
    <w:uiPriority w:val="99"/>
    <w:rsid w:val="00886F58"/>
    <w:rPr>
      <w:rFonts w:ascii="Courier New" w:eastAsia="Times New Roman" w:hAnsi="Courier New"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86F58"/>
    <w:rPr>
      <w:b/>
      <w:bCs/>
    </w:rPr>
  </w:style>
  <w:style w:type="character" w:customStyle="1" w:styleId="CommentSubjectChar">
    <w:name w:val="Comment Subject Char"/>
    <w:basedOn w:val="CommentTextChar"/>
    <w:link w:val="CommentSubject"/>
    <w:uiPriority w:val="99"/>
    <w:semiHidden/>
    <w:rsid w:val="00886F58"/>
    <w:rPr>
      <w:rFonts w:ascii="Courier New" w:eastAsia="Times New Roman" w:hAnsi="Courier New" w:cs="Times New Roman"/>
      <w:b/>
      <w:bCs/>
      <w:kern w:val="0"/>
      <w:sz w:val="20"/>
      <w:szCs w:val="20"/>
      <w:lang w:val="en-GB" w:eastAsia="en-GB"/>
      <w14:ligatures w14:val="none"/>
    </w:rPr>
  </w:style>
  <w:style w:type="paragraph" w:styleId="Revision">
    <w:name w:val="Revision"/>
    <w:hidden/>
    <w:uiPriority w:val="99"/>
    <w:semiHidden/>
    <w:rsid w:val="002B4980"/>
    <w:pPr>
      <w:spacing w:after="0" w:line="240" w:lineRule="auto"/>
    </w:pPr>
    <w:rPr>
      <w:rFonts w:ascii="Courier New" w:eastAsia="Times New Roman" w:hAnsi="Courier New" w:cs="Times New Roman"/>
      <w:kern w:val="0"/>
      <w:sz w:val="24"/>
      <w:szCs w:val="20"/>
      <w:lang w:val="en-GB" w:eastAsia="en-GB"/>
      <w14:ligatures w14:val="none"/>
    </w:rPr>
  </w:style>
  <w:style w:type="paragraph" w:styleId="NoSpacing">
    <w:name w:val="No Spacing"/>
    <w:basedOn w:val="Normal"/>
    <w:uiPriority w:val="1"/>
    <w:qFormat/>
    <w:rsid w:val="00CC2DB5"/>
    <w:pPr>
      <w:pBdr>
        <w:top w:val="nil"/>
        <w:left w:val="nil"/>
        <w:bottom w:val="nil"/>
        <w:right w:val="nil"/>
        <w:between w:val="nil"/>
        <w:bar w:val="nil"/>
      </w:pBdr>
      <w:spacing w:after="160" w:line="259" w:lineRule="auto"/>
    </w:pPr>
    <w:rPr>
      <w:rFonts w:ascii="Times New Roman" w:eastAsia="Arial Unicode MS" w:hAnsi="Times New Roman"/>
      <w:szCs w:val="24"/>
      <w:bdr w:val="nil"/>
      <w:lang w:eastAsia="en-US"/>
    </w:rPr>
  </w:style>
  <w:style w:type="paragraph" w:styleId="Header">
    <w:name w:val="header"/>
    <w:basedOn w:val="Normal"/>
    <w:link w:val="HeaderChar"/>
    <w:uiPriority w:val="99"/>
    <w:unhideWhenUsed/>
    <w:rsid w:val="00FA2376"/>
    <w:pPr>
      <w:tabs>
        <w:tab w:val="center" w:pos="4513"/>
        <w:tab w:val="right" w:pos="9026"/>
      </w:tabs>
      <w:spacing w:after="0"/>
    </w:pPr>
  </w:style>
  <w:style w:type="character" w:customStyle="1" w:styleId="HeaderChar">
    <w:name w:val="Header Char"/>
    <w:basedOn w:val="DefaultParagraphFont"/>
    <w:link w:val="Header"/>
    <w:uiPriority w:val="99"/>
    <w:rsid w:val="00FA2376"/>
    <w:rPr>
      <w:rFonts w:ascii="Courier New" w:eastAsia="Times New Roman" w:hAnsi="Courier New" w:cs="Times New Roman"/>
      <w:kern w:val="0"/>
      <w:sz w:val="24"/>
      <w:szCs w:val="20"/>
      <w:lang w:val="en-GB" w:eastAsia="en-GB"/>
      <w14:ligatures w14:val="none"/>
    </w:rPr>
  </w:style>
  <w:style w:type="paragraph" w:styleId="Footer">
    <w:name w:val="footer"/>
    <w:basedOn w:val="Normal"/>
    <w:link w:val="FooterChar"/>
    <w:uiPriority w:val="99"/>
    <w:unhideWhenUsed/>
    <w:rsid w:val="00FA2376"/>
    <w:pPr>
      <w:tabs>
        <w:tab w:val="center" w:pos="4513"/>
        <w:tab w:val="right" w:pos="9026"/>
      </w:tabs>
      <w:spacing w:after="0"/>
    </w:pPr>
  </w:style>
  <w:style w:type="character" w:customStyle="1" w:styleId="FooterChar">
    <w:name w:val="Footer Char"/>
    <w:basedOn w:val="DefaultParagraphFont"/>
    <w:link w:val="Footer"/>
    <w:uiPriority w:val="99"/>
    <w:rsid w:val="00FA2376"/>
    <w:rPr>
      <w:rFonts w:ascii="Courier New" w:eastAsia="Times New Roman" w:hAnsi="Courier New" w:cs="Times New Roman"/>
      <w:kern w:val="0"/>
      <w:sz w:val="24"/>
      <w:szCs w:val="20"/>
      <w:lang w:val="en-GB" w:eastAsia="en-GB"/>
      <w14:ligatures w14:val="none"/>
    </w:rPr>
  </w:style>
  <w:style w:type="paragraph" w:styleId="FootnoteText">
    <w:name w:val="footnote text"/>
    <w:basedOn w:val="Normal"/>
    <w:link w:val="FootnoteTextChar"/>
    <w:uiPriority w:val="99"/>
    <w:semiHidden/>
    <w:unhideWhenUsed/>
    <w:rsid w:val="00B74703"/>
    <w:pPr>
      <w:spacing w:after="0"/>
    </w:pPr>
    <w:rPr>
      <w:sz w:val="20"/>
    </w:rPr>
  </w:style>
  <w:style w:type="character" w:customStyle="1" w:styleId="FootnoteTextChar">
    <w:name w:val="Footnote Text Char"/>
    <w:basedOn w:val="DefaultParagraphFont"/>
    <w:link w:val="FootnoteText"/>
    <w:uiPriority w:val="99"/>
    <w:semiHidden/>
    <w:rsid w:val="00B74703"/>
    <w:rPr>
      <w:rFonts w:ascii="Courier New" w:eastAsia="Times New Roman" w:hAnsi="Courier New"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B74703"/>
    <w:rPr>
      <w:vertAlign w:val="superscript"/>
    </w:rPr>
  </w:style>
  <w:style w:type="paragraph" w:customStyle="1" w:styleId="Text1">
    <w:name w:val="Text 1"/>
    <w:basedOn w:val="Normal"/>
    <w:rsid w:val="006E7B26"/>
    <w:pPr>
      <w:ind w:left="482"/>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440217">
      <w:bodyDiv w:val="1"/>
      <w:marLeft w:val="0"/>
      <w:marRight w:val="0"/>
      <w:marTop w:val="0"/>
      <w:marBottom w:val="0"/>
      <w:divBdr>
        <w:top w:val="none" w:sz="0" w:space="0" w:color="auto"/>
        <w:left w:val="none" w:sz="0" w:space="0" w:color="auto"/>
        <w:bottom w:val="none" w:sz="0" w:space="0" w:color="auto"/>
        <w:right w:val="none" w:sz="0" w:space="0" w:color="auto"/>
      </w:divBdr>
    </w:div>
    <w:div w:id="1115561582">
      <w:bodyDiv w:val="1"/>
      <w:marLeft w:val="0"/>
      <w:marRight w:val="0"/>
      <w:marTop w:val="0"/>
      <w:marBottom w:val="0"/>
      <w:divBdr>
        <w:top w:val="none" w:sz="0" w:space="0" w:color="auto"/>
        <w:left w:val="none" w:sz="0" w:space="0" w:color="auto"/>
        <w:bottom w:val="none" w:sz="0" w:space="0" w:color="auto"/>
        <w:right w:val="none" w:sz="0" w:space="0" w:color="auto"/>
      </w:divBdr>
    </w:div>
    <w:div w:id="1276212302">
      <w:bodyDiv w:val="1"/>
      <w:marLeft w:val="0"/>
      <w:marRight w:val="0"/>
      <w:marTop w:val="0"/>
      <w:marBottom w:val="0"/>
      <w:divBdr>
        <w:top w:val="none" w:sz="0" w:space="0" w:color="auto"/>
        <w:left w:val="none" w:sz="0" w:space="0" w:color="auto"/>
        <w:bottom w:val="none" w:sz="0" w:space="0" w:color="auto"/>
        <w:right w:val="none" w:sz="0" w:space="0" w:color="auto"/>
      </w:divBdr>
    </w:div>
    <w:div w:id="1483036688">
      <w:bodyDiv w:val="1"/>
      <w:marLeft w:val="0"/>
      <w:marRight w:val="0"/>
      <w:marTop w:val="0"/>
      <w:marBottom w:val="0"/>
      <w:divBdr>
        <w:top w:val="none" w:sz="0" w:space="0" w:color="auto"/>
        <w:left w:val="none" w:sz="0" w:space="0" w:color="auto"/>
        <w:bottom w:val="none" w:sz="0" w:space="0" w:color="auto"/>
        <w:right w:val="none" w:sz="0" w:space="0" w:color="auto"/>
      </w:divBdr>
    </w:div>
    <w:div w:id="1792359295">
      <w:bodyDiv w:val="1"/>
      <w:marLeft w:val="0"/>
      <w:marRight w:val="0"/>
      <w:marTop w:val="0"/>
      <w:marBottom w:val="0"/>
      <w:divBdr>
        <w:top w:val="none" w:sz="0" w:space="0" w:color="auto"/>
        <w:left w:val="none" w:sz="0" w:space="0" w:color="auto"/>
        <w:bottom w:val="none" w:sz="0" w:space="0" w:color="auto"/>
        <w:right w:val="none" w:sz="0" w:space="0" w:color="auto"/>
      </w:divBdr>
    </w:div>
    <w:div w:id="1860585397">
      <w:bodyDiv w:val="1"/>
      <w:marLeft w:val="0"/>
      <w:marRight w:val="0"/>
      <w:marTop w:val="0"/>
      <w:marBottom w:val="0"/>
      <w:divBdr>
        <w:top w:val="none" w:sz="0" w:space="0" w:color="auto"/>
        <w:left w:val="none" w:sz="0" w:space="0" w:color="auto"/>
        <w:bottom w:val="none" w:sz="0" w:space="0" w:color="auto"/>
        <w:right w:val="none" w:sz="0" w:space="0" w:color="auto"/>
      </w:divBdr>
    </w:div>
    <w:div w:id="1897085862">
      <w:bodyDiv w:val="1"/>
      <w:marLeft w:val="0"/>
      <w:marRight w:val="0"/>
      <w:marTop w:val="0"/>
      <w:marBottom w:val="0"/>
      <w:divBdr>
        <w:top w:val="none" w:sz="0" w:space="0" w:color="auto"/>
        <w:left w:val="none" w:sz="0" w:space="0" w:color="auto"/>
        <w:bottom w:val="none" w:sz="0" w:space="0" w:color="auto"/>
        <w:right w:val="none" w:sz="0" w:space="0" w:color="auto"/>
      </w:divBdr>
    </w:div>
    <w:div w:id="19815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6ca9873e2a7db54e5b1e914c7b2b311">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205db79fe1fdc6bfd03002612792673c"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3C85E-0B45-4CD4-9EFF-4C6EC15F5C62}"/>
</file>

<file path=customXml/itemProps2.xml><?xml version="1.0" encoding="utf-8"?>
<ds:datastoreItem xmlns:ds="http://schemas.openxmlformats.org/officeDocument/2006/customXml" ds:itemID="{BBE491B9-50F6-4394-9E5B-B9C19FB018C4}">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3B679779-BFD9-46A5-9A97-9FEAC67C4322}">
  <ds:schemaRefs>
    <ds:schemaRef ds:uri="http://schemas.openxmlformats.org/officeDocument/2006/bibliography"/>
  </ds:schemaRefs>
</ds:datastoreItem>
</file>

<file path=customXml/itemProps4.xml><?xml version="1.0" encoding="utf-8"?>
<ds:datastoreItem xmlns:ds="http://schemas.openxmlformats.org/officeDocument/2006/customXml" ds:itemID="{E21BDE21-E6D7-471F-AB97-0318A6580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2402</Words>
  <Characters>12880</Characters>
  <Application>Microsoft Office Word</Application>
  <DocSecurity>0</DocSecurity>
  <Lines>186</Lines>
  <Paragraphs>47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ORLOVA Olga (SANTE)</dc:creator>
  <cp:keywords/>
  <dc:description/>
  <cp:lastModifiedBy>DODEKOVA Gabriela (SG)</cp:lastModifiedBy>
  <cp:revision>4</cp:revision>
  <cp:lastPrinted>2025-10-09T06:24:00Z</cp:lastPrinted>
  <dcterms:created xsi:type="dcterms:W3CDTF">2025-11-12T17:25:00Z</dcterms:created>
  <dcterms:modified xsi:type="dcterms:W3CDTF">2025-11-12T17:27:00Z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2024-12-02T10:08:14Z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d980e238-84a4-47c7-acfb-d69f86548f95</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